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bookmarkStart w:id="1" w:name="_Hlk505508413" w:displacedByCustomXml="next"/>
    <w:bookmarkEnd w:id="1" w:displacedByCustomXml="next"/>
    <w:sdt>
      <w:sdtPr>
        <w:rPr>
          <w:noProof/>
        </w:rPr>
        <w:id w:val="414904541"/>
        <w:docPartObj>
          <w:docPartGallery w:val="Cover Pages"/>
          <w:docPartUnique/>
        </w:docPartObj>
      </w:sdtPr>
      <w:sdtEndPr>
        <w:rPr>
          <w:noProof w:val="0"/>
        </w:rPr>
      </w:sdtEndPr>
      <w:sdtContent>
        <w:p w14:paraId="5818AFF2" w14:textId="31610835" w:rsidR="00CC0152" w:rsidRDefault="00C51EBB" w:rsidP="00CC0152">
          <w:r w:rsidRPr="00566687">
            <w:rPr>
              <w:rFonts w:ascii="Times New Roman" w:eastAsia="Times New Roman" w:hAnsi="Times New Roman" w:cs="Times New Roman"/>
              <w:noProof/>
              <w:color w:val="auto"/>
              <w:kern w:val="0"/>
              <w:sz w:val="24"/>
              <w:szCs w:val="24"/>
              <w:lang w:val="en-AU" w:eastAsia="en-AU"/>
            </w:rPr>
            <w:drawing>
              <wp:anchor distT="36576" distB="36576" distL="36576" distR="36576" simplePos="0" relativeHeight="251658240" behindDoc="0" locked="0" layoutInCell="1" allowOverlap="1" wp14:anchorId="012B1342" wp14:editId="30001886">
                <wp:simplePos x="0" y="0"/>
                <wp:positionH relativeFrom="column">
                  <wp:posOffset>1637728</wp:posOffset>
                </wp:positionH>
                <wp:positionV relativeFrom="paragraph">
                  <wp:posOffset>121631</wp:posOffset>
                </wp:positionV>
                <wp:extent cx="2405822" cy="1114318"/>
                <wp:effectExtent l="0" t="0" r="0" b="0"/>
                <wp:wrapNone/>
                <wp:docPr id="23" name="Picture 23" descr="ausEEkids logo right_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usEEkids logo right_transparent"/>
                        <pic:cNvPicPr>
                          <a:picLocks noChangeAspect="1" noChangeArrowheads="1"/>
                        </pic:cNvPicPr>
                      </pic:nvPicPr>
                      <pic:blipFill>
                        <a:blip r:embed="rId16" cstate="print">
                          <a:extLst>
                            <a:ext uri="{28A0092B-C50C-407E-A947-70E740481C1C}">
                              <a14:useLocalDpi xmlns:a14="http://schemas.microsoft.com/office/drawing/2010/main" val="0"/>
                            </a:ext>
                          </a:extLst>
                        </a:blip>
                        <a:srcRect t="31012" r="20674" b="32253"/>
                        <a:stretch>
                          <a:fillRect/>
                        </a:stretch>
                      </pic:blipFill>
                      <pic:spPr bwMode="auto">
                        <a:xfrm>
                          <a:off x="0" y="0"/>
                          <a:ext cx="2405822" cy="1114318"/>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149E8">
            <w:rPr>
              <w:noProof/>
              <w:lang w:eastAsia="en-US"/>
            </w:rPr>
            <w:t xml:space="preserve"> </w:t>
          </w:r>
          <w:r w:rsidR="00172692" w:rsidRPr="00172692">
            <w:rPr>
              <w:noProof/>
            </w:rPr>
            <w:t xml:space="preserve"> </w:t>
          </w:r>
        </w:p>
        <w:p w14:paraId="1A42AF55" w14:textId="385AF607" w:rsidR="00172692" w:rsidRDefault="001836E6" w:rsidP="00CD7FB0">
          <w:pPr>
            <w:rPr>
              <w:noProof/>
            </w:rPr>
          </w:pPr>
          <w:r>
            <w:rPr>
              <w:noProof/>
              <w:lang w:val="en-AU" w:eastAsia="en-AU"/>
            </w:rPr>
            <w:drawing>
              <wp:anchor distT="0" distB="0" distL="114300" distR="114300" simplePos="0" relativeHeight="251660291" behindDoc="1" locked="0" layoutInCell="1" allowOverlap="1" wp14:anchorId="7BD1A462" wp14:editId="53154EC6">
                <wp:simplePos x="0" y="0"/>
                <wp:positionH relativeFrom="column">
                  <wp:posOffset>5220203</wp:posOffset>
                </wp:positionH>
                <wp:positionV relativeFrom="paragraph">
                  <wp:posOffset>3709943</wp:posOffset>
                </wp:positionV>
                <wp:extent cx="1629624" cy="2185133"/>
                <wp:effectExtent l="0" t="0" r="8890" b="5715"/>
                <wp:wrapTight wrapText="bothSides">
                  <wp:wrapPolygon edited="0">
                    <wp:start x="0" y="0"/>
                    <wp:lineTo x="0" y="21468"/>
                    <wp:lineTo x="21465" y="21468"/>
                    <wp:lineTo x="2146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30121" cy="2185800"/>
                        </a:xfrm>
                        <a:prstGeom prst="rect">
                          <a:avLst/>
                        </a:prstGeom>
                        <a:noFill/>
                      </pic:spPr>
                    </pic:pic>
                  </a:graphicData>
                </a:graphic>
                <wp14:sizeRelH relativeFrom="margin">
                  <wp14:pctWidth>0</wp14:pctWidth>
                </wp14:sizeRelH>
                <wp14:sizeRelV relativeFrom="margin">
                  <wp14:pctHeight>0</wp14:pctHeight>
                </wp14:sizeRelV>
              </wp:anchor>
            </w:drawing>
          </w:r>
          <w:r w:rsidR="00C51EBB" w:rsidRPr="00566687">
            <w:rPr>
              <w:rFonts w:ascii="Times New Roman" w:eastAsia="Times New Roman" w:hAnsi="Times New Roman" w:cs="Times New Roman"/>
              <w:noProof/>
              <w:color w:val="auto"/>
              <w:kern w:val="0"/>
              <w:sz w:val="24"/>
              <w:szCs w:val="24"/>
              <w:lang w:val="en-AU" w:eastAsia="en-AU"/>
            </w:rPr>
            <mc:AlternateContent>
              <mc:Choice Requires="wps">
                <w:drawing>
                  <wp:anchor distT="36576" distB="36576" distL="36576" distR="36576" simplePos="0" relativeHeight="251658241" behindDoc="0" locked="0" layoutInCell="1" allowOverlap="1" wp14:anchorId="1291A16E" wp14:editId="3A2BDA64">
                    <wp:simplePos x="0" y="0"/>
                    <wp:positionH relativeFrom="margin">
                      <wp:posOffset>247650</wp:posOffset>
                    </wp:positionH>
                    <wp:positionV relativeFrom="paragraph">
                      <wp:posOffset>1058545</wp:posOffset>
                    </wp:positionV>
                    <wp:extent cx="5591175" cy="358140"/>
                    <wp:effectExtent l="0" t="0" r="9525" b="3810"/>
                    <wp:wrapNone/>
                    <wp:docPr id="2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3581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159A29C" w14:textId="77777777" w:rsidR="002A58AE" w:rsidRPr="00C861AE" w:rsidRDefault="002A58AE" w:rsidP="00566687">
                                <w:pPr>
                                  <w:widowControl w:val="0"/>
                                  <w:spacing w:after="0" w:line="360" w:lineRule="exact"/>
                                  <w:jc w:val="center"/>
                                  <w:rPr>
                                    <w:color w:val="6750A0"/>
                                    <w:sz w:val="28"/>
                                    <w:szCs w:val="28"/>
                                  </w:rPr>
                                </w:pPr>
                                <w:r w:rsidRPr="00C861AE">
                                  <w:rPr>
                                    <w:color w:val="6750A0"/>
                                    <w:sz w:val="28"/>
                                    <w:szCs w:val="28"/>
                                  </w:rPr>
                                  <w:t>a charity dedicated to improving lives affected by eosinophilic disorders</w:t>
                                </w:r>
                              </w:p>
                              <w:p w14:paraId="1A3C6ED4" w14:textId="77777777" w:rsidR="002A58AE" w:rsidRDefault="002A58A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291A16E" id="_x0000_t202" coordsize="21600,21600" o:spt="202" path="m,l,21600r21600,l21600,xe">
                    <v:stroke joinstyle="miter"/>
                    <v:path gradientshapeok="t" o:connecttype="rect"/>
                  </v:shapetype>
                  <v:shape id="Text Box 24" o:spid="_x0000_s1026" type="#_x0000_t202" style="position:absolute;margin-left:19.5pt;margin-top:83.35pt;width:440.25pt;height:28.2pt;z-index:251658241;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" filled="f" stroked="f" strokecolor="black [0]" insetpen="t">
                    <v:textbox inset="0,0,0,0">
                      <w:txbxContent>
                        <w:p w14:paraId="1159A29C" w14:textId="77777777" w:rsidR="002A58AE" w:rsidRPr="00C861AE" w:rsidRDefault="002A58AE" w:rsidP="00566687">
                          <w:pPr>
                            <w:widowControl w:val="0"/>
                            <w:spacing w:after="0" w:line="360" w:lineRule="exact"/>
                            <w:jc w:val="center"/>
                            <w:rPr>
                              <w:color w:val="6750A0"/>
                              <w:sz w:val="28"/>
                              <w:szCs w:val="28"/>
                            </w:rPr>
                          </w:pPr>
                          <w:r w:rsidRPr="00C861AE">
                            <w:rPr>
                              <w:color w:val="6750A0"/>
                              <w:sz w:val="28"/>
                              <w:szCs w:val="28"/>
                            </w:rPr>
                            <w:t>a charity dedicated to improving lives affected by eosinophilic disorders</w:t>
                          </w:r>
                        </w:p>
                        <w:p w14:paraId="1A3C6ED4" w14:textId="77777777" w:rsidR="002A58AE" w:rsidRDefault="002A58AE"/>
                      </w:txbxContent>
                    </v:textbox>
                    <w10:wrap anchorx="margin"/>
                  </v:shape>
                </w:pict>
              </mc:Fallback>
            </mc:AlternateContent>
          </w:r>
          <w:r w:rsidR="00C51EBB" w:rsidRPr="00566687">
            <w:rPr>
              <w:rFonts w:ascii="Times New Roman" w:eastAsia="Times New Roman" w:hAnsi="Times New Roman" w:cs="Times New Roman"/>
              <w:noProof/>
              <w:color w:val="auto"/>
              <w:kern w:val="0"/>
              <w:sz w:val="24"/>
              <w:szCs w:val="24"/>
              <w:lang w:val="en-AU" w:eastAsia="en-AU"/>
            </w:rPr>
            <mc:AlternateContent>
              <mc:Choice Requires="wps">
                <w:drawing>
                  <wp:anchor distT="36576" distB="36576" distL="36576" distR="36576" simplePos="0" relativeHeight="251666435" behindDoc="0" locked="0" layoutInCell="1" allowOverlap="1" wp14:anchorId="69D9F41D" wp14:editId="63149EA7">
                    <wp:simplePos x="0" y="0"/>
                    <wp:positionH relativeFrom="margin">
                      <wp:posOffset>-542925</wp:posOffset>
                    </wp:positionH>
                    <wp:positionV relativeFrom="paragraph">
                      <wp:posOffset>3339465</wp:posOffset>
                    </wp:positionV>
                    <wp:extent cx="6972300" cy="504825"/>
                    <wp:effectExtent l="0" t="0" r="0" b="9525"/>
                    <wp:wrapNone/>
                    <wp:docPr id="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5048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88157DD" w14:textId="77777777" w:rsidR="002A58AE" w:rsidRPr="004922EF" w:rsidRDefault="002A58AE" w:rsidP="005E750C">
                                <w:pPr>
                                  <w:widowControl w:val="0"/>
                                  <w:spacing w:after="0"/>
                                  <w:jc w:val="center"/>
                                  <w:rPr>
                                    <w:rFonts w:ascii="Gill Sans MT" w:hAnsi="Gill Sans MT"/>
                                    <w:b/>
                                    <w:bCs/>
                                    <w:color w:val="FFFFFF"/>
                                    <w:sz w:val="40"/>
                                    <w:szCs w:val="40"/>
                                  </w:rPr>
                                </w:pPr>
                                <w:r>
                                  <w:rPr>
                                    <w:rFonts w:ascii="Gill Sans MT" w:hAnsi="Gill Sans MT"/>
                                    <w:b/>
                                    <w:bCs/>
                                    <w:color w:val="FFFFFF"/>
                                    <w:sz w:val="40"/>
                                    <w:szCs w:val="40"/>
                                  </w:rPr>
                                  <w:t>January 2020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D9F41D" id="Text Box 25" o:spid="_x0000_s1027" type="#_x0000_t202" style="position:absolute;margin-left:-42.75pt;margin-top:262.95pt;width:549pt;height:39.75pt;z-index:251666435;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" filled="f" stroked="f" strokecolor="black [0]" insetpen="t">
                    <v:textbox inset="2.88pt,2.88pt,2.88pt,2.88pt">
                      <w:txbxContent>
                        <w:p w14:paraId="788157DD" w14:textId="77777777" w:rsidR="002A58AE" w:rsidRPr="004922EF" w:rsidRDefault="002A58AE" w:rsidP="005E750C">
                          <w:pPr>
                            <w:widowControl w:val="0"/>
                            <w:spacing w:after="0"/>
                            <w:jc w:val="center"/>
                            <w:rPr>
                              <w:rFonts w:ascii="Gill Sans MT" w:hAnsi="Gill Sans MT"/>
                              <w:b/>
                              <w:bCs/>
                              <w:color w:val="FFFFFF"/>
                              <w:sz w:val="40"/>
                              <w:szCs w:val="40"/>
                            </w:rPr>
                          </w:pPr>
                          <w:r>
                            <w:rPr>
                              <w:rFonts w:ascii="Gill Sans MT" w:hAnsi="Gill Sans MT"/>
                              <w:b/>
                              <w:bCs/>
                              <w:color w:val="FFFFFF"/>
                              <w:sz w:val="40"/>
                              <w:szCs w:val="40"/>
                            </w:rPr>
                            <w:t>January 2020</w:t>
                          </w:r>
                        </w:p>
                      </w:txbxContent>
                    </v:textbox>
                    <w10:wrap anchorx="margin"/>
                  </v:shape>
                </w:pict>
              </mc:Fallback>
            </mc:AlternateContent>
          </w:r>
          <w:r w:rsidR="00C51EBB" w:rsidRPr="00566687">
            <w:rPr>
              <w:rFonts w:ascii="Times New Roman" w:eastAsia="Times New Roman" w:hAnsi="Times New Roman" w:cs="Times New Roman"/>
              <w:noProof/>
              <w:color w:val="auto"/>
              <w:kern w:val="0"/>
              <w:sz w:val="24"/>
              <w:szCs w:val="24"/>
              <w:lang w:val="en-AU" w:eastAsia="en-AU"/>
            </w:rPr>
            <mc:AlternateContent>
              <mc:Choice Requires="wps">
                <w:drawing>
                  <wp:anchor distT="36576" distB="36576" distL="36576" distR="36576" simplePos="0" relativeHeight="251662339" behindDoc="0" locked="0" layoutInCell="1" allowOverlap="1" wp14:anchorId="0C018A3F" wp14:editId="310B7F67">
                    <wp:simplePos x="0" y="0"/>
                    <wp:positionH relativeFrom="margin">
                      <wp:posOffset>-547502</wp:posOffset>
                    </wp:positionH>
                    <wp:positionV relativeFrom="paragraph">
                      <wp:posOffset>2765425</wp:posOffset>
                    </wp:positionV>
                    <wp:extent cx="6972300" cy="600075"/>
                    <wp:effectExtent l="0" t="0" r="0" b="952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600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6A34209" w14:textId="161EA48D" w:rsidR="002A58AE" w:rsidRPr="004922EF" w:rsidRDefault="002A58AE" w:rsidP="00566687">
                                <w:pPr>
                                  <w:widowControl w:val="0"/>
                                  <w:spacing w:after="0"/>
                                  <w:jc w:val="center"/>
                                  <w:rPr>
                                    <w:rFonts w:ascii="Gill Sans MT" w:hAnsi="Gill Sans MT"/>
                                    <w:b/>
                                    <w:bCs/>
                                    <w:color w:val="FFFFFF"/>
                                    <w:sz w:val="56"/>
                                    <w:szCs w:val="56"/>
                                  </w:rPr>
                                </w:pPr>
                                <w:r w:rsidRPr="004922EF">
                                  <w:rPr>
                                    <w:rFonts w:ascii="Gill Sans MT" w:hAnsi="Gill Sans MT"/>
                                    <w:b/>
                                    <w:bCs/>
                                    <w:color w:val="FFFFFF"/>
                                    <w:sz w:val="56"/>
                                    <w:szCs w:val="56"/>
                                  </w:rPr>
                                  <w:t>20</w:t>
                                </w:r>
                                <w:r>
                                  <w:rPr>
                                    <w:rFonts w:ascii="Gill Sans MT" w:hAnsi="Gill Sans MT"/>
                                    <w:b/>
                                    <w:bCs/>
                                    <w:color w:val="FFFFFF"/>
                                    <w:sz w:val="56"/>
                                    <w:szCs w:val="56"/>
                                  </w:rPr>
                                  <w:t>20</w:t>
                                </w:r>
                                <w:r w:rsidRPr="004922EF">
                                  <w:rPr>
                                    <w:rFonts w:ascii="Gill Sans MT" w:hAnsi="Gill Sans MT"/>
                                    <w:b/>
                                    <w:bCs/>
                                    <w:color w:val="FFFFFF"/>
                                    <w:sz w:val="56"/>
                                    <w:szCs w:val="56"/>
                                  </w:rPr>
                                  <w:t>-2</w:t>
                                </w:r>
                                <w:r>
                                  <w:rPr>
                                    <w:rFonts w:ascii="Gill Sans MT" w:hAnsi="Gill Sans MT"/>
                                    <w:b/>
                                    <w:bCs/>
                                    <w:color w:val="FFFFFF"/>
                                    <w:sz w:val="56"/>
                                    <w:szCs w:val="56"/>
                                  </w:rPr>
                                  <w:t>1</w:t>
                                </w:r>
                                <w:r w:rsidRPr="004922EF">
                                  <w:rPr>
                                    <w:rFonts w:ascii="Gill Sans MT" w:hAnsi="Gill Sans MT"/>
                                    <w:b/>
                                    <w:bCs/>
                                    <w:color w:val="FFFFFF"/>
                                    <w:sz w:val="56"/>
                                    <w:szCs w:val="56"/>
                                  </w:rPr>
                                  <w:t xml:space="preserve"> </w:t>
                                </w:r>
                                <w:r>
                                  <w:rPr>
                                    <w:rFonts w:ascii="Gill Sans MT" w:hAnsi="Gill Sans MT"/>
                                    <w:b/>
                                    <w:bCs/>
                                    <w:color w:val="FFFFFF"/>
                                    <w:sz w:val="56"/>
                                    <w:szCs w:val="56"/>
                                  </w:rPr>
                                  <w:t>Pre-B</w:t>
                                </w:r>
                                <w:r w:rsidRPr="004922EF">
                                  <w:rPr>
                                    <w:rFonts w:ascii="Gill Sans MT" w:hAnsi="Gill Sans MT"/>
                                    <w:b/>
                                    <w:bCs/>
                                    <w:color w:val="FFFFFF"/>
                                    <w:sz w:val="56"/>
                                    <w:szCs w:val="56"/>
                                  </w:rPr>
                                  <w:t>udget Submission</w:t>
                                </w:r>
                              </w:p>
                              <w:p w14:paraId="20295293" w14:textId="0D5373B3" w:rsidR="002A58AE" w:rsidRPr="004922EF" w:rsidRDefault="002A58AE" w:rsidP="005E750C">
                                <w:pPr>
                                  <w:widowControl w:val="0"/>
                                  <w:spacing w:after="0"/>
                                  <w:rPr>
                                    <w:rFonts w:ascii="Gill Sans MT" w:hAnsi="Gill Sans MT"/>
                                    <w:b/>
                                    <w:bCs/>
                                    <w:color w:val="FFFFFF"/>
                                    <w:sz w:val="40"/>
                                    <w:szCs w:val="4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018A3F" id="_x0000_s1028" type="#_x0000_t202" style="position:absolute;margin-left:-43.1pt;margin-top:217.75pt;width:549pt;height:47.25pt;z-index:251662339;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" filled="f" stroked="f" strokecolor="black [0]" insetpen="t">
                    <v:textbox inset="2.88pt,2.88pt,2.88pt,2.88pt">
                      <w:txbxContent>
                        <w:p w14:paraId="66A34209" w14:textId="161EA48D" w:rsidR="002A58AE" w:rsidRPr="004922EF" w:rsidRDefault="002A58AE" w:rsidP="00566687">
                          <w:pPr>
                            <w:widowControl w:val="0"/>
                            <w:spacing w:after="0"/>
                            <w:jc w:val="center"/>
                            <w:rPr>
                              <w:rFonts w:ascii="Gill Sans MT" w:hAnsi="Gill Sans MT"/>
                              <w:b/>
                              <w:bCs/>
                              <w:color w:val="FFFFFF"/>
                              <w:sz w:val="56"/>
                              <w:szCs w:val="56"/>
                            </w:rPr>
                          </w:pPr>
                          <w:r w:rsidRPr="004922EF">
                            <w:rPr>
                              <w:rFonts w:ascii="Gill Sans MT" w:hAnsi="Gill Sans MT"/>
                              <w:b/>
                              <w:bCs/>
                              <w:color w:val="FFFFFF"/>
                              <w:sz w:val="56"/>
                              <w:szCs w:val="56"/>
                            </w:rPr>
                            <w:t>20</w:t>
                          </w:r>
                          <w:r>
                            <w:rPr>
                              <w:rFonts w:ascii="Gill Sans MT" w:hAnsi="Gill Sans MT"/>
                              <w:b/>
                              <w:bCs/>
                              <w:color w:val="FFFFFF"/>
                              <w:sz w:val="56"/>
                              <w:szCs w:val="56"/>
                            </w:rPr>
                            <w:t>20</w:t>
                          </w:r>
                          <w:r w:rsidRPr="004922EF">
                            <w:rPr>
                              <w:rFonts w:ascii="Gill Sans MT" w:hAnsi="Gill Sans MT"/>
                              <w:b/>
                              <w:bCs/>
                              <w:color w:val="FFFFFF"/>
                              <w:sz w:val="56"/>
                              <w:szCs w:val="56"/>
                            </w:rPr>
                            <w:t>-2</w:t>
                          </w:r>
                          <w:r>
                            <w:rPr>
                              <w:rFonts w:ascii="Gill Sans MT" w:hAnsi="Gill Sans MT"/>
                              <w:b/>
                              <w:bCs/>
                              <w:color w:val="FFFFFF"/>
                              <w:sz w:val="56"/>
                              <w:szCs w:val="56"/>
                            </w:rPr>
                            <w:t>1</w:t>
                          </w:r>
                          <w:r w:rsidRPr="004922EF">
                            <w:rPr>
                              <w:rFonts w:ascii="Gill Sans MT" w:hAnsi="Gill Sans MT"/>
                              <w:b/>
                              <w:bCs/>
                              <w:color w:val="FFFFFF"/>
                              <w:sz w:val="56"/>
                              <w:szCs w:val="56"/>
                            </w:rPr>
                            <w:t xml:space="preserve"> </w:t>
                          </w:r>
                          <w:r>
                            <w:rPr>
                              <w:rFonts w:ascii="Gill Sans MT" w:hAnsi="Gill Sans MT"/>
                              <w:b/>
                              <w:bCs/>
                              <w:color w:val="FFFFFF"/>
                              <w:sz w:val="56"/>
                              <w:szCs w:val="56"/>
                            </w:rPr>
                            <w:t>Pre-B</w:t>
                          </w:r>
                          <w:r w:rsidRPr="004922EF">
                            <w:rPr>
                              <w:rFonts w:ascii="Gill Sans MT" w:hAnsi="Gill Sans MT"/>
                              <w:b/>
                              <w:bCs/>
                              <w:color w:val="FFFFFF"/>
                              <w:sz w:val="56"/>
                              <w:szCs w:val="56"/>
                            </w:rPr>
                            <w:t>udget Submission</w:t>
                          </w:r>
                        </w:p>
                        <w:p w14:paraId="20295293" w14:textId="0D5373B3" w:rsidR="002A58AE" w:rsidRPr="004922EF" w:rsidRDefault="002A58AE" w:rsidP="005E750C">
                          <w:pPr>
                            <w:widowControl w:val="0"/>
                            <w:spacing w:after="0"/>
                            <w:rPr>
                              <w:rFonts w:ascii="Gill Sans MT" w:hAnsi="Gill Sans MT"/>
                              <w:b/>
                              <w:bCs/>
                              <w:color w:val="FFFFFF"/>
                              <w:sz w:val="40"/>
                              <w:szCs w:val="40"/>
                            </w:rPr>
                          </w:pPr>
                        </w:p>
                      </w:txbxContent>
                    </v:textbox>
                    <w10:wrap anchorx="margin"/>
                  </v:shape>
                </w:pict>
              </mc:Fallback>
            </mc:AlternateContent>
          </w:r>
          <w:r w:rsidR="00A21642" w:rsidRPr="00566687">
            <w:rPr>
              <w:rFonts w:ascii="Times New Roman" w:eastAsia="Times New Roman" w:hAnsi="Times New Roman" w:cs="Times New Roman"/>
              <w:noProof/>
              <w:color w:val="auto"/>
              <w:kern w:val="0"/>
              <w:sz w:val="24"/>
              <w:szCs w:val="24"/>
              <w:lang w:val="en-AU" w:eastAsia="en-AU"/>
            </w:rPr>
            <mc:AlternateContent>
              <mc:Choice Requires="wps">
                <w:drawing>
                  <wp:anchor distT="36576" distB="36576" distL="36576" distR="36576" simplePos="0" relativeHeight="251664387" behindDoc="0" locked="0" layoutInCell="1" allowOverlap="1" wp14:anchorId="43F03028" wp14:editId="2B8A6C7C">
                    <wp:simplePos x="0" y="0"/>
                    <wp:positionH relativeFrom="page">
                      <wp:posOffset>-232913</wp:posOffset>
                    </wp:positionH>
                    <wp:positionV relativeFrom="paragraph">
                      <wp:posOffset>5656424</wp:posOffset>
                    </wp:positionV>
                    <wp:extent cx="8167370" cy="340157"/>
                    <wp:effectExtent l="0" t="0" r="5080" b="3175"/>
                    <wp:wrapNone/>
                    <wp:docPr id="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7370" cy="340157"/>
                            </a:xfrm>
                            <a:prstGeom prst="rect">
                              <a:avLst/>
                            </a:prstGeom>
                            <a:solidFill>
                              <a:srgbClr val="FAA71B"/>
                            </a:solidFill>
                            <a:ln>
                              <a:noFill/>
                            </a:ln>
                            <a:effectLst/>
                          </wps:spPr>
                          <wps:txbx>
                            <w:txbxContent>
                              <w:p w14:paraId="237AE6CD" w14:textId="77777777" w:rsidR="002A58AE" w:rsidRDefault="002A58AE" w:rsidP="005E750C"/>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F03028" id="Text Box 21" o:spid="_x0000_s1029" type="#_x0000_t202" style="position:absolute;margin-left:-18.35pt;margin-top:445.4pt;width:643.1pt;height:26.8pt;z-index:251664387;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" fillcolor="#faa71b" stroked="f">
                    <v:textbox inset="2.88pt,2.88pt,2.88pt,2.88pt">
                      <w:txbxContent>
                        <w:p w14:paraId="237AE6CD" w14:textId="77777777" w:rsidR="002A58AE" w:rsidRDefault="002A58AE" w:rsidP="005E750C"/>
                      </w:txbxContent>
                    </v:textbox>
                    <w10:wrap anchorx="page"/>
                  </v:shape>
                </w:pict>
              </mc:Fallback>
            </mc:AlternateContent>
          </w:r>
          <w:r w:rsidR="00AF7214">
            <w:rPr>
              <w:noProof/>
              <w:lang w:val="en-AU" w:eastAsia="en-AU"/>
            </w:rPr>
            <w:drawing>
              <wp:anchor distT="0" distB="0" distL="114300" distR="114300" simplePos="0" relativeHeight="251659267" behindDoc="1" locked="0" layoutInCell="1" allowOverlap="1" wp14:anchorId="56F236D8" wp14:editId="0D6FABA3">
                <wp:simplePos x="0" y="0"/>
                <wp:positionH relativeFrom="column">
                  <wp:posOffset>-914400</wp:posOffset>
                </wp:positionH>
                <wp:positionV relativeFrom="paragraph">
                  <wp:posOffset>3439795</wp:posOffset>
                </wp:positionV>
                <wp:extent cx="6172200" cy="2557145"/>
                <wp:effectExtent l="0" t="0" r="0" b="0"/>
                <wp:wrapTight wrapText="bothSides">
                  <wp:wrapPolygon edited="0">
                    <wp:start x="0" y="0"/>
                    <wp:lineTo x="0" y="21402"/>
                    <wp:lineTo x="21533" y="21402"/>
                    <wp:lineTo x="2153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72200" cy="2557145"/>
                        </a:xfrm>
                        <a:prstGeom prst="rect">
                          <a:avLst/>
                        </a:prstGeom>
                        <a:noFill/>
                      </pic:spPr>
                    </pic:pic>
                  </a:graphicData>
                </a:graphic>
                <wp14:sizeRelH relativeFrom="page">
                  <wp14:pctWidth>0</wp14:pctWidth>
                </wp14:sizeRelH>
                <wp14:sizeRelV relativeFrom="page">
                  <wp14:pctHeight>0</wp14:pctHeight>
                </wp14:sizeRelV>
              </wp:anchor>
            </w:drawing>
          </w:r>
          <w:r w:rsidR="00AF7214" w:rsidRPr="00566687">
            <w:rPr>
              <w:rFonts w:ascii="Times New Roman" w:eastAsia="Times New Roman" w:hAnsi="Times New Roman" w:cs="Times New Roman"/>
              <w:noProof/>
              <w:color w:val="auto"/>
              <w:kern w:val="0"/>
              <w:sz w:val="24"/>
              <w:szCs w:val="24"/>
              <w:lang w:val="en-AU" w:eastAsia="en-AU"/>
            </w:rPr>
            <mc:AlternateContent>
              <mc:Choice Requires="wps">
                <w:drawing>
                  <wp:anchor distT="36576" distB="36576" distL="36576" distR="36576" simplePos="0" relativeHeight="251661315" behindDoc="0" locked="0" layoutInCell="1" allowOverlap="1" wp14:anchorId="4036D85F" wp14:editId="16AC76F7">
                    <wp:simplePos x="0" y="0"/>
                    <wp:positionH relativeFrom="page">
                      <wp:posOffset>0</wp:posOffset>
                    </wp:positionH>
                    <wp:positionV relativeFrom="paragraph">
                      <wp:posOffset>2649220</wp:posOffset>
                    </wp:positionV>
                    <wp:extent cx="8167370" cy="1257300"/>
                    <wp:effectExtent l="0" t="0" r="5080" b="0"/>
                    <wp:wrapNone/>
                    <wp:docPr id="2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7370" cy="1257300"/>
                            </a:xfrm>
                            <a:prstGeom prst="rect">
                              <a:avLst/>
                            </a:prstGeom>
                            <a:solidFill>
                              <a:srgbClr val="AC2986"/>
                            </a:solidFill>
                            <a:ln>
                              <a:noFill/>
                            </a:ln>
                            <a:effectLst/>
                          </wps:spPr>
                          <wps:txbx>
                            <w:txbxContent>
                              <w:p w14:paraId="4057BB25" w14:textId="77777777" w:rsidR="002A58AE" w:rsidRDefault="002A58AE" w:rsidP="00566687"/>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36D85F" id="_x0000_s1030" type="#_x0000_t202" style="position:absolute;margin-left:0;margin-top:208.6pt;width:643.1pt;height:99pt;z-index:251661315;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" fillcolor="#ac2986" stroked="f">
                    <v:textbox inset="2.88pt,2.88pt,2.88pt,2.88pt">
                      <w:txbxContent>
                        <w:p w14:paraId="4057BB25" w14:textId="77777777" w:rsidR="002A58AE" w:rsidRDefault="002A58AE" w:rsidP="00566687"/>
                      </w:txbxContent>
                    </v:textbox>
                    <w10:wrap anchorx="page"/>
                  </v:shape>
                </w:pict>
              </mc:Fallback>
            </mc:AlternateContent>
          </w:r>
        </w:p>
      </w:sdtContent>
    </w:sdt>
    <w:sdt>
      <w:sdtPr>
        <w:rPr>
          <w:sz w:val="20"/>
        </w:rPr>
        <w:id w:val="1866023298"/>
        <w:docPartObj>
          <w:docPartGallery w:val="Table of Contents"/>
          <w:docPartUnique/>
        </w:docPartObj>
      </w:sdtPr>
      <w:sdtEndPr>
        <w:rPr>
          <w:b/>
          <w:bCs/>
          <w:noProof/>
        </w:rPr>
      </w:sdtEndPr>
      <w:sdtContent>
        <w:p w14:paraId="36BFEAED" w14:textId="77777777" w:rsidR="00502667" w:rsidRDefault="00502667" w:rsidP="00CD7FB0">
          <w:pPr>
            <w:pStyle w:val="TOCHeading"/>
          </w:pPr>
        </w:p>
        <w:p w14:paraId="47F952DA" w14:textId="3D2339E3" w:rsidR="009E7E80" w:rsidRDefault="008A6DF2">
          <w:pPr>
            <w:pStyle w:val="TOC1"/>
            <w:rPr>
              <w:rFonts w:eastAsiaTheme="minorEastAsia"/>
              <w:color w:val="auto"/>
              <w:kern w:val="0"/>
              <w:szCs w:val="22"/>
              <w:lang w:val="en-AU" w:eastAsia="en-AU"/>
            </w:rPr>
          </w:pPr>
          <w:r>
            <w:fldChar w:fldCharType="begin"/>
          </w:r>
          <w:r>
            <w:instrText xml:space="preserve"> TOC \o "1-1" \h \z \u </w:instrText>
          </w:r>
          <w:r>
            <w:fldChar w:fldCharType="separate"/>
          </w:r>
          <w:hyperlink w:anchor="_Toc30830725" w:history="1">
            <w:r w:rsidR="009E7E80" w:rsidRPr="00221272">
              <w:rPr>
                <w:rStyle w:val="Hyperlink"/>
              </w:rPr>
              <w:t>Contact Information</w:t>
            </w:r>
            <w:r w:rsidR="009E7E80">
              <w:rPr>
                <w:webHidden/>
              </w:rPr>
              <w:tab/>
            </w:r>
            <w:r w:rsidR="009E7E80">
              <w:rPr>
                <w:webHidden/>
              </w:rPr>
              <w:fldChar w:fldCharType="begin"/>
            </w:r>
            <w:r w:rsidR="009E7E80">
              <w:rPr>
                <w:webHidden/>
              </w:rPr>
              <w:instrText xml:space="preserve"> PAGEREF _Toc30830725 \h </w:instrText>
            </w:r>
            <w:r w:rsidR="009E7E80">
              <w:rPr>
                <w:webHidden/>
              </w:rPr>
            </w:r>
            <w:r w:rsidR="009E7E80">
              <w:rPr>
                <w:webHidden/>
              </w:rPr>
              <w:fldChar w:fldCharType="separate"/>
            </w:r>
            <w:r w:rsidR="004B636C">
              <w:rPr>
                <w:webHidden/>
              </w:rPr>
              <w:t>1</w:t>
            </w:r>
            <w:r w:rsidR="009E7E80">
              <w:rPr>
                <w:webHidden/>
              </w:rPr>
              <w:fldChar w:fldCharType="end"/>
            </w:r>
          </w:hyperlink>
        </w:p>
        <w:p w14:paraId="42EC3E8D" w14:textId="11989751" w:rsidR="009E7E80" w:rsidRDefault="00DF2373">
          <w:pPr>
            <w:pStyle w:val="TOC1"/>
            <w:rPr>
              <w:rFonts w:eastAsiaTheme="minorEastAsia"/>
              <w:color w:val="auto"/>
              <w:kern w:val="0"/>
              <w:szCs w:val="22"/>
              <w:lang w:val="en-AU" w:eastAsia="en-AU"/>
            </w:rPr>
          </w:pPr>
          <w:hyperlink w:anchor="_Toc30830726" w:history="1">
            <w:r w:rsidR="009E7E80" w:rsidRPr="00221272">
              <w:rPr>
                <w:rStyle w:val="Hyperlink"/>
              </w:rPr>
              <w:t>About ausEE Inc.</w:t>
            </w:r>
            <w:r w:rsidR="009E7E80">
              <w:rPr>
                <w:webHidden/>
              </w:rPr>
              <w:tab/>
            </w:r>
            <w:r w:rsidR="009E7E80">
              <w:rPr>
                <w:webHidden/>
              </w:rPr>
              <w:fldChar w:fldCharType="begin"/>
            </w:r>
            <w:r w:rsidR="009E7E80">
              <w:rPr>
                <w:webHidden/>
              </w:rPr>
              <w:instrText xml:space="preserve"> PAGEREF _Toc30830726 \h </w:instrText>
            </w:r>
            <w:r w:rsidR="009E7E80">
              <w:rPr>
                <w:webHidden/>
              </w:rPr>
            </w:r>
            <w:r w:rsidR="009E7E80">
              <w:rPr>
                <w:webHidden/>
              </w:rPr>
              <w:fldChar w:fldCharType="separate"/>
            </w:r>
            <w:r w:rsidR="004B636C">
              <w:rPr>
                <w:webHidden/>
              </w:rPr>
              <w:t>2</w:t>
            </w:r>
            <w:r w:rsidR="009E7E80">
              <w:rPr>
                <w:webHidden/>
              </w:rPr>
              <w:fldChar w:fldCharType="end"/>
            </w:r>
          </w:hyperlink>
        </w:p>
        <w:p w14:paraId="7C287A64" w14:textId="4303AAF2" w:rsidR="009E7E80" w:rsidRDefault="00DF2373">
          <w:pPr>
            <w:pStyle w:val="TOC1"/>
            <w:rPr>
              <w:rFonts w:eastAsiaTheme="minorEastAsia"/>
              <w:color w:val="auto"/>
              <w:kern w:val="0"/>
              <w:szCs w:val="22"/>
              <w:lang w:val="en-AU" w:eastAsia="en-AU"/>
            </w:rPr>
          </w:pPr>
          <w:hyperlink w:anchor="_Toc30830727" w:history="1">
            <w:r w:rsidR="009E7E80" w:rsidRPr="00221272">
              <w:rPr>
                <w:rStyle w:val="Hyperlink"/>
              </w:rPr>
              <w:t>About EGIDs</w:t>
            </w:r>
            <w:r w:rsidR="009E7E80">
              <w:rPr>
                <w:webHidden/>
              </w:rPr>
              <w:tab/>
            </w:r>
            <w:r w:rsidR="009E7E80">
              <w:rPr>
                <w:webHidden/>
              </w:rPr>
              <w:fldChar w:fldCharType="begin"/>
            </w:r>
            <w:r w:rsidR="009E7E80">
              <w:rPr>
                <w:webHidden/>
              </w:rPr>
              <w:instrText xml:space="preserve"> PAGEREF _Toc30830727 \h </w:instrText>
            </w:r>
            <w:r w:rsidR="009E7E80">
              <w:rPr>
                <w:webHidden/>
              </w:rPr>
            </w:r>
            <w:r w:rsidR="009E7E80">
              <w:rPr>
                <w:webHidden/>
              </w:rPr>
              <w:fldChar w:fldCharType="separate"/>
            </w:r>
            <w:r w:rsidR="004B636C">
              <w:rPr>
                <w:webHidden/>
              </w:rPr>
              <w:t>3</w:t>
            </w:r>
            <w:r w:rsidR="009E7E80">
              <w:rPr>
                <w:webHidden/>
              </w:rPr>
              <w:fldChar w:fldCharType="end"/>
            </w:r>
          </w:hyperlink>
        </w:p>
        <w:p w14:paraId="37EC3FFF" w14:textId="6E30669A" w:rsidR="009E7E80" w:rsidRDefault="00DF2373">
          <w:pPr>
            <w:pStyle w:val="TOC1"/>
            <w:rPr>
              <w:rFonts w:eastAsiaTheme="minorEastAsia"/>
              <w:color w:val="auto"/>
              <w:kern w:val="0"/>
              <w:szCs w:val="22"/>
              <w:lang w:val="en-AU" w:eastAsia="en-AU"/>
            </w:rPr>
          </w:pPr>
          <w:hyperlink w:anchor="_Toc30830728" w:history="1">
            <w:r w:rsidR="009E7E80" w:rsidRPr="00221272">
              <w:rPr>
                <w:rStyle w:val="Hyperlink"/>
              </w:rPr>
              <w:t>Introduction</w:t>
            </w:r>
            <w:r w:rsidR="009E7E80">
              <w:rPr>
                <w:webHidden/>
              </w:rPr>
              <w:tab/>
            </w:r>
            <w:r w:rsidR="009E7E80">
              <w:rPr>
                <w:webHidden/>
              </w:rPr>
              <w:fldChar w:fldCharType="begin"/>
            </w:r>
            <w:r w:rsidR="009E7E80">
              <w:rPr>
                <w:webHidden/>
              </w:rPr>
              <w:instrText xml:space="preserve"> PAGEREF _Toc30830728 \h </w:instrText>
            </w:r>
            <w:r w:rsidR="009E7E80">
              <w:rPr>
                <w:webHidden/>
              </w:rPr>
            </w:r>
            <w:r w:rsidR="009E7E80">
              <w:rPr>
                <w:webHidden/>
              </w:rPr>
              <w:fldChar w:fldCharType="separate"/>
            </w:r>
            <w:r w:rsidR="004B636C">
              <w:rPr>
                <w:webHidden/>
              </w:rPr>
              <w:t>5</w:t>
            </w:r>
            <w:r w:rsidR="009E7E80">
              <w:rPr>
                <w:webHidden/>
              </w:rPr>
              <w:fldChar w:fldCharType="end"/>
            </w:r>
          </w:hyperlink>
        </w:p>
        <w:p w14:paraId="7D5FE23D" w14:textId="2A712931" w:rsidR="009E7E80" w:rsidRDefault="00DF2373">
          <w:pPr>
            <w:pStyle w:val="TOC1"/>
            <w:rPr>
              <w:rFonts w:eastAsiaTheme="minorEastAsia"/>
              <w:color w:val="auto"/>
              <w:kern w:val="0"/>
              <w:szCs w:val="22"/>
              <w:lang w:val="en-AU" w:eastAsia="en-AU"/>
            </w:rPr>
          </w:pPr>
          <w:hyperlink w:anchor="_Toc30830729" w:history="1">
            <w:r w:rsidR="009E7E80" w:rsidRPr="00221272">
              <w:rPr>
                <w:rStyle w:val="Hyperlink"/>
              </w:rPr>
              <w:t>Objective 1</w:t>
            </w:r>
            <w:r w:rsidR="009E7E80">
              <w:rPr>
                <w:rStyle w:val="Hyperlink"/>
              </w:rPr>
              <w:t xml:space="preserve"> – Timely Diagnosis </w:t>
            </w:r>
            <w:r w:rsidR="009E7E80">
              <w:rPr>
                <w:webHidden/>
              </w:rPr>
              <w:tab/>
            </w:r>
            <w:r w:rsidR="009E7E80">
              <w:rPr>
                <w:webHidden/>
              </w:rPr>
              <w:fldChar w:fldCharType="begin"/>
            </w:r>
            <w:r w:rsidR="009E7E80">
              <w:rPr>
                <w:webHidden/>
              </w:rPr>
              <w:instrText xml:space="preserve"> PAGEREF _Toc30830729 \h </w:instrText>
            </w:r>
            <w:r w:rsidR="009E7E80">
              <w:rPr>
                <w:webHidden/>
              </w:rPr>
            </w:r>
            <w:r w:rsidR="009E7E80">
              <w:rPr>
                <w:webHidden/>
              </w:rPr>
              <w:fldChar w:fldCharType="separate"/>
            </w:r>
            <w:r w:rsidR="004B636C">
              <w:rPr>
                <w:webHidden/>
              </w:rPr>
              <w:t>6</w:t>
            </w:r>
            <w:r w:rsidR="009E7E80">
              <w:rPr>
                <w:webHidden/>
              </w:rPr>
              <w:fldChar w:fldCharType="end"/>
            </w:r>
          </w:hyperlink>
        </w:p>
        <w:p w14:paraId="62773EBC" w14:textId="64F0CDFB" w:rsidR="009E7E80" w:rsidRDefault="00DF2373">
          <w:pPr>
            <w:pStyle w:val="TOC1"/>
            <w:rPr>
              <w:rFonts w:eastAsiaTheme="minorEastAsia"/>
              <w:color w:val="auto"/>
              <w:kern w:val="0"/>
              <w:szCs w:val="22"/>
              <w:lang w:val="en-AU" w:eastAsia="en-AU"/>
            </w:rPr>
          </w:pPr>
          <w:hyperlink w:anchor="_Toc30830730" w:history="1">
            <w:r w:rsidR="009E7E80" w:rsidRPr="00221272">
              <w:rPr>
                <w:rStyle w:val="Hyperlink"/>
              </w:rPr>
              <w:t>Objective 2</w:t>
            </w:r>
            <w:r w:rsidR="009E7E80">
              <w:rPr>
                <w:rStyle w:val="Hyperlink"/>
              </w:rPr>
              <w:t xml:space="preserve"> – Standards of Care </w:t>
            </w:r>
            <w:r w:rsidR="009E7E80">
              <w:rPr>
                <w:webHidden/>
              </w:rPr>
              <w:tab/>
            </w:r>
            <w:r w:rsidR="009E7E80">
              <w:rPr>
                <w:webHidden/>
              </w:rPr>
              <w:fldChar w:fldCharType="begin"/>
            </w:r>
            <w:r w:rsidR="009E7E80">
              <w:rPr>
                <w:webHidden/>
              </w:rPr>
              <w:instrText xml:space="preserve"> PAGEREF _Toc30830730 \h </w:instrText>
            </w:r>
            <w:r w:rsidR="009E7E80">
              <w:rPr>
                <w:webHidden/>
              </w:rPr>
            </w:r>
            <w:r w:rsidR="009E7E80">
              <w:rPr>
                <w:webHidden/>
              </w:rPr>
              <w:fldChar w:fldCharType="separate"/>
            </w:r>
            <w:r w:rsidR="004B636C">
              <w:rPr>
                <w:webHidden/>
              </w:rPr>
              <w:t>8</w:t>
            </w:r>
            <w:r w:rsidR="009E7E80">
              <w:rPr>
                <w:webHidden/>
              </w:rPr>
              <w:fldChar w:fldCharType="end"/>
            </w:r>
          </w:hyperlink>
        </w:p>
        <w:p w14:paraId="13AEA6D0" w14:textId="7AA9CBF8" w:rsidR="009E7E80" w:rsidRDefault="00DF2373">
          <w:pPr>
            <w:pStyle w:val="TOC1"/>
            <w:rPr>
              <w:rFonts w:eastAsiaTheme="minorEastAsia"/>
              <w:color w:val="auto"/>
              <w:kern w:val="0"/>
              <w:szCs w:val="22"/>
              <w:lang w:val="en-AU" w:eastAsia="en-AU"/>
            </w:rPr>
          </w:pPr>
          <w:hyperlink w:anchor="_Toc30830731" w:history="1">
            <w:r w:rsidR="009E7E80" w:rsidRPr="00221272">
              <w:rPr>
                <w:rStyle w:val="Hyperlink"/>
              </w:rPr>
              <w:t>Objective 3</w:t>
            </w:r>
            <w:r w:rsidR="009E7E80">
              <w:rPr>
                <w:rStyle w:val="Hyperlink"/>
              </w:rPr>
              <w:t xml:space="preserve"> – Evidence-based Information</w:t>
            </w:r>
            <w:r w:rsidR="009E7E80">
              <w:rPr>
                <w:webHidden/>
              </w:rPr>
              <w:tab/>
            </w:r>
            <w:r w:rsidR="009E7E80">
              <w:rPr>
                <w:webHidden/>
              </w:rPr>
              <w:fldChar w:fldCharType="begin"/>
            </w:r>
            <w:r w:rsidR="009E7E80">
              <w:rPr>
                <w:webHidden/>
              </w:rPr>
              <w:instrText xml:space="preserve"> PAGEREF _Toc30830731 \h </w:instrText>
            </w:r>
            <w:r w:rsidR="009E7E80">
              <w:rPr>
                <w:webHidden/>
              </w:rPr>
            </w:r>
            <w:r w:rsidR="009E7E80">
              <w:rPr>
                <w:webHidden/>
              </w:rPr>
              <w:fldChar w:fldCharType="separate"/>
            </w:r>
            <w:r w:rsidR="004B636C">
              <w:rPr>
                <w:webHidden/>
              </w:rPr>
              <w:t>10</w:t>
            </w:r>
            <w:r w:rsidR="009E7E80">
              <w:rPr>
                <w:webHidden/>
              </w:rPr>
              <w:fldChar w:fldCharType="end"/>
            </w:r>
          </w:hyperlink>
        </w:p>
        <w:p w14:paraId="2E423E59" w14:textId="0F2FA99A" w:rsidR="009E7E80" w:rsidRDefault="00DF2373">
          <w:pPr>
            <w:pStyle w:val="TOC1"/>
            <w:rPr>
              <w:rFonts w:eastAsiaTheme="minorEastAsia"/>
              <w:color w:val="auto"/>
              <w:kern w:val="0"/>
              <w:szCs w:val="22"/>
              <w:lang w:val="en-AU" w:eastAsia="en-AU"/>
            </w:rPr>
          </w:pPr>
          <w:hyperlink w:anchor="_Toc30830732" w:history="1">
            <w:r w:rsidR="009E7E80" w:rsidRPr="00221272">
              <w:rPr>
                <w:rStyle w:val="Hyperlink"/>
              </w:rPr>
              <w:t>Objective 4</w:t>
            </w:r>
            <w:r w:rsidR="009E7E80">
              <w:rPr>
                <w:rStyle w:val="Hyperlink"/>
              </w:rPr>
              <w:t xml:space="preserve"> – Suppot Services</w:t>
            </w:r>
            <w:r w:rsidR="009E7E80">
              <w:rPr>
                <w:webHidden/>
              </w:rPr>
              <w:tab/>
            </w:r>
            <w:r w:rsidR="009E7E80">
              <w:rPr>
                <w:webHidden/>
              </w:rPr>
              <w:fldChar w:fldCharType="begin"/>
            </w:r>
            <w:r w:rsidR="009E7E80">
              <w:rPr>
                <w:webHidden/>
              </w:rPr>
              <w:instrText xml:space="preserve"> PAGEREF _Toc30830732 \h </w:instrText>
            </w:r>
            <w:r w:rsidR="009E7E80">
              <w:rPr>
                <w:webHidden/>
              </w:rPr>
            </w:r>
            <w:r w:rsidR="009E7E80">
              <w:rPr>
                <w:webHidden/>
              </w:rPr>
              <w:fldChar w:fldCharType="separate"/>
            </w:r>
            <w:r w:rsidR="004B636C">
              <w:rPr>
                <w:webHidden/>
              </w:rPr>
              <w:t>12</w:t>
            </w:r>
            <w:r w:rsidR="009E7E80">
              <w:rPr>
                <w:webHidden/>
              </w:rPr>
              <w:fldChar w:fldCharType="end"/>
            </w:r>
          </w:hyperlink>
        </w:p>
        <w:p w14:paraId="3E5EAC6E" w14:textId="7A97943D" w:rsidR="009E7E80" w:rsidRDefault="00DF2373">
          <w:pPr>
            <w:pStyle w:val="TOC1"/>
            <w:rPr>
              <w:rFonts w:eastAsiaTheme="minorEastAsia"/>
              <w:color w:val="auto"/>
              <w:kern w:val="0"/>
              <w:szCs w:val="22"/>
              <w:lang w:val="en-AU" w:eastAsia="en-AU"/>
            </w:rPr>
          </w:pPr>
          <w:hyperlink w:anchor="_Toc30830733" w:history="1">
            <w:r w:rsidR="009E7E80" w:rsidRPr="00221272">
              <w:rPr>
                <w:rStyle w:val="Hyperlink"/>
              </w:rPr>
              <w:t>Objective 5</w:t>
            </w:r>
            <w:r w:rsidR="009E7E80">
              <w:rPr>
                <w:rStyle w:val="Hyperlink"/>
              </w:rPr>
              <w:t xml:space="preserve"> – Community Outreach </w:t>
            </w:r>
            <w:r w:rsidR="009E7E80">
              <w:rPr>
                <w:webHidden/>
              </w:rPr>
              <w:tab/>
            </w:r>
            <w:r w:rsidR="009E7E80">
              <w:rPr>
                <w:webHidden/>
              </w:rPr>
              <w:fldChar w:fldCharType="begin"/>
            </w:r>
            <w:r w:rsidR="009E7E80">
              <w:rPr>
                <w:webHidden/>
              </w:rPr>
              <w:instrText xml:space="preserve"> PAGEREF _Toc30830733 \h </w:instrText>
            </w:r>
            <w:r w:rsidR="009E7E80">
              <w:rPr>
                <w:webHidden/>
              </w:rPr>
            </w:r>
            <w:r w:rsidR="009E7E80">
              <w:rPr>
                <w:webHidden/>
              </w:rPr>
              <w:fldChar w:fldCharType="separate"/>
            </w:r>
            <w:r w:rsidR="004B636C">
              <w:rPr>
                <w:webHidden/>
              </w:rPr>
              <w:t>13</w:t>
            </w:r>
            <w:r w:rsidR="009E7E80">
              <w:rPr>
                <w:webHidden/>
              </w:rPr>
              <w:fldChar w:fldCharType="end"/>
            </w:r>
          </w:hyperlink>
        </w:p>
        <w:p w14:paraId="5109D878" w14:textId="4F91774B" w:rsidR="009E7E80" w:rsidRDefault="00DF2373">
          <w:pPr>
            <w:pStyle w:val="TOC1"/>
            <w:rPr>
              <w:rFonts w:eastAsiaTheme="minorEastAsia"/>
              <w:color w:val="auto"/>
              <w:kern w:val="0"/>
              <w:szCs w:val="22"/>
              <w:lang w:val="en-AU" w:eastAsia="en-AU"/>
            </w:rPr>
          </w:pPr>
          <w:hyperlink w:anchor="_Toc30830734" w:history="1">
            <w:r w:rsidR="009E7E80" w:rsidRPr="00221272">
              <w:rPr>
                <w:rStyle w:val="Hyperlink"/>
              </w:rPr>
              <w:t>Conclusion</w:t>
            </w:r>
            <w:r w:rsidR="009E7E80">
              <w:rPr>
                <w:webHidden/>
              </w:rPr>
              <w:tab/>
            </w:r>
            <w:r w:rsidR="009E7E80">
              <w:rPr>
                <w:webHidden/>
              </w:rPr>
              <w:fldChar w:fldCharType="begin"/>
            </w:r>
            <w:r w:rsidR="009E7E80">
              <w:rPr>
                <w:webHidden/>
              </w:rPr>
              <w:instrText xml:space="preserve"> PAGEREF _Toc30830734 \h </w:instrText>
            </w:r>
            <w:r w:rsidR="009E7E80">
              <w:rPr>
                <w:webHidden/>
              </w:rPr>
            </w:r>
            <w:r w:rsidR="009E7E80">
              <w:rPr>
                <w:webHidden/>
              </w:rPr>
              <w:fldChar w:fldCharType="separate"/>
            </w:r>
            <w:r w:rsidR="004B636C">
              <w:rPr>
                <w:webHidden/>
              </w:rPr>
              <w:t>14</w:t>
            </w:r>
            <w:r w:rsidR="009E7E80">
              <w:rPr>
                <w:webHidden/>
              </w:rPr>
              <w:fldChar w:fldCharType="end"/>
            </w:r>
          </w:hyperlink>
        </w:p>
        <w:p w14:paraId="40179BF1" w14:textId="71E70D62" w:rsidR="00502667" w:rsidRPr="007D5602" w:rsidRDefault="008A6DF2" w:rsidP="00CD7FB0">
          <w:pPr>
            <w:rPr>
              <w:b/>
              <w:bCs/>
              <w:noProof/>
            </w:rPr>
            <w:sectPr w:rsidR="00502667" w:rsidRPr="007D5602" w:rsidSect="00C149E8">
              <w:headerReference w:type="default" r:id="rId19"/>
              <w:footerReference w:type="first" r:id="rId20"/>
              <w:pgSz w:w="12240" w:h="15840" w:code="1"/>
              <w:pgMar w:top="720" w:right="1440" w:bottom="1440" w:left="1440" w:header="1080" w:footer="720" w:gutter="0"/>
              <w:pgNumType w:start="0"/>
              <w:cols w:space="720"/>
              <w:titlePg/>
              <w:docGrid w:linePitch="360"/>
            </w:sectPr>
          </w:pPr>
          <w:r>
            <w:fldChar w:fldCharType="end"/>
          </w:r>
        </w:p>
      </w:sdtContent>
    </w:sdt>
    <w:p w14:paraId="0F967027" w14:textId="77777777" w:rsidR="00666217" w:rsidRPr="00CD7FB0" w:rsidRDefault="00666217" w:rsidP="00666217">
      <w:pPr>
        <w:pStyle w:val="Heading1"/>
        <w:rPr>
          <w:color w:val="auto"/>
        </w:rPr>
      </w:pPr>
      <w:bookmarkStart w:id="6" w:name="_Toc30830725"/>
      <w:r w:rsidRPr="00CD7FB0">
        <w:rPr>
          <w:color w:val="auto"/>
        </w:rPr>
        <w:lastRenderedPageBreak/>
        <w:t>Contact Information</w:t>
      </w:r>
      <w:bookmarkEnd w:id="6"/>
    </w:p>
    <w:p w14:paraId="0CEC95D4" w14:textId="77777777" w:rsidR="00E93C86" w:rsidRDefault="00E93C86" w:rsidP="00666217">
      <w:pPr>
        <w:pStyle w:val="CompanyInfo"/>
        <w:rPr>
          <w:color w:val="auto"/>
          <w:sz w:val="24"/>
          <w:szCs w:val="24"/>
        </w:rPr>
      </w:pPr>
      <w:r>
        <w:rPr>
          <w:color w:val="auto"/>
          <w:sz w:val="24"/>
          <w:szCs w:val="24"/>
        </w:rPr>
        <w:t>Sarah Gray</w:t>
      </w:r>
    </w:p>
    <w:p w14:paraId="75C62E51" w14:textId="77777777" w:rsidR="00E93C86" w:rsidRDefault="00E93C86" w:rsidP="00666217">
      <w:pPr>
        <w:pStyle w:val="CompanyInfo"/>
        <w:rPr>
          <w:color w:val="auto"/>
          <w:sz w:val="24"/>
          <w:szCs w:val="24"/>
        </w:rPr>
      </w:pPr>
      <w:r>
        <w:rPr>
          <w:color w:val="auto"/>
          <w:sz w:val="24"/>
          <w:szCs w:val="24"/>
        </w:rPr>
        <w:t>President</w:t>
      </w:r>
    </w:p>
    <w:p w14:paraId="048F7E3E" w14:textId="4F25BCBB" w:rsidR="00666217" w:rsidRPr="00CD7FB0" w:rsidRDefault="00666217" w:rsidP="00666217">
      <w:pPr>
        <w:pStyle w:val="CompanyInfo"/>
        <w:rPr>
          <w:color w:val="auto"/>
          <w:sz w:val="24"/>
          <w:szCs w:val="24"/>
        </w:rPr>
      </w:pPr>
      <w:r w:rsidRPr="00CD7FB0">
        <w:rPr>
          <w:color w:val="auto"/>
          <w:sz w:val="24"/>
          <w:szCs w:val="24"/>
        </w:rPr>
        <w:t>ausEE Inc.</w:t>
      </w:r>
    </w:p>
    <w:p w14:paraId="0FEAD263" w14:textId="77777777" w:rsidR="00666217" w:rsidRPr="00CD7FB0" w:rsidRDefault="00666217" w:rsidP="00666217">
      <w:pPr>
        <w:pStyle w:val="CompanyInfo"/>
        <w:rPr>
          <w:color w:val="auto"/>
          <w:sz w:val="24"/>
          <w:szCs w:val="24"/>
        </w:rPr>
      </w:pPr>
      <w:r w:rsidRPr="00CD7FB0">
        <w:rPr>
          <w:color w:val="auto"/>
          <w:sz w:val="24"/>
          <w:szCs w:val="24"/>
        </w:rPr>
        <w:t>PO Box 9303</w:t>
      </w:r>
    </w:p>
    <w:p w14:paraId="0C7BD98C" w14:textId="279C8817" w:rsidR="00666217" w:rsidRDefault="00666217" w:rsidP="00666217">
      <w:pPr>
        <w:pStyle w:val="CompanyInfo"/>
        <w:rPr>
          <w:color w:val="auto"/>
          <w:sz w:val="24"/>
          <w:szCs w:val="24"/>
        </w:rPr>
      </w:pPr>
      <w:r w:rsidRPr="00CD7FB0">
        <w:rPr>
          <w:color w:val="auto"/>
          <w:sz w:val="24"/>
          <w:szCs w:val="24"/>
        </w:rPr>
        <w:t>Pacific Paradise Qld 4564</w:t>
      </w:r>
    </w:p>
    <w:p w14:paraId="3B1DAC7A" w14:textId="77777777" w:rsidR="00D9482A" w:rsidRPr="00CD7FB0" w:rsidRDefault="00D9482A" w:rsidP="00666217">
      <w:pPr>
        <w:pStyle w:val="CompanyInfo"/>
        <w:rPr>
          <w:color w:val="auto"/>
          <w:sz w:val="24"/>
          <w:szCs w:val="24"/>
        </w:rPr>
      </w:pPr>
    </w:p>
    <w:p w14:paraId="0655970C" w14:textId="77777777" w:rsidR="00666217" w:rsidRPr="00CD7FB0" w:rsidRDefault="00666217" w:rsidP="00666217">
      <w:pPr>
        <w:pStyle w:val="CompanyInfo"/>
        <w:rPr>
          <w:color w:val="auto"/>
          <w:sz w:val="24"/>
          <w:szCs w:val="24"/>
        </w:rPr>
      </w:pPr>
      <w:r w:rsidRPr="00CD7FB0">
        <w:rPr>
          <w:rStyle w:val="Strong"/>
          <w:color w:val="auto"/>
          <w:sz w:val="24"/>
          <w:szCs w:val="24"/>
        </w:rPr>
        <w:t xml:space="preserve">Tel </w:t>
      </w:r>
      <w:r w:rsidRPr="00CD7FB0">
        <w:rPr>
          <w:color w:val="auto"/>
          <w:sz w:val="24"/>
          <w:szCs w:val="24"/>
        </w:rPr>
        <w:t>1300 923 043</w:t>
      </w:r>
    </w:p>
    <w:p w14:paraId="1C9049E7" w14:textId="30F8E25F" w:rsidR="00666217" w:rsidRDefault="00666217" w:rsidP="00666217">
      <w:pPr>
        <w:pStyle w:val="CompanyInfo"/>
        <w:rPr>
          <w:rStyle w:val="Strong"/>
          <w:b w:val="0"/>
          <w:color w:val="auto"/>
          <w:sz w:val="24"/>
          <w:szCs w:val="24"/>
        </w:rPr>
      </w:pPr>
      <w:r w:rsidRPr="00CD7FB0">
        <w:rPr>
          <w:rStyle w:val="Strong"/>
          <w:color w:val="auto"/>
          <w:sz w:val="24"/>
          <w:szCs w:val="24"/>
        </w:rPr>
        <w:t>Email</w:t>
      </w:r>
      <w:r w:rsidRPr="00CD7FB0">
        <w:rPr>
          <w:rStyle w:val="Strong"/>
          <w:b w:val="0"/>
          <w:color w:val="auto"/>
          <w:sz w:val="24"/>
          <w:szCs w:val="24"/>
        </w:rPr>
        <w:t xml:space="preserve"> </w:t>
      </w:r>
      <w:hyperlink r:id="rId21" w:history="1">
        <w:r w:rsidR="00E52C7F" w:rsidRPr="00373D2D">
          <w:rPr>
            <w:rStyle w:val="Hyperlink"/>
            <w:sz w:val="24"/>
            <w:szCs w:val="24"/>
          </w:rPr>
          <w:t>admin@ausee.org</w:t>
        </w:r>
      </w:hyperlink>
    </w:p>
    <w:p w14:paraId="7BA3A240" w14:textId="77777777" w:rsidR="00D9482A" w:rsidRDefault="00D9482A" w:rsidP="00666217">
      <w:pPr>
        <w:pStyle w:val="CompanyInfo"/>
        <w:rPr>
          <w:b/>
          <w:color w:val="auto"/>
          <w:sz w:val="24"/>
          <w:szCs w:val="24"/>
        </w:rPr>
      </w:pPr>
    </w:p>
    <w:p w14:paraId="2DAE0C9C" w14:textId="3C0A8BD8" w:rsidR="00283B43" w:rsidRDefault="00283B43" w:rsidP="00666217">
      <w:pPr>
        <w:pStyle w:val="CompanyInfo"/>
        <w:rPr>
          <w:color w:val="auto"/>
          <w:sz w:val="24"/>
          <w:szCs w:val="24"/>
        </w:rPr>
      </w:pPr>
      <w:r w:rsidRPr="00283B43">
        <w:rPr>
          <w:b/>
          <w:color w:val="auto"/>
          <w:sz w:val="24"/>
          <w:szCs w:val="24"/>
        </w:rPr>
        <w:t xml:space="preserve">ABN </w:t>
      </w:r>
      <w:r w:rsidRPr="00283B43">
        <w:rPr>
          <w:color w:val="auto"/>
          <w:sz w:val="24"/>
          <w:szCs w:val="24"/>
        </w:rPr>
        <w:t>30 563 569 016</w:t>
      </w:r>
    </w:p>
    <w:p w14:paraId="3B295765" w14:textId="77777777" w:rsidR="00D9482A" w:rsidRPr="00283B43" w:rsidRDefault="00D9482A" w:rsidP="00666217">
      <w:pPr>
        <w:pStyle w:val="CompanyInfo"/>
        <w:rPr>
          <w:color w:val="auto"/>
          <w:sz w:val="24"/>
          <w:szCs w:val="24"/>
        </w:rPr>
      </w:pPr>
    </w:p>
    <w:p w14:paraId="7A96596E" w14:textId="77777777" w:rsidR="00F310DD" w:rsidRPr="00F310DD" w:rsidRDefault="00F310DD" w:rsidP="00666217">
      <w:pPr>
        <w:pStyle w:val="CompanyInfo"/>
        <w:rPr>
          <w:rStyle w:val="Hyperlink"/>
          <w:b/>
          <w:color w:val="auto"/>
          <w:sz w:val="24"/>
          <w:szCs w:val="24"/>
          <w:u w:val="none"/>
        </w:rPr>
      </w:pPr>
      <w:r w:rsidRPr="00F310DD">
        <w:rPr>
          <w:rStyle w:val="Hyperlink"/>
          <w:b/>
          <w:color w:val="auto"/>
          <w:sz w:val="24"/>
          <w:szCs w:val="24"/>
          <w:u w:val="none"/>
        </w:rPr>
        <w:t>Websites</w:t>
      </w:r>
    </w:p>
    <w:p w14:paraId="666FF2A4" w14:textId="05284A16" w:rsidR="00666217" w:rsidRPr="00F310DD" w:rsidRDefault="00DF2373" w:rsidP="00666217">
      <w:pPr>
        <w:pStyle w:val="CompanyInfo"/>
        <w:rPr>
          <w:color w:val="auto"/>
          <w:sz w:val="24"/>
          <w:szCs w:val="24"/>
        </w:rPr>
      </w:pPr>
      <w:hyperlink r:id="rId22" w:history="1">
        <w:r w:rsidR="00D9482A" w:rsidRPr="00835621">
          <w:rPr>
            <w:rStyle w:val="Hyperlink"/>
            <w:sz w:val="24"/>
            <w:szCs w:val="24"/>
          </w:rPr>
          <w:t>www.ausee.org</w:t>
        </w:r>
      </w:hyperlink>
      <w:r w:rsidR="00D9482A">
        <w:rPr>
          <w:rStyle w:val="Hyperlink"/>
          <w:color w:val="auto"/>
          <w:sz w:val="24"/>
          <w:szCs w:val="24"/>
          <w:u w:val="none"/>
        </w:rPr>
        <w:t xml:space="preserve">   </w:t>
      </w:r>
    </w:p>
    <w:p w14:paraId="6FBC619B" w14:textId="0FEF5952" w:rsidR="00666217" w:rsidRPr="00F310DD" w:rsidRDefault="00DF2373" w:rsidP="00666217">
      <w:pPr>
        <w:pStyle w:val="CompanyInfo"/>
        <w:rPr>
          <w:color w:val="auto"/>
          <w:sz w:val="24"/>
          <w:szCs w:val="24"/>
        </w:rPr>
      </w:pPr>
      <w:hyperlink r:id="rId23" w:history="1">
        <w:r w:rsidR="00D9482A" w:rsidRPr="00835621">
          <w:rPr>
            <w:rStyle w:val="Hyperlink"/>
            <w:sz w:val="24"/>
            <w:szCs w:val="24"/>
          </w:rPr>
          <w:t>www.eosaware.com</w:t>
        </w:r>
      </w:hyperlink>
      <w:r w:rsidR="00D9482A">
        <w:rPr>
          <w:rStyle w:val="Hyperlink"/>
          <w:color w:val="auto"/>
          <w:sz w:val="24"/>
          <w:szCs w:val="24"/>
          <w:u w:val="none"/>
        </w:rPr>
        <w:t xml:space="preserve">    </w:t>
      </w:r>
    </w:p>
    <w:p w14:paraId="2DD40F61" w14:textId="0B9B0033" w:rsidR="00E800DC" w:rsidRPr="00E800DC" w:rsidRDefault="00E800DC" w:rsidP="00666217">
      <w:pPr>
        <w:pStyle w:val="CompanyInfo"/>
        <w:rPr>
          <w:rStyle w:val="Hyperlink"/>
          <w:sz w:val="24"/>
          <w:szCs w:val="24"/>
        </w:rPr>
      </w:pPr>
      <w:r>
        <w:rPr>
          <w:rStyle w:val="Hyperlink"/>
          <w:color w:val="auto"/>
          <w:sz w:val="24"/>
          <w:szCs w:val="24"/>
          <w:u w:val="none"/>
        </w:rPr>
        <w:fldChar w:fldCharType="begin"/>
      </w:r>
      <w:r>
        <w:rPr>
          <w:rStyle w:val="Hyperlink"/>
          <w:color w:val="auto"/>
          <w:sz w:val="24"/>
          <w:szCs w:val="24"/>
          <w:u w:val="none"/>
        </w:rPr>
        <w:instrText xml:space="preserve"> HYPERLINK "http://www.feedingtubeaware.com.au/" </w:instrText>
      </w:r>
      <w:r>
        <w:rPr>
          <w:rStyle w:val="Hyperlink"/>
          <w:color w:val="auto"/>
          <w:sz w:val="24"/>
          <w:szCs w:val="24"/>
          <w:u w:val="none"/>
        </w:rPr>
        <w:fldChar w:fldCharType="separate"/>
      </w:r>
      <w:r w:rsidRPr="00E800DC">
        <w:rPr>
          <w:rStyle w:val="Hyperlink"/>
          <w:sz w:val="24"/>
          <w:szCs w:val="24"/>
        </w:rPr>
        <w:t>www.feedingtubeaware.com.au</w:t>
      </w:r>
    </w:p>
    <w:p w14:paraId="28F963F5" w14:textId="1B583936" w:rsidR="00666217" w:rsidRDefault="00E800DC" w:rsidP="00666217">
      <w:pPr>
        <w:pStyle w:val="CompanyInfo"/>
        <w:rPr>
          <w:color w:val="auto"/>
          <w:sz w:val="24"/>
          <w:szCs w:val="24"/>
        </w:rPr>
      </w:pPr>
      <w:r>
        <w:rPr>
          <w:rStyle w:val="Hyperlink"/>
          <w:color w:val="auto"/>
          <w:sz w:val="24"/>
          <w:szCs w:val="24"/>
          <w:u w:val="none"/>
        </w:rPr>
        <w:fldChar w:fldCharType="end"/>
      </w:r>
      <w:r>
        <w:rPr>
          <w:rStyle w:val="Hyperlink"/>
          <w:color w:val="auto"/>
          <w:sz w:val="24"/>
          <w:szCs w:val="24"/>
          <w:u w:val="none"/>
        </w:rPr>
        <w:t xml:space="preserve"> </w:t>
      </w:r>
      <w:r w:rsidR="00D9482A">
        <w:rPr>
          <w:rStyle w:val="Hyperlink"/>
          <w:color w:val="auto"/>
          <w:sz w:val="24"/>
          <w:szCs w:val="24"/>
          <w:u w:val="none"/>
        </w:rPr>
        <w:t xml:space="preserve">  </w:t>
      </w:r>
      <w:r w:rsidR="00666217" w:rsidRPr="00F310DD">
        <w:rPr>
          <w:color w:val="auto"/>
          <w:sz w:val="24"/>
          <w:szCs w:val="24"/>
        </w:rPr>
        <w:t xml:space="preserve"> </w:t>
      </w:r>
    </w:p>
    <w:p w14:paraId="6F61ABCC" w14:textId="3E2F81EA" w:rsidR="00D63E05" w:rsidRPr="008A6578" w:rsidRDefault="00C42A15" w:rsidP="00666217">
      <w:pPr>
        <w:pStyle w:val="CompanyInfo"/>
        <w:rPr>
          <w:b/>
          <w:bCs/>
          <w:color w:val="auto"/>
          <w:sz w:val="24"/>
          <w:szCs w:val="24"/>
        </w:rPr>
      </w:pPr>
      <w:r w:rsidRPr="008A6578">
        <w:rPr>
          <w:b/>
          <w:bCs/>
          <w:color w:val="auto"/>
          <w:sz w:val="24"/>
          <w:szCs w:val="24"/>
        </w:rPr>
        <w:t>Social Media</w:t>
      </w:r>
    </w:p>
    <w:p w14:paraId="46E8A7FA" w14:textId="28E6F699" w:rsidR="00352FCA" w:rsidRPr="00352FCA" w:rsidRDefault="00352FCA" w:rsidP="00352FCA">
      <w:pPr>
        <w:pStyle w:val="CompanyInfo"/>
        <w:rPr>
          <w:color w:val="auto"/>
          <w:sz w:val="24"/>
          <w:szCs w:val="24"/>
        </w:rPr>
      </w:pPr>
      <w:r w:rsidRPr="00352FCA">
        <w:rPr>
          <w:color w:val="auto"/>
          <w:sz w:val="24"/>
          <w:szCs w:val="24"/>
        </w:rPr>
        <w:t xml:space="preserve">Facebook: </w:t>
      </w:r>
      <w:hyperlink r:id="rId24" w:history="1">
        <w:r w:rsidR="00366830" w:rsidRPr="00366830">
          <w:rPr>
            <w:rStyle w:val="Hyperlink"/>
            <w:sz w:val="24"/>
            <w:szCs w:val="24"/>
          </w:rPr>
          <w:t>@ausEEInc</w:t>
        </w:r>
      </w:hyperlink>
      <w:r w:rsidR="00366830">
        <w:rPr>
          <w:color w:val="auto"/>
          <w:sz w:val="24"/>
          <w:szCs w:val="24"/>
        </w:rPr>
        <w:t xml:space="preserve"> </w:t>
      </w:r>
    </w:p>
    <w:p w14:paraId="6680ED7F" w14:textId="0AE273F5" w:rsidR="00352FCA" w:rsidRPr="00352FCA" w:rsidRDefault="00352FCA" w:rsidP="00352FCA">
      <w:pPr>
        <w:pStyle w:val="CompanyInfo"/>
        <w:rPr>
          <w:color w:val="auto"/>
          <w:sz w:val="24"/>
          <w:szCs w:val="24"/>
        </w:rPr>
      </w:pPr>
      <w:r w:rsidRPr="00352FCA">
        <w:rPr>
          <w:color w:val="auto"/>
          <w:sz w:val="24"/>
          <w:szCs w:val="24"/>
        </w:rPr>
        <w:t xml:space="preserve">Twitter: </w:t>
      </w:r>
      <w:hyperlink r:id="rId25" w:history="1">
        <w:r w:rsidR="00366830" w:rsidRPr="00366830">
          <w:rPr>
            <w:rStyle w:val="Hyperlink"/>
            <w:sz w:val="24"/>
            <w:szCs w:val="24"/>
          </w:rPr>
          <w:t>@auseeorg</w:t>
        </w:r>
      </w:hyperlink>
      <w:r w:rsidR="00366830">
        <w:rPr>
          <w:color w:val="auto"/>
          <w:sz w:val="24"/>
          <w:szCs w:val="24"/>
        </w:rPr>
        <w:t xml:space="preserve"> </w:t>
      </w:r>
    </w:p>
    <w:p w14:paraId="14BDE4DD" w14:textId="3DA35FDA" w:rsidR="00D63E05" w:rsidRDefault="00352FCA" w:rsidP="00352FCA">
      <w:pPr>
        <w:pStyle w:val="CompanyInfo"/>
        <w:rPr>
          <w:color w:val="auto"/>
          <w:sz w:val="24"/>
          <w:szCs w:val="24"/>
        </w:rPr>
      </w:pPr>
      <w:r w:rsidRPr="00352FCA">
        <w:rPr>
          <w:color w:val="auto"/>
          <w:sz w:val="24"/>
          <w:szCs w:val="24"/>
        </w:rPr>
        <w:t xml:space="preserve">Instagram: </w:t>
      </w:r>
      <w:hyperlink r:id="rId26" w:history="1">
        <w:r w:rsidR="00366830" w:rsidRPr="00366830">
          <w:rPr>
            <w:rStyle w:val="Hyperlink"/>
            <w:sz w:val="24"/>
            <w:szCs w:val="24"/>
          </w:rPr>
          <w:t>@ausee_inc</w:t>
        </w:r>
      </w:hyperlink>
      <w:r w:rsidR="00366830">
        <w:rPr>
          <w:color w:val="auto"/>
          <w:sz w:val="24"/>
          <w:szCs w:val="24"/>
        </w:rPr>
        <w:t xml:space="preserve"> </w:t>
      </w:r>
    </w:p>
    <w:p w14:paraId="3FA10DB1" w14:textId="1F4D5518" w:rsidR="00A0251B" w:rsidRDefault="00A0251B" w:rsidP="00352FCA">
      <w:pPr>
        <w:pStyle w:val="CompanyInfo"/>
        <w:rPr>
          <w:color w:val="auto"/>
          <w:sz w:val="24"/>
          <w:szCs w:val="24"/>
        </w:rPr>
      </w:pPr>
      <w:r>
        <w:rPr>
          <w:color w:val="auto"/>
          <w:sz w:val="24"/>
          <w:szCs w:val="24"/>
        </w:rPr>
        <w:t xml:space="preserve">LinkedIn: </w:t>
      </w:r>
      <w:hyperlink r:id="rId27" w:history="1">
        <w:r w:rsidR="00DA63C3" w:rsidRPr="00DA63C3">
          <w:rPr>
            <w:rStyle w:val="Hyperlink"/>
            <w:sz w:val="24"/>
            <w:szCs w:val="24"/>
          </w:rPr>
          <w:t>@ausee-inc</w:t>
        </w:r>
      </w:hyperlink>
      <w:r w:rsidR="00DA63C3">
        <w:rPr>
          <w:color w:val="auto"/>
          <w:sz w:val="24"/>
          <w:szCs w:val="24"/>
        </w:rPr>
        <w:t xml:space="preserve"> </w:t>
      </w:r>
    </w:p>
    <w:p w14:paraId="50311377" w14:textId="5B85B0DC" w:rsidR="00752208" w:rsidRDefault="00752208" w:rsidP="00666217">
      <w:pPr>
        <w:pStyle w:val="CompanyInfo"/>
        <w:rPr>
          <w:color w:val="auto"/>
          <w:sz w:val="24"/>
          <w:szCs w:val="24"/>
        </w:rPr>
      </w:pPr>
    </w:p>
    <w:p w14:paraId="574E95E8" w14:textId="77777777" w:rsidR="006E1017" w:rsidRPr="00D63E05" w:rsidRDefault="006E1017" w:rsidP="00D63E05">
      <w:bookmarkStart w:id="7" w:name="_Hlk961465"/>
    </w:p>
    <w:p w14:paraId="0DA88701" w14:textId="332DC8F3" w:rsidR="00D63E05" w:rsidRPr="00614E97" w:rsidRDefault="00566D4E" w:rsidP="00552E33">
      <w:pPr>
        <w:pStyle w:val="Heading1"/>
        <w:jc w:val="both"/>
        <w:rPr>
          <w:color w:val="auto"/>
        </w:rPr>
      </w:pPr>
      <w:bookmarkStart w:id="8" w:name="_Toc30830726"/>
      <w:bookmarkEnd w:id="7"/>
      <w:r w:rsidRPr="00614E97">
        <w:rPr>
          <w:color w:val="auto"/>
        </w:rPr>
        <w:lastRenderedPageBreak/>
        <w:t xml:space="preserve">About </w:t>
      </w:r>
      <w:r w:rsidR="00E3603A" w:rsidRPr="00614E97">
        <w:rPr>
          <w:color w:val="auto"/>
        </w:rPr>
        <w:t>ausEE</w:t>
      </w:r>
      <w:r w:rsidR="00D63E05" w:rsidRPr="00614E97">
        <w:rPr>
          <w:color w:val="auto"/>
        </w:rPr>
        <w:t xml:space="preserve"> Inc.</w:t>
      </w:r>
      <w:bookmarkEnd w:id="8"/>
    </w:p>
    <w:p w14:paraId="66ACE01C" w14:textId="77777777" w:rsidR="00072021" w:rsidRPr="00072021" w:rsidRDefault="00072021" w:rsidP="00072021">
      <w:pPr>
        <w:spacing w:before="0" w:after="0" w:line="240" w:lineRule="auto"/>
        <w:jc w:val="both"/>
        <w:rPr>
          <w:rFonts w:cstheme="minorHAnsi"/>
          <w:color w:val="auto"/>
          <w:sz w:val="24"/>
          <w:szCs w:val="24"/>
        </w:rPr>
      </w:pPr>
      <w:r w:rsidRPr="00072021">
        <w:rPr>
          <w:rFonts w:cstheme="minorHAnsi"/>
          <w:color w:val="auto"/>
          <w:sz w:val="24"/>
          <w:szCs w:val="24"/>
        </w:rPr>
        <w:t xml:space="preserve">Founded in 2009, ausEE Inc. is Australia’s peak national support and patient advocacy organisation representing the estimated 12,000 Australians living with an Eosinophilic Gastrointestinal Disorder (EGID) including Eosinophilic Oesophagitis (EoE). </w:t>
      </w:r>
    </w:p>
    <w:p w14:paraId="111E6EB6" w14:textId="77777777" w:rsidR="00072021" w:rsidRPr="00072021" w:rsidRDefault="00072021" w:rsidP="00072021">
      <w:pPr>
        <w:spacing w:before="0" w:after="0" w:line="240" w:lineRule="auto"/>
        <w:jc w:val="both"/>
        <w:rPr>
          <w:rFonts w:cstheme="minorHAnsi"/>
          <w:color w:val="auto"/>
          <w:sz w:val="24"/>
          <w:szCs w:val="24"/>
        </w:rPr>
      </w:pPr>
    </w:p>
    <w:p w14:paraId="5789FC1B" w14:textId="5EC3AF27" w:rsidR="00072021" w:rsidRDefault="00072021" w:rsidP="00072021">
      <w:pPr>
        <w:spacing w:before="0" w:after="0" w:line="240" w:lineRule="auto"/>
        <w:jc w:val="both"/>
        <w:rPr>
          <w:rFonts w:cstheme="minorHAnsi"/>
          <w:color w:val="auto"/>
          <w:sz w:val="24"/>
          <w:szCs w:val="24"/>
        </w:rPr>
      </w:pPr>
      <w:r w:rsidRPr="00072021">
        <w:rPr>
          <w:rFonts w:cstheme="minorHAnsi"/>
          <w:color w:val="auto"/>
          <w:sz w:val="24"/>
          <w:szCs w:val="24"/>
        </w:rPr>
        <w:t>We are a registered Australia wide charity whose mission is to improve the lives of those affected by EGIDs by providing support, evidence-based information, resources and campaigning to raise awareness and funds for further research in Australia.</w:t>
      </w:r>
    </w:p>
    <w:p w14:paraId="14236275" w14:textId="2C84DC93" w:rsidR="009E6961" w:rsidRDefault="009E6961" w:rsidP="00072021">
      <w:pPr>
        <w:spacing w:before="0" w:after="0" w:line="240" w:lineRule="auto"/>
        <w:jc w:val="both"/>
        <w:rPr>
          <w:rFonts w:cstheme="minorHAnsi"/>
          <w:color w:val="auto"/>
          <w:sz w:val="24"/>
          <w:szCs w:val="24"/>
        </w:rPr>
      </w:pPr>
    </w:p>
    <w:p w14:paraId="000EC47B" w14:textId="4E0BA4E7" w:rsidR="009E6961" w:rsidRDefault="009E6961" w:rsidP="009E6961">
      <w:pPr>
        <w:spacing w:after="0" w:line="240" w:lineRule="auto"/>
        <w:jc w:val="both"/>
        <w:rPr>
          <w:rFonts w:cstheme="minorHAnsi"/>
          <w:color w:val="auto"/>
          <w:sz w:val="24"/>
          <w:szCs w:val="24"/>
        </w:rPr>
      </w:pPr>
      <w:r w:rsidRPr="00951B1A">
        <w:rPr>
          <w:rFonts w:cstheme="minorHAnsi"/>
          <w:color w:val="auto"/>
          <w:sz w:val="24"/>
          <w:szCs w:val="24"/>
        </w:rPr>
        <w:t>ausEE Inc. is solely a volunteer-based organisation whose outreach extends to individuals, families, hospitals, health professionals</w:t>
      </w:r>
      <w:r w:rsidR="001836E6">
        <w:rPr>
          <w:rFonts w:cstheme="minorHAnsi"/>
          <w:color w:val="auto"/>
          <w:sz w:val="24"/>
          <w:szCs w:val="24"/>
        </w:rPr>
        <w:t>, peak bodies</w:t>
      </w:r>
      <w:r w:rsidRPr="00951B1A">
        <w:rPr>
          <w:rFonts w:cstheme="minorHAnsi"/>
          <w:color w:val="auto"/>
          <w:sz w:val="24"/>
          <w:szCs w:val="24"/>
        </w:rPr>
        <w:t xml:space="preserve"> and all Australians living with</w:t>
      </w:r>
      <w:r>
        <w:rPr>
          <w:rFonts w:cstheme="minorHAnsi"/>
          <w:color w:val="auto"/>
          <w:sz w:val="24"/>
          <w:szCs w:val="24"/>
        </w:rPr>
        <w:t xml:space="preserve"> an</w:t>
      </w:r>
      <w:r w:rsidRPr="00951B1A">
        <w:rPr>
          <w:rFonts w:cstheme="minorHAnsi"/>
          <w:color w:val="auto"/>
          <w:sz w:val="24"/>
          <w:szCs w:val="24"/>
        </w:rPr>
        <w:t xml:space="preserve"> EGID.</w:t>
      </w:r>
    </w:p>
    <w:p w14:paraId="1E733AA4" w14:textId="2AC87B01" w:rsidR="00E37953" w:rsidRDefault="00E37953" w:rsidP="00072021">
      <w:pPr>
        <w:spacing w:before="0" w:after="0" w:line="240" w:lineRule="auto"/>
        <w:jc w:val="both"/>
        <w:rPr>
          <w:rFonts w:cstheme="minorHAnsi"/>
          <w:color w:val="auto"/>
          <w:sz w:val="24"/>
          <w:szCs w:val="24"/>
        </w:rPr>
      </w:pPr>
    </w:p>
    <w:p w14:paraId="5639C7DA" w14:textId="4C91C6AC" w:rsidR="00E37953" w:rsidRDefault="00E37953" w:rsidP="00E37953">
      <w:pPr>
        <w:spacing w:before="0" w:after="0" w:line="240" w:lineRule="auto"/>
        <w:jc w:val="both"/>
        <w:rPr>
          <w:rFonts w:cstheme="minorHAnsi"/>
          <w:color w:val="auto"/>
          <w:sz w:val="24"/>
          <w:szCs w:val="24"/>
        </w:rPr>
      </w:pPr>
      <w:r>
        <w:rPr>
          <w:rFonts w:cstheme="minorHAnsi"/>
          <w:color w:val="auto"/>
          <w:sz w:val="24"/>
          <w:szCs w:val="24"/>
        </w:rPr>
        <w:t>I</w:t>
      </w:r>
      <w:r w:rsidRPr="00563E2F">
        <w:rPr>
          <w:rFonts w:cstheme="minorHAnsi"/>
          <w:color w:val="auto"/>
          <w:sz w:val="24"/>
          <w:szCs w:val="24"/>
        </w:rPr>
        <w:t>nternationally</w:t>
      </w:r>
      <w:r w:rsidR="000027B5">
        <w:rPr>
          <w:rFonts w:cstheme="minorHAnsi"/>
          <w:color w:val="auto"/>
          <w:sz w:val="24"/>
          <w:szCs w:val="24"/>
        </w:rPr>
        <w:t>, ausEE is</w:t>
      </w:r>
      <w:r w:rsidRPr="00563E2F">
        <w:rPr>
          <w:rFonts w:cstheme="minorHAnsi"/>
          <w:color w:val="auto"/>
          <w:sz w:val="24"/>
          <w:szCs w:val="24"/>
        </w:rPr>
        <w:t xml:space="preserve"> a representative on the C-EOS (Coalition of Eosinophil Patient Advocacy Groups) and </w:t>
      </w:r>
      <w:r w:rsidRPr="00F07EF3">
        <w:rPr>
          <w:rFonts w:cstheme="minorHAnsi"/>
          <w:color w:val="auto"/>
          <w:sz w:val="24"/>
          <w:szCs w:val="24"/>
        </w:rPr>
        <w:t>a patient advocacy group</w:t>
      </w:r>
      <w:r>
        <w:rPr>
          <w:rFonts w:cstheme="minorHAnsi"/>
          <w:color w:val="auto"/>
          <w:sz w:val="24"/>
          <w:szCs w:val="24"/>
        </w:rPr>
        <w:t xml:space="preserve"> of the </w:t>
      </w:r>
      <w:bookmarkStart w:id="9" w:name="_Hlk1077704"/>
      <w:r w:rsidRPr="00F07EF3">
        <w:rPr>
          <w:rFonts w:cstheme="minorHAnsi"/>
          <w:color w:val="auto"/>
          <w:sz w:val="24"/>
          <w:szCs w:val="24"/>
        </w:rPr>
        <w:t xml:space="preserve">Rare Diseases Clinical Research Network (RDCRN) Consortium of Eosinophilic Gastrointestinal Disease Researchers (CEGIR). </w:t>
      </w:r>
    </w:p>
    <w:bookmarkEnd w:id="9"/>
    <w:p w14:paraId="6399764B" w14:textId="77777777" w:rsidR="00072021" w:rsidRPr="00072021" w:rsidRDefault="00072021" w:rsidP="00072021">
      <w:pPr>
        <w:spacing w:before="0" w:after="0" w:line="240" w:lineRule="auto"/>
        <w:jc w:val="both"/>
        <w:rPr>
          <w:rFonts w:cstheme="minorHAnsi"/>
          <w:color w:val="auto"/>
          <w:sz w:val="24"/>
          <w:szCs w:val="24"/>
        </w:rPr>
      </w:pPr>
    </w:p>
    <w:p w14:paraId="69439069" w14:textId="77777777" w:rsidR="00072021" w:rsidRDefault="00072021" w:rsidP="00072021">
      <w:pPr>
        <w:spacing w:before="0" w:after="0" w:line="240" w:lineRule="auto"/>
        <w:jc w:val="both"/>
        <w:rPr>
          <w:rFonts w:cstheme="minorHAnsi"/>
          <w:color w:val="auto"/>
          <w:sz w:val="24"/>
          <w:szCs w:val="24"/>
        </w:rPr>
      </w:pPr>
      <w:r w:rsidRPr="00072021">
        <w:rPr>
          <w:rFonts w:cstheme="minorHAnsi"/>
          <w:color w:val="auto"/>
          <w:sz w:val="24"/>
          <w:szCs w:val="24"/>
        </w:rPr>
        <w:t>We strive to improve the quality of life for all people living with eosinophilic disorders.</w:t>
      </w:r>
    </w:p>
    <w:p w14:paraId="2F7847E3" w14:textId="77777777" w:rsidR="00072021" w:rsidRDefault="00072021" w:rsidP="00072021">
      <w:pPr>
        <w:spacing w:before="0" w:after="0" w:line="240" w:lineRule="auto"/>
        <w:jc w:val="both"/>
        <w:rPr>
          <w:rFonts w:cstheme="minorHAnsi"/>
          <w:color w:val="auto"/>
          <w:sz w:val="24"/>
          <w:szCs w:val="24"/>
        </w:rPr>
      </w:pPr>
    </w:p>
    <w:p w14:paraId="05DBDD16" w14:textId="77777777" w:rsidR="009065BA" w:rsidRDefault="009065BA" w:rsidP="00552E33">
      <w:pPr>
        <w:spacing w:before="0" w:after="0" w:line="240" w:lineRule="auto"/>
        <w:jc w:val="both"/>
        <w:rPr>
          <w:rFonts w:cstheme="minorHAnsi"/>
          <w:color w:val="auto"/>
          <w:sz w:val="24"/>
          <w:szCs w:val="24"/>
        </w:rPr>
      </w:pPr>
    </w:p>
    <w:p w14:paraId="2069600F" w14:textId="77777777" w:rsidR="009065BA" w:rsidRDefault="009065BA" w:rsidP="00552E33">
      <w:pPr>
        <w:spacing w:before="0" w:after="0" w:line="240" w:lineRule="auto"/>
        <w:jc w:val="both"/>
        <w:rPr>
          <w:rFonts w:cstheme="minorHAnsi"/>
          <w:color w:val="auto"/>
          <w:sz w:val="24"/>
          <w:szCs w:val="24"/>
        </w:rPr>
      </w:pPr>
    </w:p>
    <w:p w14:paraId="0848C734" w14:textId="77777777" w:rsidR="009065BA" w:rsidRPr="00AB473C" w:rsidRDefault="009065BA" w:rsidP="00552E33">
      <w:pPr>
        <w:spacing w:before="0" w:after="0" w:line="240" w:lineRule="auto"/>
        <w:jc w:val="both"/>
        <w:rPr>
          <w:rFonts w:cstheme="minorHAnsi"/>
          <w:color w:val="auto"/>
          <w:sz w:val="24"/>
          <w:szCs w:val="24"/>
        </w:rPr>
      </w:pPr>
    </w:p>
    <w:p w14:paraId="582239E6" w14:textId="74BA7D9E" w:rsidR="00983BD2" w:rsidRPr="00AD398D" w:rsidRDefault="00862963" w:rsidP="00AD398D">
      <w:pPr>
        <w:pStyle w:val="Heading1"/>
        <w:jc w:val="both"/>
        <w:rPr>
          <w:color w:val="auto"/>
        </w:rPr>
      </w:pPr>
      <w:bookmarkStart w:id="10" w:name="_Toc30830727"/>
      <w:r>
        <w:rPr>
          <w:color w:val="auto"/>
        </w:rPr>
        <w:lastRenderedPageBreak/>
        <w:t>About EGIDs</w:t>
      </w:r>
      <w:bookmarkEnd w:id="10"/>
    </w:p>
    <w:p w14:paraId="1A3BA7D8" w14:textId="0E93F626" w:rsidR="00DF2102" w:rsidRDefault="00983BD2" w:rsidP="00983BD2">
      <w:pPr>
        <w:spacing w:line="240" w:lineRule="auto"/>
        <w:jc w:val="both"/>
        <w:rPr>
          <w:rFonts w:cstheme="minorHAnsi"/>
          <w:color w:val="auto"/>
          <w:sz w:val="24"/>
          <w:szCs w:val="24"/>
        </w:rPr>
      </w:pPr>
      <w:r w:rsidRPr="00AB473C">
        <w:rPr>
          <w:rFonts w:cstheme="minorHAnsi"/>
          <w:color w:val="auto"/>
          <w:sz w:val="24"/>
          <w:szCs w:val="24"/>
        </w:rPr>
        <w:t>Eosinophilic gastrointestinal disorders (EGID</w:t>
      </w:r>
      <w:r>
        <w:rPr>
          <w:rFonts w:cstheme="minorHAnsi"/>
          <w:color w:val="auto"/>
          <w:sz w:val="24"/>
          <w:szCs w:val="24"/>
        </w:rPr>
        <w:t>s</w:t>
      </w:r>
      <w:r w:rsidRPr="00AB473C">
        <w:rPr>
          <w:rFonts w:cstheme="minorHAnsi"/>
          <w:color w:val="auto"/>
          <w:sz w:val="24"/>
          <w:szCs w:val="24"/>
        </w:rPr>
        <w:t xml:space="preserve">) </w:t>
      </w:r>
      <w:r w:rsidRPr="00983BD2">
        <w:rPr>
          <w:rFonts w:cstheme="minorHAnsi"/>
          <w:color w:val="auto"/>
          <w:sz w:val="24"/>
          <w:szCs w:val="24"/>
        </w:rPr>
        <w:t xml:space="preserve">occur when eosinophils, a type of white blood cell, are found in above-normal amounts within the gastrointestinal tract. </w:t>
      </w:r>
    </w:p>
    <w:p w14:paraId="5D56C022" w14:textId="6AF713CA" w:rsidR="008D0B14" w:rsidRDefault="008D0B14" w:rsidP="00983BD2">
      <w:pPr>
        <w:spacing w:line="240" w:lineRule="auto"/>
        <w:jc w:val="both"/>
        <w:rPr>
          <w:rFonts w:cstheme="minorHAnsi"/>
          <w:color w:val="auto"/>
          <w:sz w:val="24"/>
          <w:szCs w:val="24"/>
        </w:rPr>
      </w:pPr>
      <w:r w:rsidRPr="00983BD2">
        <w:rPr>
          <w:rFonts w:cstheme="minorHAnsi"/>
          <w:color w:val="auto"/>
          <w:sz w:val="24"/>
          <w:szCs w:val="24"/>
        </w:rPr>
        <w:t xml:space="preserve">Eosinophils are an important cell in the body that have many roles including defence against parasitic infections and involvement in some forms of hypersensitivity and allergy. However, in some individuals, eosinophils accumulate in the gut potentially in response to drugs, food, airborne allergens and other unknown triggers and this infiltration can cause inflammation and tissue damage. </w:t>
      </w:r>
    </w:p>
    <w:p w14:paraId="65F732EA" w14:textId="77777777" w:rsidR="00DF2102" w:rsidRPr="00DF2102" w:rsidRDefault="00DF2102" w:rsidP="00DF2102">
      <w:pPr>
        <w:spacing w:line="240" w:lineRule="auto"/>
        <w:jc w:val="both"/>
        <w:rPr>
          <w:rFonts w:cstheme="minorHAnsi"/>
          <w:color w:val="auto"/>
          <w:sz w:val="24"/>
          <w:szCs w:val="24"/>
        </w:rPr>
      </w:pPr>
      <w:r w:rsidRPr="00DF2102">
        <w:rPr>
          <w:rFonts w:cstheme="minorHAnsi"/>
          <w:color w:val="auto"/>
          <w:sz w:val="24"/>
          <w:szCs w:val="24"/>
        </w:rPr>
        <w:t>In EGIDs, if abnormal amounts of eosinophils are found in different regions it is called:</w:t>
      </w:r>
    </w:p>
    <w:p w14:paraId="40556FF8" w14:textId="77777777" w:rsidR="00DF2102" w:rsidRPr="00AD398D" w:rsidRDefault="00DF2102" w:rsidP="00AD398D">
      <w:pPr>
        <w:pStyle w:val="ListParagraph"/>
        <w:numPr>
          <w:ilvl w:val="0"/>
          <w:numId w:val="17"/>
        </w:numPr>
        <w:spacing w:line="240" w:lineRule="auto"/>
        <w:jc w:val="both"/>
        <w:rPr>
          <w:rFonts w:cstheme="minorHAnsi"/>
          <w:color w:val="auto"/>
          <w:sz w:val="24"/>
          <w:szCs w:val="24"/>
        </w:rPr>
      </w:pPr>
      <w:r w:rsidRPr="00AD398D">
        <w:rPr>
          <w:rFonts w:cstheme="minorHAnsi"/>
          <w:color w:val="auto"/>
          <w:sz w:val="24"/>
          <w:szCs w:val="24"/>
        </w:rPr>
        <w:t>oesophagus (eosinophilic oesophagitis)</w:t>
      </w:r>
    </w:p>
    <w:p w14:paraId="28B5562F" w14:textId="77777777" w:rsidR="00DF2102" w:rsidRPr="00AD398D" w:rsidRDefault="00DF2102" w:rsidP="00AD398D">
      <w:pPr>
        <w:pStyle w:val="ListParagraph"/>
        <w:numPr>
          <w:ilvl w:val="0"/>
          <w:numId w:val="17"/>
        </w:numPr>
        <w:spacing w:line="240" w:lineRule="auto"/>
        <w:jc w:val="both"/>
        <w:rPr>
          <w:rFonts w:cstheme="minorHAnsi"/>
          <w:color w:val="auto"/>
          <w:sz w:val="24"/>
          <w:szCs w:val="24"/>
        </w:rPr>
      </w:pPr>
      <w:r w:rsidRPr="00AD398D">
        <w:rPr>
          <w:rFonts w:cstheme="minorHAnsi"/>
          <w:color w:val="auto"/>
          <w:sz w:val="24"/>
          <w:szCs w:val="24"/>
        </w:rPr>
        <w:t>stomach (eosinophilic gastritis)</w:t>
      </w:r>
    </w:p>
    <w:p w14:paraId="4FB821CA" w14:textId="77777777" w:rsidR="00DF2102" w:rsidRPr="00AD398D" w:rsidRDefault="00DF2102" w:rsidP="00AD398D">
      <w:pPr>
        <w:pStyle w:val="ListParagraph"/>
        <w:numPr>
          <w:ilvl w:val="0"/>
          <w:numId w:val="17"/>
        </w:numPr>
        <w:spacing w:line="240" w:lineRule="auto"/>
        <w:jc w:val="both"/>
        <w:rPr>
          <w:rFonts w:cstheme="minorHAnsi"/>
          <w:color w:val="auto"/>
          <w:sz w:val="24"/>
          <w:szCs w:val="24"/>
        </w:rPr>
      </w:pPr>
      <w:r w:rsidRPr="00AD398D">
        <w:rPr>
          <w:rFonts w:cstheme="minorHAnsi"/>
          <w:color w:val="auto"/>
          <w:sz w:val="24"/>
          <w:szCs w:val="24"/>
        </w:rPr>
        <w:t>duodenum (eosinophilic duodenitis)</w:t>
      </w:r>
    </w:p>
    <w:p w14:paraId="65F51E9E" w14:textId="77777777" w:rsidR="00DF2102" w:rsidRPr="00AD398D" w:rsidRDefault="00DF2102" w:rsidP="00AD398D">
      <w:pPr>
        <w:pStyle w:val="ListParagraph"/>
        <w:numPr>
          <w:ilvl w:val="0"/>
          <w:numId w:val="17"/>
        </w:numPr>
        <w:spacing w:line="240" w:lineRule="auto"/>
        <w:jc w:val="both"/>
        <w:rPr>
          <w:rFonts w:cstheme="minorHAnsi"/>
          <w:color w:val="auto"/>
          <w:sz w:val="24"/>
          <w:szCs w:val="24"/>
        </w:rPr>
      </w:pPr>
      <w:r w:rsidRPr="00AD398D">
        <w:rPr>
          <w:rFonts w:cstheme="minorHAnsi"/>
          <w:color w:val="auto"/>
          <w:sz w:val="24"/>
          <w:szCs w:val="24"/>
        </w:rPr>
        <w:t>small intestine (eosinophilic enteritis)</w:t>
      </w:r>
    </w:p>
    <w:p w14:paraId="07A4843F" w14:textId="77777777" w:rsidR="00DF2102" w:rsidRPr="00AD398D" w:rsidRDefault="00DF2102" w:rsidP="00AD398D">
      <w:pPr>
        <w:pStyle w:val="ListParagraph"/>
        <w:numPr>
          <w:ilvl w:val="0"/>
          <w:numId w:val="17"/>
        </w:numPr>
        <w:spacing w:line="240" w:lineRule="auto"/>
        <w:jc w:val="both"/>
        <w:rPr>
          <w:rFonts w:cstheme="minorHAnsi"/>
          <w:color w:val="auto"/>
          <w:sz w:val="24"/>
          <w:szCs w:val="24"/>
        </w:rPr>
      </w:pPr>
      <w:r w:rsidRPr="00AD398D">
        <w:rPr>
          <w:rFonts w:cstheme="minorHAnsi"/>
          <w:color w:val="auto"/>
          <w:sz w:val="24"/>
          <w:szCs w:val="24"/>
        </w:rPr>
        <w:t>large intestine (eosinophilic colitis)</w:t>
      </w:r>
    </w:p>
    <w:p w14:paraId="675F9FC6" w14:textId="4D720721" w:rsidR="00DF2102" w:rsidRPr="00AD398D" w:rsidRDefault="00DF2102" w:rsidP="00AD398D">
      <w:pPr>
        <w:pStyle w:val="ListParagraph"/>
        <w:numPr>
          <w:ilvl w:val="0"/>
          <w:numId w:val="17"/>
        </w:numPr>
        <w:spacing w:line="240" w:lineRule="auto"/>
        <w:jc w:val="both"/>
        <w:rPr>
          <w:rFonts w:cstheme="minorHAnsi"/>
          <w:color w:val="auto"/>
          <w:sz w:val="24"/>
          <w:szCs w:val="24"/>
        </w:rPr>
      </w:pPr>
      <w:r w:rsidRPr="00AD398D">
        <w:rPr>
          <w:rFonts w:cstheme="minorHAnsi"/>
          <w:color w:val="auto"/>
          <w:sz w:val="24"/>
          <w:szCs w:val="24"/>
        </w:rPr>
        <w:t>throughout the gastrointestinal tract (eosinophilic gastroenteritis)</w:t>
      </w:r>
    </w:p>
    <w:p w14:paraId="11EF6E5E" w14:textId="05A51CBB" w:rsidR="00983BD2" w:rsidRDefault="00983BD2" w:rsidP="00983BD2">
      <w:pPr>
        <w:spacing w:line="240" w:lineRule="auto"/>
        <w:jc w:val="both"/>
        <w:rPr>
          <w:rFonts w:cstheme="minorHAnsi"/>
          <w:color w:val="auto"/>
          <w:sz w:val="24"/>
          <w:szCs w:val="24"/>
        </w:rPr>
      </w:pPr>
      <w:r w:rsidRPr="00983BD2">
        <w:rPr>
          <w:rFonts w:cstheme="minorHAnsi"/>
          <w:color w:val="auto"/>
          <w:sz w:val="24"/>
          <w:szCs w:val="24"/>
        </w:rPr>
        <w:t>Eosinophilic oesophagitis (EoE) is the most common type of EGID where eosinophils are found in the oesophagus with a minimum of 15 eosinophils per high-power field required to make the diagnosis of EoE. The exact cause of EoE in most individuals is unclear</w:t>
      </w:r>
      <w:r w:rsidR="006F12D0">
        <w:rPr>
          <w:rFonts w:cstheme="minorHAnsi"/>
          <w:color w:val="auto"/>
          <w:sz w:val="24"/>
          <w:szCs w:val="24"/>
        </w:rPr>
        <w:t>.</w:t>
      </w:r>
      <w:r w:rsidRPr="00983BD2">
        <w:rPr>
          <w:rFonts w:cstheme="minorHAnsi"/>
          <w:color w:val="auto"/>
          <w:sz w:val="24"/>
          <w:szCs w:val="24"/>
        </w:rPr>
        <w:t xml:space="preserve"> </w:t>
      </w:r>
      <w:r w:rsidR="006F12D0">
        <w:rPr>
          <w:rFonts w:cstheme="minorHAnsi"/>
          <w:color w:val="auto"/>
          <w:sz w:val="24"/>
          <w:szCs w:val="24"/>
        </w:rPr>
        <w:t>I</w:t>
      </w:r>
      <w:r w:rsidRPr="00983BD2">
        <w:rPr>
          <w:rFonts w:cstheme="minorHAnsi"/>
          <w:color w:val="auto"/>
          <w:sz w:val="24"/>
          <w:szCs w:val="24"/>
        </w:rPr>
        <w:t>n some, it appears to be due to an allergy to food(s) and/or aero-allergens. The current estimated prevalence of EoE is 1 in 2,000 individuals and rising. EoE affects people of all ages, gender and ethnic backgrounds and in some families, there may be an inherited (genetic) tendency</w:t>
      </w:r>
      <w:r w:rsidR="000D1D05">
        <w:rPr>
          <w:rStyle w:val="FootnoteReference"/>
          <w:rFonts w:cstheme="minorHAnsi"/>
          <w:color w:val="auto"/>
          <w:sz w:val="24"/>
          <w:szCs w:val="24"/>
        </w:rPr>
        <w:footnoteReference w:id="2"/>
      </w:r>
      <w:r w:rsidRPr="00983BD2">
        <w:rPr>
          <w:rFonts w:cstheme="minorHAnsi"/>
          <w:color w:val="auto"/>
          <w:sz w:val="24"/>
          <w:szCs w:val="24"/>
        </w:rPr>
        <w:t>.</w:t>
      </w:r>
    </w:p>
    <w:p w14:paraId="797D2BCF" w14:textId="0711329F" w:rsidR="00CF78C6" w:rsidRDefault="000749C1" w:rsidP="00552E33">
      <w:pPr>
        <w:spacing w:line="240" w:lineRule="auto"/>
        <w:jc w:val="both"/>
        <w:rPr>
          <w:rFonts w:cstheme="minorHAnsi"/>
          <w:color w:val="auto"/>
          <w:sz w:val="24"/>
          <w:szCs w:val="24"/>
        </w:rPr>
      </w:pPr>
      <w:r w:rsidRPr="000749C1">
        <w:rPr>
          <w:rFonts w:cstheme="minorHAnsi"/>
          <w:color w:val="auto"/>
          <w:sz w:val="24"/>
          <w:szCs w:val="24"/>
        </w:rPr>
        <w:t>In its most severe form, EoE may cause scar tissue (called fibrosis) in the oesophagus.</w:t>
      </w:r>
    </w:p>
    <w:p w14:paraId="78B0B1EB" w14:textId="2F028EE3" w:rsidR="00341949" w:rsidRPr="00341949" w:rsidRDefault="00341949" w:rsidP="00341949">
      <w:pPr>
        <w:spacing w:line="240" w:lineRule="auto"/>
        <w:jc w:val="both"/>
        <w:rPr>
          <w:rFonts w:cstheme="minorHAnsi"/>
          <w:color w:val="auto"/>
          <w:sz w:val="24"/>
          <w:szCs w:val="24"/>
        </w:rPr>
      </w:pPr>
      <w:r w:rsidRPr="00341949">
        <w:rPr>
          <w:rFonts w:cstheme="minorHAnsi"/>
          <w:color w:val="auto"/>
          <w:sz w:val="24"/>
          <w:szCs w:val="24"/>
        </w:rPr>
        <w:t>The symptoms of eosinophilic oesophagitis vary from one individual to the next and can include:</w:t>
      </w:r>
    </w:p>
    <w:p w14:paraId="2DA68A32" w14:textId="1214FCB2" w:rsidR="00341949" w:rsidRPr="00341949" w:rsidRDefault="00341949" w:rsidP="00341949">
      <w:pPr>
        <w:pStyle w:val="ListParagraph"/>
        <w:numPr>
          <w:ilvl w:val="0"/>
          <w:numId w:val="18"/>
        </w:numPr>
        <w:spacing w:line="240" w:lineRule="auto"/>
        <w:jc w:val="both"/>
        <w:rPr>
          <w:rFonts w:cstheme="minorHAnsi"/>
          <w:color w:val="auto"/>
          <w:sz w:val="24"/>
          <w:szCs w:val="24"/>
        </w:rPr>
      </w:pPr>
      <w:r w:rsidRPr="00341949">
        <w:rPr>
          <w:rFonts w:cstheme="minorHAnsi"/>
          <w:color w:val="auto"/>
          <w:sz w:val="24"/>
          <w:szCs w:val="24"/>
        </w:rPr>
        <w:t xml:space="preserve">Feeding difficulty </w:t>
      </w:r>
    </w:p>
    <w:p w14:paraId="69106386" w14:textId="77777777" w:rsidR="00341949" w:rsidRPr="00341949" w:rsidRDefault="00341949" w:rsidP="00341949">
      <w:pPr>
        <w:pStyle w:val="ListParagraph"/>
        <w:numPr>
          <w:ilvl w:val="0"/>
          <w:numId w:val="18"/>
        </w:numPr>
        <w:spacing w:line="240" w:lineRule="auto"/>
        <w:jc w:val="both"/>
        <w:rPr>
          <w:rFonts w:cstheme="minorHAnsi"/>
          <w:color w:val="auto"/>
          <w:sz w:val="24"/>
          <w:szCs w:val="24"/>
        </w:rPr>
      </w:pPr>
      <w:r w:rsidRPr="00341949">
        <w:rPr>
          <w:rFonts w:cstheme="minorHAnsi"/>
          <w:color w:val="auto"/>
          <w:sz w:val="24"/>
          <w:szCs w:val="24"/>
        </w:rPr>
        <w:t>Difficulty in swallowing foods and/or regularly requiring a drink after eating</w:t>
      </w:r>
    </w:p>
    <w:p w14:paraId="34C6F0D5" w14:textId="77777777" w:rsidR="00341949" w:rsidRPr="00341949" w:rsidRDefault="00341949" w:rsidP="00341949">
      <w:pPr>
        <w:pStyle w:val="ListParagraph"/>
        <w:numPr>
          <w:ilvl w:val="0"/>
          <w:numId w:val="18"/>
        </w:numPr>
        <w:spacing w:line="240" w:lineRule="auto"/>
        <w:jc w:val="both"/>
        <w:rPr>
          <w:rFonts w:cstheme="minorHAnsi"/>
          <w:color w:val="auto"/>
          <w:sz w:val="24"/>
          <w:szCs w:val="24"/>
        </w:rPr>
      </w:pPr>
      <w:r w:rsidRPr="00341949">
        <w:rPr>
          <w:rFonts w:cstheme="minorHAnsi"/>
          <w:color w:val="auto"/>
          <w:sz w:val="24"/>
          <w:szCs w:val="24"/>
        </w:rPr>
        <w:t>A food suddenly becoming stuck in the oesophagus (called food impaction)</w:t>
      </w:r>
    </w:p>
    <w:p w14:paraId="4F11FD76" w14:textId="77777777" w:rsidR="00341949" w:rsidRPr="00341949" w:rsidRDefault="00341949" w:rsidP="00341949">
      <w:pPr>
        <w:pStyle w:val="ListParagraph"/>
        <w:numPr>
          <w:ilvl w:val="0"/>
          <w:numId w:val="18"/>
        </w:numPr>
        <w:spacing w:line="240" w:lineRule="auto"/>
        <w:jc w:val="both"/>
        <w:rPr>
          <w:rFonts w:cstheme="minorHAnsi"/>
          <w:color w:val="auto"/>
          <w:sz w:val="24"/>
          <w:szCs w:val="24"/>
        </w:rPr>
      </w:pPr>
      <w:r w:rsidRPr="00341949">
        <w:rPr>
          <w:rFonts w:cstheme="minorHAnsi"/>
          <w:color w:val="auto"/>
          <w:sz w:val="24"/>
          <w:szCs w:val="24"/>
        </w:rPr>
        <w:t>Nausea, persistent vomiting and retching</w:t>
      </w:r>
    </w:p>
    <w:p w14:paraId="003568CB" w14:textId="77777777" w:rsidR="00341949" w:rsidRPr="00341949" w:rsidRDefault="00341949" w:rsidP="00341949">
      <w:pPr>
        <w:pStyle w:val="ListParagraph"/>
        <w:numPr>
          <w:ilvl w:val="0"/>
          <w:numId w:val="18"/>
        </w:numPr>
        <w:spacing w:line="240" w:lineRule="auto"/>
        <w:jc w:val="both"/>
        <w:rPr>
          <w:rFonts w:cstheme="minorHAnsi"/>
          <w:color w:val="auto"/>
          <w:sz w:val="24"/>
          <w:szCs w:val="24"/>
        </w:rPr>
      </w:pPr>
      <w:r w:rsidRPr="00341949">
        <w:rPr>
          <w:rFonts w:cstheme="minorHAnsi"/>
          <w:color w:val="auto"/>
          <w:sz w:val="24"/>
          <w:szCs w:val="24"/>
        </w:rPr>
        <w:t>Abdominal or chest pain</w:t>
      </w:r>
    </w:p>
    <w:p w14:paraId="1C01EDD1" w14:textId="77777777" w:rsidR="00341949" w:rsidRPr="00341949" w:rsidRDefault="00341949" w:rsidP="00341949">
      <w:pPr>
        <w:pStyle w:val="ListParagraph"/>
        <w:numPr>
          <w:ilvl w:val="0"/>
          <w:numId w:val="18"/>
        </w:numPr>
        <w:spacing w:line="240" w:lineRule="auto"/>
        <w:jc w:val="both"/>
        <w:rPr>
          <w:rFonts w:cstheme="minorHAnsi"/>
          <w:color w:val="auto"/>
          <w:sz w:val="24"/>
          <w:szCs w:val="24"/>
        </w:rPr>
      </w:pPr>
      <w:r w:rsidRPr="00341949">
        <w:rPr>
          <w:rFonts w:cstheme="minorHAnsi"/>
          <w:color w:val="auto"/>
          <w:sz w:val="24"/>
          <w:szCs w:val="24"/>
        </w:rPr>
        <w:t>Reflux that does not respond to anti-acid medication</w:t>
      </w:r>
    </w:p>
    <w:p w14:paraId="110D3C01" w14:textId="77777777" w:rsidR="00341949" w:rsidRPr="00341949" w:rsidRDefault="00341949" w:rsidP="00341949">
      <w:pPr>
        <w:pStyle w:val="ListParagraph"/>
        <w:numPr>
          <w:ilvl w:val="0"/>
          <w:numId w:val="18"/>
        </w:numPr>
        <w:spacing w:line="240" w:lineRule="auto"/>
        <w:jc w:val="both"/>
        <w:rPr>
          <w:rFonts w:cstheme="minorHAnsi"/>
          <w:color w:val="auto"/>
          <w:sz w:val="24"/>
          <w:szCs w:val="24"/>
        </w:rPr>
      </w:pPr>
      <w:r w:rsidRPr="00341949">
        <w:rPr>
          <w:rFonts w:cstheme="minorHAnsi"/>
          <w:color w:val="auto"/>
          <w:sz w:val="24"/>
          <w:szCs w:val="24"/>
        </w:rPr>
        <w:t>Failure to thrive (failure to put on or loss of weight) due to inadequate intake</w:t>
      </w:r>
    </w:p>
    <w:p w14:paraId="70870152" w14:textId="08E87BA5" w:rsidR="00862963" w:rsidRPr="00AB473C" w:rsidRDefault="00862963" w:rsidP="00552E33">
      <w:pPr>
        <w:spacing w:line="240" w:lineRule="auto"/>
        <w:jc w:val="both"/>
        <w:rPr>
          <w:rFonts w:cstheme="minorHAnsi"/>
          <w:color w:val="auto"/>
          <w:sz w:val="24"/>
          <w:szCs w:val="24"/>
        </w:rPr>
      </w:pPr>
      <w:r w:rsidRPr="00AB473C">
        <w:rPr>
          <w:rFonts w:cstheme="minorHAnsi"/>
          <w:color w:val="auto"/>
          <w:sz w:val="24"/>
          <w:szCs w:val="24"/>
        </w:rPr>
        <w:lastRenderedPageBreak/>
        <w:t xml:space="preserve">In other types of </w:t>
      </w:r>
      <w:r w:rsidR="00846D5B">
        <w:rPr>
          <w:rFonts w:cstheme="minorHAnsi"/>
          <w:color w:val="auto"/>
          <w:sz w:val="24"/>
          <w:szCs w:val="24"/>
        </w:rPr>
        <w:t>EGIDs</w:t>
      </w:r>
      <w:r w:rsidRPr="00AB473C">
        <w:rPr>
          <w:rFonts w:cstheme="minorHAnsi"/>
          <w:color w:val="auto"/>
          <w:sz w:val="24"/>
          <w:szCs w:val="24"/>
        </w:rPr>
        <w:t>, symptoms depend on which part of the gut is affected (e.g. diarrhoea and bloody stools if the small or large intestine is involved).</w:t>
      </w:r>
    </w:p>
    <w:p w14:paraId="14071B7A" w14:textId="3A811A6F" w:rsidR="00862963" w:rsidRDefault="00BD1B83" w:rsidP="00EA2389">
      <w:pPr>
        <w:spacing w:line="240" w:lineRule="auto"/>
        <w:jc w:val="both"/>
        <w:rPr>
          <w:rFonts w:cstheme="minorHAnsi"/>
          <w:color w:val="auto"/>
          <w:sz w:val="24"/>
          <w:szCs w:val="24"/>
        </w:rPr>
      </w:pPr>
      <w:r w:rsidRPr="00BD1B83">
        <w:rPr>
          <w:rFonts w:cstheme="minorHAnsi"/>
          <w:color w:val="auto"/>
          <w:sz w:val="24"/>
          <w:szCs w:val="24"/>
        </w:rPr>
        <w:t>Endoscopy with biopsies are the only way to confirm the diagnosis of an EGID and EoE at present. The diagnosis cannot be based upon symptoms alone.</w:t>
      </w:r>
      <w:r>
        <w:rPr>
          <w:rFonts w:cstheme="minorHAnsi"/>
          <w:color w:val="auto"/>
          <w:sz w:val="24"/>
          <w:szCs w:val="24"/>
        </w:rPr>
        <w:t xml:space="preserve"> </w:t>
      </w:r>
    </w:p>
    <w:p w14:paraId="2698D0FA" w14:textId="3EA9C5C5" w:rsidR="00EA2389" w:rsidRPr="00EA2389" w:rsidRDefault="00EA2389" w:rsidP="00EA2389">
      <w:pPr>
        <w:spacing w:line="240" w:lineRule="auto"/>
        <w:jc w:val="both"/>
        <w:rPr>
          <w:rFonts w:cstheme="minorHAnsi"/>
          <w:color w:val="auto"/>
          <w:sz w:val="24"/>
          <w:szCs w:val="24"/>
        </w:rPr>
      </w:pPr>
      <w:r w:rsidRPr="00EA2389">
        <w:rPr>
          <w:rFonts w:cstheme="minorHAnsi"/>
          <w:color w:val="auto"/>
          <w:sz w:val="24"/>
          <w:szCs w:val="24"/>
        </w:rPr>
        <w:t xml:space="preserve">There is no cure for EGID and EoE, but the goal of treatment is to eliminate the eosinophils in the affected area, thereby alleviating symptoms and reducing inflammation to minimal safe levels. Treating specialists should discuss the treatment options with patients/families and tailor treatment to the individual. </w:t>
      </w:r>
    </w:p>
    <w:p w14:paraId="7DFD61BF" w14:textId="6622E654" w:rsidR="00EA2389" w:rsidRPr="00EA2389" w:rsidRDefault="00D372C4" w:rsidP="00EA2389">
      <w:pPr>
        <w:spacing w:line="240" w:lineRule="auto"/>
        <w:jc w:val="both"/>
        <w:rPr>
          <w:rFonts w:cstheme="minorHAnsi"/>
          <w:color w:val="auto"/>
          <w:sz w:val="24"/>
          <w:szCs w:val="24"/>
        </w:rPr>
      </w:pPr>
      <w:r>
        <w:rPr>
          <w:rFonts w:cstheme="minorHAnsi"/>
          <w:color w:val="auto"/>
          <w:sz w:val="24"/>
          <w:szCs w:val="24"/>
        </w:rPr>
        <w:t>Current t</w:t>
      </w:r>
      <w:r w:rsidR="00EA2389" w:rsidRPr="00EA2389">
        <w:rPr>
          <w:rFonts w:cstheme="minorHAnsi"/>
          <w:color w:val="auto"/>
          <w:sz w:val="24"/>
          <w:szCs w:val="24"/>
        </w:rPr>
        <w:t>reatment options for EoE include:</w:t>
      </w:r>
    </w:p>
    <w:p w14:paraId="7C9BDA0A" w14:textId="77777777" w:rsidR="00EA2389" w:rsidRPr="00640526" w:rsidRDefault="00EA2389" w:rsidP="00640526">
      <w:pPr>
        <w:pStyle w:val="ListParagraph"/>
        <w:numPr>
          <w:ilvl w:val="0"/>
          <w:numId w:val="19"/>
        </w:numPr>
        <w:spacing w:line="240" w:lineRule="auto"/>
        <w:jc w:val="both"/>
        <w:rPr>
          <w:rFonts w:cstheme="minorHAnsi"/>
          <w:color w:val="auto"/>
          <w:sz w:val="24"/>
          <w:szCs w:val="24"/>
        </w:rPr>
      </w:pPr>
      <w:r w:rsidRPr="00640526">
        <w:rPr>
          <w:rFonts w:cstheme="minorHAnsi"/>
          <w:color w:val="auto"/>
          <w:sz w:val="24"/>
          <w:szCs w:val="24"/>
        </w:rPr>
        <w:t>Elimination diet/elemental diet</w:t>
      </w:r>
    </w:p>
    <w:p w14:paraId="0208A301" w14:textId="77777777" w:rsidR="00EA2389" w:rsidRPr="00640526" w:rsidRDefault="00EA2389" w:rsidP="00640526">
      <w:pPr>
        <w:pStyle w:val="ListParagraph"/>
        <w:numPr>
          <w:ilvl w:val="0"/>
          <w:numId w:val="19"/>
        </w:numPr>
        <w:spacing w:line="240" w:lineRule="auto"/>
        <w:jc w:val="both"/>
        <w:rPr>
          <w:rFonts w:cstheme="minorHAnsi"/>
          <w:color w:val="auto"/>
          <w:sz w:val="24"/>
          <w:szCs w:val="24"/>
        </w:rPr>
      </w:pPr>
      <w:r w:rsidRPr="00640526">
        <w:rPr>
          <w:rFonts w:cstheme="minorHAnsi"/>
          <w:color w:val="auto"/>
          <w:sz w:val="24"/>
          <w:szCs w:val="24"/>
        </w:rPr>
        <w:t>Antacid medications/Proton pump inhibitors (PPIs)</w:t>
      </w:r>
    </w:p>
    <w:p w14:paraId="20620A19" w14:textId="77777777" w:rsidR="00EA2389" w:rsidRPr="00640526" w:rsidRDefault="00EA2389" w:rsidP="00640526">
      <w:pPr>
        <w:pStyle w:val="ListParagraph"/>
        <w:numPr>
          <w:ilvl w:val="0"/>
          <w:numId w:val="19"/>
        </w:numPr>
        <w:spacing w:line="240" w:lineRule="auto"/>
        <w:jc w:val="both"/>
        <w:rPr>
          <w:rFonts w:cstheme="minorHAnsi"/>
          <w:color w:val="auto"/>
          <w:sz w:val="24"/>
          <w:szCs w:val="24"/>
        </w:rPr>
      </w:pPr>
      <w:r w:rsidRPr="00640526">
        <w:rPr>
          <w:rFonts w:cstheme="minorHAnsi"/>
          <w:color w:val="auto"/>
          <w:sz w:val="24"/>
          <w:szCs w:val="24"/>
        </w:rPr>
        <w:t>Corticosteroids (usually topically administered)</w:t>
      </w:r>
    </w:p>
    <w:p w14:paraId="5739D042" w14:textId="35DBC7BC" w:rsidR="00EA2389" w:rsidRPr="00640526" w:rsidRDefault="00EA2389" w:rsidP="00EA2389">
      <w:pPr>
        <w:pStyle w:val="ListParagraph"/>
        <w:numPr>
          <w:ilvl w:val="0"/>
          <w:numId w:val="19"/>
        </w:numPr>
        <w:spacing w:line="240" w:lineRule="auto"/>
        <w:jc w:val="both"/>
        <w:rPr>
          <w:rFonts w:cstheme="minorHAnsi"/>
          <w:color w:val="auto"/>
          <w:sz w:val="24"/>
          <w:szCs w:val="24"/>
        </w:rPr>
      </w:pPr>
      <w:r w:rsidRPr="00640526">
        <w:rPr>
          <w:rFonts w:cstheme="minorHAnsi"/>
          <w:color w:val="auto"/>
          <w:sz w:val="24"/>
          <w:szCs w:val="24"/>
        </w:rPr>
        <w:t>Oesophageal dilation</w:t>
      </w:r>
    </w:p>
    <w:p w14:paraId="43C80C13" w14:textId="64DB5302" w:rsidR="00E340C5" w:rsidRPr="00CE1A4A" w:rsidRDefault="00E340C5" w:rsidP="00552E33">
      <w:pPr>
        <w:spacing w:line="240" w:lineRule="auto"/>
        <w:jc w:val="both"/>
        <w:rPr>
          <w:rFonts w:cstheme="minorHAnsi"/>
          <w:color w:val="auto"/>
          <w:sz w:val="24"/>
          <w:szCs w:val="24"/>
        </w:rPr>
      </w:pPr>
      <w:r w:rsidRPr="00CE1A4A">
        <w:rPr>
          <w:rFonts w:cstheme="minorHAnsi"/>
          <w:color w:val="auto"/>
          <w:sz w:val="24"/>
          <w:szCs w:val="24"/>
        </w:rPr>
        <w:t>EGIDs are chronic diseases that require ongoing monitoring and management.</w:t>
      </w:r>
    </w:p>
    <w:p w14:paraId="2C59CFE1" w14:textId="2A87BEEE" w:rsidR="006E1017" w:rsidRDefault="000244A3" w:rsidP="00552E33">
      <w:pPr>
        <w:pStyle w:val="Heading1"/>
        <w:jc w:val="both"/>
        <w:rPr>
          <w:color w:val="auto"/>
        </w:rPr>
      </w:pPr>
      <w:bookmarkStart w:id="11" w:name="_Toc30830728"/>
      <w:r>
        <w:rPr>
          <w:color w:val="auto"/>
        </w:rPr>
        <w:lastRenderedPageBreak/>
        <w:t>Introduction</w:t>
      </w:r>
      <w:bookmarkEnd w:id="11"/>
    </w:p>
    <w:p w14:paraId="0B04552D" w14:textId="3A8E3B8B" w:rsidR="00C0041F" w:rsidRDefault="000C598E" w:rsidP="00552E33">
      <w:pPr>
        <w:pStyle w:val="CompanyInfo"/>
        <w:spacing w:after="0" w:line="240" w:lineRule="auto"/>
        <w:jc w:val="both"/>
        <w:rPr>
          <w:color w:val="auto"/>
          <w:sz w:val="24"/>
          <w:szCs w:val="24"/>
        </w:rPr>
      </w:pPr>
      <w:r>
        <w:rPr>
          <w:color w:val="auto"/>
          <w:sz w:val="24"/>
          <w:szCs w:val="24"/>
        </w:rPr>
        <w:t>Thank you for</w:t>
      </w:r>
      <w:r w:rsidR="006E1017" w:rsidRPr="00D63E05">
        <w:rPr>
          <w:color w:val="auto"/>
          <w:sz w:val="24"/>
          <w:szCs w:val="24"/>
        </w:rPr>
        <w:t xml:space="preserve"> the opportunity to provide a submission for the 20</w:t>
      </w:r>
      <w:r w:rsidR="00F51AAB">
        <w:rPr>
          <w:color w:val="auto"/>
          <w:sz w:val="24"/>
          <w:szCs w:val="24"/>
        </w:rPr>
        <w:t>20</w:t>
      </w:r>
      <w:r w:rsidR="006E1017" w:rsidRPr="00D63E05">
        <w:rPr>
          <w:color w:val="auto"/>
          <w:sz w:val="24"/>
          <w:szCs w:val="24"/>
        </w:rPr>
        <w:t>-</w:t>
      </w:r>
      <w:r w:rsidR="00F51AAB">
        <w:rPr>
          <w:color w:val="auto"/>
          <w:sz w:val="24"/>
          <w:szCs w:val="24"/>
        </w:rPr>
        <w:t>21</w:t>
      </w:r>
      <w:r w:rsidR="006E1017" w:rsidRPr="00D63E05">
        <w:rPr>
          <w:color w:val="auto"/>
          <w:sz w:val="24"/>
          <w:szCs w:val="24"/>
        </w:rPr>
        <w:t xml:space="preserve"> Federal Budget.</w:t>
      </w:r>
    </w:p>
    <w:p w14:paraId="242B1BEB" w14:textId="77777777" w:rsidR="009065BA" w:rsidRPr="004C49A3" w:rsidRDefault="009065BA" w:rsidP="00552E33">
      <w:pPr>
        <w:pStyle w:val="CompanyInfo"/>
        <w:spacing w:after="0" w:line="240" w:lineRule="auto"/>
        <w:jc w:val="both"/>
        <w:rPr>
          <w:color w:val="auto"/>
        </w:rPr>
      </w:pPr>
    </w:p>
    <w:p w14:paraId="1885AE51" w14:textId="183C7193" w:rsidR="00755618" w:rsidRPr="00ED132F" w:rsidRDefault="00755618" w:rsidP="00552E33">
      <w:pPr>
        <w:spacing w:before="0" w:after="0" w:line="240" w:lineRule="auto"/>
        <w:jc w:val="both"/>
        <w:rPr>
          <w:rFonts w:cstheme="minorHAnsi"/>
          <w:color w:val="auto"/>
          <w:sz w:val="24"/>
          <w:szCs w:val="24"/>
          <w:lang w:val="en-AU"/>
        </w:rPr>
      </w:pPr>
      <w:r w:rsidRPr="004C1DA2">
        <w:rPr>
          <w:rFonts w:cstheme="minorHAnsi"/>
          <w:color w:val="auto"/>
          <w:sz w:val="24"/>
          <w:szCs w:val="24"/>
          <w:lang w:val="en-AU"/>
        </w:rPr>
        <w:t xml:space="preserve">ausEE supports </w:t>
      </w:r>
      <w:bookmarkStart w:id="12" w:name="_Hlk1073705"/>
      <w:r w:rsidRPr="004C1DA2">
        <w:rPr>
          <w:rFonts w:cstheme="minorHAnsi"/>
          <w:color w:val="auto"/>
          <w:sz w:val="24"/>
          <w:szCs w:val="24"/>
          <w:lang w:val="en-AU"/>
        </w:rPr>
        <w:t xml:space="preserve">individuals, families, communities, </w:t>
      </w:r>
      <w:bookmarkEnd w:id="12"/>
      <w:r w:rsidRPr="004C1DA2">
        <w:rPr>
          <w:rFonts w:cstheme="minorHAnsi"/>
          <w:color w:val="auto"/>
          <w:sz w:val="24"/>
          <w:szCs w:val="24"/>
          <w:lang w:val="en-AU"/>
        </w:rPr>
        <w:t xml:space="preserve">healthcare professionals and other key stakeholders to ensure that people </w:t>
      </w:r>
      <w:r w:rsidR="00FE2837">
        <w:rPr>
          <w:rFonts w:cstheme="minorHAnsi"/>
          <w:color w:val="auto"/>
          <w:sz w:val="24"/>
          <w:szCs w:val="24"/>
          <w:lang w:val="en-AU"/>
        </w:rPr>
        <w:t>impacted by</w:t>
      </w:r>
      <w:r w:rsidRPr="004C1DA2">
        <w:rPr>
          <w:rFonts w:cstheme="minorHAnsi"/>
          <w:color w:val="auto"/>
          <w:sz w:val="24"/>
          <w:szCs w:val="24"/>
          <w:lang w:val="en-AU"/>
        </w:rPr>
        <w:t xml:space="preserve"> </w:t>
      </w:r>
      <w:r w:rsidR="0000671A">
        <w:rPr>
          <w:rFonts w:cstheme="minorHAnsi"/>
          <w:color w:val="auto"/>
          <w:sz w:val="24"/>
          <w:szCs w:val="24"/>
          <w:lang w:val="en-AU"/>
        </w:rPr>
        <w:t>an eosinophilic gastrointestinal disorder</w:t>
      </w:r>
      <w:r w:rsidR="00496ECD">
        <w:rPr>
          <w:rFonts w:cstheme="minorHAnsi"/>
          <w:color w:val="auto"/>
          <w:sz w:val="24"/>
          <w:szCs w:val="24"/>
          <w:lang w:val="en-AU"/>
        </w:rPr>
        <w:t xml:space="preserve"> (EGID)</w:t>
      </w:r>
      <w:r w:rsidRPr="004C1DA2">
        <w:rPr>
          <w:rFonts w:cstheme="minorHAnsi"/>
          <w:color w:val="auto"/>
          <w:sz w:val="24"/>
          <w:szCs w:val="24"/>
          <w:lang w:val="en-AU"/>
        </w:rPr>
        <w:t xml:space="preserve"> have access to evidence-based</w:t>
      </w:r>
      <w:r w:rsidR="001C3A2B">
        <w:rPr>
          <w:rFonts w:cstheme="minorHAnsi"/>
          <w:color w:val="auto"/>
          <w:sz w:val="24"/>
          <w:szCs w:val="24"/>
          <w:lang w:val="en-AU"/>
        </w:rPr>
        <w:t xml:space="preserve"> </w:t>
      </w:r>
      <w:r w:rsidRPr="004C1DA2">
        <w:rPr>
          <w:rFonts w:cstheme="minorHAnsi"/>
          <w:color w:val="auto"/>
          <w:sz w:val="24"/>
          <w:szCs w:val="24"/>
          <w:lang w:val="en-AU"/>
        </w:rPr>
        <w:t xml:space="preserve">information and resources </w:t>
      </w:r>
      <w:r w:rsidR="00DE68ED">
        <w:rPr>
          <w:rFonts w:cstheme="minorHAnsi"/>
          <w:color w:val="auto"/>
          <w:sz w:val="24"/>
          <w:szCs w:val="24"/>
          <w:lang w:val="en-AU"/>
        </w:rPr>
        <w:t>to</w:t>
      </w:r>
      <w:r w:rsidRPr="004C1DA2">
        <w:rPr>
          <w:rFonts w:cstheme="minorHAnsi"/>
          <w:color w:val="auto"/>
          <w:sz w:val="24"/>
          <w:szCs w:val="24"/>
          <w:lang w:val="en-AU"/>
        </w:rPr>
        <w:t xml:space="preserve"> </w:t>
      </w:r>
      <w:r w:rsidR="008E0A11">
        <w:rPr>
          <w:rFonts w:cstheme="minorHAnsi"/>
          <w:color w:val="auto"/>
          <w:sz w:val="24"/>
          <w:szCs w:val="24"/>
          <w:lang w:val="en-AU"/>
        </w:rPr>
        <w:t xml:space="preserve">help them </w:t>
      </w:r>
      <w:r w:rsidRPr="004C1DA2">
        <w:rPr>
          <w:rFonts w:cstheme="minorHAnsi"/>
          <w:color w:val="auto"/>
          <w:sz w:val="24"/>
          <w:szCs w:val="24"/>
          <w:lang w:val="en-AU"/>
        </w:rPr>
        <w:t>understand and manage their diagnosis and receive the support they need</w:t>
      </w:r>
      <w:r w:rsidR="00D4007B">
        <w:rPr>
          <w:rFonts w:cstheme="minorHAnsi"/>
          <w:color w:val="auto"/>
          <w:sz w:val="24"/>
          <w:szCs w:val="24"/>
          <w:lang w:val="en-AU"/>
        </w:rPr>
        <w:t>.</w:t>
      </w:r>
    </w:p>
    <w:p w14:paraId="7E192F7E" w14:textId="77777777" w:rsidR="009065BA" w:rsidRPr="004C49A3" w:rsidRDefault="009065BA" w:rsidP="00552E33">
      <w:pPr>
        <w:spacing w:after="0" w:line="240" w:lineRule="auto"/>
        <w:jc w:val="both"/>
        <w:rPr>
          <w:rFonts w:cstheme="minorHAnsi"/>
          <w:color w:val="auto"/>
          <w:lang w:val="en-AU"/>
        </w:rPr>
      </w:pPr>
    </w:p>
    <w:p w14:paraId="6E479839" w14:textId="61A06ADA" w:rsidR="001534B8" w:rsidRDefault="00746332" w:rsidP="00552E33">
      <w:pPr>
        <w:spacing w:after="0" w:line="240" w:lineRule="auto"/>
        <w:jc w:val="both"/>
        <w:rPr>
          <w:rFonts w:cstheme="minorHAnsi"/>
          <w:color w:val="auto"/>
          <w:sz w:val="24"/>
          <w:szCs w:val="24"/>
          <w:lang w:val="en-AU"/>
        </w:rPr>
      </w:pPr>
      <w:bookmarkStart w:id="13" w:name="_Hlk1106883"/>
      <w:r>
        <w:rPr>
          <w:rFonts w:cstheme="minorHAnsi"/>
          <w:color w:val="auto"/>
          <w:sz w:val="24"/>
          <w:szCs w:val="24"/>
          <w:lang w:val="en-AU"/>
        </w:rPr>
        <w:t>EGIDs are</w:t>
      </w:r>
      <w:r w:rsidR="006E1017" w:rsidRPr="004D729E">
        <w:rPr>
          <w:rFonts w:cstheme="minorHAnsi"/>
          <w:color w:val="auto"/>
          <w:sz w:val="24"/>
          <w:szCs w:val="24"/>
          <w:lang w:val="en-AU"/>
        </w:rPr>
        <w:t xml:space="preserve"> </w:t>
      </w:r>
      <w:r w:rsidR="00A164C1">
        <w:rPr>
          <w:rFonts w:cstheme="minorHAnsi"/>
          <w:color w:val="auto"/>
          <w:sz w:val="24"/>
          <w:szCs w:val="24"/>
          <w:lang w:val="en-AU"/>
        </w:rPr>
        <w:t xml:space="preserve">chronic </w:t>
      </w:r>
      <w:r w:rsidR="006E1017" w:rsidRPr="004D729E">
        <w:rPr>
          <w:rFonts w:cstheme="minorHAnsi"/>
          <w:color w:val="auto"/>
          <w:sz w:val="24"/>
          <w:szCs w:val="24"/>
          <w:lang w:val="en-AU"/>
        </w:rPr>
        <w:t xml:space="preserve">allergic disorders </w:t>
      </w:r>
      <w:r>
        <w:rPr>
          <w:rFonts w:cstheme="minorHAnsi"/>
          <w:color w:val="auto"/>
          <w:sz w:val="24"/>
          <w:szCs w:val="24"/>
          <w:lang w:val="en-AU"/>
        </w:rPr>
        <w:t>that</w:t>
      </w:r>
      <w:r w:rsidR="006E1017" w:rsidRPr="004D729E">
        <w:rPr>
          <w:rFonts w:cstheme="minorHAnsi"/>
          <w:color w:val="auto"/>
          <w:sz w:val="24"/>
          <w:szCs w:val="24"/>
          <w:lang w:val="en-AU"/>
        </w:rPr>
        <w:t xml:space="preserve"> </w:t>
      </w:r>
      <w:r>
        <w:rPr>
          <w:rFonts w:cstheme="minorHAnsi"/>
          <w:color w:val="auto"/>
          <w:sz w:val="24"/>
          <w:szCs w:val="24"/>
          <w:lang w:val="en-AU"/>
        </w:rPr>
        <w:t xml:space="preserve">have </w:t>
      </w:r>
      <w:r w:rsidR="006E1017" w:rsidRPr="004D729E">
        <w:rPr>
          <w:rFonts w:cstheme="minorHAnsi"/>
          <w:color w:val="auto"/>
          <w:sz w:val="24"/>
          <w:szCs w:val="24"/>
          <w:lang w:val="en-AU"/>
        </w:rPr>
        <w:t xml:space="preserve">increased in prevalence, for EoE from 1:10,000 to 1:2,000 in the </w:t>
      </w:r>
      <w:r w:rsidR="002506F0">
        <w:rPr>
          <w:rFonts w:cstheme="minorHAnsi"/>
          <w:color w:val="auto"/>
          <w:sz w:val="24"/>
          <w:szCs w:val="24"/>
          <w:lang w:val="en-AU"/>
        </w:rPr>
        <w:t xml:space="preserve">10 </w:t>
      </w:r>
      <w:r w:rsidR="006E1017" w:rsidRPr="004D729E">
        <w:rPr>
          <w:rFonts w:cstheme="minorHAnsi"/>
          <w:color w:val="auto"/>
          <w:sz w:val="24"/>
          <w:szCs w:val="24"/>
          <w:lang w:val="en-AU"/>
        </w:rPr>
        <w:t xml:space="preserve">years since </w:t>
      </w:r>
      <w:r w:rsidR="001534B8">
        <w:rPr>
          <w:rFonts w:cstheme="minorHAnsi"/>
          <w:color w:val="auto"/>
          <w:sz w:val="24"/>
          <w:szCs w:val="24"/>
          <w:lang w:val="en-AU"/>
        </w:rPr>
        <w:t>ausEE’s</w:t>
      </w:r>
      <w:r w:rsidR="006E1017" w:rsidRPr="004D729E">
        <w:rPr>
          <w:rFonts w:cstheme="minorHAnsi"/>
          <w:color w:val="auto"/>
          <w:sz w:val="24"/>
          <w:szCs w:val="24"/>
          <w:lang w:val="en-AU"/>
        </w:rPr>
        <w:t xml:space="preserve"> foundation</w:t>
      </w:r>
      <w:r w:rsidR="001534B8">
        <w:rPr>
          <w:rFonts w:cstheme="minorHAnsi"/>
          <w:color w:val="auto"/>
          <w:sz w:val="24"/>
          <w:szCs w:val="24"/>
          <w:lang w:val="en-AU"/>
        </w:rPr>
        <w:t xml:space="preserve">. </w:t>
      </w:r>
      <w:r w:rsidR="000568C2" w:rsidRPr="001534B8">
        <w:rPr>
          <w:rFonts w:cstheme="minorHAnsi"/>
          <w:color w:val="auto"/>
          <w:sz w:val="24"/>
          <w:szCs w:val="24"/>
          <w:lang w:val="en-AU"/>
        </w:rPr>
        <w:t>They are complex chronic diseases that require ongoing monitoring and management and as such have an increased burden for individuals, carers, healthcare services and the nation.</w:t>
      </w:r>
      <w:r w:rsidR="000568C2">
        <w:rPr>
          <w:rFonts w:cstheme="minorHAnsi"/>
          <w:color w:val="auto"/>
          <w:sz w:val="24"/>
          <w:szCs w:val="24"/>
          <w:lang w:val="en-AU"/>
        </w:rPr>
        <w:t xml:space="preserve"> </w:t>
      </w:r>
      <w:r w:rsidR="00473939">
        <w:rPr>
          <w:rFonts w:cstheme="minorHAnsi"/>
          <w:color w:val="auto"/>
          <w:sz w:val="24"/>
          <w:szCs w:val="24"/>
          <w:lang w:val="en-AU"/>
        </w:rPr>
        <w:t>ausEE</w:t>
      </w:r>
      <w:r w:rsidR="000568C2" w:rsidRPr="00BD7D7A">
        <w:rPr>
          <w:rFonts w:cstheme="minorHAnsi"/>
          <w:color w:val="auto"/>
          <w:sz w:val="24"/>
          <w:szCs w:val="24"/>
          <w:lang w:val="en-AU"/>
        </w:rPr>
        <w:t xml:space="preserve"> provide</w:t>
      </w:r>
      <w:r w:rsidR="00473939">
        <w:rPr>
          <w:rFonts w:cstheme="minorHAnsi"/>
          <w:color w:val="auto"/>
          <w:sz w:val="24"/>
          <w:szCs w:val="24"/>
          <w:lang w:val="en-AU"/>
        </w:rPr>
        <w:t>s</w:t>
      </w:r>
      <w:r w:rsidR="000568C2" w:rsidRPr="00BD7D7A">
        <w:rPr>
          <w:rFonts w:cstheme="minorHAnsi"/>
          <w:color w:val="auto"/>
          <w:sz w:val="24"/>
          <w:szCs w:val="24"/>
          <w:lang w:val="en-AU"/>
        </w:rPr>
        <w:t xml:space="preserve"> our information, </w:t>
      </w:r>
      <w:r w:rsidR="000568C2">
        <w:rPr>
          <w:rFonts w:cstheme="minorHAnsi"/>
          <w:color w:val="auto"/>
          <w:sz w:val="24"/>
          <w:szCs w:val="24"/>
          <w:lang w:val="en-AU"/>
        </w:rPr>
        <w:t>patient resources</w:t>
      </w:r>
      <w:r w:rsidR="000568C2" w:rsidRPr="00BD7D7A">
        <w:rPr>
          <w:rFonts w:cstheme="minorHAnsi"/>
          <w:color w:val="auto"/>
          <w:sz w:val="24"/>
          <w:szCs w:val="24"/>
          <w:lang w:val="en-AU"/>
        </w:rPr>
        <w:t xml:space="preserve"> and support free for everyone and do not charge membership fees</w:t>
      </w:r>
      <w:r w:rsidR="000568C2">
        <w:rPr>
          <w:rFonts w:cstheme="minorHAnsi"/>
          <w:color w:val="auto"/>
          <w:sz w:val="24"/>
          <w:szCs w:val="24"/>
          <w:lang w:val="en-AU"/>
        </w:rPr>
        <w:t xml:space="preserve"> as we strongly believe that everyone should have access to the information and </w:t>
      </w:r>
      <w:r w:rsidR="009E7E80">
        <w:rPr>
          <w:rFonts w:cstheme="minorHAnsi"/>
          <w:color w:val="auto"/>
          <w:sz w:val="24"/>
          <w:szCs w:val="24"/>
          <w:lang w:val="en-AU"/>
        </w:rPr>
        <w:t>resources,</w:t>
      </w:r>
      <w:r w:rsidR="000568C2">
        <w:rPr>
          <w:rFonts w:cstheme="minorHAnsi"/>
          <w:color w:val="auto"/>
          <w:sz w:val="24"/>
          <w:szCs w:val="24"/>
          <w:lang w:val="en-AU"/>
        </w:rPr>
        <w:t xml:space="preserve"> they need to help them on their journey living with an EGID</w:t>
      </w:r>
      <w:r w:rsidR="000568C2" w:rsidRPr="00BD7D7A">
        <w:rPr>
          <w:rFonts w:cstheme="minorHAnsi"/>
          <w:color w:val="auto"/>
          <w:sz w:val="24"/>
          <w:szCs w:val="24"/>
          <w:lang w:val="en-AU"/>
        </w:rPr>
        <w:t>.</w:t>
      </w:r>
      <w:r w:rsidR="000568C2">
        <w:rPr>
          <w:rFonts w:cstheme="minorHAnsi"/>
          <w:color w:val="auto"/>
          <w:sz w:val="24"/>
          <w:szCs w:val="24"/>
          <w:lang w:val="en-AU"/>
        </w:rPr>
        <w:t xml:space="preserve"> </w:t>
      </w:r>
      <w:r w:rsidR="00AE272B">
        <w:rPr>
          <w:rFonts w:cstheme="minorHAnsi"/>
          <w:color w:val="auto"/>
          <w:sz w:val="24"/>
          <w:szCs w:val="24"/>
          <w:lang w:val="en-AU"/>
        </w:rPr>
        <w:t>Over the years d</w:t>
      </w:r>
      <w:r w:rsidR="001534B8" w:rsidRPr="004D729E">
        <w:rPr>
          <w:rFonts w:cstheme="minorHAnsi"/>
          <w:color w:val="auto"/>
          <w:sz w:val="24"/>
          <w:szCs w:val="24"/>
          <w:lang w:val="en-AU"/>
        </w:rPr>
        <w:t>emand for our services and resources ha</w:t>
      </w:r>
      <w:r w:rsidR="001534B8">
        <w:rPr>
          <w:rFonts w:cstheme="minorHAnsi"/>
          <w:color w:val="auto"/>
          <w:sz w:val="24"/>
          <w:szCs w:val="24"/>
          <w:lang w:val="en-AU"/>
        </w:rPr>
        <w:t xml:space="preserve">s dramatically </w:t>
      </w:r>
      <w:r w:rsidR="001534B8" w:rsidRPr="004D729E">
        <w:rPr>
          <w:rFonts w:cstheme="minorHAnsi"/>
          <w:color w:val="auto"/>
          <w:sz w:val="24"/>
          <w:szCs w:val="24"/>
          <w:lang w:val="en-AU"/>
        </w:rPr>
        <w:t xml:space="preserve">increased, however </w:t>
      </w:r>
      <w:r w:rsidR="001534B8">
        <w:rPr>
          <w:rFonts w:cstheme="minorHAnsi"/>
          <w:color w:val="auto"/>
          <w:sz w:val="24"/>
          <w:szCs w:val="24"/>
          <w:lang w:val="en-AU"/>
        </w:rPr>
        <w:t>we have remained unfunded</w:t>
      </w:r>
      <w:r w:rsidR="003274C1">
        <w:rPr>
          <w:rFonts w:cstheme="minorHAnsi"/>
          <w:color w:val="auto"/>
          <w:sz w:val="24"/>
          <w:szCs w:val="24"/>
          <w:lang w:val="en-AU"/>
        </w:rPr>
        <w:t>, being an</w:t>
      </w:r>
      <w:r w:rsidR="007F166D">
        <w:rPr>
          <w:rFonts w:cstheme="minorHAnsi"/>
          <w:color w:val="auto"/>
          <w:sz w:val="24"/>
          <w:szCs w:val="24"/>
          <w:lang w:val="en-AU"/>
        </w:rPr>
        <w:t xml:space="preserve"> entirely volunteer run </w:t>
      </w:r>
      <w:r w:rsidR="003274C1">
        <w:rPr>
          <w:rFonts w:cstheme="minorHAnsi"/>
          <w:color w:val="auto"/>
          <w:sz w:val="24"/>
          <w:szCs w:val="24"/>
          <w:lang w:val="en-AU"/>
        </w:rPr>
        <w:t xml:space="preserve">organisation that is </w:t>
      </w:r>
      <w:r w:rsidR="007F166D">
        <w:rPr>
          <w:rFonts w:cstheme="minorHAnsi"/>
          <w:color w:val="auto"/>
          <w:sz w:val="24"/>
          <w:szCs w:val="24"/>
          <w:lang w:val="en-AU"/>
        </w:rPr>
        <w:t>rely</w:t>
      </w:r>
      <w:r w:rsidR="003274C1">
        <w:rPr>
          <w:rFonts w:cstheme="minorHAnsi"/>
          <w:color w:val="auto"/>
          <w:sz w:val="24"/>
          <w:szCs w:val="24"/>
          <w:lang w:val="en-AU"/>
        </w:rPr>
        <w:t>ing</w:t>
      </w:r>
      <w:r w:rsidR="007F166D">
        <w:rPr>
          <w:rFonts w:cstheme="minorHAnsi"/>
          <w:color w:val="auto"/>
          <w:sz w:val="24"/>
          <w:szCs w:val="24"/>
          <w:lang w:val="en-AU"/>
        </w:rPr>
        <w:t xml:space="preserve"> predominately on donations</w:t>
      </w:r>
      <w:r w:rsidR="003210C9">
        <w:rPr>
          <w:rFonts w:cstheme="minorHAnsi"/>
          <w:color w:val="auto"/>
          <w:sz w:val="24"/>
          <w:szCs w:val="24"/>
          <w:lang w:val="en-AU"/>
        </w:rPr>
        <w:t xml:space="preserve"> from our supporters</w:t>
      </w:r>
      <w:r w:rsidR="007F166D" w:rsidRPr="004D729E">
        <w:rPr>
          <w:rFonts w:cstheme="minorHAnsi"/>
          <w:color w:val="auto"/>
          <w:sz w:val="24"/>
          <w:szCs w:val="24"/>
          <w:lang w:val="en-AU"/>
        </w:rPr>
        <w:t>.</w:t>
      </w:r>
    </w:p>
    <w:bookmarkEnd w:id="13"/>
    <w:p w14:paraId="106B77EB" w14:textId="77777777" w:rsidR="001D6ACA" w:rsidRPr="004C49A3" w:rsidRDefault="001D6ACA" w:rsidP="008271DC">
      <w:pPr>
        <w:spacing w:after="0" w:line="240" w:lineRule="auto"/>
        <w:jc w:val="both"/>
        <w:rPr>
          <w:rFonts w:cstheme="minorHAnsi"/>
          <w:color w:val="auto"/>
          <w:lang w:val="en-AU"/>
        </w:rPr>
      </w:pPr>
    </w:p>
    <w:p w14:paraId="59C24F68" w14:textId="149175BB" w:rsidR="00726F31" w:rsidRDefault="00145521" w:rsidP="008271DC">
      <w:pPr>
        <w:spacing w:after="0" w:line="240" w:lineRule="auto"/>
        <w:jc w:val="both"/>
        <w:rPr>
          <w:rFonts w:cstheme="minorHAnsi"/>
          <w:color w:val="auto"/>
          <w:sz w:val="24"/>
          <w:szCs w:val="24"/>
          <w:lang w:val="en-AU"/>
        </w:rPr>
      </w:pPr>
      <w:r w:rsidRPr="00145521">
        <w:rPr>
          <w:color w:val="auto"/>
          <w:sz w:val="24"/>
          <w:szCs w:val="24"/>
          <w:lang w:val="en-AU"/>
        </w:rPr>
        <w:t xml:space="preserve">A total investment from the </w:t>
      </w:r>
      <w:r w:rsidR="00DE4207">
        <w:rPr>
          <w:color w:val="auto"/>
          <w:sz w:val="24"/>
          <w:szCs w:val="24"/>
          <w:lang w:val="en-AU"/>
        </w:rPr>
        <w:t>Australian</w:t>
      </w:r>
      <w:r w:rsidRPr="00145521">
        <w:rPr>
          <w:color w:val="auto"/>
          <w:sz w:val="24"/>
          <w:szCs w:val="24"/>
          <w:lang w:val="en-AU"/>
        </w:rPr>
        <w:t xml:space="preserve"> Government of $</w:t>
      </w:r>
      <w:r w:rsidR="00061C67">
        <w:rPr>
          <w:color w:val="auto"/>
          <w:sz w:val="24"/>
          <w:szCs w:val="24"/>
          <w:lang w:val="en-AU"/>
        </w:rPr>
        <w:t>500</w:t>
      </w:r>
      <w:r w:rsidRPr="00145521">
        <w:rPr>
          <w:color w:val="auto"/>
          <w:sz w:val="24"/>
          <w:szCs w:val="24"/>
          <w:lang w:val="en-AU"/>
        </w:rPr>
        <w:t xml:space="preserve">,000 </w:t>
      </w:r>
      <w:r w:rsidR="00061C67">
        <w:rPr>
          <w:color w:val="auto"/>
          <w:sz w:val="24"/>
          <w:szCs w:val="24"/>
          <w:lang w:val="en-AU"/>
        </w:rPr>
        <w:t xml:space="preserve">over three years </w:t>
      </w:r>
      <w:r w:rsidR="00DE4207">
        <w:rPr>
          <w:color w:val="auto"/>
          <w:sz w:val="24"/>
          <w:szCs w:val="24"/>
          <w:lang w:val="en-AU"/>
        </w:rPr>
        <w:t xml:space="preserve">will </w:t>
      </w:r>
      <w:r w:rsidR="00DE17D3" w:rsidRPr="004E7476">
        <w:rPr>
          <w:color w:val="auto"/>
          <w:sz w:val="24"/>
          <w:szCs w:val="24"/>
          <w:lang w:val="en-AU"/>
        </w:rPr>
        <w:t>strengthen the capacity</w:t>
      </w:r>
      <w:r w:rsidR="0096150D">
        <w:rPr>
          <w:color w:val="auto"/>
          <w:sz w:val="24"/>
          <w:szCs w:val="24"/>
          <w:lang w:val="en-AU"/>
        </w:rPr>
        <w:t xml:space="preserve">, </w:t>
      </w:r>
      <w:r w:rsidR="006806B5">
        <w:rPr>
          <w:color w:val="auto"/>
          <w:sz w:val="24"/>
          <w:szCs w:val="24"/>
          <w:lang w:val="en-AU"/>
        </w:rPr>
        <w:t>reach</w:t>
      </w:r>
      <w:r w:rsidR="0096150D">
        <w:rPr>
          <w:color w:val="auto"/>
          <w:sz w:val="24"/>
          <w:szCs w:val="24"/>
          <w:lang w:val="en-AU"/>
        </w:rPr>
        <w:t xml:space="preserve"> and impact</w:t>
      </w:r>
      <w:r w:rsidR="00DE17D3" w:rsidRPr="004E7476">
        <w:rPr>
          <w:color w:val="auto"/>
          <w:sz w:val="24"/>
          <w:szCs w:val="24"/>
          <w:lang w:val="en-AU"/>
        </w:rPr>
        <w:t xml:space="preserve"> of </w:t>
      </w:r>
      <w:r w:rsidR="00DE17D3">
        <w:rPr>
          <w:color w:val="auto"/>
          <w:sz w:val="24"/>
          <w:szCs w:val="24"/>
          <w:lang w:val="en-AU"/>
        </w:rPr>
        <w:t>our</w:t>
      </w:r>
      <w:r w:rsidR="00DE17D3" w:rsidRPr="004E7476">
        <w:rPr>
          <w:color w:val="auto"/>
          <w:sz w:val="24"/>
          <w:szCs w:val="24"/>
          <w:lang w:val="en-AU"/>
        </w:rPr>
        <w:t xml:space="preserve"> national non-profit organisation</w:t>
      </w:r>
      <w:r w:rsidR="008271DC">
        <w:rPr>
          <w:color w:val="auto"/>
          <w:sz w:val="24"/>
          <w:szCs w:val="24"/>
          <w:lang w:val="en-AU"/>
        </w:rPr>
        <w:t xml:space="preserve"> to </w:t>
      </w:r>
      <w:r w:rsidR="008271DC" w:rsidRPr="00145521">
        <w:rPr>
          <w:color w:val="auto"/>
          <w:sz w:val="24"/>
          <w:szCs w:val="24"/>
          <w:lang w:val="en-AU"/>
        </w:rPr>
        <w:t>ensure that</w:t>
      </w:r>
      <w:r w:rsidR="001D6ACA">
        <w:rPr>
          <w:color w:val="auto"/>
          <w:sz w:val="24"/>
          <w:szCs w:val="24"/>
          <w:lang w:val="en-AU"/>
        </w:rPr>
        <w:t xml:space="preserve"> </w:t>
      </w:r>
      <w:r w:rsidR="008271DC">
        <w:rPr>
          <w:color w:val="auto"/>
          <w:sz w:val="24"/>
          <w:szCs w:val="24"/>
          <w:lang w:val="en-AU"/>
        </w:rPr>
        <w:t>patients, families</w:t>
      </w:r>
      <w:r w:rsidR="004055C8">
        <w:rPr>
          <w:color w:val="auto"/>
          <w:sz w:val="24"/>
          <w:szCs w:val="24"/>
          <w:lang w:val="en-AU"/>
        </w:rPr>
        <w:t xml:space="preserve"> and carers</w:t>
      </w:r>
      <w:r w:rsidR="008271DC">
        <w:rPr>
          <w:color w:val="auto"/>
          <w:sz w:val="24"/>
          <w:szCs w:val="24"/>
          <w:lang w:val="en-AU"/>
        </w:rPr>
        <w:t xml:space="preserve"> of those with </w:t>
      </w:r>
      <w:r w:rsidR="008271DC" w:rsidRPr="00145521">
        <w:rPr>
          <w:color w:val="auto"/>
          <w:sz w:val="24"/>
          <w:szCs w:val="24"/>
          <w:lang w:val="en-AU"/>
        </w:rPr>
        <w:t xml:space="preserve">EGIDs </w:t>
      </w:r>
      <w:r w:rsidR="008271DC" w:rsidRPr="00DA659A">
        <w:rPr>
          <w:color w:val="auto"/>
          <w:sz w:val="24"/>
          <w:szCs w:val="24"/>
          <w:lang w:val="en-AU"/>
        </w:rPr>
        <w:t xml:space="preserve">receive </w:t>
      </w:r>
      <w:r w:rsidR="004055C8">
        <w:rPr>
          <w:color w:val="auto"/>
          <w:sz w:val="24"/>
          <w:szCs w:val="24"/>
          <w:lang w:val="en-AU"/>
        </w:rPr>
        <w:t xml:space="preserve">the appropriate information, </w:t>
      </w:r>
      <w:r w:rsidR="008271DC">
        <w:rPr>
          <w:color w:val="auto"/>
          <w:sz w:val="24"/>
          <w:szCs w:val="24"/>
          <w:lang w:val="en-AU"/>
        </w:rPr>
        <w:t xml:space="preserve">optimal </w:t>
      </w:r>
      <w:r w:rsidR="008271DC" w:rsidRPr="00DA659A">
        <w:rPr>
          <w:color w:val="auto"/>
          <w:sz w:val="24"/>
          <w:szCs w:val="24"/>
          <w:lang w:val="en-AU"/>
        </w:rPr>
        <w:t>care and support they</w:t>
      </w:r>
      <w:r w:rsidR="008271DC">
        <w:rPr>
          <w:color w:val="auto"/>
          <w:sz w:val="24"/>
          <w:szCs w:val="24"/>
          <w:lang w:val="en-AU"/>
        </w:rPr>
        <w:t xml:space="preserve"> need</w:t>
      </w:r>
      <w:r w:rsidR="00726F31">
        <w:rPr>
          <w:color w:val="auto"/>
          <w:sz w:val="24"/>
          <w:szCs w:val="24"/>
          <w:lang w:val="en-AU"/>
        </w:rPr>
        <w:t xml:space="preserve"> to improve their quality of life</w:t>
      </w:r>
      <w:r w:rsidR="008271DC">
        <w:rPr>
          <w:rFonts w:cstheme="minorHAnsi"/>
          <w:color w:val="auto"/>
          <w:sz w:val="24"/>
          <w:szCs w:val="24"/>
          <w:lang w:val="en-AU"/>
        </w:rPr>
        <w:t xml:space="preserve">. </w:t>
      </w:r>
    </w:p>
    <w:p w14:paraId="111B79BA" w14:textId="77777777" w:rsidR="00712412" w:rsidRPr="004C49A3" w:rsidRDefault="00712412" w:rsidP="00552E33">
      <w:pPr>
        <w:spacing w:after="0" w:line="240" w:lineRule="auto"/>
        <w:jc w:val="both"/>
        <w:rPr>
          <w:color w:val="auto"/>
          <w:lang w:val="en-AU"/>
        </w:rPr>
      </w:pPr>
    </w:p>
    <w:p w14:paraId="73D702F0" w14:textId="62DDC5BE" w:rsidR="00815709" w:rsidRDefault="002506F0" w:rsidP="00815709">
      <w:pPr>
        <w:ind w:right="47"/>
        <w:rPr>
          <w:color w:val="auto"/>
          <w:sz w:val="24"/>
          <w:szCs w:val="24"/>
          <w:lang w:val="en-AU"/>
        </w:rPr>
      </w:pPr>
      <w:r>
        <w:rPr>
          <w:color w:val="auto"/>
          <w:sz w:val="24"/>
          <w:szCs w:val="24"/>
          <w:lang w:val="en-AU"/>
        </w:rPr>
        <w:t>T</w:t>
      </w:r>
      <w:r w:rsidR="00867C5B" w:rsidRPr="00867C5B">
        <w:rPr>
          <w:color w:val="auto"/>
          <w:sz w:val="24"/>
          <w:szCs w:val="24"/>
          <w:lang w:val="en-AU"/>
        </w:rPr>
        <w:t xml:space="preserve">he funding of these key </w:t>
      </w:r>
      <w:r w:rsidR="0022145C">
        <w:rPr>
          <w:color w:val="auto"/>
          <w:sz w:val="24"/>
          <w:szCs w:val="24"/>
          <w:lang w:val="en-AU"/>
        </w:rPr>
        <w:t>objective</w:t>
      </w:r>
      <w:r w:rsidR="00867C5B" w:rsidRPr="00867C5B">
        <w:rPr>
          <w:color w:val="auto"/>
          <w:sz w:val="24"/>
          <w:szCs w:val="24"/>
          <w:lang w:val="en-AU"/>
        </w:rPr>
        <w:t>s will</w:t>
      </w:r>
      <w:r w:rsidR="008A32D2">
        <w:rPr>
          <w:color w:val="auto"/>
          <w:sz w:val="24"/>
          <w:szCs w:val="24"/>
          <w:lang w:val="en-AU"/>
        </w:rPr>
        <w:t xml:space="preserve"> additionally</w:t>
      </w:r>
      <w:r>
        <w:rPr>
          <w:color w:val="auto"/>
          <w:sz w:val="24"/>
          <w:szCs w:val="24"/>
          <w:lang w:val="en-AU"/>
        </w:rPr>
        <w:t xml:space="preserve"> support</w:t>
      </w:r>
      <w:r w:rsidR="00867C5B" w:rsidRPr="00867C5B">
        <w:rPr>
          <w:color w:val="auto"/>
          <w:sz w:val="24"/>
          <w:szCs w:val="24"/>
          <w:lang w:val="en-AU"/>
        </w:rPr>
        <w:t xml:space="preserve"> </w:t>
      </w:r>
      <w:r w:rsidRPr="00143E2A">
        <w:rPr>
          <w:color w:val="auto"/>
          <w:sz w:val="24"/>
          <w:szCs w:val="24"/>
          <w:lang w:val="en-AU"/>
        </w:rPr>
        <w:t>health professional education</w:t>
      </w:r>
      <w:r w:rsidR="004055C8">
        <w:rPr>
          <w:color w:val="auto"/>
          <w:sz w:val="24"/>
          <w:szCs w:val="24"/>
          <w:lang w:val="en-AU"/>
        </w:rPr>
        <w:t xml:space="preserve"> and the wider community</w:t>
      </w:r>
      <w:r>
        <w:rPr>
          <w:color w:val="auto"/>
          <w:sz w:val="24"/>
          <w:szCs w:val="24"/>
          <w:lang w:val="en-AU"/>
        </w:rPr>
        <w:t xml:space="preserve"> </w:t>
      </w:r>
      <w:r w:rsidR="008D5E58">
        <w:rPr>
          <w:color w:val="auto"/>
          <w:sz w:val="24"/>
          <w:szCs w:val="24"/>
          <w:lang w:val="en-AU"/>
        </w:rPr>
        <w:t>to provide</w:t>
      </w:r>
      <w:r w:rsidR="00867C5B" w:rsidRPr="00867C5B">
        <w:rPr>
          <w:color w:val="auto"/>
          <w:sz w:val="24"/>
          <w:szCs w:val="24"/>
          <w:lang w:val="en-AU"/>
        </w:rPr>
        <w:t xml:space="preserve"> a </w:t>
      </w:r>
      <w:r w:rsidR="009E0BF0">
        <w:rPr>
          <w:color w:val="auto"/>
          <w:sz w:val="24"/>
          <w:szCs w:val="24"/>
          <w:lang w:val="en-AU"/>
        </w:rPr>
        <w:t xml:space="preserve">better </w:t>
      </w:r>
      <w:r w:rsidR="00867C5B" w:rsidRPr="00867C5B">
        <w:rPr>
          <w:color w:val="auto"/>
          <w:sz w:val="24"/>
          <w:szCs w:val="24"/>
          <w:lang w:val="en-AU"/>
        </w:rPr>
        <w:t xml:space="preserve">future </w:t>
      </w:r>
      <w:r w:rsidR="009E0BF0">
        <w:rPr>
          <w:color w:val="auto"/>
          <w:sz w:val="24"/>
          <w:szCs w:val="24"/>
          <w:lang w:val="en-AU"/>
        </w:rPr>
        <w:t>for those</w:t>
      </w:r>
      <w:r w:rsidR="00355712">
        <w:rPr>
          <w:color w:val="auto"/>
          <w:sz w:val="24"/>
          <w:szCs w:val="24"/>
          <w:lang w:val="en-AU"/>
        </w:rPr>
        <w:t xml:space="preserve"> living with</w:t>
      </w:r>
      <w:r w:rsidR="00867C5B" w:rsidRPr="00867C5B">
        <w:rPr>
          <w:color w:val="auto"/>
          <w:sz w:val="24"/>
          <w:szCs w:val="24"/>
          <w:lang w:val="en-AU"/>
        </w:rPr>
        <w:t xml:space="preserve"> </w:t>
      </w:r>
      <w:r w:rsidR="004055C8">
        <w:rPr>
          <w:color w:val="auto"/>
          <w:sz w:val="24"/>
          <w:szCs w:val="24"/>
          <w:lang w:val="en-AU"/>
        </w:rPr>
        <w:t>EGIDs.</w:t>
      </w:r>
    </w:p>
    <w:p w14:paraId="2ABBA291" w14:textId="77777777" w:rsidR="004C49A3" w:rsidRPr="004C49A3" w:rsidRDefault="004C49A3" w:rsidP="00815709">
      <w:pPr>
        <w:ind w:right="47"/>
        <w:rPr>
          <w:color w:val="auto"/>
          <w:sz w:val="2"/>
          <w:szCs w:val="2"/>
          <w:lang w:val="en-AU"/>
        </w:rPr>
      </w:pPr>
    </w:p>
    <w:tbl>
      <w:tblPr>
        <w:tblStyle w:val="GridTable1Light-Accent3"/>
        <w:tblW w:w="0" w:type="auto"/>
        <w:tblLook w:val="04A0" w:firstRow="1" w:lastRow="0" w:firstColumn="1" w:lastColumn="0" w:noHBand="0" w:noVBand="1"/>
      </w:tblPr>
      <w:tblGrid>
        <w:gridCol w:w="4673"/>
        <w:gridCol w:w="1134"/>
        <w:gridCol w:w="1134"/>
        <w:gridCol w:w="1134"/>
        <w:gridCol w:w="1318"/>
      </w:tblGrid>
      <w:tr w:rsidR="002066F5" w14:paraId="1A0C7403" w14:textId="77777777" w:rsidTr="002A58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63808A15" w14:textId="77777777" w:rsidR="002066F5" w:rsidRDefault="002066F5" w:rsidP="002A58AE">
            <w:pPr>
              <w:pStyle w:val="CompanyInfo"/>
              <w:spacing w:after="0"/>
              <w:jc w:val="both"/>
              <w:rPr>
                <w:color w:val="auto"/>
                <w:sz w:val="24"/>
                <w:szCs w:val="24"/>
                <w:lang w:val="en-AU"/>
              </w:rPr>
            </w:pPr>
            <w:r>
              <w:rPr>
                <w:color w:val="auto"/>
                <w:sz w:val="24"/>
                <w:szCs w:val="24"/>
                <w:lang w:val="en-AU"/>
              </w:rPr>
              <w:t>Objective</w:t>
            </w:r>
          </w:p>
        </w:tc>
        <w:tc>
          <w:tcPr>
            <w:tcW w:w="1134" w:type="dxa"/>
          </w:tcPr>
          <w:p w14:paraId="553E24FD" w14:textId="77777777" w:rsidR="002066F5" w:rsidRDefault="002066F5" w:rsidP="002A58AE">
            <w:pPr>
              <w:pStyle w:val="CompanyInfo"/>
              <w:spacing w:after="0"/>
              <w:jc w:val="center"/>
              <w:cnfStyle w:val="100000000000" w:firstRow="1" w:lastRow="0" w:firstColumn="0" w:lastColumn="0" w:oddVBand="0" w:evenVBand="0" w:oddHBand="0" w:evenHBand="0" w:firstRowFirstColumn="0" w:firstRowLastColumn="0" w:lastRowFirstColumn="0" w:lastRowLastColumn="0"/>
              <w:rPr>
                <w:color w:val="auto"/>
                <w:sz w:val="24"/>
                <w:szCs w:val="24"/>
                <w:lang w:val="en-AU"/>
              </w:rPr>
            </w:pPr>
            <w:r>
              <w:rPr>
                <w:color w:val="auto"/>
                <w:sz w:val="24"/>
                <w:szCs w:val="24"/>
                <w:lang w:val="en-AU"/>
              </w:rPr>
              <w:t>2020/21</w:t>
            </w:r>
          </w:p>
        </w:tc>
        <w:tc>
          <w:tcPr>
            <w:tcW w:w="1134" w:type="dxa"/>
          </w:tcPr>
          <w:p w14:paraId="4C1DE430" w14:textId="77777777" w:rsidR="002066F5" w:rsidRDefault="002066F5" w:rsidP="002A58AE">
            <w:pPr>
              <w:pStyle w:val="CompanyInfo"/>
              <w:spacing w:after="0"/>
              <w:jc w:val="center"/>
              <w:cnfStyle w:val="100000000000" w:firstRow="1" w:lastRow="0" w:firstColumn="0" w:lastColumn="0" w:oddVBand="0" w:evenVBand="0" w:oddHBand="0" w:evenHBand="0" w:firstRowFirstColumn="0" w:firstRowLastColumn="0" w:lastRowFirstColumn="0" w:lastRowLastColumn="0"/>
              <w:rPr>
                <w:color w:val="auto"/>
                <w:sz w:val="24"/>
                <w:szCs w:val="24"/>
                <w:lang w:val="en-AU"/>
              </w:rPr>
            </w:pPr>
            <w:r>
              <w:rPr>
                <w:color w:val="auto"/>
                <w:sz w:val="24"/>
                <w:szCs w:val="24"/>
                <w:lang w:val="en-AU"/>
              </w:rPr>
              <w:t>2021/22</w:t>
            </w:r>
          </w:p>
        </w:tc>
        <w:tc>
          <w:tcPr>
            <w:tcW w:w="1134" w:type="dxa"/>
          </w:tcPr>
          <w:p w14:paraId="31C7DCF4" w14:textId="77777777" w:rsidR="002066F5" w:rsidRDefault="002066F5" w:rsidP="002A58AE">
            <w:pPr>
              <w:pStyle w:val="CompanyInfo"/>
              <w:spacing w:after="0"/>
              <w:jc w:val="center"/>
              <w:cnfStyle w:val="100000000000" w:firstRow="1" w:lastRow="0" w:firstColumn="0" w:lastColumn="0" w:oddVBand="0" w:evenVBand="0" w:oddHBand="0" w:evenHBand="0" w:firstRowFirstColumn="0" w:firstRowLastColumn="0" w:lastRowFirstColumn="0" w:lastRowLastColumn="0"/>
              <w:rPr>
                <w:color w:val="auto"/>
                <w:sz w:val="24"/>
                <w:szCs w:val="24"/>
                <w:lang w:val="en-AU"/>
              </w:rPr>
            </w:pPr>
            <w:r>
              <w:rPr>
                <w:color w:val="auto"/>
                <w:sz w:val="24"/>
                <w:szCs w:val="24"/>
                <w:lang w:val="en-AU"/>
              </w:rPr>
              <w:t>2022/23</w:t>
            </w:r>
          </w:p>
        </w:tc>
        <w:tc>
          <w:tcPr>
            <w:tcW w:w="1318" w:type="dxa"/>
          </w:tcPr>
          <w:p w14:paraId="5B745C79" w14:textId="77777777" w:rsidR="002066F5" w:rsidRDefault="002066F5" w:rsidP="002A58AE">
            <w:pPr>
              <w:pStyle w:val="CompanyInfo"/>
              <w:spacing w:after="0"/>
              <w:jc w:val="center"/>
              <w:cnfStyle w:val="100000000000" w:firstRow="1" w:lastRow="0" w:firstColumn="0" w:lastColumn="0" w:oddVBand="0" w:evenVBand="0" w:oddHBand="0" w:evenHBand="0" w:firstRowFirstColumn="0" w:firstRowLastColumn="0" w:lastRowFirstColumn="0" w:lastRowLastColumn="0"/>
              <w:rPr>
                <w:color w:val="auto"/>
                <w:sz w:val="24"/>
                <w:szCs w:val="24"/>
                <w:lang w:val="en-AU"/>
              </w:rPr>
            </w:pPr>
            <w:r>
              <w:rPr>
                <w:color w:val="auto"/>
                <w:sz w:val="24"/>
                <w:szCs w:val="24"/>
                <w:lang w:val="en-AU"/>
              </w:rPr>
              <w:t>Cost over 3 years</w:t>
            </w:r>
          </w:p>
        </w:tc>
      </w:tr>
      <w:tr w:rsidR="002066F5" w14:paraId="26914459" w14:textId="77777777" w:rsidTr="002A58AE">
        <w:tc>
          <w:tcPr>
            <w:cnfStyle w:val="001000000000" w:firstRow="0" w:lastRow="0" w:firstColumn="1" w:lastColumn="0" w:oddVBand="0" w:evenVBand="0" w:oddHBand="0" w:evenHBand="0" w:firstRowFirstColumn="0" w:firstRowLastColumn="0" w:lastRowFirstColumn="0" w:lastRowLastColumn="0"/>
            <w:tcW w:w="4673" w:type="dxa"/>
          </w:tcPr>
          <w:p w14:paraId="6ACB59B3" w14:textId="24687C7C" w:rsidR="002066F5" w:rsidRDefault="00F82726" w:rsidP="002A58AE">
            <w:pPr>
              <w:pStyle w:val="CompanyInfo"/>
              <w:spacing w:after="0"/>
              <w:jc w:val="both"/>
              <w:rPr>
                <w:color w:val="auto"/>
                <w:sz w:val="24"/>
                <w:szCs w:val="24"/>
                <w:lang w:val="en-AU"/>
              </w:rPr>
            </w:pPr>
            <w:bookmarkStart w:id="14" w:name="_Hlk30829218"/>
            <w:r>
              <w:rPr>
                <w:color w:val="auto"/>
                <w:sz w:val="24"/>
                <w:szCs w:val="24"/>
                <w:lang w:val="en-AU"/>
              </w:rPr>
              <w:t xml:space="preserve">1: </w:t>
            </w:r>
            <w:r w:rsidR="002066F5" w:rsidRPr="00576724">
              <w:rPr>
                <w:color w:val="auto"/>
                <w:sz w:val="24"/>
                <w:szCs w:val="24"/>
                <w:lang w:val="en-AU"/>
              </w:rPr>
              <w:t>Timely Diagnosis</w:t>
            </w:r>
          </w:p>
        </w:tc>
        <w:tc>
          <w:tcPr>
            <w:tcW w:w="1134" w:type="dxa"/>
          </w:tcPr>
          <w:p w14:paraId="163D143A" w14:textId="77777777" w:rsidR="002066F5" w:rsidRDefault="002066F5" w:rsidP="002A58AE">
            <w:pPr>
              <w:pStyle w:val="CompanyInfo"/>
              <w:spacing w:after="0"/>
              <w:jc w:val="both"/>
              <w:cnfStyle w:val="000000000000" w:firstRow="0" w:lastRow="0" w:firstColumn="0" w:lastColumn="0" w:oddVBand="0" w:evenVBand="0" w:oddHBand="0" w:evenHBand="0" w:firstRowFirstColumn="0" w:firstRowLastColumn="0" w:lastRowFirstColumn="0" w:lastRowLastColumn="0"/>
              <w:rPr>
                <w:color w:val="auto"/>
                <w:sz w:val="24"/>
                <w:szCs w:val="24"/>
                <w:lang w:val="en-AU"/>
              </w:rPr>
            </w:pPr>
            <w:r>
              <w:rPr>
                <w:color w:val="auto"/>
                <w:sz w:val="24"/>
                <w:szCs w:val="24"/>
                <w:lang w:val="en-AU"/>
              </w:rPr>
              <w:t>$  40,000</w:t>
            </w:r>
          </w:p>
        </w:tc>
        <w:tc>
          <w:tcPr>
            <w:tcW w:w="1134" w:type="dxa"/>
          </w:tcPr>
          <w:p w14:paraId="403DB3A3" w14:textId="77777777" w:rsidR="002066F5" w:rsidRDefault="002066F5" w:rsidP="002A58AE">
            <w:pPr>
              <w:pStyle w:val="CompanyInfo"/>
              <w:spacing w:after="0"/>
              <w:jc w:val="both"/>
              <w:cnfStyle w:val="000000000000" w:firstRow="0" w:lastRow="0" w:firstColumn="0" w:lastColumn="0" w:oddVBand="0" w:evenVBand="0" w:oddHBand="0" w:evenHBand="0" w:firstRowFirstColumn="0" w:firstRowLastColumn="0" w:lastRowFirstColumn="0" w:lastRowLastColumn="0"/>
              <w:rPr>
                <w:color w:val="auto"/>
                <w:sz w:val="24"/>
                <w:szCs w:val="24"/>
                <w:lang w:val="en-AU"/>
              </w:rPr>
            </w:pPr>
            <w:r>
              <w:rPr>
                <w:color w:val="auto"/>
                <w:sz w:val="24"/>
                <w:szCs w:val="24"/>
                <w:lang w:val="en-AU"/>
              </w:rPr>
              <w:t>$  40,000</w:t>
            </w:r>
          </w:p>
        </w:tc>
        <w:tc>
          <w:tcPr>
            <w:tcW w:w="1134" w:type="dxa"/>
          </w:tcPr>
          <w:p w14:paraId="1A214165" w14:textId="77777777" w:rsidR="002066F5" w:rsidRDefault="002066F5" w:rsidP="002A58AE">
            <w:pPr>
              <w:pStyle w:val="CompanyInfo"/>
              <w:spacing w:after="0"/>
              <w:jc w:val="both"/>
              <w:cnfStyle w:val="000000000000" w:firstRow="0" w:lastRow="0" w:firstColumn="0" w:lastColumn="0" w:oddVBand="0" w:evenVBand="0" w:oddHBand="0" w:evenHBand="0" w:firstRowFirstColumn="0" w:firstRowLastColumn="0" w:lastRowFirstColumn="0" w:lastRowLastColumn="0"/>
              <w:rPr>
                <w:color w:val="auto"/>
                <w:sz w:val="24"/>
                <w:szCs w:val="24"/>
                <w:lang w:val="en-AU"/>
              </w:rPr>
            </w:pPr>
            <w:r>
              <w:rPr>
                <w:color w:val="auto"/>
                <w:sz w:val="24"/>
                <w:szCs w:val="24"/>
                <w:lang w:val="en-AU"/>
              </w:rPr>
              <w:t>$  40,000</w:t>
            </w:r>
          </w:p>
        </w:tc>
        <w:tc>
          <w:tcPr>
            <w:tcW w:w="1318" w:type="dxa"/>
          </w:tcPr>
          <w:p w14:paraId="08D6769E" w14:textId="77777777" w:rsidR="002066F5" w:rsidRDefault="002066F5" w:rsidP="002A58AE">
            <w:pPr>
              <w:pStyle w:val="CompanyInfo"/>
              <w:spacing w:after="0"/>
              <w:jc w:val="both"/>
              <w:cnfStyle w:val="000000000000" w:firstRow="0" w:lastRow="0" w:firstColumn="0" w:lastColumn="0" w:oddVBand="0" w:evenVBand="0" w:oddHBand="0" w:evenHBand="0" w:firstRowFirstColumn="0" w:firstRowLastColumn="0" w:lastRowFirstColumn="0" w:lastRowLastColumn="0"/>
              <w:rPr>
                <w:color w:val="auto"/>
                <w:sz w:val="24"/>
                <w:szCs w:val="24"/>
                <w:lang w:val="en-AU"/>
              </w:rPr>
            </w:pPr>
            <w:r>
              <w:rPr>
                <w:color w:val="auto"/>
                <w:sz w:val="24"/>
                <w:szCs w:val="24"/>
                <w:lang w:val="en-AU"/>
              </w:rPr>
              <w:t>$120,000</w:t>
            </w:r>
          </w:p>
        </w:tc>
      </w:tr>
      <w:tr w:rsidR="002066F5" w14:paraId="3662F766" w14:textId="77777777" w:rsidTr="002A58AE">
        <w:tc>
          <w:tcPr>
            <w:cnfStyle w:val="001000000000" w:firstRow="0" w:lastRow="0" w:firstColumn="1" w:lastColumn="0" w:oddVBand="0" w:evenVBand="0" w:oddHBand="0" w:evenHBand="0" w:firstRowFirstColumn="0" w:firstRowLastColumn="0" w:lastRowFirstColumn="0" w:lastRowLastColumn="0"/>
            <w:tcW w:w="4673" w:type="dxa"/>
          </w:tcPr>
          <w:p w14:paraId="2DF7BF9C" w14:textId="70E80A1A" w:rsidR="002066F5" w:rsidRDefault="00F82726" w:rsidP="002A58AE">
            <w:pPr>
              <w:pStyle w:val="CompanyInfo"/>
              <w:spacing w:after="0"/>
              <w:jc w:val="both"/>
              <w:rPr>
                <w:color w:val="auto"/>
                <w:sz w:val="24"/>
                <w:szCs w:val="24"/>
                <w:lang w:val="en-AU"/>
              </w:rPr>
            </w:pPr>
            <w:r>
              <w:rPr>
                <w:color w:val="auto"/>
                <w:sz w:val="24"/>
                <w:szCs w:val="24"/>
                <w:lang w:val="en-AU"/>
              </w:rPr>
              <w:t xml:space="preserve">2: </w:t>
            </w:r>
            <w:r w:rsidR="002066F5" w:rsidRPr="00576724">
              <w:rPr>
                <w:color w:val="auto"/>
                <w:sz w:val="24"/>
                <w:szCs w:val="24"/>
                <w:lang w:val="en-AU"/>
              </w:rPr>
              <w:t>Standards of Care</w:t>
            </w:r>
          </w:p>
        </w:tc>
        <w:tc>
          <w:tcPr>
            <w:tcW w:w="1134" w:type="dxa"/>
          </w:tcPr>
          <w:p w14:paraId="147E7CC5" w14:textId="77777777" w:rsidR="002066F5" w:rsidRDefault="002066F5" w:rsidP="002A58AE">
            <w:pPr>
              <w:pStyle w:val="CompanyInfo"/>
              <w:spacing w:after="0"/>
              <w:jc w:val="both"/>
              <w:cnfStyle w:val="000000000000" w:firstRow="0" w:lastRow="0" w:firstColumn="0" w:lastColumn="0" w:oddVBand="0" w:evenVBand="0" w:oddHBand="0" w:evenHBand="0" w:firstRowFirstColumn="0" w:firstRowLastColumn="0" w:lastRowFirstColumn="0" w:lastRowLastColumn="0"/>
              <w:rPr>
                <w:color w:val="auto"/>
                <w:sz w:val="24"/>
                <w:szCs w:val="24"/>
                <w:lang w:val="en-AU"/>
              </w:rPr>
            </w:pPr>
            <w:r>
              <w:rPr>
                <w:color w:val="auto"/>
                <w:sz w:val="24"/>
                <w:szCs w:val="24"/>
                <w:lang w:val="en-AU"/>
              </w:rPr>
              <w:t>$  55,000</w:t>
            </w:r>
          </w:p>
        </w:tc>
        <w:tc>
          <w:tcPr>
            <w:tcW w:w="1134" w:type="dxa"/>
          </w:tcPr>
          <w:p w14:paraId="538554C7" w14:textId="77777777" w:rsidR="002066F5" w:rsidRDefault="002066F5" w:rsidP="002A58AE">
            <w:pPr>
              <w:pStyle w:val="CompanyInfo"/>
              <w:spacing w:after="0"/>
              <w:jc w:val="both"/>
              <w:cnfStyle w:val="000000000000" w:firstRow="0" w:lastRow="0" w:firstColumn="0" w:lastColumn="0" w:oddVBand="0" w:evenVBand="0" w:oddHBand="0" w:evenHBand="0" w:firstRowFirstColumn="0" w:firstRowLastColumn="0" w:lastRowFirstColumn="0" w:lastRowLastColumn="0"/>
              <w:rPr>
                <w:color w:val="auto"/>
                <w:sz w:val="24"/>
                <w:szCs w:val="24"/>
                <w:lang w:val="en-AU"/>
              </w:rPr>
            </w:pPr>
            <w:r>
              <w:rPr>
                <w:color w:val="auto"/>
                <w:sz w:val="24"/>
                <w:szCs w:val="24"/>
                <w:lang w:val="en-AU"/>
              </w:rPr>
              <w:t>$  45,000</w:t>
            </w:r>
          </w:p>
        </w:tc>
        <w:tc>
          <w:tcPr>
            <w:tcW w:w="1134" w:type="dxa"/>
          </w:tcPr>
          <w:p w14:paraId="3D122D83" w14:textId="77777777" w:rsidR="002066F5" w:rsidRDefault="002066F5" w:rsidP="002A58AE">
            <w:pPr>
              <w:pStyle w:val="CompanyInfo"/>
              <w:spacing w:after="0"/>
              <w:jc w:val="both"/>
              <w:cnfStyle w:val="000000000000" w:firstRow="0" w:lastRow="0" w:firstColumn="0" w:lastColumn="0" w:oddVBand="0" w:evenVBand="0" w:oddHBand="0" w:evenHBand="0" w:firstRowFirstColumn="0" w:firstRowLastColumn="0" w:lastRowFirstColumn="0" w:lastRowLastColumn="0"/>
              <w:rPr>
                <w:color w:val="auto"/>
                <w:sz w:val="24"/>
                <w:szCs w:val="24"/>
                <w:lang w:val="en-AU"/>
              </w:rPr>
            </w:pPr>
            <w:r>
              <w:rPr>
                <w:color w:val="auto"/>
                <w:sz w:val="24"/>
                <w:szCs w:val="24"/>
                <w:lang w:val="en-AU"/>
              </w:rPr>
              <w:t>$  40,000</w:t>
            </w:r>
          </w:p>
        </w:tc>
        <w:tc>
          <w:tcPr>
            <w:tcW w:w="1318" w:type="dxa"/>
          </w:tcPr>
          <w:p w14:paraId="7D68BE8C" w14:textId="77777777" w:rsidR="002066F5" w:rsidRDefault="002066F5" w:rsidP="002A58AE">
            <w:pPr>
              <w:pStyle w:val="CompanyInfo"/>
              <w:spacing w:after="0"/>
              <w:jc w:val="both"/>
              <w:cnfStyle w:val="000000000000" w:firstRow="0" w:lastRow="0" w:firstColumn="0" w:lastColumn="0" w:oddVBand="0" w:evenVBand="0" w:oddHBand="0" w:evenHBand="0" w:firstRowFirstColumn="0" w:firstRowLastColumn="0" w:lastRowFirstColumn="0" w:lastRowLastColumn="0"/>
              <w:rPr>
                <w:color w:val="auto"/>
                <w:sz w:val="24"/>
                <w:szCs w:val="24"/>
                <w:lang w:val="en-AU"/>
              </w:rPr>
            </w:pPr>
            <w:r>
              <w:rPr>
                <w:color w:val="auto"/>
                <w:sz w:val="24"/>
                <w:szCs w:val="24"/>
                <w:lang w:val="en-AU"/>
              </w:rPr>
              <w:t>$140,000</w:t>
            </w:r>
          </w:p>
        </w:tc>
      </w:tr>
      <w:tr w:rsidR="002066F5" w14:paraId="4502D4B2" w14:textId="77777777" w:rsidTr="002A58AE">
        <w:tc>
          <w:tcPr>
            <w:cnfStyle w:val="001000000000" w:firstRow="0" w:lastRow="0" w:firstColumn="1" w:lastColumn="0" w:oddVBand="0" w:evenVBand="0" w:oddHBand="0" w:evenHBand="0" w:firstRowFirstColumn="0" w:firstRowLastColumn="0" w:lastRowFirstColumn="0" w:lastRowLastColumn="0"/>
            <w:tcW w:w="4673" w:type="dxa"/>
          </w:tcPr>
          <w:p w14:paraId="0DB9C552" w14:textId="47C8911A" w:rsidR="002066F5" w:rsidRDefault="00F82726" w:rsidP="002A58AE">
            <w:pPr>
              <w:pStyle w:val="CompanyInfo"/>
              <w:spacing w:after="0"/>
              <w:jc w:val="both"/>
              <w:rPr>
                <w:color w:val="auto"/>
                <w:sz w:val="24"/>
                <w:szCs w:val="24"/>
                <w:lang w:val="en-AU"/>
              </w:rPr>
            </w:pPr>
            <w:r>
              <w:rPr>
                <w:color w:val="auto"/>
                <w:sz w:val="24"/>
                <w:szCs w:val="24"/>
                <w:lang w:val="en-AU"/>
              </w:rPr>
              <w:t xml:space="preserve">3: </w:t>
            </w:r>
            <w:r w:rsidR="002066F5" w:rsidRPr="00576724">
              <w:rPr>
                <w:color w:val="auto"/>
                <w:sz w:val="24"/>
                <w:szCs w:val="24"/>
                <w:lang w:val="en-AU"/>
              </w:rPr>
              <w:t>Evidence-based Information</w:t>
            </w:r>
          </w:p>
        </w:tc>
        <w:tc>
          <w:tcPr>
            <w:tcW w:w="1134" w:type="dxa"/>
          </w:tcPr>
          <w:p w14:paraId="2AD39649" w14:textId="77777777" w:rsidR="002066F5" w:rsidRDefault="002066F5" w:rsidP="002A58AE">
            <w:pPr>
              <w:pStyle w:val="CompanyInfo"/>
              <w:spacing w:after="0"/>
              <w:jc w:val="both"/>
              <w:cnfStyle w:val="000000000000" w:firstRow="0" w:lastRow="0" w:firstColumn="0" w:lastColumn="0" w:oddVBand="0" w:evenVBand="0" w:oddHBand="0" w:evenHBand="0" w:firstRowFirstColumn="0" w:firstRowLastColumn="0" w:lastRowFirstColumn="0" w:lastRowLastColumn="0"/>
              <w:rPr>
                <w:color w:val="auto"/>
                <w:sz w:val="24"/>
                <w:szCs w:val="24"/>
                <w:lang w:val="en-AU"/>
              </w:rPr>
            </w:pPr>
            <w:r>
              <w:rPr>
                <w:color w:val="auto"/>
                <w:sz w:val="24"/>
                <w:szCs w:val="24"/>
                <w:lang w:val="en-AU"/>
              </w:rPr>
              <w:t>$  30,000</w:t>
            </w:r>
          </w:p>
        </w:tc>
        <w:tc>
          <w:tcPr>
            <w:tcW w:w="1134" w:type="dxa"/>
          </w:tcPr>
          <w:p w14:paraId="12392A8A" w14:textId="77777777" w:rsidR="002066F5" w:rsidRDefault="002066F5" w:rsidP="002A58AE">
            <w:pPr>
              <w:pStyle w:val="CompanyInfo"/>
              <w:spacing w:after="0"/>
              <w:jc w:val="both"/>
              <w:cnfStyle w:val="000000000000" w:firstRow="0" w:lastRow="0" w:firstColumn="0" w:lastColumn="0" w:oddVBand="0" w:evenVBand="0" w:oddHBand="0" w:evenHBand="0" w:firstRowFirstColumn="0" w:firstRowLastColumn="0" w:lastRowFirstColumn="0" w:lastRowLastColumn="0"/>
              <w:rPr>
                <w:color w:val="auto"/>
                <w:sz w:val="24"/>
                <w:szCs w:val="24"/>
                <w:lang w:val="en-AU"/>
              </w:rPr>
            </w:pPr>
            <w:r>
              <w:rPr>
                <w:color w:val="auto"/>
                <w:sz w:val="24"/>
                <w:szCs w:val="24"/>
                <w:lang w:val="en-AU"/>
              </w:rPr>
              <w:t>$  30,000</w:t>
            </w:r>
          </w:p>
        </w:tc>
        <w:tc>
          <w:tcPr>
            <w:tcW w:w="1134" w:type="dxa"/>
          </w:tcPr>
          <w:p w14:paraId="3621B691" w14:textId="77777777" w:rsidR="002066F5" w:rsidRDefault="002066F5" w:rsidP="002A58AE">
            <w:pPr>
              <w:pStyle w:val="CompanyInfo"/>
              <w:spacing w:after="0"/>
              <w:jc w:val="both"/>
              <w:cnfStyle w:val="000000000000" w:firstRow="0" w:lastRow="0" w:firstColumn="0" w:lastColumn="0" w:oddVBand="0" w:evenVBand="0" w:oddHBand="0" w:evenHBand="0" w:firstRowFirstColumn="0" w:firstRowLastColumn="0" w:lastRowFirstColumn="0" w:lastRowLastColumn="0"/>
              <w:rPr>
                <w:color w:val="auto"/>
                <w:sz w:val="24"/>
                <w:szCs w:val="24"/>
                <w:lang w:val="en-AU"/>
              </w:rPr>
            </w:pPr>
            <w:r>
              <w:rPr>
                <w:color w:val="auto"/>
                <w:sz w:val="24"/>
                <w:szCs w:val="24"/>
                <w:lang w:val="en-AU"/>
              </w:rPr>
              <w:t>$  30,000</w:t>
            </w:r>
          </w:p>
        </w:tc>
        <w:tc>
          <w:tcPr>
            <w:tcW w:w="1318" w:type="dxa"/>
          </w:tcPr>
          <w:p w14:paraId="4665A8A0" w14:textId="77777777" w:rsidR="002066F5" w:rsidRDefault="002066F5" w:rsidP="002A58AE">
            <w:pPr>
              <w:pStyle w:val="CompanyInfo"/>
              <w:spacing w:after="0"/>
              <w:jc w:val="both"/>
              <w:cnfStyle w:val="000000000000" w:firstRow="0" w:lastRow="0" w:firstColumn="0" w:lastColumn="0" w:oddVBand="0" w:evenVBand="0" w:oddHBand="0" w:evenHBand="0" w:firstRowFirstColumn="0" w:firstRowLastColumn="0" w:lastRowFirstColumn="0" w:lastRowLastColumn="0"/>
              <w:rPr>
                <w:color w:val="auto"/>
                <w:sz w:val="24"/>
                <w:szCs w:val="24"/>
                <w:lang w:val="en-AU"/>
              </w:rPr>
            </w:pPr>
            <w:r>
              <w:rPr>
                <w:color w:val="auto"/>
                <w:sz w:val="24"/>
                <w:szCs w:val="24"/>
                <w:lang w:val="en-AU"/>
              </w:rPr>
              <w:t>$  90,000</w:t>
            </w:r>
          </w:p>
        </w:tc>
      </w:tr>
      <w:tr w:rsidR="002066F5" w14:paraId="34496463" w14:textId="77777777" w:rsidTr="002A58AE">
        <w:tc>
          <w:tcPr>
            <w:cnfStyle w:val="001000000000" w:firstRow="0" w:lastRow="0" w:firstColumn="1" w:lastColumn="0" w:oddVBand="0" w:evenVBand="0" w:oddHBand="0" w:evenHBand="0" w:firstRowFirstColumn="0" w:firstRowLastColumn="0" w:lastRowFirstColumn="0" w:lastRowLastColumn="0"/>
            <w:tcW w:w="4673" w:type="dxa"/>
          </w:tcPr>
          <w:p w14:paraId="18A690F3" w14:textId="70415B75" w:rsidR="002066F5" w:rsidRDefault="00F82726" w:rsidP="002A58AE">
            <w:pPr>
              <w:pStyle w:val="CompanyInfo"/>
              <w:spacing w:after="0"/>
              <w:jc w:val="both"/>
              <w:rPr>
                <w:color w:val="auto"/>
                <w:sz w:val="24"/>
                <w:szCs w:val="24"/>
                <w:lang w:val="en-AU"/>
              </w:rPr>
            </w:pPr>
            <w:r>
              <w:rPr>
                <w:color w:val="auto"/>
                <w:sz w:val="24"/>
                <w:szCs w:val="24"/>
                <w:lang w:val="en-AU"/>
              </w:rPr>
              <w:t xml:space="preserve">4: </w:t>
            </w:r>
            <w:r w:rsidR="002066F5" w:rsidRPr="00576724">
              <w:rPr>
                <w:color w:val="auto"/>
                <w:sz w:val="24"/>
                <w:szCs w:val="24"/>
                <w:lang w:val="en-AU"/>
              </w:rPr>
              <w:t>Support Services</w:t>
            </w:r>
          </w:p>
        </w:tc>
        <w:tc>
          <w:tcPr>
            <w:tcW w:w="1134" w:type="dxa"/>
          </w:tcPr>
          <w:p w14:paraId="49137D6A" w14:textId="77777777" w:rsidR="002066F5" w:rsidRDefault="002066F5" w:rsidP="002A58AE">
            <w:pPr>
              <w:pStyle w:val="CompanyInfo"/>
              <w:spacing w:after="0"/>
              <w:jc w:val="both"/>
              <w:cnfStyle w:val="000000000000" w:firstRow="0" w:lastRow="0" w:firstColumn="0" w:lastColumn="0" w:oddVBand="0" w:evenVBand="0" w:oddHBand="0" w:evenHBand="0" w:firstRowFirstColumn="0" w:firstRowLastColumn="0" w:lastRowFirstColumn="0" w:lastRowLastColumn="0"/>
              <w:rPr>
                <w:color w:val="auto"/>
                <w:sz w:val="24"/>
                <w:szCs w:val="24"/>
                <w:lang w:val="en-AU"/>
              </w:rPr>
            </w:pPr>
            <w:r>
              <w:rPr>
                <w:color w:val="auto"/>
                <w:sz w:val="24"/>
                <w:szCs w:val="24"/>
                <w:lang w:val="en-AU"/>
              </w:rPr>
              <w:t>$  30,000</w:t>
            </w:r>
          </w:p>
        </w:tc>
        <w:tc>
          <w:tcPr>
            <w:tcW w:w="1134" w:type="dxa"/>
          </w:tcPr>
          <w:p w14:paraId="0BBF1BC2" w14:textId="77777777" w:rsidR="002066F5" w:rsidRDefault="002066F5" w:rsidP="002A58AE">
            <w:pPr>
              <w:pStyle w:val="CompanyInfo"/>
              <w:spacing w:after="0"/>
              <w:jc w:val="both"/>
              <w:cnfStyle w:val="000000000000" w:firstRow="0" w:lastRow="0" w:firstColumn="0" w:lastColumn="0" w:oddVBand="0" w:evenVBand="0" w:oddHBand="0" w:evenHBand="0" w:firstRowFirstColumn="0" w:firstRowLastColumn="0" w:lastRowFirstColumn="0" w:lastRowLastColumn="0"/>
              <w:rPr>
                <w:color w:val="auto"/>
                <w:sz w:val="24"/>
                <w:szCs w:val="24"/>
                <w:lang w:val="en-AU"/>
              </w:rPr>
            </w:pPr>
            <w:r>
              <w:rPr>
                <w:color w:val="auto"/>
                <w:sz w:val="24"/>
                <w:szCs w:val="24"/>
                <w:lang w:val="en-AU"/>
              </w:rPr>
              <w:t>$  30,000</w:t>
            </w:r>
          </w:p>
        </w:tc>
        <w:tc>
          <w:tcPr>
            <w:tcW w:w="1134" w:type="dxa"/>
          </w:tcPr>
          <w:p w14:paraId="3D98A98F" w14:textId="77777777" w:rsidR="002066F5" w:rsidRDefault="002066F5" w:rsidP="002A58AE">
            <w:pPr>
              <w:pStyle w:val="CompanyInfo"/>
              <w:spacing w:after="0"/>
              <w:jc w:val="both"/>
              <w:cnfStyle w:val="000000000000" w:firstRow="0" w:lastRow="0" w:firstColumn="0" w:lastColumn="0" w:oddVBand="0" w:evenVBand="0" w:oddHBand="0" w:evenHBand="0" w:firstRowFirstColumn="0" w:firstRowLastColumn="0" w:lastRowFirstColumn="0" w:lastRowLastColumn="0"/>
              <w:rPr>
                <w:color w:val="auto"/>
                <w:sz w:val="24"/>
                <w:szCs w:val="24"/>
                <w:lang w:val="en-AU"/>
              </w:rPr>
            </w:pPr>
            <w:r>
              <w:rPr>
                <w:color w:val="auto"/>
                <w:sz w:val="24"/>
                <w:szCs w:val="24"/>
                <w:lang w:val="en-AU"/>
              </w:rPr>
              <w:t>$  30,000</w:t>
            </w:r>
          </w:p>
        </w:tc>
        <w:tc>
          <w:tcPr>
            <w:tcW w:w="1318" w:type="dxa"/>
          </w:tcPr>
          <w:p w14:paraId="24ADA2C0" w14:textId="77777777" w:rsidR="002066F5" w:rsidRDefault="002066F5" w:rsidP="002A58AE">
            <w:pPr>
              <w:pStyle w:val="CompanyInfo"/>
              <w:spacing w:after="0"/>
              <w:jc w:val="both"/>
              <w:cnfStyle w:val="000000000000" w:firstRow="0" w:lastRow="0" w:firstColumn="0" w:lastColumn="0" w:oddVBand="0" w:evenVBand="0" w:oddHBand="0" w:evenHBand="0" w:firstRowFirstColumn="0" w:firstRowLastColumn="0" w:lastRowFirstColumn="0" w:lastRowLastColumn="0"/>
              <w:rPr>
                <w:color w:val="auto"/>
                <w:sz w:val="24"/>
                <w:szCs w:val="24"/>
                <w:lang w:val="en-AU"/>
              </w:rPr>
            </w:pPr>
            <w:r>
              <w:rPr>
                <w:color w:val="auto"/>
                <w:sz w:val="24"/>
                <w:szCs w:val="24"/>
                <w:lang w:val="en-AU"/>
              </w:rPr>
              <w:t>$  90,000</w:t>
            </w:r>
          </w:p>
        </w:tc>
      </w:tr>
      <w:tr w:rsidR="002066F5" w14:paraId="6FE5CCAF" w14:textId="77777777" w:rsidTr="002A58AE">
        <w:tc>
          <w:tcPr>
            <w:cnfStyle w:val="001000000000" w:firstRow="0" w:lastRow="0" w:firstColumn="1" w:lastColumn="0" w:oddVBand="0" w:evenVBand="0" w:oddHBand="0" w:evenHBand="0" w:firstRowFirstColumn="0" w:firstRowLastColumn="0" w:lastRowFirstColumn="0" w:lastRowLastColumn="0"/>
            <w:tcW w:w="4673" w:type="dxa"/>
          </w:tcPr>
          <w:p w14:paraId="7E9CEC1F" w14:textId="0F7919F4" w:rsidR="002066F5" w:rsidRDefault="00F82726" w:rsidP="002A58AE">
            <w:pPr>
              <w:pStyle w:val="CompanyInfo"/>
              <w:spacing w:after="0"/>
              <w:jc w:val="both"/>
              <w:rPr>
                <w:color w:val="auto"/>
                <w:sz w:val="24"/>
                <w:szCs w:val="24"/>
                <w:lang w:val="en-AU"/>
              </w:rPr>
            </w:pPr>
            <w:r>
              <w:rPr>
                <w:color w:val="auto"/>
                <w:sz w:val="24"/>
                <w:szCs w:val="24"/>
                <w:lang w:val="en-AU"/>
              </w:rPr>
              <w:t xml:space="preserve">5: </w:t>
            </w:r>
            <w:r w:rsidR="002066F5" w:rsidRPr="00576724">
              <w:rPr>
                <w:color w:val="auto"/>
                <w:sz w:val="24"/>
                <w:szCs w:val="24"/>
                <w:lang w:val="en-AU"/>
              </w:rPr>
              <w:t>Community Outreach</w:t>
            </w:r>
          </w:p>
        </w:tc>
        <w:tc>
          <w:tcPr>
            <w:tcW w:w="1134" w:type="dxa"/>
          </w:tcPr>
          <w:p w14:paraId="651B705F" w14:textId="77777777" w:rsidR="002066F5" w:rsidRDefault="002066F5" w:rsidP="002A58AE">
            <w:pPr>
              <w:pStyle w:val="CompanyInfo"/>
              <w:spacing w:after="0"/>
              <w:jc w:val="both"/>
              <w:cnfStyle w:val="000000000000" w:firstRow="0" w:lastRow="0" w:firstColumn="0" w:lastColumn="0" w:oddVBand="0" w:evenVBand="0" w:oddHBand="0" w:evenHBand="0" w:firstRowFirstColumn="0" w:firstRowLastColumn="0" w:lastRowFirstColumn="0" w:lastRowLastColumn="0"/>
              <w:rPr>
                <w:color w:val="auto"/>
                <w:sz w:val="24"/>
                <w:szCs w:val="24"/>
                <w:lang w:val="en-AU"/>
              </w:rPr>
            </w:pPr>
            <w:r>
              <w:rPr>
                <w:color w:val="auto"/>
                <w:sz w:val="24"/>
                <w:szCs w:val="24"/>
                <w:lang w:val="en-AU"/>
              </w:rPr>
              <w:t>$  20,000</w:t>
            </w:r>
          </w:p>
        </w:tc>
        <w:tc>
          <w:tcPr>
            <w:tcW w:w="1134" w:type="dxa"/>
          </w:tcPr>
          <w:p w14:paraId="68B2EA50" w14:textId="77777777" w:rsidR="002066F5" w:rsidRDefault="002066F5" w:rsidP="002A58AE">
            <w:pPr>
              <w:pStyle w:val="CompanyInfo"/>
              <w:spacing w:after="0"/>
              <w:jc w:val="both"/>
              <w:cnfStyle w:val="000000000000" w:firstRow="0" w:lastRow="0" w:firstColumn="0" w:lastColumn="0" w:oddVBand="0" w:evenVBand="0" w:oddHBand="0" w:evenHBand="0" w:firstRowFirstColumn="0" w:firstRowLastColumn="0" w:lastRowFirstColumn="0" w:lastRowLastColumn="0"/>
              <w:rPr>
                <w:color w:val="auto"/>
                <w:sz w:val="24"/>
                <w:szCs w:val="24"/>
                <w:lang w:val="en-AU"/>
              </w:rPr>
            </w:pPr>
            <w:r>
              <w:rPr>
                <w:color w:val="auto"/>
                <w:sz w:val="24"/>
                <w:szCs w:val="24"/>
                <w:lang w:val="en-AU"/>
              </w:rPr>
              <w:t>$  20,000</w:t>
            </w:r>
          </w:p>
        </w:tc>
        <w:tc>
          <w:tcPr>
            <w:tcW w:w="1134" w:type="dxa"/>
          </w:tcPr>
          <w:p w14:paraId="32D3FE4B" w14:textId="77777777" w:rsidR="002066F5" w:rsidRDefault="002066F5" w:rsidP="002A58AE">
            <w:pPr>
              <w:pStyle w:val="CompanyInfo"/>
              <w:spacing w:after="0"/>
              <w:jc w:val="both"/>
              <w:cnfStyle w:val="000000000000" w:firstRow="0" w:lastRow="0" w:firstColumn="0" w:lastColumn="0" w:oddVBand="0" w:evenVBand="0" w:oddHBand="0" w:evenHBand="0" w:firstRowFirstColumn="0" w:firstRowLastColumn="0" w:lastRowFirstColumn="0" w:lastRowLastColumn="0"/>
              <w:rPr>
                <w:color w:val="auto"/>
                <w:sz w:val="24"/>
                <w:szCs w:val="24"/>
                <w:lang w:val="en-AU"/>
              </w:rPr>
            </w:pPr>
            <w:r>
              <w:rPr>
                <w:color w:val="auto"/>
                <w:sz w:val="24"/>
                <w:szCs w:val="24"/>
                <w:lang w:val="en-AU"/>
              </w:rPr>
              <w:t>$  20,000</w:t>
            </w:r>
          </w:p>
        </w:tc>
        <w:tc>
          <w:tcPr>
            <w:tcW w:w="1318" w:type="dxa"/>
          </w:tcPr>
          <w:p w14:paraId="09CF470F" w14:textId="77777777" w:rsidR="002066F5" w:rsidRDefault="002066F5" w:rsidP="002A58AE">
            <w:pPr>
              <w:pStyle w:val="CompanyInfo"/>
              <w:spacing w:after="0"/>
              <w:jc w:val="both"/>
              <w:cnfStyle w:val="000000000000" w:firstRow="0" w:lastRow="0" w:firstColumn="0" w:lastColumn="0" w:oddVBand="0" w:evenVBand="0" w:oddHBand="0" w:evenHBand="0" w:firstRowFirstColumn="0" w:firstRowLastColumn="0" w:lastRowFirstColumn="0" w:lastRowLastColumn="0"/>
              <w:rPr>
                <w:color w:val="auto"/>
                <w:sz w:val="24"/>
                <w:szCs w:val="24"/>
                <w:lang w:val="en-AU"/>
              </w:rPr>
            </w:pPr>
            <w:r>
              <w:rPr>
                <w:color w:val="auto"/>
                <w:sz w:val="24"/>
                <w:szCs w:val="24"/>
                <w:lang w:val="en-AU"/>
              </w:rPr>
              <w:t>$  60,000</w:t>
            </w:r>
          </w:p>
        </w:tc>
      </w:tr>
      <w:bookmarkEnd w:id="14"/>
      <w:tr w:rsidR="002066F5" w14:paraId="65D9ADF7" w14:textId="77777777" w:rsidTr="002A58AE">
        <w:tc>
          <w:tcPr>
            <w:cnfStyle w:val="001000000000" w:firstRow="0" w:lastRow="0" w:firstColumn="1" w:lastColumn="0" w:oddVBand="0" w:evenVBand="0" w:oddHBand="0" w:evenHBand="0" w:firstRowFirstColumn="0" w:firstRowLastColumn="0" w:lastRowFirstColumn="0" w:lastRowLastColumn="0"/>
            <w:tcW w:w="4673" w:type="dxa"/>
          </w:tcPr>
          <w:p w14:paraId="5DEA454A" w14:textId="77777777" w:rsidR="002066F5" w:rsidRDefault="002066F5" w:rsidP="002A58AE">
            <w:pPr>
              <w:pStyle w:val="CompanyInfo"/>
              <w:spacing w:after="0"/>
              <w:jc w:val="right"/>
              <w:rPr>
                <w:color w:val="auto"/>
                <w:sz w:val="24"/>
                <w:szCs w:val="24"/>
                <w:lang w:val="en-AU"/>
              </w:rPr>
            </w:pPr>
            <w:r>
              <w:rPr>
                <w:color w:val="auto"/>
                <w:sz w:val="24"/>
                <w:szCs w:val="24"/>
                <w:lang w:val="en-AU"/>
              </w:rPr>
              <w:t>Total</w:t>
            </w:r>
          </w:p>
        </w:tc>
        <w:tc>
          <w:tcPr>
            <w:tcW w:w="1134" w:type="dxa"/>
          </w:tcPr>
          <w:p w14:paraId="7F71217D" w14:textId="77777777" w:rsidR="002066F5" w:rsidRDefault="002066F5" w:rsidP="002A58AE">
            <w:pPr>
              <w:pStyle w:val="CompanyInfo"/>
              <w:spacing w:after="0"/>
              <w:jc w:val="both"/>
              <w:cnfStyle w:val="000000000000" w:firstRow="0" w:lastRow="0" w:firstColumn="0" w:lastColumn="0" w:oddVBand="0" w:evenVBand="0" w:oddHBand="0" w:evenHBand="0" w:firstRowFirstColumn="0" w:firstRowLastColumn="0" w:lastRowFirstColumn="0" w:lastRowLastColumn="0"/>
              <w:rPr>
                <w:color w:val="auto"/>
                <w:sz w:val="24"/>
                <w:szCs w:val="24"/>
                <w:lang w:val="en-AU"/>
              </w:rPr>
            </w:pPr>
            <w:r>
              <w:rPr>
                <w:color w:val="auto"/>
                <w:sz w:val="24"/>
                <w:szCs w:val="24"/>
                <w:lang w:val="en-AU"/>
              </w:rPr>
              <w:t>$175,000</w:t>
            </w:r>
          </w:p>
        </w:tc>
        <w:tc>
          <w:tcPr>
            <w:tcW w:w="1134" w:type="dxa"/>
          </w:tcPr>
          <w:p w14:paraId="321EB10C" w14:textId="77777777" w:rsidR="002066F5" w:rsidRDefault="002066F5" w:rsidP="002A58AE">
            <w:pPr>
              <w:pStyle w:val="CompanyInfo"/>
              <w:spacing w:after="0"/>
              <w:jc w:val="both"/>
              <w:cnfStyle w:val="000000000000" w:firstRow="0" w:lastRow="0" w:firstColumn="0" w:lastColumn="0" w:oddVBand="0" w:evenVBand="0" w:oddHBand="0" w:evenHBand="0" w:firstRowFirstColumn="0" w:firstRowLastColumn="0" w:lastRowFirstColumn="0" w:lastRowLastColumn="0"/>
              <w:rPr>
                <w:color w:val="auto"/>
                <w:sz w:val="24"/>
                <w:szCs w:val="24"/>
                <w:lang w:val="en-AU"/>
              </w:rPr>
            </w:pPr>
            <w:r>
              <w:rPr>
                <w:color w:val="auto"/>
                <w:sz w:val="24"/>
                <w:szCs w:val="24"/>
                <w:lang w:val="en-AU"/>
              </w:rPr>
              <w:t>$165,000</w:t>
            </w:r>
          </w:p>
        </w:tc>
        <w:tc>
          <w:tcPr>
            <w:tcW w:w="1134" w:type="dxa"/>
          </w:tcPr>
          <w:p w14:paraId="5E7ADDEB" w14:textId="77777777" w:rsidR="002066F5" w:rsidRDefault="002066F5" w:rsidP="002A58AE">
            <w:pPr>
              <w:pStyle w:val="CompanyInfo"/>
              <w:spacing w:after="0"/>
              <w:jc w:val="both"/>
              <w:cnfStyle w:val="000000000000" w:firstRow="0" w:lastRow="0" w:firstColumn="0" w:lastColumn="0" w:oddVBand="0" w:evenVBand="0" w:oddHBand="0" w:evenHBand="0" w:firstRowFirstColumn="0" w:firstRowLastColumn="0" w:lastRowFirstColumn="0" w:lastRowLastColumn="0"/>
              <w:rPr>
                <w:color w:val="auto"/>
                <w:sz w:val="24"/>
                <w:szCs w:val="24"/>
                <w:lang w:val="en-AU"/>
              </w:rPr>
            </w:pPr>
            <w:r>
              <w:rPr>
                <w:color w:val="auto"/>
                <w:sz w:val="24"/>
                <w:szCs w:val="24"/>
                <w:lang w:val="en-AU"/>
              </w:rPr>
              <w:t>$160,000</w:t>
            </w:r>
          </w:p>
        </w:tc>
        <w:tc>
          <w:tcPr>
            <w:tcW w:w="1318" w:type="dxa"/>
          </w:tcPr>
          <w:p w14:paraId="2AA061EE" w14:textId="77777777" w:rsidR="002066F5" w:rsidRDefault="002066F5" w:rsidP="002A58AE">
            <w:pPr>
              <w:pStyle w:val="CompanyInfo"/>
              <w:spacing w:after="0"/>
              <w:jc w:val="both"/>
              <w:cnfStyle w:val="000000000000" w:firstRow="0" w:lastRow="0" w:firstColumn="0" w:lastColumn="0" w:oddVBand="0" w:evenVBand="0" w:oddHBand="0" w:evenHBand="0" w:firstRowFirstColumn="0" w:firstRowLastColumn="0" w:lastRowFirstColumn="0" w:lastRowLastColumn="0"/>
              <w:rPr>
                <w:color w:val="auto"/>
                <w:sz w:val="24"/>
                <w:szCs w:val="24"/>
                <w:lang w:val="en-AU"/>
              </w:rPr>
            </w:pPr>
            <w:r>
              <w:rPr>
                <w:color w:val="auto"/>
                <w:sz w:val="24"/>
                <w:szCs w:val="24"/>
                <w:lang w:val="en-AU"/>
              </w:rPr>
              <w:t>$500,000</w:t>
            </w:r>
          </w:p>
        </w:tc>
      </w:tr>
    </w:tbl>
    <w:p w14:paraId="6EA41E64" w14:textId="77777777" w:rsidR="006C3496" w:rsidRPr="007825FC" w:rsidRDefault="006C3496" w:rsidP="007825FC">
      <w:pPr>
        <w:ind w:right="47"/>
        <w:rPr>
          <w:rFonts w:cstheme="minorHAnsi"/>
          <w:color w:val="auto"/>
          <w:sz w:val="24"/>
          <w:szCs w:val="24"/>
        </w:rPr>
      </w:pPr>
    </w:p>
    <w:p w14:paraId="6773F870" w14:textId="13CD3BB6" w:rsidR="00563E2F" w:rsidRDefault="00344BC7" w:rsidP="005445A9">
      <w:pPr>
        <w:pStyle w:val="Heading1"/>
        <w:rPr>
          <w:color w:val="auto"/>
        </w:rPr>
      </w:pPr>
      <w:bookmarkStart w:id="15" w:name="_Toc30830729"/>
      <w:bookmarkStart w:id="16" w:name="_Hlk30482299"/>
      <w:bookmarkStart w:id="17" w:name="_Hlk30482649"/>
      <w:r>
        <w:rPr>
          <w:color w:val="auto"/>
        </w:rPr>
        <w:lastRenderedPageBreak/>
        <w:t>Objective 1</w:t>
      </w:r>
      <w:bookmarkEnd w:id="15"/>
    </w:p>
    <w:bookmarkEnd w:id="16"/>
    <w:bookmarkEnd w:id="17"/>
    <w:p w14:paraId="1308A4DA" w14:textId="4C37AD12" w:rsidR="00336B08" w:rsidRPr="00336B08" w:rsidRDefault="002468AB" w:rsidP="002468AB">
      <w:pPr>
        <w:ind w:right="47"/>
        <w:rPr>
          <w:rFonts w:asciiTheme="majorHAnsi" w:eastAsiaTheme="majorEastAsia" w:hAnsiTheme="majorHAnsi" w:cstheme="majorBidi"/>
          <w:b/>
          <w:caps/>
          <w:color w:val="4D3C77" w:themeColor="accent1" w:themeShade="BF"/>
          <w:sz w:val="24"/>
          <w14:ligatures w14:val="standardContextual"/>
        </w:rPr>
      </w:pPr>
      <w:r w:rsidRPr="002468AB">
        <w:rPr>
          <w:rFonts w:asciiTheme="majorHAnsi" w:eastAsiaTheme="majorEastAsia" w:hAnsiTheme="majorHAnsi" w:cstheme="majorBidi"/>
          <w:b/>
          <w:caps/>
          <w:color w:val="4D3C77" w:themeColor="accent1" w:themeShade="BF"/>
          <w:sz w:val="24"/>
          <w14:ligatures w14:val="standardContextual"/>
        </w:rPr>
        <w:t xml:space="preserve">Timely Diagnosis </w:t>
      </w:r>
    </w:p>
    <w:p w14:paraId="34261189" w14:textId="77777777" w:rsidR="004A5C7C" w:rsidRDefault="00103BFA" w:rsidP="0039410A">
      <w:pPr>
        <w:ind w:right="47"/>
        <w:jc w:val="both"/>
        <w:rPr>
          <w:rFonts w:cstheme="minorHAnsi"/>
          <w:bCs/>
          <w:color w:val="auto"/>
          <w:sz w:val="24"/>
          <w:szCs w:val="24"/>
          <w:lang w:val="en-AU"/>
        </w:rPr>
      </w:pPr>
      <w:r>
        <w:rPr>
          <w:rFonts w:cstheme="minorHAnsi"/>
          <w:bCs/>
          <w:color w:val="auto"/>
          <w:sz w:val="24"/>
          <w:szCs w:val="24"/>
          <w:lang w:val="en-AU"/>
        </w:rPr>
        <w:t xml:space="preserve">A </w:t>
      </w:r>
      <w:r w:rsidR="0055070F" w:rsidRPr="007825FC">
        <w:rPr>
          <w:rFonts w:cstheme="minorHAnsi"/>
          <w:bCs/>
          <w:color w:val="auto"/>
          <w:sz w:val="24"/>
          <w:szCs w:val="24"/>
          <w:lang w:val="en-AU"/>
        </w:rPr>
        <w:t>survey</w:t>
      </w:r>
      <w:r>
        <w:rPr>
          <w:rFonts w:cstheme="minorHAnsi"/>
          <w:bCs/>
          <w:color w:val="auto"/>
          <w:sz w:val="24"/>
          <w:szCs w:val="24"/>
          <w:lang w:val="en-AU"/>
        </w:rPr>
        <w:t xml:space="preserve"> of </w:t>
      </w:r>
      <w:r w:rsidR="0055070F" w:rsidRPr="007825FC">
        <w:rPr>
          <w:rFonts w:cstheme="minorHAnsi"/>
          <w:bCs/>
          <w:color w:val="auto"/>
          <w:sz w:val="24"/>
          <w:szCs w:val="24"/>
          <w:lang w:val="en-AU"/>
        </w:rPr>
        <w:t xml:space="preserve">our members </w:t>
      </w:r>
      <w:r>
        <w:rPr>
          <w:rFonts w:cstheme="minorHAnsi"/>
          <w:bCs/>
          <w:color w:val="auto"/>
          <w:sz w:val="24"/>
          <w:szCs w:val="24"/>
          <w:lang w:val="en-AU"/>
        </w:rPr>
        <w:t xml:space="preserve">conducted </w:t>
      </w:r>
      <w:r w:rsidR="0055070F" w:rsidRPr="007825FC">
        <w:rPr>
          <w:rFonts w:cstheme="minorHAnsi"/>
          <w:bCs/>
          <w:color w:val="auto"/>
          <w:sz w:val="24"/>
          <w:szCs w:val="24"/>
          <w:lang w:val="en-AU"/>
        </w:rPr>
        <w:t>in April/May 2019</w:t>
      </w:r>
      <w:r w:rsidR="00E11C03">
        <w:rPr>
          <w:rStyle w:val="FootnoteReference"/>
          <w:rFonts w:cstheme="minorHAnsi"/>
          <w:bCs/>
          <w:color w:val="auto"/>
          <w:sz w:val="24"/>
          <w:szCs w:val="24"/>
          <w:lang w:val="en-AU"/>
        </w:rPr>
        <w:footnoteReference w:id="3"/>
      </w:r>
      <w:r w:rsidR="0055070F" w:rsidRPr="007825FC">
        <w:rPr>
          <w:rFonts w:cstheme="minorHAnsi"/>
          <w:bCs/>
          <w:color w:val="auto"/>
          <w:sz w:val="24"/>
          <w:szCs w:val="24"/>
          <w:lang w:val="en-AU"/>
        </w:rPr>
        <w:t xml:space="preserve"> </w:t>
      </w:r>
      <w:r>
        <w:rPr>
          <w:rFonts w:cstheme="minorHAnsi"/>
          <w:bCs/>
          <w:color w:val="auto"/>
          <w:sz w:val="24"/>
          <w:szCs w:val="24"/>
          <w:lang w:val="en-AU"/>
        </w:rPr>
        <w:t>reported</w:t>
      </w:r>
      <w:r w:rsidR="0055070F" w:rsidRPr="007825FC">
        <w:rPr>
          <w:rFonts w:cstheme="minorHAnsi"/>
          <w:bCs/>
          <w:color w:val="auto"/>
          <w:sz w:val="24"/>
          <w:szCs w:val="24"/>
          <w:lang w:val="en-AU"/>
        </w:rPr>
        <w:t xml:space="preserve"> the age at diagnosis as</w:t>
      </w:r>
      <w:r w:rsidR="006B46C0">
        <w:rPr>
          <w:rFonts w:cstheme="minorHAnsi"/>
          <w:bCs/>
          <w:color w:val="auto"/>
          <w:sz w:val="24"/>
          <w:szCs w:val="24"/>
          <w:lang w:val="en-AU"/>
        </w:rPr>
        <w:t xml:space="preserve"> </w:t>
      </w:r>
      <w:r w:rsidR="0055070F" w:rsidRPr="007825FC">
        <w:rPr>
          <w:rFonts w:cstheme="minorHAnsi"/>
          <w:bCs/>
          <w:color w:val="auto"/>
          <w:sz w:val="24"/>
          <w:szCs w:val="24"/>
          <w:lang w:val="en-AU"/>
        </w:rPr>
        <w:t xml:space="preserve">ranging from 6 months of age to 66 years of age which </w:t>
      </w:r>
      <w:r w:rsidR="00D561DA">
        <w:rPr>
          <w:rFonts w:cstheme="minorHAnsi"/>
          <w:bCs/>
          <w:color w:val="auto"/>
          <w:sz w:val="24"/>
          <w:szCs w:val="24"/>
          <w:lang w:val="en-AU"/>
        </w:rPr>
        <w:t>highlights</w:t>
      </w:r>
      <w:r w:rsidR="0055070F" w:rsidRPr="007825FC">
        <w:rPr>
          <w:rFonts w:cstheme="minorHAnsi"/>
          <w:bCs/>
          <w:color w:val="auto"/>
          <w:sz w:val="24"/>
          <w:szCs w:val="24"/>
          <w:lang w:val="en-AU"/>
        </w:rPr>
        <w:t xml:space="preserve"> some important </w:t>
      </w:r>
      <w:r w:rsidR="00B33EF9">
        <w:rPr>
          <w:rFonts w:cstheme="minorHAnsi"/>
          <w:bCs/>
          <w:color w:val="auto"/>
          <w:sz w:val="24"/>
          <w:szCs w:val="24"/>
          <w:lang w:val="en-AU"/>
        </w:rPr>
        <w:t>issues</w:t>
      </w:r>
      <w:r w:rsidR="0055070F" w:rsidRPr="007825FC">
        <w:rPr>
          <w:rFonts w:cstheme="minorHAnsi"/>
          <w:bCs/>
          <w:color w:val="auto"/>
          <w:sz w:val="24"/>
          <w:szCs w:val="24"/>
          <w:lang w:val="en-AU"/>
        </w:rPr>
        <w:t xml:space="preserve">. There is a need to promote clinician awareness of EGIDs, especially to those working in regional, rural and remote locations to improve diagnosis timeframes. With </w:t>
      </w:r>
      <w:r w:rsidR="00D561DA">
        <w:rPr>
          <w:rFonts w:cstheme="minorHAnsi"/>
          <w:bCs/>
          <w:color w:val="auto"/>
          <w:sz w:val="24"/>
          <w:szCs w:val="24"/>
          <w:lang w:val="en-AU"/>
        </w:rPr>
        <w:t xml:space="preserve">currently </w:t>
      </w:r>
      <w:r w:rsidR="0055070F" w:rsidRPr="007825FC">
        <w:rPr>
          <w:rFonts w:cstheme="minorHAnsi"/>
          <w:bCs/>
          <w:color w:val="auto"/>
          <w:sz w:val="24"/>
          <w:szCs w:val="24"/>
          <w:lang w:val="en-AU"/>
        </w:rPr>
        <w:t xml:space="preserve">no published referral/diagnosis pathway, a journey for patients to receive their diagnosis can vary greatly and a clear pathway can reduce unnecessary tests, minimise strain on other healthcare services and improve the timeliness of patient diagnosis. </w:t>
      </w:r>
    </w:p>
    <w:p w14:paraId="24DE9692" w14:textId="77777777" w:rsidR="004A5C7C" w:rsidRDefault="00FB6D13" w:rsidP="0039410A">
      <w:pPr>
        <w:ind w:right="47"/>
        <w:jc w:val="both"/>
        <w:rPr>
          <w:rFonts w:cstheme="minorHAnsi"/>
          <w:bCs/>
          <w:color w:val="auto"/>
          <w:sz w:val="24"/>
          <w:szCs w:val="24"/>
          <w:lang w:val="en-AU"/>
        </w:rPr>
      </w:pPr>
      <w:r>
        <w:rPr>
          <w:rFonts w:cstheme="minorHAnsi"/>
          <w:bCs/>
          <w:color w:val="auto"/>
          <w:sz w:val="24"/>
          <w:szCs w:val="24"/>
          <w:lang w:val="en-AU"/>
        </w:rPr>
        <w:t>D</w:t>
      </w:r>
      <w:r w:rsidRPr="007825FC">
        <w:rPr>
          <w:rFonts w:cstheme="minorHAnsi"/>
          <w:bCs/>
          <w:color w:val="auto"/>
          <w:sz w:val="24"/>
          <w:szCs w:val="24"/>
          <w:lang w:val="en-AU"/>
        </w:rPr>
        <w:t>ue to the lack of education and awareness of EGIDs by healthcare providers some patients</w:t>
      </w:r>
      <w:r>
        <w:rPr>
          <w:rFonts w:cstheme="minorHAnsi"/>
          <w:bCs/>
          <w:color w:val="auto"/>
          <w:sz w:val="24"/>
          <w:szCs w:val="24"/>
          <w:lang w:val="en-AU"/>
        </w:rPr>
        <w:t xml:space="preserve"> </w:t>
      </w:r>
      <w:r w:rsidRPr="007825FC">
        <w:rPr>
          <w:rFonts w:cstheme="minorHAnsi"/>
          <w:bCs/>
          <w:color w:val="auto"/>
          <w:sz w:val="24"/>
          <w:szCs w:val="24"/>
          <w:lang w:val="en-AU"/>
        </w:rPr>
        <w:t xml:space="preserve">resort to unscientific tests and treatments to seek answers for their ongoing symptoms when they have not been able to receive a diagnosis or have their needs met by mainstream healthcare services. </w:t>
      </w:r>
      <w:r w:rsidR="0055070F" w:rsidRPr="007825FC">
        <w:rPr>
          <w:rFonts w:cstheme="minorHAnsi"/>
          <w:bCs/>
          <w:color w:val="auto"/>
          <w:sz w:val="24"/>
          <w:szCs w:val="24"/>
          <w:lang w:val="en-AU"/>
        </w:rPr>
        <w:t>Late diagnosis’s can also contribute to a patient needing more invasive treatments including feeding tubes and oesophageal dilations.</w:t>
      </w:r>
      <w:r w:rsidR="00064F54">
        <w:rPr>
          <w:rFonts w:cstheme="minorHAnsi"/>
          <w:bCs/>
          <w:color w:val="auto"/>
          <w:sz w:val="24"/>
          <w:szCs w:val="24"/>
          <w:lang w:val="en-AU"/>
        </w:rPr>
        <w:t xml:space="preserve"> </w:t>
      </w:r>
    </w:p>
    <w:p w14:paraId="5AEDAA3B" w14:textId="337B865E" w:rsidR="0055070F" w:rsidRDefault="00064F54" w:rsidP="0039410A">
      <w:pPr>
        <w:ind w:right="47"/>
        <w:jc w:val="both"/>
        <w:rPr>
          <w:rFonts w:cstheme="minorHAnsi"/>
          <w:bCs/>
          <w:color w:val="auto"/>
          <w:sz w:val="24"/>
          <w:szCs w:val="24"/>
          <w:lang w:val="en-AU"/>
        </w:rPr>
      </w:pPr>
      <w:r w:rsidRPr="007F23DC">
        <w:rPr>
          <w:rFonts w:cstheme="minorHAnsi"/>
          <w:bCs/>
          <w:color w:val="auto"/>
          <w:sz w:val="24"/>
          <w:szCs w:val="24"/>
          <w:lang w:val="en-AU"/>
        </w:rPr>
        <w:t>When patients present to emergency departments with a food impaction or after a choking episode or an infant is seen by their GP with persistent failure to thrive and is refusing foods due to discomfort and has multiple food allergies a referral pathway can lead to a timelier diagnosis.</w:t>
      </w:r>
    </w:p>
    <w:p w14:paraId="19603A30" w14:textId="77777777" w:rsidR="00F51719" w:rsidRPr="00F67684" w:rsidRDefault="00F51719" w:rsidP="0039410A">
      <w:pPr>
        <w:pStyle w:val="CompanyInfo"/>
        <w:spacing w:after="0" w:line="240" w:lineRule="auto"/>
        <w:jc w:val="both"/>
        <w:rPr>
          <w:rFonts w:cstheme="minorHAnsi"/>
          <w:b/>
          <w:color w:val="auto"/>
          <w:sz w:val="24"/>
          <w:szCs w:val="24"/>
          <w:lang w:val="en-AU"/>
        </w:rPr>
      </w:pPr>
    </w:p>
    <w:p w14:paraId="0B1561FE" w14:textId="5E2A5733" w:rsidR="00336B08" w:rsidRDefault="00336B08" w:rsidP="0039410A">
      <w:pPr>
        <w:pStyle w:val="CompanyInfo"/>
        <w:spacing w:after="0" w:line="240" w:lineRule="auto"/>
        <w:jc w:val="both"/>
        <w:rPr>
          <w:rFonts w:cstheme="minorHAnsi"/>
          <w:b/>
          <w:color w:val="auto"/>
          <w:sz w:val="24"/>
          <w:szCs w:val="24"/>
          <w:lang w:val="en-AU"/>
        </w:rPr>
      </w:pPr>
      <w:r w:rsidRPr="007825FC">
        <w:rPr>
          <w:rFonts w:cstheme="minorHAnsi"/>
          <w:b/>
          <w:color w:val="auto"/>
          <w:sz w:val="24"/>
          <w:szCs w:val="24"/>
          <w:lang w:val="en-AU"/>
        </w:rPr>
        <w:t>Objective Activities:</w:t>
      </w:r>
    </w:p>
    <w:p w14:paraId="70338AF6" w14:textId="77777777" w:rsidR="007F23DC" w:rsidRPr="00F67684" w:rsidRDefault="007F23DC" w:rsidP="0039410A">
      <w:pPr>
        <w:pStyle w:val="CompanyInfo"/>
        <w:spacing w:after="0" w:line="240" w:lineRule="auto"/>
        <w:jc w:val="both"/>
        <w:rPr>
          <w:rFonts w:cstheme="minorHAnsi"/>
          <w:b/>
          <w:color w:val="auto"/>
          <w:sz w:val="24"/>
          <w:szCs w:val="24"/>
          <w:lang w:val="en-AU"/>
        </w:rPr>
      </w:pPr>
    </w:p>
    <w:p w14:paraId="0439E91E" w14:textId="08E160D6" w:rsidR="00F847BE" w:rsidRDefault="00E31199" w:rsidP="0039410A">
      <w:pPr>
        <w:pStyle w:val="ListParagraph"/>
        <w:numPr>
          <w:ilvl w:val="0"/>
          <w:numId w:val="21"/>
        </w:numPr>
        <w:ind w:left="426" w:right="47" w:hanging="426"/>
        <w:jc w:val="both"/>
        <w:rPr>
          <w:rFonts w:cstheme="minorHAnsi"/>
          <w:bCs/>
          <w:color w:val="auto"/>
          <w:sz w:val="24"/>
          <w:szCs w:val="24"/>
          <w:lang w:val="en-AU"/>
        </w:rPr>
      </w:pPr>
      <w:r>
        <w:rPr>
          <w:rFonts w:cstheme="minorHAnsi"/>
          <w:bCs/>
          <w:color w:val="auto"/>
          <w:sz w:val="24"/>
          <w:szCs w:val="24"/>
          <w:lang w:val="en-AU"/>
        </w:rPr>
        <w:t xml:space="preserve">Planning </w:t>
      </w:r>
      <w:r w:rsidR="00C50852">
        <w:rPr>
          <w:rFonts w:cstheme="minorHAnsi"/>
          <w:bCs/>
          <w:color w:val="auto"/>
          <w:sz w:val="24"/>
          <w:szCs w:val="24"/>
          <w:lang w:val="en-AU"/>
        </w:rPr>
        <w:t xml:space="preserve">and supporting </w:t>
      </w:r>
      <w:r>
        <w:rPr>
          <w:rFonts w:cstheme="minorHAnsi"/>
          <w:bCs/>
          <w:color w:val="auto"/>
          <w:sz w:val="24"/>
          <w:szCs w:val="24"/>
          <w:lang w:val="en-AU"/>
        </w:rPr>
        <w:t>for the d</w:t>
      </w:r>
      <w:r w:rsidR="007F23DC" w:rsidRPr="007F23DC">
        <w:rPr>
          <w:rFonts w:cstheme="minorHAnsi"/>
          <w:bCs/>
          <w:color w:val="auto"/>
          <w:sz w:val="24"/>
          <w:szCs w:val="24"/>
          <w:lang w:val="en-AU"/>
        </w:rPr>
        <w:t>evelopment of a referral/diagnosis pathway for EGIDs in Australia</w:t>
      </w:r>
      <w:r w:rsidR="00525262">
        <w:rPr>
          <w:rFonts w:cstheme="minorHAnsi"/>
          <w:bCs/>
          <w:color w:val="auto"/>
          <w:sz w:val="24"/>
          <w:szCs w:val="24"/>
          <w:lang w:val="en-AU"/>
        </w:rPr>
        <w:t xml:space="preserve"> by collaborating</w:t>
      </w:r>
      <w:r w:rsidR="007F23DC" w:rsidRPr="007F23DC">
        <w:rPr>
          <w:rFonts w:cstheme="minorHAnsi"/>
          <w:bCs/>
          <w:color w:val="auto"/>
          <w:sz w:val="24"/>
          <w:szCs w:val="24"/>
          <w:lang w:val="en-AU"/>
        </w:rPr>
        <w:t xml:space="preserve"> with </w:t>
      </w:r>
      <w:r w:rsidR="00B9589C">
        <w:rPr>
          <w:rFonts w:cstheme="minorHAnsi"/>
          <w:bCs/>
          <w:color w:val="auto"/>
          <w:sz w:val="24"/>
          <w:szCs w:val="24"/>
          <w:lang w:val="en-AU"/>
        </w:rPr>
        <w:t>Government</w:t>
      </w:r>
      <w:r w:rsidR="00B3279F">
        <w:rPr>
          <w:rFonts w:cstheme="minorHAnsi"/>
          <w:bCs/>
          <w:color w:val="auto"/>
          <w:sz w:val="24"/>
          <w:szCs w:val="24"/>
          <w:lang w:val="en-AU"/>
        </w:rPr>
        <w:t xml:space="preserve">, </w:t>
      </w:r>
      <w:r w:rsidR="00585B43">
        <w:rPr>
          <w:rFonts w:cstheme="minorHAnsi"/>
          <w:bCs/>
          <w:color w:val="auto"/>
          <w:sz w:val="24"/>
          <w:szCs w:val="24"/>
          <w:lang w:val="en-AU"/>
        </w:rPr>
        <w:t>healthcare services</w:t>
      </w:r>
      <w:r w:rsidR="00B3279F">
        <w:rPr>
          <w:rFonts w:cstheme="minorHAnsi"/>
          <w:bCs/>
          <w:color w:val="auto"/>
          <w:sz w:val="24"/>
          <w:szCs w:val="24"/>
          <w:lang w:val="en-AU"/>
        </w:rPr>
        <w:t>, key stakeholders</w:t>
      </w:r>
      <w:r w:rsidR="00585B43">
        <w:rPr>
          <w:rFonts w:cstheme="minorHAnsi"/>
          <w:bCs/>
          <w:color w:val="auto"/>
          <w:sz w:val="24"/>
          <w:szCs w:val="24"/>
          <w:lang w:val="en-AU"/>
        </w:rPr>
        <w:t xml:space="preserve"> and </w:t>
      </w:r>
      <w:r w:rsidR="007F23DC" w:rsidRPr="007F23DC">
        <w:rPr>
          <w:rFonts w:cstheme="minorHAnsi"/>
          <w:bCs/>
          <w:color w:val="auto"/>
          <w:sz w:val="24"/>
          <w:szCs w:val="24"/>
          <w:lang w:val="en-AU"/>
        </w:rPr>
        <w:t xml:space="preserve">peak medical bodies including </w:t>
      </w:r>
      <w:r w:rsidR="00525262" w:rsidRPr="007825FC">
        <w:rPr>
          <w:rFonts w:cstheme="minorHAnsi"/>
          <w:color w:val="auto"/>
          <w:sz w:val="24"/>
          <w:szCs w:val="24"/>
          <w:lang w:val="en-AU"/>
        </w:rPr>
        <w:t>Australasian Society of Clinical Immunology &amp; Allergy (</w:t>
      </w:r>
      <w:r w:rsidR="00525262" w:rsidRPr="007825FC">
        <w:rPr>
          <w:rFonts w:cstheme="minorHAnsi"/>
          <w:bCs/>
          <w:color w:val="auto"/>
          <w:sz w:val="24"/>
          <w:szCs w:val="24"/>
          <w:lang w:val="en-AU"/>
        </w:rPr>
        <w:t>ASCIA)</w:t>
      </w:r>
      <w:r w:rsidR="00653E92">
        <w:rPr>
          <w:rFonts w:cstheme="minorHAnsi"/>
          <w:bCs/>
          <w:color w:val="auto"/>
          <w:sz w:val="24"/>
          <w:szCs w:val="24"/>
          <w:lang w:val="en-AU"/>
        </w:rPr>
        <w:t xml:space="preserve"> and</w:t>
      </w:r>
      <w:r w:rsidR="00525262" w:rsidRPr="007825FC">
        <w:rPr>
          <w:rFonts w:cstheme="minorHAnsi"/>
          <w:bCs/>
          <w:color w:val="auto"/>
          <w:sz w:val="24"/>
          <w:szCs w:val="24"/>
          <w:lang w:val="en-AU"/>
        </w:rPr>
        <w:t xml:space="preserve"> Gastroenterological Society of Australia (GESA)</w:t>
      </w:r>
      <w:r w:rsidR="00525262">
        <w:rPr>
          <w:rFonts w:cstheme="minorHAnsi"/>
          <w:bCs/>
          <w:color w:val="auto"/>
          <w:sz w:val="24"/>
          <w:szCs w:val="24"/>
          <w:lang w:val="en-AU"/>
        </w:rPr>
        <w:t>.</w:t>
      </w:r>
      <w:r w:rsidR="007F23DC" w:rsidRPr="007F23DC">
        <w:rPr>
          <w:rFonts w:cstheme="minorHAnsi"/>
          <w:bCs/>
          <w:color w:val="auto"/>
          <w:sz w:val="24"/>
          <w:szCs w:val="24"/>
          <w:lang w:val="en-AU"/>
        </w:rPr>
        <w:t xml:space="preserve"> </w:t>
      </w:r>
    </w:p>
    <w:p w14:paraId="3B462ACE" w14:textId="77777777" w:rsidR="0039410A" w:rsidRDefault="0039410A" w:rsidP="0039410A">
      <w:pPr>
        <w:pStyle w:val="ListParagraph"/>
        <w:ind w:left="426" w:right="47"/>
        <w:jc w:val="both"/>
        <w:rPr>
          <w:rFonts w:cstheme="minorHAnsi"/>
          <w:bCs/>
          <w:color w:val="auto"/>
          <w:sz w:val="24"/>
          <w:szCs w:val="24"/>
          <w:lang w:val="en-AU"/>
        </w:rPr>
      </w:pPr>
    </w:p>
    <w:p w14:paraId="2D02EC43" w14:textId="4DE13170" w:rsidR="0039410A" w:rsidRDefault="00F847BE" w:rsidP="0039410A">
      <w:pPr>
        <w:pStyle w:val="ListParagraph"/>
        <w:numPr>
          <w:ilvl w:val="0"/>
          <w:numId w:val="21"/>
        </w:numPr>
        <w:ind w:left="426" w:right="47" w:hanging="426"/>
        <w:jc w:val="both"/>
        <w:rPr>
          <w:rFonts w:cstheme="minorHAnsi"/>
          <w:bCs/>
          <w:color w:val="auto"/>
          <w:sz w:val="24"/>
          <w:szCs w:val="24"/>
          <w:lang w:val="en-AU"/>
        </w:rPr>
      </w:pPr>
      <w:r>
        <w:rPr>
          <w:rFonts w:cstheme="minorHAnsi"/>
          <w:bCs/>
          <w:color w:val="auto"/>
          <w:sz w:val="24"/>
          <w:szCs w:val="24"/>
          <w:lang w:val="en-AU"/>
        </w:rPr>
        <w:lastRenderedPageBreak/>
        <w:t>Provision of</w:t>
      </w:r>
      <w:r w:rsidR="007F23DC" w:rsidRPr="007F23DC">
        <w:rPr>
          <w:rFonts w:cstheme="minorHAnsi"/>
          <w:bCs/>
          <w:color w:val="auto"/>
          <w:sz w:val="24"/>
          <w:szCs w:val="24"/>
          <w:lang w:val="en-AU"/>
        </w:rPr>
        <w:t xml:space="preserve"> education to the medical community on the International Consensus Diagnostic Criteria for Eosinophilic Esophagitis</w:t>
      </w:r>
      <w:r w:rsidR="00804597">
        <w:rPr>
          <w:rStyle w:val="FootnoteReference"/>
          <w:rFonts w:cstheme="minorHAnsi"/>
          <w:bCs/>
          <w:color w:val="auto"/>
          <w:sz w:val="24"/>
          <w:szCs w:val="24"/>
          <w:lang w:val="en-AU"/>
        </w:rPr>
        <w:footnoteReference w:id="4"/>
      </w:r>
      <w:r w:rsidR="00F51719">
        <w:rPr>
          <w:rFonts w:cstheme="minorHAnsi"/>
          <w:bCs/>
          <w:color w:val="auto"/>
          <w:sz w:val="24"/>
          <w:szCs w:val="24"/>
          <w:lang w:val="en-AU"/>
        </w:rPr>
        <w:t>.</w:t>
      </w:r>
    </w:p>
    <w:p w14:paraId="52409074" w14:textId="77777777" w:rsidR="0039410A" w:rsidRPr="0039410A" w:rsidRDefault="0039410A" w:rsidP="0039410A">
      <w:pPr>
        <w:pStyle w:val="ListParagraph"/>
        <w:rPr>
          <w:rFonts w:cstheme="minorHAnsi"/>
          <w:bCs/>
          <w:color w:val="auto"/>
          <w:sz w:val="24"/>
          <w:szCs w:val="24"/>
          <w:lang w:val="en-AU"/>
        </w:rPr>
      </w:pPr>
    </w:p>
    <w:p w14:paraId="500DC13B" w14:textId="09FA4F16" w:rsidR="0039410A" w:rsidRDefault="00804597" w:rsidP="0039410A">
      <w:pPr>
        <w:pStyle w:val="ListParagraph"/>
        <w:numPr>
          <w:ilvl w:val="0"/>
          <w:numId w:val="21"/>
        </w:numPr>
        <w:ind w:left="426" w:right="47" w:hanging="426"/>
        <w:jc w:val="both"/>
        <w:rPr>
          <w:rFonts w:cstheme="minorHAnsi"/>
          <w:bCs/>
          <w:color w:val="auto"/>
          <w:sz w:val="24"/>
          <w:szCs w:val="24"/>
          <w:lang w:val="en-AU"/>
        </w:rPr>
      </w:pPr>
      <w:r w:rsidRPr="0039410A">
        <w:rPr>
          <w:rFonts w:cstheme="minorHAnsi"/>
          <w:bCs/>
          <w:color w:val="auto"/>
          <w:sz w:val="24"/>
          <w:szCs w:val="24"/>
          <w:lang w:val="en-AU"/>
        </w:rPr>
        <w:t>S</w:t>
      </w:r>
      <w:r w:rsidR="007F23DC" w:rsidRPr="0039410A">
        <w:rPr>
          <w:rFonts w:cstheme="minorHAnsi"/>
          <w:bCs/>
          <w:color w:val="auto"/>
          <w:sz w:val="24"/>
          <w:szCs w:val="24"/>
          <w:lang w:val="en-AU"/>
        </w:rPr>
        <w:t>upport for the translation of relevant research into clinical care practices</w:t>
      </w:r>
      <w:r w:rsidR="00972504">
        <w:rPr>
          <w:rFonts w:cstheme="minorHAnsi"/>
          <w:bCs/>
          <w:color w:val="auto"/>
          <w:sz w:val="24"/>
          <w:szCs w:val="24"/>
          <w:lang w:val="en-AU"/>
        </w:rPr>
        <w:t xml:space="preserve"> by communicating with key</w:t>
      </w:r>
      <w:r w:rsidR="003F41D8">
        <w:rPr>
          <w:rFonts w:cstheme="minorHAnsi"/>
          <w:bCs/>
          <w:color w:val="auto"/>
          <w:sz w:val="24"/>
          <w:szCs w:val="24"/>
          <w:lang w:val="en-AU"/>
        </w:rPr>
        <w:t xml:space="preserve"> stakeholders and medical professionals</w:t>
      </w:r>
      <w:r w:rsidR="007F23DC" w:rsidRPr="0039410A">
        <w:rPr>
          <w:rFonts w:cstheme="minorHAnsi"/>
          <w:bCs/>
          <w:color w:val="auto"/>
          <w:sz w:val="24"/>
          <w:szCs w:val="24"/>
          <w:lang w:val="en-AU"/>
        </w:rPr>
        <w:t xml:space="preserve">. </w:t>
      </w:r>
    </w:p>
    <w:p w14:paraId="65121409" w14:textId="77777777" w:rsidR="0039410A" w:rsidRPr="0039410A" w:rsidRDefault="0039410A" w:rsidP="0039410A">
      <w:pPr>
        <w:pStyle w:val="ListParagraph"/>
        <w:rPr>
          <w:rFonts w:cstheme="minorHAnsi"/>
          <w:bCs/>
          <w:color w:val="auto"/>
          <w:sz w:val="24"/>
          <w:szCs w:val="24"/>
          <w:lang w:val="en-AU"/>
        </w:rPr>
      </w:pPr>
    </w:p>
    <w:p w14:paraId="4772AFCC" w14:textId="2454FAF2" w:rsidR="00DD60D8" w:rsidRPr="0039410A" w:rsidRDefault="00B843EC" w:rsidP="0039410A">
      <w:pPr>
        <w:pStyle w:val="ListParagraph"/>
        <w:numPr>
          <w:ilvl w:val="0"/>
          <w:numId w:val="21"/>
        </w:numPr>
        <w:ind w:left="426" w:right="47" w:hanging="426"/>
        <w:jc w:val="both"/>
        <w:rPr>
          <w:rFonts w:cstheme="minorHAnsi"/>
          <w:bCs/>
          <w:color w:val="auto"/>
          <w:sz w:val="24"/>
          <w:szCs w:val="24"/>
          <w:lang w:val="en-AU"/>
        </w:rPr>
      </w:pPr>
      <w:r w:rsidRPr="0039410A">
        <w:rPr>
          <w:rFonts w:cstheme="minorHAnsi"/>
          <w:bCs/>
          <w:color w:val="auto"/>
          <w:sz w:val="24"/>
          <w:szCs w:val="24"/>
          <w:lang w:val="en-AU"/>
        </w:rPr>
        <w:t xml:space="preserve">Conducting a survey of our members to identify the barriers they faced to seek a timely diagnosis, and access to the most effective treatments with the objective to identify efficiencies and gaps of </w:t>
      </w:r>
      <w:r w:rsidR="004E1815">
        <w:rPr>
          <w:rFonts w:cstheme="minorHAnsi"/>
          <w:bCs/>
          <w:color w:val="auto"/>
          <w:sz w:val="24"/>
          <w:szCs w:val="24"/>
          <w:lang w:val="en-AU"/>
        </w:rPr>
        <w:t xml:space="preserve">mainstream </w:t>
      </w:r>
      <w:r w:rsidRPr="0039410A">
        <w:rPr>
          <w:rFonts w:cstheme="minorHAnsi"/>
          <w:bCs/>
          <w:color w:val="auto"/>
          <w:sz w:val="24"/>
          <w:szCs w:val="24"/>
          <w:lang w:val="en-AU"/>
        </w:rPr>
        <w:t>health services and resulting in the provision of relevant, well-informed information and advice to the Australian Government</w:t>
      </w:r>
      <w:r w:rsidR="00D76CD1" w:rsidRPr="0039410A">
        <w:rPr>
          <w:rFonts w:cstheme="minorHAnsi"/>
          <w:bCs/>
          <w:color w:val="auto"/>
          <w:sz w:val="24"/>
          <w:szCs w:val="24"/>
          <w:lang w:val="en-AU"/>
        </w:rPr>
        <w:t>.</w:t>
      </w:r>
      <w:bookmarkStart w:id="18" w:name="_Hlk30628704"/>
    </w:p>
    <w:p w14:paraId="6A3E8029" w14:textId="0BC166CA" w:rsidR="00801444" w:rsidRDefault="00801444" w:rsidP="00801444">
      <w:pPr>
        <w:pStyle w:val="Heading1"/>
        <w:rPr>
          <w:color w:val="auto"/>
        </w:rPr>
      </w:pPr>
      <w:bookmarkStart w:id="19" w:name="_Toc30830730"/>
      <w:bookmarkEnd w:id="18"/>
      <w:r>
        <w:rPr>
          <w:color w:val="auto"/>
        </w:rPr>
        <w:lastRenderedPageBreak/>
        <w:t xml:space="preserve">Objective </w:t>
      </w:r>
      <w:r w:rsidR="002468AB">
        <w:rPr>
          <w:color w:val="auto"/>
        </w:rPr>
        <w:t>2</w:t>
      </w:r>
      <w:bookmarkEnd w:id="19"/>
    </w:p>
    <w:p w14:paraId="497FA4F8" w14:textId="4EB63FC2" w:rsidR="00636C54" w:rsidRDefault="00801444" w:rsidP="0039410A">
      <w:pPr>
        <w:keepNext/>
        <w:keepLines/>
        <w:spacing w:before="360" w:after="60" w:line="240" w:lineRule="auto"/>
        <w:jc w:val="both"/>
        <w:outlineLvl w:val="1"/>
        <w:rPr>
          <w:rFonts w:asciiTheme="majorHAnsi" w:eastAsiaTheme="majorEastAsia" w:hAnsiTheme="majorHAnsi" w:cstheme="majorBidi"/>
          <w:b/>
          <w:caps/>
          <w:color w:val="4D3C77" w:themeColor="accent1" w:themeShade="BF"/>
          <w:sz w:val="24"/>
          <w14:ligatures w14:val="standardContextual"/>
        </w:rPr>
      </w:pPr>
      <w:r w:rsidRPr="00FA05C5">
        <w:rPr>
          <w:rFonts w:asciiTheme="majorHAnsi" w:eastAsiaTheme="majorEastAsia" w:hAnsiTheme="majorHAnsi" w:cstheme="majorBidi"/>
          <w:b/>
          <w:caps/>
          <w:color w:val="4D3C77" w:themeColor="accent1" w:themeShade="BF"/>
          <w:sz w:val="24"/>
          <w14:ligatures w14:val="standardContextual"/>
        </w:rPr>
        <w:t>S</w:t>
      </w:r>
      <w:r>
        <w:rPr>
          <w:rFonts w:asciiTheme="majorHAnsi" w:eastAsiaTheme="majorEastAsia" w:hAnsiTheme="majorHAnsi" w:cstheme="majorBidi"/>
          <w:b/>
          <w:caps/>
          <w:color w:val="4D3C77" w:themeColor="accent1" w:themeShade="BF"/>
          <w:sz w:val="24"/>
          <w14:ligatures w14:val="standardContextual"/>
        </w:rPr>
        <w:t>tandards of care</w:t>
      </w:r>
    </w:p>
    <w:p w14:paraId="079EAD5C" w14:textId="77777777" w:rsidR="00F67684" w:rsidRPr="00F67684" w:rsidRDefault="00F67684" w:rsidP="0039410A">
      <w:pPr>
        <w:ind w:right="47"/>
        <w:jc w:val="both"/>
        <w:rPr>
          <w:rFonts w:asciiTheme="majorHAnsi" w:eastAsiaTheme="majorEastAsia" w:hAnsiTheme="majorHAnsi" w:cstheme="majorBidi"/>
          <w:b/>
          <w:caps/>
          <w:color w:val="4D3C77" w:themeColor="accent1" w:themeShade="BF"/>
          <w:sz w:val="8"/>
          <w:szCs w:val="8"/>
          <w14:ligatures w14:val="standardContextual"/>
        </w:rPr>
      </w:pPr>
    </w:p>
    <w:p w14:paraId="67E11587" w14:textId="3EA06980" w:rsidR="00BD7C6A" w:rsidRDefault="002468AB" w:rsidP="0039410A">
      <w:pPr>
        <w:ind w:right="47"/>
        <w:jc w:val="both"/>
        <w:rPr>
          <w:rFonts w:cstheme="minorHAnsi"/>
          <w:bCs/>
          <w:color w:val="auto"/>
          <w:sz w:val="24"/>
          <w:szCs w:val="24"/>
          <w:lang w:val="en-AU"/>
        </w:rPr>
      </w:pPr>
      <w:r w:rsidRPr="007825FC">
        <w:rPr>
          <w:rFonts w:cstheme="minorHAnsi"/>
          <w:bCs/>
          <w:color w:val="auto"/>
          <w:sz w:val="24"/>
          <w:szCs w:val="24"/>
          <w:lang w:val="en-AU"/>
        </w:rPr>
        <w:t>Those living with an EGID and EoE have expressed their frustration with and issues they have experienced with the many inconsistencies in the care they receive in managing their EGID. This varies hospital to hospital, clinician to clinician with no current National Standards of Care Guidelines in place. In its most severe form, EoE can cause scar tissue/fibrosis in the oesophagus and research</w:t>
      </w:r>
      <w:r w:rsidR="00B64FAA">
        <w:rPr>
          <w:rStyle w:val="FootnoteReference"/>
          <w:rFonts w:cstheme="minorHAnsi"/>
          <w:bCs/>
          <w:color w:val="auto"/>
          <w:sz w:val="24"/>
          <w:szCs w:val="24"/>
          <w:lang w:val="en-AU"/>
        </w:rPr>
        <w:footnoteReference w:id="5"/>
      </w:r>
      <w:r w:rsidRPr="007825FC">
        <w:rPr>
          <w:rFonts w:cstheme="minorHAnsi"/>
          <w:bCs/>
          <w:color w:val="auto"/>
          <w:sz w:val="24"/>
          <w:szCs w:val="24"/>
          <w:lang w:val="en-AU"/>
        </w:rPr>
        <w:t xml:space="preserve"> has demonstrated that without consistent treatment and ongoing monitoring the clinical, endoscopic, and histologic features of the disease will in most cases remain active. </w:t>
      </w:r>
      <w:bookmarkStart w:id="20" w:name="_Hlk22466052"/>
    </w:p>
    <w:p w14:paraId="4ECA6E58" w14:textId="77777777" w:rsidR="004A5C7C" w:rsidRDefault="002468AB" w:rsidP="0039410A">
      <w:pPr>
        <w:ind w:right="47"/>
        <w:jc w:val="both"/>
        <w:rPr>
          <w:rFonts w:cstheme="minorHAnsi"/>
          <w:bCs/>
          <w:color w:val="auto"/>
          <w:sz w:val="24"/>
          <w:szCs w:val="24"/>
          <w:lang w:val="en-AU"/>
        </w:rPr>
      </w:pPr>
      <w:r w:rsidRPr="007825FC">
        <w:rPr>
          <w:rFonts w:cstheme="minorHAnsi"/>
          <w:bCs/>
          <w:color w:val="auto"/>
          <w:sz w:val="24"/>
          <w:szCs w:val="24"/>
          <w:lang w:val="en-AU"/>
        </w:rPr>
        <w:t>We surveyed our members in April/May 2018</w:t>
      </w:r>
      <w:r w:rsidR="00B64FAA">
        <w:rPr>
          <w:rStyle w:val="FootnoteReference"/>
          <w:rFonts w:cstheme="minorHAnsi"/>
          <w:bCs/>
          <w:color w:val="auto"/>
          <w:sz w:val="24"/>
          <w:szCs w:val="24"/>
          <w:lang w:val="en-AU"/>
        </w:rPr>
        <w:footnoteReference w:id="6"/>
      </w:r>
      <w:r w:rsidRPr="007825FC">
        <w:rPr>
          <w:rFonts w:cstheme="minorHAnsi"/>
          <w:bCs/>
          <w:color w:val="auto"/>
          <w:sz w:val="24"/>
          <w:szCs w:val="24"/>
          <w:lang w:val="en-AU"/>
        </w:rPr>
        <w:t xml:space="preserve"> on research priorities </w:t>
      </w:r>
      <w:bookmarkEnd w:id="20"/>
      <w:r w:rsidRPr="007825FC">
        <w:rPr>
          <w:rFonts w:cstheme="minorHAnsi"/>
          <w:bCs/>
          <w:color w:val="auto"/>
          <w:sz w:val="24"/>
          <w:szCs w:val="24"/>
          <w:lang w:val="en-AU"/>
        </w:rPr>
        <w:t xml:space="preserve">and the development of Care and treatment guidelines for eosinophilic disorders was reported by 92% of survey respondents as being the highest priority for them. </w:t>
      </w:r>
    </w:p>
    <w:p w14:paraId="483FBB6F" w14:textId="5D712F23" w:rsidR="00BD7C6A" w:rsidRDefault="002468AB" w:rsidP="0039410A">
      <w:pPr>
        <w:ind w:right="47"/>
        <w:jc w:val="both"/>
        <w:rPr>
          <w:rFonts w:cstheme="minorHAnsi"/>
          <w:bCs/>
          <w:color w:val="auto"/>
          <w:sz w:val="24"/>
          <w:szCs w:val="24"/>
          <w:lang w:val="en-AU"/>
        </w:rPr>
      </w:pPr>
      <w:r w:rsidRPr="007825FC">
        <w:rPr>
          <w:rFonts w:cstheme="minorHAnsi"/>
          <w:bCs/>
          <w:color w:val="auto"/>
          <w:sz w:val="24"/>
          <w:szCs w:val="24"/>
          <w:lang w:val="en-AU"/>
        </w:rPr>
        <w:t>Issues faced with the current care patients receive in managing their EGID include delay in diagnosis, access to efficient and effective treatments, poor access to multidisciplinary chronic disease care, inadequate emergency care, frequency of endoscopies, psychological impact of living with the disease not being adequately addressed and having limited ability to participate actively in their own EGID management or feeling they are having to completely manage their EGID and make decisions on their treatment without adequate support or guidance from medical professionals who themselves are often ill-equipped,</w:t>
      </w:r>
      <w:r w:rsidRPr="007825FC">
        <w:rPr>
          <w:rFonts w:cstheme="minorHAnsi"/>
          <w:color w:val="auto"/>
          <w:sz w:val="24"/>
          <w:szCs w:val="24"/>
        </w:rPr>
        <w:t xml:space="preserve"> </w:t>
      </w:r>
      <w:r w:rsidRPr="007825FC">
        <w:rPr>
          <w:rFonts w:cstheme="minorHAnsi"/>
          <w:bCs/>
          <w:color w:val="auto"/>
          <w:sz w:val="24"/>
          <w:szCs w:val="24"/>
          <w:lang w:val="en-AU"/>
        </w:rPr>
        <w:t xml:space="preserve">especially those </w:t>
      </w:r>
      <w:r w:rsidR="00585B43">
        <w:rPr>
          <w:rFonts w:cstheme="minorHAnsi"/>
          <w:bCs/>
          <w:color w:val="auto"/>
          <w:sz w:val="24"/>
          <w:szCs w:val="24"/>
          <w:lang w:val="en-AU"/>
        </w:rPr>
        <w:t>living i</w:t>
      </w:r>
      <w:r w:rsidRPr="007825FC">
        <w:rPr>
          <w:rFonts w:cstheme="minorHAnsi"/>
          <w:bCs/>
          <w:color w:val="auto"/>
          <w:sz w:val="24"/>
          <w:szCs w:val="24"/>
          <w:lang w:val="en-AU"/>
        </w:rPr>
        <w:t>n regional, rural and remote locations.</w:t>
      </w:r>
      <w:bookmarkStart w:id="21" w:name="_Hlk22498998"/>
    </w:p>
    <w:p w14:paraId="41684AE2" w14:textId="642696EA" w:rsidR="00AB1C4D" w:rsidRDefault="00AB1C4D" w:rsidP="0039410A">
      <w:pPr>
        <w:ind w:right="47"/>
        <w:jc w:val="both"/>
        <w:rPr>
          <w:rFonts w:cstheme="minorHAnsi"/>
          <w:bCs/>
          <w:color w:val="auto"/>
          <w:sz w:val="24"/>
          <w:szCs w:val="24"/>
          <w:lang w:val="en-AU"/>
        </w:rPr>
      </w:pPr>
      <w:r w:rsidRPr="007825FC">
        <w:rPr>
          <w:rFonts w:cstheme="minorHAnsi"/>
          <w:bCs/>
          <w:color w:val="auto"/>
          <w:sz w:val="24"/>
          <w:szCs w:val="24"/>
          <w:lang w:val="en-AU"/>
        </w:rPr>
        <w:t xml:space="preserve">EGID is best managed by a team healthcare approach including a gastroenterologist and allergist/immunologist with support from a GP and/or paediatrician. People with EGID will also benefit from having access to a </w:t>
      </w:r>
      <w:bookmarkStart w:id="22" w:name="_Hlk22507806"/>
      <w:r w:rsidRPr="007825FC">
        <w:rPr>
          <w:rFonts w:cstheme="minorHAnsi"/>
          <w:bCs/>
          <w:color w:val="auto"/>
          <w:sz w:val="24"/>
          <w:szCs w:val="24"/>
          <w:lang w:val="en-AU"/>
        </w:rPr>
        <w:t>multidisciplinary</w:t>
      </w:r>
      <w:bookmarkEnd w:id="22"/>
      <w:r w:rsidRPr="007825FC">
        <w:rPr>
          <w:rFonts w:cstheme="minorHAnsi"/>
          <w:bCs/>
          <w:color w:val="auto"/>
          <w:sz w:val="24"/>
          <w:szCs w:val="24"/>
          <w:lang w:val="en-AU"/>
        </w:rPr>
        <w:t xml:space="preserve"> team of appropriately skilled allied health professionals, both in the community and in the hospital setting according to need.</w:t>
      </w:r>
    </w:p>
    <w:p w14:paraId="024CFC38" w14:textId="5C04ABA4" w:rsidR="002468AB" w:rsidRPr="007825FC" w:rsidRDefault="002468AB" w:rsidP="0039410A">
      <w:pPr>
        <w:ind w:right="47"/>
        <w:jc w:val="both"/>
        <w:rPr>
          <w:rFonts w:cstheme="minorHAnsi"/>
          <w:bCs/>
          <w:color w:val="auto"/>
          <w:sz w:val="24"/>
          <w:szCs w:val="24"/>
          <w:lang w:val="en-AU"/>
        </w:rPr>
      </w:pPr>
      <w:bookmarkStart w:id="23" w:name="_Hlk22507048"/>
      <w:r w:rsidRPr="007825FC">
        <w:rPr>
          <w:rFonts w:cstheme="minorHAnsi"/>
          <w:bCs/>
          <w:color w:val="auto"/>
          <w:sz w:val="24"/>
          <w:szCs w:val="24"/>
          <w:lang w:val="en-AU"/>
        </w:rPr>
        <w:lastRenderedPageBreak/>
        <w:t xml:space="preserve">The development of Standards of Care Guidelines </w:t>
      </w:r>
      <w:r w:rsidR="000554B5" w:rsidRPr="00927E0D">
        <w:rPr>
          <w:rFonts w:cstheme="minorHAnsi"/>
          <w:bCs/>
          <w:color w:val="auto"/>
          <w:sz w:val="24"/>
          <w:szCs w:val="24"/>
          <w:lang w:val="en-AU"/>
        </w:rPr>
        <w:t>would substantially benefit healthcare professionals, healthcare institutions and ultimately their patients</w:t>
      </w:r>
      <w:r w:rsidR="000554B5" w:rsidRPr="007825FC">
        <w:rPr>
          <w:rFonts w:cstheme="minorHAnsi"/>
          <w:bCs/>
          <w:color w:val="auto"/>
          <w:sz w:val="24"/>
          <w:szCs w:val="24"/>
          <w:lang w:val="en-AU"/>
        </w:rPr>
        <w:t xml:space="preserve"> </w:t>
      </w:r>
      <w:r w:rsidR="000554B5">
        <w:rPr>
          <w:rFonts w:cstheme="minorHAnsi"/>
          <w:bCs/>
          <w:color w:val="auto"/>
          <w:sz w:val="24"/>
          <w:szCs w:val="24"/>
          <w:lang w:val="en-AU"/>
        </w:rPr>
        <w:t xml:space="preserve">and </w:t>
      </w:r>
      <w:r w:rsidRPr="007825FC">
        <w:rPr>
          <w:rFonts w:cstheme="minorHAnsi"/>
          <w:bCs/>
          <w:color w:val="auto"/>
          <w:sz w:val="24"/>
          <w:szCs w:val="24"/>
          <w:lang w:val="en-AU"/>
        </w:rPr>
        <w:t>is pivotal to achieve best clinical practice for EGIDs as well as influencing and improving</w:t>
      </w:r>
      <w:r w:rsidR="00A96D26">
        <w:rPr>
          <w:rFonts w:cstheme="minorHAnsi"/>
          <w:bCs/>
          <w:color w:val="auto"/>
          <w:sz w:val="24"/>
          <w:szCs w:val="24"/>
          <w:lang w:val="en-AU"/>
        </w:rPr>
        <w:t xml:space="preserve"> quality of care and</w:t>
      </w:r>
      <w:r w:rsidRPr="007825FC">
        <w:rPr>
          <w:rFonts w:cstheme="minorHAnsi"/>
          <w:bCs/>
          <w:color w:val="auto"/>
          <w:sz w:val="24"/>
          <w:szCs w:val="24"/>
          <w:lang w:val="en-AU"/>
        </w:rPr>
        <w:t xml:space="preserve"> patient outcomes.</w:t>
      </w:r>
      <w:bookmarkEnd w:id="21"/>
      <w:bookmarkEnd w:id="23"/>
    </w:p>
    <w:p w14:paraId="1761BA8E" w14:textId="77777777" w:rsidR="004A5C7C" w:rsidRDefault="004A5C7C" w:rsidP="0039410A">
      <w:pPr>
        <w:pStyle w:val="CompanyInfo"/>
        <w:spacing w:after="0" w:line="240" w:lineRule="auto"/>
        <w:jc w:val="both"/>
        <w:rPr>
          <w:rFonts w:cstheme="minorHAnsi"/>
          <w:b/>
          <w:color w:val="auto"/>
          <w:sz w:val="24"/>
          <w:szCs w:val="24"/>
          <w:lang w:val="en-AU"/>
        </w:rPr>
      </w:pPr>
    </w:p>
    <w:p w14:paraId="4A23B348" w14:textId="0F6456C7" w:rsidR="00F03116" w:rsidRDefault="0028772D" w:rsidP="0039410A">
      <w:pPr>
        <w:pStyle w:val="CompanyInfo"/>
        <w:spacing w:after="0" w:line="240" w:lineRule="auto"/>
        <w:jc w:val="both"/>
        <w:rPr>
          <w:rFonts w:cstheme="minorHAnsi"/>
          <w:b/>
          <w:color w:val="auto"/>
          <w:sz w:val="24"/>
          <w:szCs w:val="24"/>
          <w:lang w:val="en-AU"/>
        </w:rPr>
      </w:pPr>
      <w:r w:rsidRPr="007825FC">
        <w:rPr>
          <w:rFonts w:cstheme="minorHAnsi"/>
          <w:b/>
          <w:color w:val="auto"/>
          <w:sz w:val="24"/>
          <w:szCs w:val="24"/>
          <w:lang w:val="en-AU"/>
        </w:rPr>
        <w:t>Objective Activities:</w:t>
      </w:r>
    </w:p>
    <w:p w14:paraId="4278262E" w14:textId="77777777" w:rsidR="00F67684" w:rsidRPr="00F67684" w:rsidRDefault="00F67684" w:rsidP="0039410A">
      <w:pPr>
        <w:pStyle w:val="CompanyInfo"/>
        <w:spacing w:after="0" w:line="240" w:lineRule="auto"/>
        <w:jc w:val="both"/>
        <w:rPr>
          <w:rFonts w:cstheme="minorHAnsi"/>
          <w:b/>
          <w:color w:val="auto"/>
          <w:sz w:val="24"/>
          <w:szCs w:val="24"/>
          <w:lang w:val="en-AU"/>
        </w:rPr>
      </w:pPr>
    </w:p>
    <w:p w14:paraId="7D520E50" w14:textId="1FD116E9" w:rsidR="00C82A2D" w:rsidRDefault="00C82A2D" w:rsidP="0039410A">
      <w:pPr>
        <w:pStyle w:val="ListParagraph"/>
        <w:numPr>
          <w:ilvl w:val="0"/>
          <w:numId w:val="22"/>
        </w:numPr>
        <w:ind w:left="426" w:right="47" w:hanging="426"/>
        <w:jc w:val="both"/>
        <w:rPr>
          <w:rFonts w:cstheme="minorHAnsi"/>
          <w:bCs/>
          <w:color w:val="auto"/>
          <w:sz w:val="24"/>
          <w:szCs w:val="24"/>
          <w:lang w:val="en-AU"/>
        </w:rPr>
      </w:pPr>
      <w:r>
        <w:rPr>
          <w:rFonts w:cstheme="minorHAnsi"/>
          <w:bCs/>
          <w:color w:val="auto"/>
          <w:sz w:val="24"/>
          <w:szCs w:val="24"/>
          <w:lang w:val="en-AU"/>
        </w:rPr>
        <w:t>C</w:t>
      </w:r>
      <w:r w:rsidRPr="00F67684">
        <w:rPr>
          <w:rFonts w:cstheme="minorHAnsi"/>
          <w:bCs/>
          <w:color w:val="auto"/>
          <w:sz w:val="24"/>
          <w:szCs w:val="24"/>
          <w:lang w:val="en-AU"/>
        </w:rPr>
        <w:t xml:space="preserve">onsultation </w:t>
      </w:r>
      <w:r>
        <w:rPr>
          <w:rFonts w:cstheme="minorHAnsi"/>
          <w:bCs/>
          <w:color w:val="auto"/>
          <w:sz w:val="24"/>
          <w:szCs w:val="24"/>
          <w:lang w:val="en-AU"/>
        </w:rPr>
        <w:t>with ausEE’s</w:t>
      </w:r>
      <w:r w:rsidRPr="00F67684">
        <w:rPr>
          <w:rFonts w:cstheme="minorHAnsi"/>
          <w:bCs/>
          <w:color w:val="auto"/>
          <w:sz w:val="24"/>
          <w:szCs w:val="24"/>
          <w:lang w:val="en-AU"/>
        </w:rPr>
        <w:t xml:space="preserve"> Medical Advisory Board</w:t>
      </w:r>
      <w:r>
        <w:rPr>
          <w:rStyle w:val="FootnoteReference"/>
          <w:rFonts w:cstheme="minorHAnsi"/>
          <w:bCs/>
          <w:color w:val="auto"/>
          <w:sz w:val="24"/>
          <w:szCs w:val="24"/>
          <w:lang w:val="en-AU"/>
        </w:rPr>
        <w:footnoteReference w:id="7"/>
      </w:r>
      <w:r w:rsidRPr="00F67684">
        <w:rPr>
          <w:rFonts w:cstheme="minorHAnsi"/>
          <w:bCs/>
          <w:color w:val="auto"/>
          <w:sz w:val="24"/>
          <w:szCs w:val="24"/>
          <w:lang w:val="en-AU"/>
        </w:rPr>
        <w:t xml:space="preserve">, additional key </w:t>
      </w:r>
      <w:r>
        <w:rPr>
          <w:rFonts w:cstheme="minorHAnsi"/>
          <w:bCs/>
          <w:color w:val="auto"/>
          <w:sz w:val="24"/>
          <w:szCs w:val="24"/>
          <w:lang w:val="en-AU"/>
        </w:rPr>
        <w:t>healthcare</w:t>
      </w:r>
      <w:r w:rsidRPr="00F67684">
        <w:rPr>
          <w:rFonts w:cstheme="minorHAnsi"/>
          <w:bCs/>
          <w:color w:val="auto"/>
          <w:sz w:val="24"/>
          <w:szCs w:val="24"/>
          <w:lang w:val="en-AU"/>
        </w:rPr>
        <w:t xml:space="preserve"> professionals and key stakeholders through the formation of a steering committee </w:t>
      </w:r>
      <w:bookmarkStart w:id="24" w:name="_Hlk22499254"/>
      <w:r w:rsidRPr="00F67684">
        <w:rPr>
          <w:rFonts w:cstheme="minorHAnsi"/>
          <w:bCs/>
          <w:color w:val="auto"/>
          <w:sz w:val="24"/>
          <w:szCs w:val="24"/>
          <w:lang w:val="en-AU"/>
        </w:rPr>
        <w:t xml:space="preserve">including peak medical bodies; </w:t>
      </w:r>
      <w:bookmarkStart w:id="25" w:name="_Hlk30654415"/>
      <w:r w:rsidRPr="00F67684">
        <w:rPr>
          <w:rFonts w:cstheme="minorHAnsi"/>
          <w:bCs/>
          <w:color w:val="auto"/>
          <w:sz w:val="24"/>
          <w:szCs w:val="24"/>
          <w:lang w:val="en-AU"/>
        </w:rPr>
        <w:t>ASCIA</w:t>
      </w:r>
      <w:r>
        <w:rPr>
          <w:rFonts w:cstheme="minorHAnsi"/>
          <w:bCs/>
          <w:color w:val="auto"/>
          <w:sz w:val="24"/>
          <w:szCs w:val="24"/>
          <w:lang w:val="en-AU"/>
        </w:rPr>
        <w:t xml:space="preserve">, </w:t>
      </w:r>
      <w:r w:rsidRPr="00F67684">
        <w:rPr>
          <w:rFonts w:cstheme="minorHAnsi"/>
          <w:bCs/>
          <w:color w:val="auto"/>
          <w:sz w:val="24"/>
          <w:szCs w:val="24"/>
          <w:lang w:val="en-AU"/>
        </w:rPr>
        <w:t>GESA,</w:t>
      </w:r>
      <w:r w:rsidRPr="00F67684">
        <w:rPr>
          <w:rFonts w:cstheme="minorHAnsi"/>
          <w:color w:val="auto"/>
          <w:sz w:val="24"/>
          <w:szCs w:val="24"/>
        </w:rPr>
        <w:t xml:space="preserve"> </w:t>
      </w:r>
      <w:bookmarkEnd w:id="24"/>
      <w:bookmarkEnd w:id="25"/>
      <w:r w:rsidRPr="00F67684">
        <w:rPr>
          <w:rFonts w:cstheme="minorHAnsi"/>
          <w:bCs/>
          <w:color w:val="auto"/>
          <w:sz w:val="24"/>
          <w:szCs w:val="24"/>
          <w:lang w:val="en-AU"/>
        </w:rPr>
        <w:t xml:space="preserve">Dietitians Association of Australia (DAA) and The Royal Australian College of General Practitioners (RACGP). </w:t>
      </w:r>
    </w:p>
    <w:p w14:paraId="3368BB4B" w14:textId="77777777" w:rsidR="0039410A" w:rsidRDefault="0039410A" w:rsidP="0039410A">
      <w:pPr>
        <w:pStyle w:val="ListParagraph"/>
        <w:ind w:left="426" w:right="47"/>
        <w:jc w:val="both"/>
        <w:rPr>
          <w:rFonts w:cstheme="minorHAnsi"/>
          <w:bCs/>
          <w:color w:val="auto"/>
          <w:sz w:val="24"/>
          <w:szCs w:val="24"/>
          <w:lang w:val="en-AU"/>
        </w:rPr>
      </w:pPr>
    </w:p>
    <w:p w14:paraId="704A3682" w14:textId="39C4B576" w:rsidR="0039410A" w:rsidRPr="0039410A" w:rsidRDefault="007D0857" w:rsidP="0039410A">
      <w:pPr>
        <w:pStyle w:val="ListParagraph"/>
        <w:numPr>
          <w:ilvl w:val="0"/>
          <w:numId w:val="22"/>
        </w:numPr>
        <w:ind w:left="426" w:right="47" w:hanging="426"/>
        <w:jc w:val="both"/>
        <w:rPr>
          <w:rFonts w:cstheme="minorHAnsi"/>
          <w:bCs/>
          <w:color w:val="auto"/>
          <w:sz w:val="24"/>
          <w:szCs w:val="24"/>
          <w:lang w:val="en-AU"/>
        </w:rPr>
      </w:pPr>
      <w:r>
        <w:rPr>
          <w:rFonts w:cstheme="minorHAnsi"/>
          <w:bCs/>
          <w:color w:val="auto"/>
          <w:sz w:val="24"/>
          <w:szCs w:val="24"/>
          <w:lang w:val="en-AU"/>
        </w:rPr>
        <w:t xml:space="preserve">Collaboration with </w:t>
      </w:r>
      <w:r w:rsidR="00590C02">
        <w:rPr>
          <w:rFonts w:cstheme="minorHAnsi"/>
          <w:bCs/>
          <w:color w:val="auto"/>
          <w:sz w:val="24"/>
          <w:szCs w:val="24"/>
          <w:lang w:val="en-AU"/>
        </w:rPr>
        <w:t xml:space="preserve">stakeholders from </w:t>
      </w:r>
      <w:r w:rsidR="00DB47AD">
        <w:rPr>
          <w:rFonts w:cstheme="minorHAnsi"/>
          <w:bCs/>
          <w:color w:val="auto"/>
          <w:sz w:val="24"/>
          <w:szCs w:val="24"/>
          <w:lang w:val="en-AU"/>
        </w:rPr>
        <w:t xml:space="preserve">other </w:t>
      </w:r>
      <w:r w:rsidR="00DB47AD" w:rsidRPr="00DB47AD">
        <w:rPr>
          <w:rFonts w:cstheme="minorHAnsi"/>
          <w:bCs/>
          <w:color w:val="auto"/>
          <w:sz w:val="24"/>
          <w:szCs w:val="24"/>
          <w:lang w:val="en-AU"/>
        </w:rPr>
        <w:t>national peak patient bod</w:t>
      </w:r>
      <w:r w:rsidR="00DA3777">
        <w:rPr>
          <w:rFonts w:cstheme="minorHAnsi"/>
          <w:bCs/>
          <w:color w:val="auto"/>
          <w:sz w:val="24"/>
          <w:szCs w:val="24"/>
          <w:lang w:val="en-AU"/>
        </w:rPr>
        <w:t xml:space="preserve">ies for chronic diseases to knowledge share on </w:t>
      </w:r>
      <w:r w:rsidR="001668F7">
        <w:rPr>
          <w:rFonts w:cstheme="minorHAnsi"/>
          <w:bCs/>
          <w:color w:val="auto"/>
          <w:sz w:val="24"/>
          <w:szCs w:val="24"/>
          <w:lang w:val="en-AU"/>
        </w:rPr>
        <w:t>Standards of Care Guidelines.</w:t>
      </w:r>
    </w:p>
    <w:p w14:paraId="1A019EC7" w14:textId="77777777" w:rsidR="0039410A" w:rsidRDefault="0039410A" w:rsidP="0039410A">
      <w:pPr>
        <w:pStyle w:val="ListParagraph"/>
        <w:ind w:left="426" w:right="47"/>
        <w:jc w:val="both"/>
        <w:rPr>
          <w:rFonts w:cstheme="minorHAnsi"/>
          <w:bCs/>
          <w:color w:val="auto"/>
          <w:sz w:val="24"/>
          <w:szCs w:val="24"/>
          <w:lang w:val="en-AU"/>
        </w:rPr>
      </w:pPr>
    </w:p>
    <w:p w14:paraId="719EE333" w14:textId="6E656D70" w:rsidR="00C66622" w:rsidRDefault="00B66C08" w:rsidP="0039410A">
      <w:pPr>
        <w:pStyle w:val="ListParagraph"/>
        <w:numPr>
          <w:ilvl w:val="0"/>
          <w:numId w:val="22"/>
        </w:numPr>
        <w:ind w:left="426" w:right="47" w:hanging="426"/>
        <w:jc w:val="both"/>
        <w:rPr>
          <w:rFonts w:cstheme="minorHAnsi"/>
          <w:bCs/>
          <w:color w:val="auto"/>
          <w:sz w:val="24"/>
          <w:szCs w:val="24"/>
          <w:lang w:val="en-AU"/>
        </w:rPr>
      </w:pPr>
      <w:r>
        <w:rPr>
          <w:rFonts w:cstheme="minorHAnsi"/>
          <w:bCs/>
          <w:color w:val="auto"/>
          <w:sz w:val="24"/>
          <w:szCs w:val="24"/>
          <w:lang w:val="en-AU"/>
        </w:rPr>
        <w:t>D</w:t>
      </w:r>
      <w:r w:rsidR="002468AB" w:rsidRPr="00F67684">
        <w:rPr>
          <w:rFonts w:cstheme="minorHAnsi"/>
          <w:bCs/>
          <w:color w:val="auto"/>
          <w:sz w:val="24"/>
          <w:szCs w:val="24"/>
          <w:lang w:val="en-AU"/>
        </w:rPr>
        <w:t>evelop</w:t>
      </w:r>
      <w:r w:rsidR="00F20AA4">
        <w:rPr>
          <w:rFonts w:cstheme="minorHAnsi"/>
          <w:bCs/>
          <w:color w:val="auto"/>
          <w:sz w:val="24"/>
          <w:szCs w:val="24"/>
          <w:lang w:val="en-AU"/>
        </w:rPr>
        <w:t xml:space="preserve"> </w:t>
      </w:r>
      <w:r w:rsidR="002468AB" w:rsidRPr="00F67684">
        <w:rPr>
          <w:rFonts w:cstheme="minorHAnsi"/>
          <w:bCs/>
          <w:color w:val="auto"/>
          <w:sz w:val="24"/>
          <w:szCs w:val="24"/>
          <w:lang w:val="en-AU"/>
        </w:rPr>
        <w:t xml:space="preserve">Standards of Care Guidelines for EGIDs including EoE with extensive coordination </w:t>
      </w:r>
      <w:r w:rsidR="006B233A">
        <w:rPr>
          <w:rFonts w:cstheme="minorHAnsi"/>
          <w:bCs/>
          <w:color w:val="auto"/>
          <w:sz w:val="24"/>
          <w:szCs w:val="24"/>
          <w:lang w:val="en-AU"/>
        </w:rPr>
        <w:t>from the steering committee</w:t>
      </w:r>
      <w:r w:rsidR="009E6961">
        <w:rPr>
          <w:rFonts w:cstheme="minorHAnsi"/>
          <w:bCs/>
          <w:color w:val="auto"/>
          <w:sz w:val="24"/>
          <w:szCs w:val="24"/>
          <w:lang w:val="en-AU"/>
        </w:rPr>
        <w:t xml:space="preserve"> to ensure </w:t>
      </w:r>
      <w:r w:rsidR="009E6961" w:rsidRPr="009E6961">
        <w:rPr>
          <w:rFonts w:cstheme="minorHAnsi"/>
          <w:bCs/>
          <w:color w:val="auto"/>
          <w:sz w:val="24"/>
          <w:szCs w:val="24"/>
          <w:lang w:val="en-AU"/>
        </w:rPr>
        <w:t>coordinated, efficient, effective and appropriate car</w:t>
      </w:r>
      <w:r w:rsidR="009E6961">
        <w:rPr>
          <w:rFonts w:cstheme="minorHAnsi"/>
          <w:bCs/>
          <w:color w:val="auto"/>
          <w:sz w:val="24"/>
          <w:szCs w:val="24"/>
          <w:lang w:val="en-AU"/>
        </w:rPr>
        <w:t xml:space="preserve">e </w:t>
      </w:r>
      <w:r w:rsidR="009E6961" w:rsidRPr="009E6961">
        <w:rPr>
          <w:rFonts w:cstheme="minorHAnsi"/>
          <w:bCs/>
          <w:color w:val="auto"/>
          <w:sz w:val="24"/>
          <w:szCs w:val="24"/>
          <w:lang w:val="en-AU"/>
        </w:rPr>
        <w:t xml:space="preserve">to optimise </w:t>
      </w:r>
      <w:r w:rsidR="009E6961">
        <w:rPr>
          <w:rFonts w:cstheme="minorHAnsi"/>
          <w:bCs/>
          <w:color w:val="auto"/>
          <w:sz w:val="24"/>
          <w:szCs w:val="24"/>
          <w:lang w:val="en-AU"/>
        </w:rPr>
        <w:t>quality of life for people living with an EGID.</w:t>
      </w:r>
    </w:p>
    <w:p w14:paraId="4B2B54DF" w14:textId="77777777" w:rsidR="0039410A" w:rsidRDefault="0039410A" w:rsidP="0039410A">
      <w:pPr>
        <w:pStyle w:val="ListParagraph"/>
        <w:spacing w:line="276" w:lineRule="auto"/>
        <w:ind w:left="426" w:right="47"/>
        <w:jc w:val="both"/>
        <w:rPr>
          <w:rFonts w:cstheme="minorHAnsi"/>
          <w:bCs/>
          <w:color w:val="auto"/>
          <w:sz w:val="24"/>
          <w:szCs w:val="24"/>
          <w:lang w:val="en-AU"/>
        </w:rPr>
      </w:pPr>
    </w:p>
    <w:p w14:paraId="41F82BB0" w14:textId="4B34FF1A" w:rsidR="0086585C" w:rsidRDefault="00CD3ACE" w:rsidP="0039410A">
      <w:pPr>
        <w:pStyle w:val="ListParagraph"/>
        <w:numPr>
          <w:ilvl w:val="0"/>
          <w:numId w:val="22"/>
        </w:numPr>
        <w:spacing w:line="276" w:lineRule="auto"/>
        <w:ind w:left="426" w:right="47" w:hanging="426"/>
        <w:jc w:val="both"/>
        <w:rPr>
          <w:rFonts w:cstheme="minorHAnsi"/>
          <w:bCs/>
          <w:color w:val="auto"/>
          <w:sz w:val="24"/>
          <w:szCs w:val="24"/>
          <w:lang w:val="en-AU"/>
        </w:rPr>
      </w:pPr>
      <w:r w:rsidRPr="00F67684">
        <w:rPr>
          <w:rFonts w:cstheme="minorHAnsi"/>
          <w:bCs/>
          <w:color w:val="auto"/>
          <w:sz w:val="24"/>
          <w:szCs w:val="24"/>
          <w:lang w:val="en-AU"/>
        </w:rPr>
        <w:t>Improv</w:t>
      </w:r>
      <w:r>
        <w:rPr>
          <w:rFonts w:cstheme="minorHAnsi"/>
          <w:bCs/>
          <w:color w:val="auto"/>
          <w:sz w:val="24"/>
          <w:szCs w:val="24"/>
          <w:lang w:val="en-AU"/>
        </w:rPr>
        <w:t xml:space="preserve">e </w:t>
      </w:r>
      <w:r w:rsidRPr="00F67684">
        <w:rPr>
          <w:rFonts w:cstheme="minorHAnsi"/>
          <w:bCs/>
          <w:color w:val="auto"/>
          <w:sz w:val="24"/>
          <w:szCs w:val="24"/>
          <w:lang w:val="en-AU"/>
        </w:rPr>
        <w:t>education on EGIDs</w:t>
      </w:r>
      <w:r w:rsidR="003E0F30">
        <w:rPr>
          <w:rFonts w:cstheme="minorHAnsi"/>
          <w:bCs/>
          <w:color w:val="auto"/>
          <w:sz w:val="24"/>
          <w:szCs w:val="24"/>
          <w:lang w:val="en-AU"/>
        </w:rPr>
        <w:t xml:space="preserve"> to healthcare professionals </w:t>
      </w:r>
      <w:r w:rsidR="00263125">
        <w:rPr>
          <w:rFonts w:cstheme="minorHAnsi"/>
          <w:bCs/>
          <w:color w:val="auto"/>
          <w:sz w:val="24"/>
          <w:szCs w:val="24"/>
          <w:lang w:val="en-AU"/>
        </w:rPr>
        <w:t xml:space="preserve">on </w:t>
      </w:r>
      <w:r w:rsidR="00C118A2">
        <w:rPr>
          <w:rFonts w:cstheme="minorHAnsi"/>
          <w:bCs/>
          <w:color w:val="auto"/>
          <w:sz w:val="24"/>
          <w:szCs w:val="24"/>
          <w:lang w:val="en-AU"/>
        </w:rPr>
        <w:t>Standards of Care G</w:t>
      </w:r>
      <w:r w:rsidRPr="00F67684">
        <w:rPr>
          <w:rFonts w:cstheme="minorHAnsi"/>
          <w:bCs/>
          <w:color w:val="auto"/>
          <w:sz w:val="24"/>
          <w:szCs w:val="24"/>
          <w:lang w:val="en-AU"/>
        </w:rPr>
        <w:t>uidelines for p</w:t>
      </w:r>
      <w:r w:rsidR="00FA69D9">
        <w:rPr>
          <w:rFonts w:cstheme="minorHAnsi"/>
          <w:bCs/>
          <w:color w:val="auto"/>
          <w:sz w:val="24"/>
          <w:szCs w:val="24"/>
          <w:lang w:val="en-AU"/>
        </w:rPr>
        <w:t>erson</w:t>
      </w:r>
      <w:r w:rsidRPr="00F67684">
        <w:rPr>
          <w:rFonts w:cstheme="minorHAnsi"/>
          <w:bCs/>
          <w:color w:val="auto"/>
          <w:sz w:val="24"/>
          <w:szCs w:val="24"/>
          <w:lang w:val="en-AU"/>
        </w:rPr>
        <w:t xml:space="preserve">-centred care </w:t>
      </w:r>
      <w:r w:rsidR="005C164C">
        <w:rPr>
          <w:rFonts w:cstheme="minorHAnsi"/>
          <w:bCs/>
          <w:color w:val="auto"/>
          <w:sz w:val="24"/>
          <w:szCs w:val="24"/>
          <w:lang w:val="en-AU"/>
        </w:rPr>
        <w:t xml:space="preserve">which will additionally </w:t>
      </w:r>
      <w:r w:rsidRPr="00F67684">
        <w:rPr>
          <w:rFonts w:cstheme="minorHAnsi"/>
          <w:bCs/>
          <w:color w:val="auto"/>
          <w:sz w:val="24"/>
          <w:szCs w:val="24"/>
          <w:lang w:val="en-AU"/>
        </w:rPr>
        <w:t xml:space="preserve">provide for greater </w:t>
      </w:r>
      <w:bookmarkStart w:id="26" w:name="_Hlk22500463"/>
      <w:r w:rsidRPr="00F67684">
        <w:rPr>
          <w:rFonts w:cstheme="minorHAnsi"/>
          <w:bCs/>
          <w:color w:val="auto"/>
          <w:sz w:val="24"/>
          <w:szCs w:val="24"/>
          <w:lang w:val="en-AU"/>
        </w:rPr>
        <w:t>access to multidisciplinary allied health teams including dietitians, speech pathologists, occupational therapists and psychologists.</w:t>
      </w:r>
    </w:p>
    <w:p w14:paraId="08AF92C4" w14:textId="77777777" w:rsidR="0039410A" w:rsidRPr="0039410A" w:rsidRDefault="0039410A" w:rsidP="0039410A">
      <w:pPr>
        <w:pStyle w:val="ListParagraph"/>
        <w:spacing w:line="276" w:lineRule="auto"/>
        <w:ind w:left="426" w:right="47"/>
        <w:jc w:val="both"/>
        <w:rPr>
          <w:rFonts w:cstheme="minorHAnsi"/>
          <w:bCs/>
          <w:color w:val="auto"/>
          <w:sz w:val="24"/>
          <w:szCs w:val="24"/>
          <w:lang w:val="en-AU"/>
        </w:rPr>
      </w:pPr>
    </w:p>
    <w:p w14:paraId="68E7CCE5" w14:textId="3F9CD0FF" w:rsidR="00645D1D" w:rsidRPr="00645D1D" w:rsidRDefault="00645D1D" w:rsidP="0039410A">
      <w:pPr>
        <w:pStyle w:val="ListParagraph"/>
        <w:numPr>
          <w:ilvl w:val="0"/>
          <w:numId w:val="22"/>
        </w:numPr>
        <w:spacing w:line="276" w:lineRule="auto"/>
        <w:ind w:left="426" w:right="47" w:hanging="426"/>
        <w:jc w:val="both"/>
        <w:rPr>
          <w:rFonts w:cstheme="minorHAnsi"/>
          <w:bCs/>
          <w:color w:val="auto"/>
          <w:sz w:val="24"/>
          <w:szCs w:val="24"/>
          <w:lang w:val="en-AU"/>
        </w:rPr>
      </w:pPr>
      <w:r w:rsidRPr="00645D1D">
        <w:rPr>
          <w:rFonts w:cstheme="minorHAnsi"/>
          <w:color w:val="auto"/>
          <w:sz w:val="24"/>
          <w:szCs w:val="24"/>
        </w:rPr>
        <w:t xml:space="preserve">Conducting a survey of our members on issues of access to specialist’s care, the role of primary care in managing EGID, particularly for people living in </w:t>
      </w:r>
      <w:r w:rsidR="00974A62">
        <w:rPr>
          <w:rFonts w:cstheme="minorHAnsi"/>
          <w:color w:val="auto"/>
          <w:sz w:val="24"/>
          <w:szCs w:val="24"/>
        </w:rPr>
        <w:t xml:space="preserve">regional, </w:t>
      </w:r>
      <w:r w:rsidRPr="00645D1D">
        <w:rPr>
          <w:rFonts w:cstheme="minorHAnsi"/>
          <w:color w:val="auto"/>
          <w:sz w:val="24"/>
          <w:szCs w:val="24"/>
        </w:rPr>
        <w:t xml:space="preserve">rural and remote areas where there is limited access to specialists with the objective to identify efficiencies and gaps of </w:t>
      </w:r>
      <w:r w:rsidR="004E1815">
        <w:rPr>
          <w:rFonts w:cstheme="minorHAnsi"/>
          <w:color w:val="auto"/>
          <w:sz w:val="24"/>
          <w:szCs w:val="24"/>
        </w:rPr>
        <w:t xml:space="preserve">mainstream </w:t>
      </w:r>
      <w:r w:rsidRPr="00645D1D">
        <w:rPr>
          <w:rFonts w:cstheme="minorHAnsi"/>
          <w:color w:val="auto"/>
          <w:sz w:val="24"/>
          <w:szCs w:val="24"/>
        </w:rPr>
        <w:t>health services and resulting in the provision of relevant, well-informed information and advice to the Australian Government</w:t>
      </w:r>
      <w:r w:rsidR="00780DED">
        <w:rPr>
          <w:rFonts w:cstheme="minorHAnsi"/>
          <w:color w:val="auto"/>
          <w:sz w:val="24"/>
          <w:szCs w:val="24"/>
        </w:rPr>
        <w:t>.</w:t>
      </w:r>
      <w:r w:rsidRPr="00645D1D">
        <w:rPr>
          <w:rFonts w:cstheme="minorHAnsi"/>
          <w:color w:val="auto"/>
          <w:sz w:val="24"/>
          <w:szCs w:val="24"/>
        </w:rPr>
        <w:t xml:space="preserve"> </w:t>
      </w:r>
    </w:p>
    <w:bookmarkEnd w:id="26"/>
    <w:p w14:paraId="7AD7E0B9" w14:textId="2212ABB4" w:rsidR="00CD3ACE" w:rsidRPr="00F67684" w:rsidRDefault="00CD3ACE" w:rsidP="0039410A">
      <w:pPr>
        <w:pStyle w:val="ListParagraph"/>
        <w:spacing w:line="240" w:lineRule="auto"/>
        <w:ind w:left="426" w:right="47"/>
        <w:jc w:val="both"/>
        <w:rPr>
          <w:rFonts w:cstheme="minorHAnsi"/>
          <w:bCs/>
          <w:color w:val="auto"/>
          <w:sz w:val="24"/>
          <w:szCs w:val="24"/>
          <w:lang w:val="en-AU"/>
        </w:rPr>
      </w:pPr>
    </w:p>
    <w:p w14:paraId="09B0875D" w14:textId="77777777" w:rsidR="00951F68" w:rsidRPr="004C3FA7" w:rsidRDefault="00951F68" w:rsidP="0039410A">
      <w:pPr>
        <w:spacing w:before="0" w:after="0" w:line="240" w:lineRule="auto"/>
        <w:jc w:val="both"/>
        <w:rPr>
          <w:rFonts w:eastAsia="Calibri" w:cs="Times New Roman"/>
          <w:color w:val="auto"/>
          <w:kern w:val="0"/>
          <w:sz w:val="24"/>
          <w:szCs w:val="24"/>
          <w:lang w:val="en-AU" w:eastAsia="en-US"/>
        </w:rPr>
      </w:pPr>
    </w:p>
    <w:p w14:paraId="74AD2B06" w14:textId="3ADE6785" w:rsidR="00822714" w:rsidRPr="002468AB" w:rsidRDefault="00822714" w:rsidP="0039410A">
      <w:pPr>
        <w:pStyle w:val="Heading1"/>
        <w:jc w:val="both"/>
        <w:rPr>
          <w:color w:val="auto"/>
        </w:rPr>
      </w:pPr>
      <w:bookmarkStart w:id="27" w:name="_Toc30830731"/>
      <w:bookmarkStart w:id="28" w:name="_Hlk30592840"/>
      <w:r>
        <w:rPr>
          <w:color w:val="auto"/>
        </w:rPr>
        <w:lastRenderedPageBreak/>
        <w:t xml:space="preserve">Objective </w:t>
      </w:r>
      <w:r w:rsidR="002468AB">
        <w:rPr>
          <w:color w:val="auto"/>
        </w:rPr>
        <w:t>3</w:t>
      </w:r>
      <w:bookmarkEnd w:id="27"/>
    </w:p>
    <w:p w14:paraId="755F757E" w14:textId="432070A4" w:rsidR="00FE40CB" w:rsidRDefault="002468AB" w:rsidP="0039410A">
      <w:pPr>
        <w:spacing w:before="0" w:after="0" w:line="240" w:lineRule="auto"/>
        <w:jc w:val="both"/>
        <w:rPr>
          <w:rFonts w:asciiTheme="majorHAnsi" w:eastAsiaTheme="majorEastAsia" w:hAnsiTheme="majorHAnsi" w:cstheme="majorBidi"/>
          <w:b/>
          <w:caps/>
          <w:color w:val="4D3C77" w:themeColor="accent1" w:themeShade="BF"/>
          <w:sz w:val="24"/>
          <w14:ligatures w14:val="standardContextual"/>
        </w:rPr>
      </w:pPr>
      <w:r w:rsidRPr="002468AB">
        <w:rPr>
          <w:rFonts w:asciiTheme="majorHAnsi" w:eastAsiaTheme="majorEastAsia" w:hAnsiTheme="majorHAnsi" w:cstheme="majorBidi"/>
          <w:b/>
          <w:caps/>
          <w:color w:val="4D3C77" w:themeColor="accent1" w:themeShade="BF"/>
          <w:sz w:val="24"/>
          <w14:ligatures w14:val="standardContextual"/>
        </w:rPr>
        <w:t>Evidence-based Information</w:t>
      </w:r>
    </w:p>
    <w:bookmarkEnd w:id="28"/>
    <w:p w14:paraId="6E7F50D2" w14:textId="2803C929" w:rsidR="00740B3E" w:rsidRPr="00740B3E" w:rsidRDefault="00740B3E" w:rsidP="0039410A">
      <w:pPr>
        <w:spacing w:line="276" w:lineRule="auto"/>
        <w:jc w:val="both"/>
        <w:rPr>
          <w:rFonts w:cstheme="minorHAnsi"/>
          <w:color w:val="auto"/>
          <w:sz w:val="8"/>
          <w:szCs w:val="8"/>
        </w:rPr>
      </w:pPr>
    </w:p>
    <w:p w14:paraId="4723F99F" w14:textId="77777777" w:rsidR="002A58AE" w:rsidRDefault="00740B3E" w:rsidP="0039410A">
      <w:pPr>
        <w:spacing w:line="276" w:lineRule="auto"/>
        <w:jc w:val="both"/>
        <w:rPr>
          <w:rFonts w:cstheme="minorHAnsi"/>
          <w:color w:val="auto"/>
          <w:sz w:val="24"/>
          <w:szCs w:val="24"/>
        </w:rPr>
      </w:pPr>
      <w:r w:rsidRPr="006A611B">
        <w:rPr>
          <w:rFonts w:eastAsia="Times New Roman" w:cs="Lucida Sans Unicode"/>
          <w:color w:val="auto"/>
          <w:kern w:val="0"/>
          <w:sz w:val="24"/>
          <w:szCs w:val="24"/>
          <w:lang w:val="en-AU" w:eastAsia="en-AU"/>
        </w:rPr>
        <w:t xml:space="preserve">ausEE </w:t>
      </w:r>
      <w:r>
        <w:rPr>
          <w:rFonts w:eastAsia="Times New Roman" w:cs="Lucida Sans Unicode"/>
          <w:color w:val="auto"/>
          <w:kern w:val="0"/>
          <w:sz w:val="24"/>
          <w:szCs w:val="24"/>
          <w:lang w:val="en-AU" w:eastAsia="en-AU"/>
        </w:rPr>
        <w:t>provides evidence-based information on EGIDs to</w:t>
      </w:r>
      <w:r w:rsidRPr="006A611B">
        <w:rPr>
          <w:rFonts w:eastAsia="Times New Roman" w:cs="Lucida Sans Unicode"/>
          <w:color w:val="auto"/>
          <w:kern w:val="0"/>
          <w:sz w:val="24"/>
          <w:szCs w:val="24"/>
          <w:lang w:val="en-AU" w:eastAsia="en-AU"/>
        </w:rPr>
        <w:t xml:space="preserve"> individuals, families, </w:t>
      </w:r>
      <w:r>
        <w:rPr>
          <w:rFonts w:eastAsia="Times New Roman" w:cs="Lucida Sans Unicode"/>
          <w:color w:val="auto"/>
          <w:kern w:val="0"/>
          <w:sz w:val="24"/>
          <w:szCs w:val="24"/>
          <w:lang w:val="en-AU" w:eastAsia="en-AU"/>
        </w:rPr>
        <w:t xml:space="preserve">schools, key stakeholders and the general community </w:t>
      </w:r>
      <w:r w:rsidRPr="006A611B">
        <w:rPr>
          <w:rFonts w:eastAsia="Times New Roman" w:cs="Lucida Sans Unicode"/>
          <w:color w:val="auto"/>
          <w:kern w:val="0"/>
          <w:sz w:val="24"/>
          <w:szCs w:val="24"/>
          <w:lang w:val="en-AU" w:eastAsia="en-AU"/>
        </w:rPr>
        <w:t>t</w:t>
      </w:r>
      <w:r>
        <w:rPr>
          <w:rFonts w:eastAsia="Times New Roman" w:cs="Lucida Sans Unicode"/>
          <w:color w:val="auto"/>
          <w:kern w:val="0"/>
          <w:sz w:val="24"/>
          <w:szCs w:val="24"/>
          <w:lang w:val="en-AU" w:eastAsia="en-AU"/>
        </w:rPr>
        <w:t>o help raise awareness and understanding and provide practical resources to assist those impacted with an EGID.</w:t>
      </w:r>
      <w:r w:rsidR="002A58AE">
        <w:rPr>
          <w:rFonts w:cstheme="minorHAnsi"/>
          <w:color w:val="auto"/>
          <w:sz w:val="24"/>
          <w:szCs w:val="24"/>
        </w:rPr>
        <w:t xml:space="preserve"> </w:t>
      </w:r>
    </w:p>
    <w:p w14:paraId="53C35145" w14:textId="41725FA0" w:rsidR="006A611B" w:rsidRDefault="00740B3E" w:rsidP="0039410A">
      <w:pPr>
        <w:spacing w:line="276" w:lineRule="auto"/>
        <w:jc w:val="both"/>
        <w:rPr>
          <w:rFonts w:cstheme="minorHAnsi"/>
          <w:color w:val="auto"/>
          <w:sz w:val="24"/>
          <w:szCs w:val="24"/>
        </w:rPr>
      </w:pPr>
      <w:r>
        <w:rPr>
          <w:rFonts w:cstheme="minorHAnsi"/>
          <w:color w:val="auto"/>
          <w:sz w:val="24"/>
          <w:szCs w:val="24"/>
        </w:rPr>
        <w:t xml:space="preserve">We </w:t>
      </w:r>
      <w:r w:rsidR="00263125" w:rsidRPr="00CE1E24">
        <w:rPr>
          <w:rFonts w:cstheme="minorHAnsi"/>
          <w:color w:val="auto"/>
          <w:sz w:val="24"/>
          <w:szCs w:val="24"/>
        </w:rPr>
        <w:t>support the medical community</w:t>
      </w:r>
      <w:r>
        <w:rPr>
          <w:rFonts w:cstheme="minorHAnsi"/>
          <w:color w:val="auto"/>
          <w:sz w:val="24"/>
          <w:szCs w:val="24"/>
        </w:rPr>
        <w:t xml:space="preserve"> including hospitals, clinics, specialists and allied health professionals</w:t>
      </w:r>
      <w:r w:rsidR="00263125" w:rsidRPr="00CE1E24">
        <w:rPr>
          <w:rFonts w:cstheme="minorHAnsi"/>
          <w:color w:val="auto"/>
          <w:sz w:val="24"/>
          <w:szCs w:val="24"/>
        </w:rPr>
        <w:t xml:space="preserve"> </w:t>
      </w:r>
      <w:r>
        <w:rPr>
          <w:rFonts w:cstheme="minorHAnsi"/>
          <w:color w:val="auto"/>
          <w:sz w:val="24"/>
          <w:szCs w:val="24"/>
        </w:rPr>
        <w:t>by</w:t>
      </w:r>
      <w:r w:rsidR="00263125" w:rsidRPr="00CE1E24">
        <w:rPr>
          <w:rFonts w:cstheme="minorHAnsi"/>
          <w:color w:val="auto"/>
          <w:sz w:val="24"/>
          <w:szCs w:val="24"/>
        </w:rPr>
        <w:t xml:space="preserve"> provi</w:t>
      </w:r>
      <w:r>
        <w:rPr>
          <w:rFonts w:cstheme="minorHAnsi"/>
          <w:color w:val="auto"/>
          <w:sz w:val="24"/>
          <w:szCs w:val="24"/>
        </w:rPr>
        <w:t xml:space="preserve">ding </w:t>
      </w:r>
      <w:r w:rsidR="00263125" w:rsidRPr="00CE1E24">
        <w:rPr>
          <w:rFonts w:cstheme="minorHAnsi"/>
          <w:color w:val="auto"/>
          <w:sz w:val="24"/>
          <w:szCs w:val="24"/>
        </w:rPr>
        <w:t xml:space="preserve">free resources to assist them in caring for their patients. </w:t>
      </w:r>
    </w:p>
    <w:p w14:paraId="1B63322B" w14:textId="10243CF6" w:rsidR="002A58AE" w:rsidRDefault="002A58AE" w:rsidP="0039410A">
      <w:pPr>
        <w:spacing w:line="276" w:lineRule="auto"/>
        <w:jc w:val="both"/>
        <w:rPr>
          <w:rFonts w:cstheme="minorHAnsi"/>
          <w:color w:val="auto"/>
          <w:sz w:val="24"/>
          <w:szCs w:val="24"/>
        </w:rPr>
      </w:pPr>
      <w:r>
        <w:rPr>
          <w:rFonts w:cstheme="minorHAnsi"/>
          <w:color w:val="auto"/>
          <w:sz w:val="24"/>
          <w:szCs w:val="24"/>
        </w:rPr>
        <w:t>Before our organisation was founded there was no information available in Australia on EGIDs to give to patients to explain a diagnosis. We have worked hard over the years</w:t>
      </w:r>
      <w:r w:rsidR="00C8546D">
        <w:rPr>
          <w:rFonts w:cstheme="minorHAnsi"/>
          <w:color w:val="auto"/>
          <w:sz w:val="24"/>
          <w:szCs w:val="24"/>
        </w:rPr>
        <w:t xml:space="preserve"> consulting with our Medical Advisory Board and</w:t>
      </w:r>
      <w:r>
        <w:rPr>
          <w:rFonts w:cstheme="minorHAnsi"/>
          <w:color w:val="auto"/>
          <w:sz w:val="24"/>
          <w:szCs w:val="24"/>
        </w:rPr>
        <w:t xml:space="preserve"> collaborating with International specialists and stakeholders t</w:t>
      </w:r>
      <w:r w:rsidR="00B513C3">
        <w:rPr>
          <w:rFonts w:cstheme="minorHAnsi"/>
          <w:color w:val="auto"/>
          <w:sz w:val="24"/>
          <w:szCs w:val="24"/>
        </w:rPr>
        <w:t xml:space="preserve">o </w:t>
      </w:r>
      <w:r>
        <w:rPr>
          <w:rFonts w:cstheme="minorHAnsi"/>
          <w:color w:val="auto"/>
          <w:sz w:val="24"/>
          <w:szCs w:val="24"/>
        </w:rPr>
        <w:t>develop quality res</w:t>
      </w:r>
      <w:r w:rsidR="00C8546D">
        <w:rPr>
          <w:rFonts w:cstheme="minorHAnsi"/>
          <w:color w:val="auto"/>
          <w:sz w:val="24"/>
          <w:szCs w:val="24"/>
        </w:rPr>
        <w:t>ources</w:t>
      </w:r>
      <w:r>
        <w:rPr>
          <w:rFonts w:cstheme="minorHAnsi"/>
          <w:color w:val="auto"/>
          <w:sz w:val="24"/>
          <w:szCs w:val="24"/>
        </w:rPr>
        <w:t xml:space="preserve">. </w:t>
      </w:r>
      <w:r w:rsidR="00B513C3">
        <w:rPr>
          <w:rFonts w:cstheme="minorHAnsi"/>
          <w:color w:val="auto"/>
          <w:sz w:val="24"/>
          <w:szCs w:val="24"/>
        </w:rPr>
        <w:t xml:space="preserve">However, being an </w:t>
      </w:r>
      <w:r>
        <w:rPr>
          <w:rFonts w:cstheme="minorHAnsi"/>
          <w:color w:val="auto"/>
          <w:sz w:val="24"/>
          <w:szCs w:val="24"/>
        </w:rPr>
        <w:t xml:space="preserve">unfunded </w:t>
      </w:r>
      <w:r w:rsidR="00B513C3">
        <w:rPr>
          <w:rFonts w:cstheme="minorHAnsi"/>
          <w:color w:val="auto"/>
          <w:sz w:val="24"/>
          <w:szCs w:val="24"/>
        </w:rPr>
        <w:t>organisation rel</w:t>
      </w:r>
      <w:r w:rsidR="0039410A">
        <w:rPr>
          <w:rFonts w:cstheme="minorHAnsi"/>
          <w:color w:val="auto"/>
          <w:sz w:val="24"/>
          <w:szCs w:val="24"/>
        </w:rPr>
        <w:t>iant</w:t>
      </w:r>
      <w:r w:rsidR="00B513C3">
        <w:rPr>
          <w:rFonts w:cstheme="minorHAnsi"/>
          <w:color w:val="auto"/>
          <w:sz w:val="24"/>
          <w:szCs w:val="24"/>
        </w:rPr>
        <w:t xml:space="preserve"> on volunteers has </w:t>
      </w:r>
      <w:r>
        <w:rPr>
          <w:rFonts w:cstheme="minorHAnsi"/>
          <w:color w:val="auto"/>
          <w:sz w:val="24"/>
          <w:szCs w:val="24"/>
        </w:rPr>
        <w:t>impact</w:t>
      </w:r>
      <w:r w:rsidR="00B513C3">
        <w:rPr>
          <w:rFonts w:cstheme="minorHAnsi"/>
          <w:color w:val="auto"/>
          <w:sz w:val="24"/>
          <w:szCs w:val="24"/>
        </w:rPr>
        <w:t>ed</w:t>
      </w:r>
      <w:r>
        <w:rPr>
          <w:rFonts w:cstheme="minorHAnsi"/>
          <w:color w:val="auto"/>
          <w:sz w:val="24"/>
          <w:szCs w:val="24"/>
        </w:rPr>
        <w:t xml:space="preserve"> on our reach </w:t>
      </w:r>
      <w:r w:rsidR="007C2A8A">
        <w:rPr>
          <w:rFonts w:cstheme="minorHAnsi"/>
          <w:color w:val="auto"/>
          <w:sz w:val="24"/>
          <w:szCs w:val="24"/>
        </w:rPr>
        <w:t>due to the cost</w:t>
      </w:r>
      <w:r w:rsidR="00B513C3">
        <w:rPr>
          <w:rFonts w:cstheme="minorHAnsi"/>
          <w:color w:val="auto"/>
          <w:sz w:val="24"/>
          <w:szCs w:val="24"/>
        </w:rPr>
        <w:t xml:space="preserve">s </w:t>
      </w:r>
      <w:r w:rsidR="007C2A8A">
        <w:rPr>
          <w:rFonts w:cstheme="minorHAnsi"/>
          <w:color w:val="auto"/>
          <w:sz w:val="24"/>
          <w:szCs w:val="24"/>
        </w:rPr>
        <w:t xml:space="preserve">involved in printing, postage and time </w:t>
      </w:r>
      <w:r w:rsidR="00585B43">
        <w:rPr>
          <w:rFonts w:cstheme="minorHAnsi"/>
          <w:color w:val="auto"/>
          <w:sz w:val="24"/>
          <w:szCs w:val="24"/>
        </w:rPr>
        <w:t xml:space="preserve">restraints </w:t>
      </w:r>
      <w:r w:rsidR="00B513C3">
        <w:rPr>
          <w:rFonts w:cstheme="minorHAnsi"/>
          <w:color w:val="auto"/>
          <w:sz w:val="24"/>
          <w:szCs w:val="24"/>
        </w:rPr>
        <w:t xml:space="preserve">and </w:t>
      </w:r>
      <w:r w:rsidR="007C2A8A">
        <w:rPr>
          <w:rFonts w:cstheme="minorHAnsi"/>
          <w:color w:val="auto"/>
          <w:sz w:val="24"/>
          <w:szCs w:val="24"/>
        </w:rPr>
        <w:t>we are not</w:t>
      </w:r>
      <w:r w:rsidR="00B513C3">
        <w:rPr>
          <w:rFonts w:cstheme="minorHAnsi"/>
          <w:color w:val="auto"/>
          <w:sz w:val="24"/>
          <w:szCs w:val="24"/>
        </w:rPr>
        <w:t xml:space="preserve"> currently able to</w:t>
      </w:r>
      <w:r w:rsidR="007C2A8A">
        <w:rPr>
          <w:rFonts w:cstheme="minorHAnsi"/>
          <w:color w:val="auto"/>
          <w:sz w:val="24"/>
          <w:szCs w:val="24"/>
        </w:rPr>
        <w:t xml:space="preserve"> reach as</w:t>
      </w:r>
      <w:r w:rsidR="00B513C3">
        <w:rPr>
          <w:rFonts w:cstheme="minorHAnsi"/>
          <w:color w:val="auto"/>
          <w:sz w:val="24"/>
          <w:szCs w:val="24"/>
        </w:rPr>
        <w:t xml:space="preserve"> many as needed. Funding would allow us to outreach to more Australian hospitals and clinics including in </w:t>
      </w:r>
      <w:r w:rsidR="007C2A8A" w:rsidRPr="005A6184">
        <w:rPr>
          <w:rFonts w:eastAsia="Times New Roman" w:cs="Lucida Sans Unicode"/>
          <w:color w:val="auto"/>
          <w:kern w:val="0"/>
          <w:sz w:val="24"/>
          <w:szCs w:val="24"/>
          <w:lang w:val="en-AU" w:eastAsia="en-AU"/>
        </w:rPr>
        <w:t>regional</w:t>
      </w:r>
      <w:r w:rsidR="00974A62">
        <w:rPr>
          <w:rFonts w:eastAsia="Times New Roman" w:cs="Lucida Sans Unicode"/>
          <w:color w:val="auto"/>
          <w:kern w:val="0"/>
          <w:sz w:val="24"/>
          <w:szCs w:val="24"/>
          <w:lang w:val="en-AU" w:eastAsia="en-AU"/>
        </w:rPr>
        <w:t>, rural</w:t>
      </w:r>
      <w:r w:rsidR="007C2A8A" w:rsidRPr="005A6184">
        <w:rPr>
          <w:rFonts w:eastAsia="Times New Roman" w:cs="Lucida Sans Unicode"/>
          <w:color w:val="auto"/>
          <w:kern w:val="0"/>
          <w:sz w:val="24"/>
          <w:szCs w:val="24"/>
          <w:lang w:val="en-AU" w:eastAsia="en-AU"/>
        </w:rPr>
        <w:t xml:space="preserve"> and remote </w:t>
      </w:r>
      <w:r w:rsidR="007C2A8A">
        <w:rPr>
          <w:rFonts w:eastAsia="Times New Roman" w:cs="Lucida Sans Unicode"/>
          <w:color w:val="auto"/>
          <w:kern w:val="0"/>
          <w:sz w:val="24"/>
          <w:szCs w:val="24"/>
          <w:lang w:val="en-AU" w:eastAsia="en-AU"/>
        </w:rPr>
        <w:t>locations</w:t>
      </w:r>
      <w:r w:rsidR="00B513C3">
        <w:rPr>
          <w:rFonts w:eastAsia="Times New Roman" w:cs="Lucida Sans Unicode"/>
          <w:color w:val="auto"/>
          <w:kern w:val="0"/>
          <w:sz w:val="24"/>
          <w:szCs w:val="24"/>
          <w:lang w:val="en-AU" w:eastAsia="en-AU"/>
        </w:rPr>
        <w:t xml:space="preserve"> and for our website to be updated to </w:t>
      </w:r>
      <w:r w:rsidR="00585B43">
        <w:rPr>
          <w:rFonts w:eastAsia="Times New Roman" w:cs="Lucida Sans Unicode"/>
          <w:color w:val="auto"/>
          <w:kern w:val="0"/>
          <w:sz w:val="24"/>
          <w:szCs w:val="24"/>
          <w:lang w:val="en-AU" w:eastAsia="en-AU"/>
        </w:rPr>
        <w:t xml:space="preserve">a </w:t>
      </w:r>
      <w:r w:rsidR="00B513C3">
        <w:rPr>
          <w:rFonts w:eastAsia="Times New Roman" w:cs="Lucida Sans Unicode"/>
          <w:color w:val="auto"/>
          <w:kern w:val="0"/>
          <w:sz w:val="24"/>
          <w:szCs w:val="24"/>
          <w:lang w:val="en-AU" w:eastAsia="en-AU"/>
        </w:rPr>
        <w:t>more sustainable platform</w:t>
      </w:r>
      <w:r w:rsidR="007C2A8A">
        <w:rPr>
          <w:rFonts w:eastAsia="Times New Roman" w:cs="Lucida Sans Unicode"/>
          <w:color w:val="auto"/>
          <w:kern w:val="0"/>
          <w:sz w:val="24"/>
          <w:szCs w:val="24"/>
          <w:lang w:val="en-AU" w:eastAsia="en-AU"/>
        </w:rPr>
        <w:t>.</w:t>
      </w:r>
    </w:p>
    <w:p w14:paraId="505243E9" w14:textId="66F278EF" w:rsidR="006A611B" w:rsidRPr="006A611B" w:rsidRDefault="00740B3E" w:rsidP="0039410A">
      <w:pPr>
        <w:tabs>
          <w:tab w:val="left" w:pos="5750"/>
        </w:tabs>
        <w:spacing w:line="276" w:lineRule="auto"/>
        <w:jc w:val="both"/>
        <w:rPr>
          <w:rFonts w:cstheme="minorHAnsi"/>
          <w:color w:val="auto"/>
          <w:sz w:val="8"/>
          <w:szCs w:val="8"/>
        </w:rPr>
      </w:pPr>
      <w:r>
        <w:rPr>
          <w:rFonts w:cstheme="minorHAnsi"/>
          <w:color w:val="auto"/>
          <w:sz w:val="8"/>
          <w:szCs w:val="8"/>
        </w:rPr>
        <w:tab/>
      </w:r>
    </w:p>
    <w:p w14:paraId="1291D644" w14:textId="77A3571F" w:rsidR="00BD075B" w:rsidRPr="006A611B" w:rsidRDefault="00EB1F6B" w:rsidP="0039410A">
      <w:pPr>
        <w:spacing w:line="276" w:lineRule="auto"/>
        <w:jc w:val="both"/>
        <w:rPr>
          <w:rFonts w:cstheme="minorHAnsi"/>
          <w:color w:val="auto"/>
          <w:sz w:val="24"/>
          <w:szCs w:val="24"/>
        </w:rPr>
      </w:pPr>
      <w:r w:rsidRPr="00EB1F6B">
        <w:rPr>
          <w:rFonts w:eastAsia="Times New Roman" w:cs="Lucida Sans Unicode"/>
          <w:b/>
          <w:color w:val="auto"/>
          <w:kern w:val="0"/>
          <w:sz w:val="24"/>
          <w:szCs w:val="24"/>
          <w:lang w:val="en-AU" w:eastAsia="en-AU"/>
        </w:rPr>
        <w:t>Objective Activities:</w:t>
      </w:r>
    </w:p>
    <w:p w14:paraId="0083689F" w14:textId="77777777" w:rsidR="00BD075B" w:rsidRPr="00BD075B" w:rsidRDefault="00BD075B" w:rsidP="0039410A">
      <w:pPr>
        <w:jc w:val="both"/>
        <w:rPr>
          <w:rFonts w:eastAsia="Times New Roman" w:cs="Lucida Sans Unicode"/>
          <w:b/>
          <w:color w:val="auto"/>
          <w:kern w:val="0"/>
          <w:sz w:val="8"/>
          <w:szCs w:val="8"/>
          <w:lang w:val="en-AU" w:eastAsia="en-AU"/>
        </w:rPr>
      </w:pPr>
    </w:p>
    <w:p w14:paraId="5633DD33" w14:textId="43B75626" w:rsidR="006A611B" w:rsidRPr="005A6184" w:rsidRDefault="00807793" w:rsidP="0039410A">
      <w:pPr>
        <w:pStyle w:val="ListParagraph"/>
        <w:numPr>
          <w:ilvl w:val="0"/>
          <w:numId w:val="23"/>
        </w:numPr>
        <w:spacing w:line="276" w:lineRule="auto"/>
        <w:ind w:left="426" w:hanging="426"/>
        <w:jc w:val="both"/>
        <w:rPr>
          <w:rFonts w:eastAsia="Times New Roman" w:cs="Lucida Sans Unicode"/>
          <w:b/>
          <w:color w:val="auto"/>
          <w:kern w:val="0"/>
          <w:sz w:val="24"/>
          <w:szCs w:val="24"/>
          <w:lang w:val="en-AU" w:eastAsia="en-AU"/>
        </w:rPr>
      </w:pPr>
      <w:r>
        <w:rPr>
          <w:rFonts w:cstheme="minorHAnsi"/>
          <w:color w:val="auto"/>
          <w:sz w:val="24"/>
          <w:szCs w:val="24"/>
        </w:rPr>
        <w:t>Updating and revising our current website to a new platform and m</w:t>
      </w:r>
      <w:r w:rsidR="00DB1CC0" w:rsidRPr="00BD075B">
        <w:rPr>
          <w:rFonts w:cstheme="minorHAnsi"/>
          <w:color w:val="auto"/>
          <w:sz w:val="24"/>
          <w:szCs w:val="24"/>
        </w:rPr>
        <w:t xml:space="preserve">aintaining </w:t>
      </w:r>
      <w:r>
        <w:rPr>
          <w:rFonts w:cstheme="minorHAnsi"/>
          <w:color w:val="auto"/>
          <w:sz w:val="24"/>
          <w:szCs w:val="24"/>
        </w:rPr>
        <w:t xml:space="preserve">this </w:t>
      </w:r>
      <w:r w:rsidR="00DB1CC0" w:rsidRPr="00BD075B">
        <w:rPr>
          <w:rFonts w:cstheme="minorHAnsi"/>
          <w:color w:val="auto"/>
          <w:sz w:val="24"/>
          <w:szCs w:val="24"/>
        </w:rPr>
        <w:t xml:space="preserve">web-based information for the </w:t>
      </w:r>
      <w:r w:rsidR="005A6184">
        <w:rPr>
          <w:rFonts w:cstheme="minorHAnsi"/>
          <w:color w:val="auto"/>
          <w:sz w:val="24"/>
          <w:szCs w:val="24"/>
        </w:rPr>
        <w:t xml:space="preserve">ongoing </w:t>
      </w:r>
      <w:r w:rsidR="00DB1CC0" w:rsidRPr="00BD075B">
        <w:rPr>
          <w:rFonts w:cstheme="minorHAnsi"/>
          <w:color w:val="auto"/>
          <w:sz w:val="24"/>
          <w:szCs w:val="24"/>
        </w:rPr>
        <w:t>purpose of</w:t>
      </w:r>
      <w:r>
        <w:rPr>
          <w:rFonts w:cstheme="minorHAnsi"/>
          <w:color w:val="auto"/>
          <w:sz w:val="24"/>
          <w:szCs w:val="24"/>
        </w:rPr>
        <w:t xml:space="preserve"> </w:t>
      </w:r>
      <w:r w:rsidR="00DB1CC0" w:rsidRPr="00BD075B">
        <w:rPr>
          <w:rFonts w:cstheme="minorHAnsi"/>
          <w:color w:val="auto"/>
          <w:sz w:val="24"/>
          <w:szCs w:val="24"/>
        </w:rPr>
        <w:t>disseminat</w:t>
      </w:r>
      <w:r w:rsidR="005A6184">
        <w:rPr>
          <w:rFonts w:cstheme="minorHAnsi"/>
          <w:color w:val="auto"/>
          <w:sz w:val="24"/>
          <w:szCs w:val="24"/>
        </w:rPr>
        <w:t>ing</w:t>
      </w:r>
      <w:r w:rsidR="00DB1CC0" w:rsidRPr="00BD075B">
        <w:rPr>
          <w:rFonts w:cstheme="minorHAnsi"/>
          <w:color w:val="auto"/>
          <w:sz w:val="24"/>
          <w:szCs w:val="24"/>
        </w:rPr>
        <w:t xml:space="preserve"> accurate information on EGIDs and raising awareness for EGIDs</w:t>
      </w:r>
      <w:r>
        <w:rPr>
          <w:rFonts w:cstheme="minorHAnsi"/>
          <w:color w:val="auto"/>
          <w:sz w:val="24"/>
          <w:szCs w:val="24"/>
        </w:rPr>
        <w:t xml:space="preserve"> in a user friendly format.</w:t>
      </w:r>
    </w:p>
    <w:p w14:paraId="16745440" w14:textId="77777777" w:rsidR="0039410A" w:rsidRPr="0039410A" w:rsidRDefault="0039410A" w:rsidP="0039410A">
      <w:pPr>
        <w:pStyle w:val="ListParagraph"/>
        <w:spacing w:line="276" w:lineRule="auto"/>
        <w:ind w:left="426"/>
        <w:jc w:val="both"/>
        <w:rPr>
          <w:rFonts w:eastAsia="Times New Roman" w:cs="Lucida Sans Unicode"/>
          <w:color w:val="auto"/>
          <w:kern w:val="0"/>
          <w:sz w:val="24"/>
          <w:szCs w:val="24"/>
          <w:lang w:val="en-AU" w:eastAsia="en-AU"/>
        </w:rPr>
      </w:pPr>
    </w:p>
    <w:p w14:paraId="51AD0A25" w14:textId="77777777" w:rsidR="0039410A" w:rsidRPr="0039410A" w:rsidRDefault="005A6184" w:rsidP="0039410A">
      <w:pPr>
        <w:pStyle w:val="ListParagraph"/>
        <w:numPr>
          <w:ilvl w:val="0"/>
          <w:numId w:val="23"/>
        </w:numPr>
        <w:spacing w:line="276" w:lineRule="auto"/>
        <w:ind w:left="426" w:hanging="426"/>
        <w:jc w:val="both"/>
        <w:rPr>
          <w:rFonts w:eastAsia="Times New Roman" w:cs="Lucida Sans Unicode"/>
          <w:color w:val="auto"/>
          <w:kern w:val="0"/>
          <w:sz w:val="24"/>
          <w:szCs w:val="24"/>
          <w:lang w:val="en-AU" w:eastAsia="en-AU"/>
        </w:rPr>
      </w:pPr>
      <w:r w:rsidRPr="005A6184">
        <w:rPr>
          <w:rFonts w:cstheme="minorHAnsi"/>
          <w:color w:val="auto"/>
          <w:sz w:val="24"/>
          <w:szCs w:val="24"/>
        </w:rPr>
        <w:t xml:space="preserve">Continuation of </w:t>
      </w:r>
      <w:r>
        <w:rPr>
          <w:rFonts w:cstheme="minorHAnsi"/>
          <w:color w:val="auto"/>
          <w:sz w:val="24"/>
          <w:szCs w:val="24"/>
        </w:rPr>
        <w:t xml:space="preserve">our </w:t>
      </w:r>
      <w:r w:rsidRPr="006A611B">
        <w:rPr>
          <w:rFonts w:eastAsia="Times New Roman" w:cs="Lucida Sans Unicode"/>
          <w:color w:val="auto"/>
          <w:kern w:val="0"/>
          <w:sz w:val="24"/>
          <w:szCs w:val="24"/>
          <w:lang w:val="en-AU" w:eastAsia="en-AU"/>
        </w:rPr>
        <w:t>website</w:t>
      </w:r>
      <w:r>
        <w:rPr>
          <w:rFonts w:eastAsia="Times New Roman" w:cs="Lucida Sans Unicode"/>
          <w:color w:val="auto"/>
          <w:kern w:val="0"/>
          <w:sz w:val="24"/>
          <w:szCs w:val="24"/>
          <w:lang w:val="en-AU" w:eastAsia="en-AU"/>
        </w:rPr>
        <w:t xml:space="preserve"> HONcode certification </w:t>
      </w:r>
      <w:r w:rsidRPr="006A611B">
        <w:rPr>
          <w:rFonts w:eastAsia="Times New Roman" w:cs="Lucida Sans Unicode"/>
          <w:color w:val="auto"/>
          <w:kern w:val="0"/>
          <w:sz w:val="24"/>
          <w:szCs w:val="24"/>
          <w:lang w:val="en-AU" w:eastAsia="en-AU"/>
        </w:rPr>
        <w:t>assess</w:t>
      </w:r>
      <w:r>
        <w:rPr>
          <w:rFonts w:eastAsia="Times New Roman" w:cs="Lucida Sans Unicode"/>
          <w:color w:val="auto"/>
          <w:kern w:val="0"/>
          <w:sz w:val="24"/>
          <w:szCs w:val="24"/>
          <w:lang w:val="en-AU" w:eastAsia="en-AU"/>
        </w:rPr>
        <w:t xml:space="preserve">ment as being </w:t>
      </w:r>
      <w:r w:rsidRPr="006A611B">
        <w:rPr>
          <w:rFonts w:eastAsia="Times New Roman" w:cs="Lucida Sans Unicode"/>
          <w:color w:val="auto"/>
          <w:kern w:val="0"/>
          <w:sz w:val="24"/>
          <w:szCs w:val="24"/>
          <w:lang w:val="en-AU" w:eastAsia="en-AU"/>
        </w:rPr>
        <w:t>compliant</w:t>
      </w:r>
      <w:r>
        <w:rPr>
          <w:rFonts w:eastAsia="Times New Roman" w:cs="Lucida Sans Unicode"/>
          <w:color w:val="auto"/>
          <w:kern w:val="0"/>
          <w:sz w:val="24"/>
          <w:szCs w:val="24"/>
          <w:lang w:val="en-AU" w:eastAsia="en-AU"/>
        </w:rPr>
        <w:t xml:space="preserve"> </w:t>
      </w:r>
      <w:r w:rsidRPr="006A611B">
        <w:rPr>
          <w:rFonts w:eastAsia="Times New Roman" w:cs="Lucida Sans Unicode"/>
          <w:color w:val="auto"/>
          <w:kern w:val="0"/>
          <w:sz w:val="24"/>
          <w:szCs w:val="24"/>
          <w:lang w:val="en-AU" w:eastAsia="en-AU"/>
        </w:rPr>
        <w:t>with</w:t>
      </w:r>
      <w:r>
        <w:rPr>
          <w:rFonts w:eastAsia="Times New Roman" w:cs="Lucida Sans Unicode"/>
          <w:color w:val="auto"/>
          <w:kern w:val="0"/>
          <w:sz w:val="24"/>
          <w:szCs w:val="24"/>
          <w:lang w:val="en-AU" w:eastAsia="en-AU"/>
        </w:rPr>
        <w:t xml:space="preserve"> </w:t>
      </w:r>
      <w:r w:rsidRPr="006A611B">
        <w:rPr>
          <w:rFonts w:eastAsia="Times New Roman" w:cs="Lucida Sans Unicode"/>
          <w:color w:val="auto"/>
          <w:kern w:val="0"/>
          <w:sz w:val="24"/>
          <w:szCs w:val="24"/>
          <w:lang w:val="en-AU" w:eastAsia="en-AU"/>
        </w:rPr>
        <w:t>the</w:t>
      </w:r>
      <w:r>
        <w:rPr>
          <w:rFonts w:eastAsia="Times New Roman" w:cs="Lucida Sans Unicode"/>
          <w:color w:val="auto"/>
          <w:kern w:val="0"/>
          <w:sz w:val="24"/>
          <w:szCs w:val="24"/>
          <w:lang w:val="en-AU" w:eastAsia="en-AU"/>
        </w:rPr>
        <w:t xml:space="preserve"> </w:t>
      </w:r>
      <w:r w:rsidRPr="006A611B">
        <w:rPr>
          <w:rFonts w:eastAsia="Times New Roman" w:cs="Lucida Sans Unicode"/>
          <w:color w:val="auto"/>
          <w:kern w:val="0"/>
          <w:sz w:val="24"/>
          <w:szCs w:val="24"/>
          <w:lang w:val="en-AU" w:eastAsia="en-AU"/>
        </w:rPr>
        <w:t>International</w:t>
      </w:r>
      <w:r>
        <w:rPr>
          <w:rFonts w:eastAsia="Times New Roman" w:cs="Lucida Sans Unicode"/>
          <w:color w:val="auto"/>
          <w:kern w:val="0"/>
          <w:sz w:val="24"/>
          <w:szCs w:val="24"/>
          <w:lang w:val="en-AU" w:eastAsia="en-AU"/>
        </w:rPr>
        <w:t xml:space="preserve"> </w:t>
      </w:r>
      <w:r w:rsidRPr="006A611B">
        <w:rPr>
          <w:rFonts w:eastAsia="Times New Roman" w:cs="Lucida Sans Unicode"/>
          <w:color w:val="auto"/>
          <w:kern w:val="0"/>
          <w:sz w:val="24"/>
          <w:szCs w:val="24"/>
          <w:lang w:val="en-AU" w:eastAsia="en-AU"/>
        </w:rPr>
        <w:t>HONcode</w:t>
      </w:r>
      <w:r>
        <w:rPr>
          <w:rFonts w:eastAsia="Times New Roman" w:cs="Lucida Sans Unicode"/>
          <w:color w:val="auto"/>
          <w:kern w:val="0"/>
          <w:sz w:val="24"/>
          <w:szCs w:val="24"/>
          <w:lang w:val="en-AU" w:eastAsia="en-AU"/>
        </w:rPr>
        <w:t xml:space="preserve"> </w:t>
      </w:r>
      <w:r w:rsidRPr="006A611B">
        <w:rPr>
          <w:rFonts w:eastAsia="Times New Roman" w:cs="Lucida Sans Unicode"/>
          <w:color w:val="auto"/>
          <w:kern w:val="0"/>
          <w:sz w:val="24"/>
          <w:szCs w:val="24"/>
          <w:lang w:val="en-AU" w:eastAsia="en-AU"/>
        </w:rPr>
        <w:t>standard</w:t>
      </w:r>
      <w:r>
        <w:rPr>
          <w:rFonts w:eastAsia="Times New Roman" w:cs="Lucida Sans Unicode"/>
          <w:color w:val="auto"/>
          <w:kern w:val="0"/>
          <w:sz w:val="24"/>
          <w:szCs w:val="24"/>
          <w:lang w:val="en-AU" w:eastAsia="en-AU"/>
        </w:rPr>
        <w:t xml:space="preserve"> </w:t>
      </w:r>
      <w:r w:rsidRPr="006A611B">
        <w:rPr>
          <w:rFonts w:eastAsia="Times New Roman" w:cs="Lucida Sans Unicode"/>
          <w:color w:val="auto"/>
          <w:kern w:val="0"/>
          <w:sz w:val="24"/>
          <w:szCs w:val="24"/>
          <w:lang w:val="en-AU" w:eastAsia="en-AU"/>
        </w:rPr>
        <w:t>for</w:t>
      </w:r>
      <w:r>
        <w:rPr>
          <w:rFonts w:eastAsia="Times New Roman" w:cs="Lucida Sans Unicode"/>
          <w:color w:val="auto"/>
          <w:kern w:val="0"/>
          <w:sz w:val="24"/>
          <w:szCs w:val="24"/>
          <w:lang w:val="en-AU" w:eastAsia="en-AU"/>
        </w:rPr>
        <w:t xml:space="preserve"> </w:t>
      </w:r>
      <w:r w:rsidRPr="006A611B">
        <w:rPr>
          <w:rFonts w:eastAsia="Times New Roman" w:cs="Lucida Sans Unicode"/>
          <w:color w:val="auto"/>
          <w:kern w:val="0"/>
          <w:sz w:val="24"/>
          <w:szCs w:val="24"/>
          <w:lang w:val="en-AU" w:eastAsia="en-AU"/>
        </w:rPr>
        <w:t>trustworthy</w:t>
      </w:r>
      <w:r>
        <w:rPr>
          <w:rFonts w:eastAsia="Times New Roman" w:cs="Lucida Sans Unicode"/>
          <w:color w:val="auto"/>
          <w:kern w:val="0"/>
          <w:sz w:val="24"/>
          <w:szCs w:val="24"/>
          <w:lang w:val="en-AU" w:eastAsia="en-AU"/>
        </w:rPr>
        <w:t xml:space="preserve"> </w:t>
      </w:r>
      <w:r w:rsidRPr="006A611B">
        <w:rPr>
          <w:rFonts w:eastAsia="Times New Roman" w:cs="Lucida Sans Unicode"/>
          <w:color w:val="auto"/>
          <w:kern w:val="0"/>
          <w:sz w:val="24"/>
          <w:szCs w:val="24"/>
          <w:lang w:val="en-AU" w:eastAsia="en-AU"/>
        </w:rPr>
        <w:t>health</w:t>
      </w:r>
      <w:r>
        <w:rPr>
          <w:rFonts w:eastAsia="Times New Roman" w:cs="Lucida Sans Unicode"/>
          <w:color w:val="auto"/>
          <w:kern w:val="0"/>
          <w:sz w:val="24"/>
          <w:szCs w:val="24"/>
          <w:lang w:val="en-AU" w:eastAsia="en-AU"/>
        </w:rPr>
        <w:t xml:space="preserve"> </w:t>
      </w:r>
      <w:r w:rsidRPr="006A611B">
        <w:rPr>
          <w:rFonts w:eastAsia="Times New Roman" w:cs="Lucida Sans Unicode"/>
          <w:color w:val="auto"/>
          <w:kern w:val="0"/>
          <w:sz w:val="24"/>
          <w:szCs w:val="24"/>
          <w:lang w:val="en-AU" w:eastAsia="en-AU"/>
        </w:rPr>
        <w:t>information</w:t>
      </w:r>
      <w:r>
        <w:rPr>
          <w:rFonts w:eastAsia="Times New Roman" w:cs="Lucida Sans Unicode"/>
          <w:color w:val="auto"/>
          <w:kern w:val="0"/>
          <w:sz w:val="24"/>
          <w:szCs w:val="24"/>
          <w:lang w:val="en-AU" w:eastAsia="en-AU"/>
        </w:rPr>
        <w:t>.</w:t>
      </w:r>
      <w:r w:rsidRPr="005A6184">
        <w:rPr>
          <w:rFonts w:cstheme="minorHAnsi"/>
          <w:color w:val="auto"/>
          <w:sz w:val="24"/>
          <w:szCs w:val="24"/>
        </w:rPr>
        <w:t xml:space="preserve"> </w:t>
      </w:r>
    </w:p>
    <w:p w14:paraId="766B19B6" w14:textId="77777777" w:rsidR="0039410A" w:rsidRPr="0039410A" w:rsidRDefault="0039410A" w:rsidP="0039410A">
      <w:pPr>
        <w:pStyle w:val="ListParagraph"/>
        <w:rPr>
          <w:rFonts w:eastAsia="Times New Roman" w:cs="Lucida Sans Unicode"/>
          <w:color w:val="auto"/>
          <w:kern w:val="0"/>
          <w:sz w:val="24"/>
          <w:szCs w:val="24"/>
          <w:lang w:val="en-AU" w:eastAsia="en-AU"/>
        </w:rPr>
      </w:pPr>
    </w:p>
    <w:p w14:paraId="19B0441B" w14:textId="64D05DF2" w:rsidR="005A6184" w:rsidRPr="0039410A" w:rsidRDefault="00807793" w:rsidP="0039410A">
      <w:pPr>
        <w:pStyle w:val="ListParagraph"/>
        <w:numPr>
          <w:ilvl w:val="0"/>
          <w:numId w:val="23"/>
        </w:numPr>
        <w:spacing w:line="276" w:lineRule="auto"/>
        <w:ind w:left="426" w:hanging="426"/>
        <w:jc w:val="both"/>
        <w:rPr>
          <w:rFonts w:eastAsia="Times New Roman" w:cs="Lucida Sans Unicode"/>
          <w:color w:val="auto"/>
          <w:kern w:val="0"/>
          <w:sz w:val="24"/>
          <w:szCs w:val="24"/>
          <w:lang w:val="en-AU" w:eastAsia="en-AU"/>
        </w:rPr>
      </w:pPr>
      <w:r w:rsidRPr="0039410A">
        <w:rPr>
          <w:rFonts w:eastAsia="Times New Roman" w:cs="Lucida Sans Unicode"/>
          <w:color w:val="auto"/>
          <w:kern w:val="0"/>
          <w:sz w:val="24"/>
          <w:szCs w:val="24"/>
          <w:lang w:val="en-AU" w:eastAsia="en-AU"/>
        </w:rPr>
        <w:t>Review</w:t>
      </w:r>
      <w:r w:rsidR="005A6184" w:rsidRPr="0039410A">
        <w:rPr>
          <w:rFonts w:eastAsia="Times New Roman" w:cs="Lucida Sans Unicode"/>
          <w:color w:val="auto"/>
          <w:kern w:val="0"/>
          <w:sz w:val="24"/>
          <w:szCs w:val="24"/>
          <w:lang w:val="en-AU" w:eastAsia="en-AU"/>
        </w:rPr>
        <w:t xml:space="preserve"> an</w:t>
      </w:r>
      <w:r w:rsidRPr="0039410A">
        <w:rPr>
          <w:rFonts w:eastAsia="Times New Roman" w:cs="Lucida Sans Unicode"/>
          <w:color w:val="auto"/>
          <w:kern w:val="0"/>
          <w:sz w:val="24"/>
          <w:szCs w:val="24"/>
          <w:lang w:val="en-AU" w:eastAsia="en-AU"/>
        </w:rPr>
        <w:t xml:space="preserve">d </w:t>
      </w:r>
      <w:r w:rsidR="00CF5700" w:rsidRPr="0039410A">
        <w:rPr>
          <w:rFonts w:eastAsia="Times New Roman" w:cs="Lucida Sans Unicode"/>
          <w:color w:val="auto"/>
          <w:kern w:val="0"/>
          <w:sz w:val="24"/>
          <w:szCs w:val="24"/>
          <w:lang w:val="en-AU" w:eastAsia="en-AU"/>
        </w:rPr>
        <w:t>maint</w:t>
      </w:r>
      <w:r w:rsidR="0039410A">
        <w:rPr>
          <w:rFonts w:eastAsia="Times New Roman" w:cs="Lucida Sans Unicode"/>
          <w:color w:val="auto"/>
          <w:kern w:val="0"/>
          <w:sz w:val="24"/>
          <w:szCs w:val="24"/>
          <w:lang w:val="en-AU" w:eastAsia="en-AU"/>
        </w:rPr>
        <w:t>ain</w:t>
      </w:r>
      <w:r w:rsidRPr="0039410A">
        <w:rPr>
          <w:rFonts w:eastAsia="Times New Roman" w:cs="Lucida Sans Unicode"/>
          <w:color w:val="auto"/>
          <w:kern w:val="0"/>
          <w:sz w:val="24"/>
          <w:szCs w:val="24"/>
          <w:lang w:val="en-AU" w:eastAsia="en-AU"/>
        </w:rPr>
        <w:t xml:space="preserve"> </w:t>
      </w:r>
      <w:r w:rsidR="005A6184" w:rsidRPr="0039410A">
        <w:rPr>
          <w:rFonts w:eastAsia="Times New Roman" w:cs="Lucida Sans Unicode"/>
          <w:color w:val="auto"/>
          <w:kern w:val="0"/>
          <w:sz w:val="24"/>
          <w:szCs w:val="24"/>
          <w:lang w:val="en-AU" w:eastAsia="en-AU"/>
        </w:rPr>
        <w:t xml:space="preserve">all </w:t>
      </w:r>
      <w:r w:rsidRPr="0039410A">
        <w:rPr>
          <w:rFonts w:eastAsia="Times New Roman" w:cs="Lucida Sans Unicode"/>
          <w:color w:val="auto"/>
          <w:kern w:val="0"/>
          <w:sz w:val="24"/>
          <w:szCs w:val="24"/>
          <w:lang w:val="en-AU" w:eastAsia="en-AU"/>
        </w:rPr>
        <w:t xml:space="preserve">patient </w:t>
      </w:r>
      <w:r w:rsidR="00CF5700" w:rsidRPr="0039410A">
        <w:rPr>
          <w:rFonts w:eastAsia="Times New Roman" w:cs="Lucida Sans Unicode"/>
          <w:color w:val="auto"/>
          <w:kern w:val="0"/>
          <w:sz w:val="24"/>
          <w:szCs w:val="24"/>
          <w:lang w:val="en-AU" w:eastAsia="en-AU"/>
        </w:rPr>
        <w:t>resources</w:t>
      </w:r>
      <w:r w:rsidRPr="0039410A">
        <w:rPr>
          <w:rFonts w:eastAsia="Times New Roman" w:cs="Lucida Sans Unicode"/>
          <w:color w:val="auto"/>
          <w:kern w:val="0"/>
          <w:sz w:val="24"/>
          <w:szCs w:val="24"/>
          <w:lang w:val="en-AU" w:eastAsia="en-AU"/>
        </w:rPr>
        <w:t xml:space="preserve"> </w:t>
      </w:r>
      <w:r w:rsidR="00CF5700" w:rsidRPr="0039410A">
        <w:rPr>
          <w:rFonts w:eastAsia="Times New Roman" w:cs="Lucida Sans Unicode"/>
          <w:color w:val="auto"/>
          <w:kern w:val="0"/>
          <w:sz w:val="24"/>
          <w:szCs w:val="24"/>
          <w:lang w:val="en-AU" w:eastAsia="en-AU"/>
        </w:rPr>
        <w:t>on</w:t>
      </w:r>
      <w:r w:rsidRPr="0039410A">
        <w:rPr>
          <w:rFonts w:eastAsia="Times New Roman" w:cs="Lucida Sans Unicode"/>
          <w:color w:val="auto"/>
          <w:kern w:val="0"/>
          <w:sz w:val="24"/>
          <w:szCs w:val="24"/>
          <w:lang w:val="en-AU" w:eastAsia="en-AU"/>
        </w:rPr>
        <w:t xml:space="preserve"> EGIDs</w:t>
      </w:r>
      <w:r w:rsidR="0039410A">
        <w:rPr>
          <w:rFonts w:eastAsia="Times New Roman" w:cs="Lucida Sans Unicode"/>
          <w:color w:val="auto"/>
          <w:kern w:val="0"/>
          <w:sz w:val="24"/>
          <w:szCs w:val="24"/>
          <w:lang w:val="en-AU" w:eastAsia="en-AU"/>
        </w:rPr>
        <w:t xml:space="preserve"> in consultation with ausEE’s Medical Advisory Board.</w:t>
      </w:r>
    </w:p>
    <w:p w14:paraId="6F711391" w14:textId="77777777" w:rsidR="0039410A" w:rsidRDefault="0039410A" w:rsidP="0039410A">
      <w:pPr>
        <w:pStyle w:val="ListParagraph"/>
        <w:spacing w:line="276" w:lineRule="auto"/>
        <w:ind w:left="426"/>
        <w:jc w:val="both"/>
        <w:rPr>
          <w:rFonts w:eastAsia="Times New Roman" w:cs="Lucida Sans Unicode"/>
          <w:color w:val="auto"/>
          <w:kern w:val="0"/>
          <w:sz w:val="24"/>
          <w:szCs w:val="24"/>
          <w:lang w:val="en-AU" w:eastAsia="en-AU"/>
        </w:rPr>
      </w:pPr>
    </w:p>
    <w:p w14:paraId="2364486D" w14:textId="383E6A32" w:rsidR="00EB34AF" w:rsidRDefault="005A6184" w:rsidP="0039410A">
      <w:pPr>
        <w:pStyle w:val="ListParagraph"/>
        <w:numPr>
          <w:ilvl w:val="0"/>
          <w:numId w:val="23"/>
        </w:numPr>
        <w:spacing w:line="276" w:lineRule="auto"/>
        <w:ind w:left="426" w:hanging="426"/>
        <w:jc w:val="both"/>
        <w:rPr>
          <w:rFonts w:eastAsia="Times New Roman" w:cs="Lucida Sans Unicode"/>
          <w:color w:val="auto"/>
          <w:kern w:val="0"/>
          <w:sz w:val="24"/>
          <w:szCs w:val="24"/>
          <w:lang w:val="en-AU" w:eastAsia="en-AU"/>
        </w:rPr>
      </w:pPr>
      <w:r w:rsidRPr="005A6184">
        <w:rPr>
          <w:rFonts w:eastAsia="Times New Roman" w:cs="Lucida Sans Unicode"/>
          <w:color w:val="auto"/>
          <w:kern w:val="0"/>
          <w:sz w:val="24"/>
          <w:szCs w:val="24"/>
          <w:lang w:val="en-AU" w:eastAsia="en-AU"/>
        </w:rPr>
        <w:t>P</w:t>
      </w:r>
      <w:r w:rsidR="00EB34AF">
        <w:rPr>
          <w:rFonts w:eastAsia="Times New Roman" w:cs="Lucida Sans Unicode"/>
          <w:color w:val="auto"/>
          <w:kern w:val="0"/>
          <w:sz w:val="24"/>
          <w:szCs w:val="24"/>
          <w:lang w:val="en-AU" w:eastAsia="en-AU"/>
        </w:rPr>
        <w:t>ublication</w:t>
      </w:r>
      <w:r w:rsidR="00807793" w:rsidRPr="005A6184">
        <w:rPr>
          <w:rFonts w:eastAsia="Times New Roman" w:cs="Lucida Sans Unicode"/>
          <w:color w:val="auto"/>
          <w:kern w:val="0"/>
          <w:sz w:val="24"/>
          <w:szCs w:val="24"/>
          <w:lang w:val="en-AU" w:eastAsia="en-AU"/>
        </w:rPr>
        <w:t xml:space="preserve"> </w:t>
      </w:r>
      <w:r w:rsidR="00CF5700" w:rsidRPr="005A6184">
        <w:rPr>
          <w:rFonts w:eastAsia="Times New Roman" w:cs="Lucida Sans Unicode"/>
          <w:color w:val="auto"/>
          <w:kern w:val="0"/>
          <w:sz w:val="24"/>
          <w:szCs w:val="24"/>
          <w:lang w:val="en-AU" w:eastAsia="en-AU"/>
        </w:rPr>
        <w:t>and</w:t>
      </w:r>
      <w:r w:rsidR="00807793" w:rsidRPr="005A6184">
        <w:rPr>
          <w:rFonts w:eastAsia="Times New Roman" w:cs="Lucida Sans Unicode"/>
          <w:color w:val="auto"/>
          <w:kern w:val="0"/>
          <w:sz w:val="24"/>
          <w:szCs w:val="24"/>
          <w:lang w:val="en-AU" w:eastAsia="en-AU"/>
        </w:rPr>
        <w:t xml:space="preserve"> </w:t>
      </w:r>
      <w:r w:rsidR="00EB34AF">
        <w:rPr>
          <w:rFonts w:eastAsia="Times New Roman" w:cs="Lucida Sans Unicode"/>
          <w:color w:val="auto"/>
          <w:kern w:val="0"/>
          <w:sz w:val="24"/>
          <w:szCs w:val="24"/>
          <w:lang w:val="en-AU" w:eastAsia="en-AU"/>
        </w:rPr>
        <w:t>distribution</w:t>
      </w:r>
      <w:r w:rsidRPr="005A6184">
        <w:rPr>
          <w:rFonts w:eastAsia="Times New Roman" w:cs="Lucida Sans Unicode"/>
          <w:color w:val="auto"/>
          <w:kern w:val="0"/>
          <w:sz w:val="24"/>
          <w:szCs w:val="24"/>
          <w:lang w:val="en-AU" w:eastAsia="en-AU"/>
        </w:rPr>
        <w:t xml:space="preserve"> </w:t>
      </w:r>
      <w:r w:rsidR="00CF5700" w:rsidRPr="005A6184">
        <w:rPr>
          <w:rFonts w:eastAsia="Times New Roman" w:cs="Lucida Sans Unicode"/>
          <w:color w:val="auto"/>
          <w:kern w:val="0"/>
          <w:sz w:val="24"/>
          <w:szCs w:val="24"/>
          <w:lang w:val="en-AU" w:eastAsia="en-AU"/>
        </w:rPr>
        <w:t>of</w:t>
      </w:r>
      <w:r w:rsidR="00807793" w:rsidRPr="005A6184">
        <w:rPr>
          <w:rFonts w:eastAsia="Times New Roman" w:cs="Lucida Sans Unicode"/>
          <w:color w:val="auto"/>
          <w:kern w:val="0"/>
          <w:sz w:val="24"/>
          <w:szCs w:val="24"/>
          <w:lang w:val="en-AU" w:eastAsia="en-AU"/>
        </w:rPr>
        <w:t xml:space="preserve"> </w:t>
      </w:r>
      <w:r w:rsidR="00EB34AF">
        <w:rPr>
          <w:rFonts w:eastAsia="Times New Roman" w:cs="Lucida Sans Unicode"/>
          <w:color w:val="auto"/>
          <w:kern w:val="0"/>
          <w:sz w:val="24"/>
          <w:szCs w:val="24"/>
          <w:lang w:val="en-AU" w:eastAsia="en-AU"/>
        </w:rPr>
        <w:t xml:space="preserve">patient resources including </w:t>
      </w:r>
      <w:r w:rsidR="00CF5700" w:rsidRPr="005A6184">
        <w:rPr>
          <w:rFonts w:eastAsia="Times New Roman" w:cs="Lucida Sans Unicode"/>
          <w:color w:val="auto"/>
          <w:kern w:val="0"/>
          <w:sz w:val="24"/>
          <w:szCs w:val="24"/>
          <w:lang w:val="en-AU" w:eastAsia="en-AU"/>
        </w:rPr>
        <w:t>patient</w:t>
      </w:r>
      <w:r w:rsidRPr="005A6184">
        <w:rPr>
          <w:rFonts w:eastAsia="Times New Roman" w:cs="Lucida Sans Unicode"/>
          <w:color w:val="auto"/>
          <w:kern w:val="0"/>
          <w:sz w:val="24"/>
          <w:szCs w:val="24"/>
          <w:lang w:val="en-AU" w:eastAsia="en-AU"/>
        </w:rPr>
        <w:t xml:space="preserve"> </w:t>
      </w:r>
      <w:r w:rsidR="00CF5700" w:rsidRPr="005A6184">
        <w:rPr>
          <w:rFonts w:eastAsia="Times New Roman" w:cs="Lucida Sans Unicode"/>
          <w:color w:val="auto"/>
          <w:kern w:val="0"/>
          <w:sz w:val="24"/>
          <w:szCs w:val="24"/>
          <w:lang w:val="en-AU" w:eastAsia="en-AU"/>
        </w:rPr>
        <w:t>information</w:t>
      </w:r>
      <w:r w:rsidR="00807793" w:rsidRPr="005A6184">
        <w:rPr>
          <w:rFonts w:eastAsia="Times New Roman" w:cs="Lucida Sans Unicode"/>
          <w:color w:val="auto"/>
          <w:kern w:val="0"/>
          <w:sz w:val="24"/>
          <w:szCs w:val="24"/>
          <w:lang w:val="en-AU" w:eastAsia="en-AU"/>
        </w:rPr>
        <w:t xml:space="preserve"> </w:t>
      </w:r>
      <w:r w:rsidR="00CF5700" w:rsidRPr="005A6184">
        <w:rPr>
          <w:rFonts w:eastAsia="Times New Roman" w:cs="Lucida Sans Unicode"/>
          <w:color w:val="auto"/>
          <w:kern w:val="0"/>
          <w:sz w:val="24"/>
          <w:szCs w:val="24"/>
          <w:lang w:val="en-AU" w:eastAsia="en-AU"/>
        </w:rPr>
        <w:t>folders</w:t>
      </w:r>
      <w:r w:rsidRPr="005A6184">
        <w:rPr>
          <w:rFonts w:eastAsia="Times New Roman" w:cs="Lucida Sans Unicode"/>
          <w:color w:val="auto"/>
          <w:kern w:val="0"/>
          <w:sz w:val="24"/>
          <w:szCs w:val="24"/>
          <w:lang w:val="en-AU" w:eastAsia="en-AU"/>
        </w:rPr>
        <w:t xml:space="preserve">, fact sheets, children’s books explaining EoE and medical brochures </w:t>
      </w:r>
      <w:r w:rsidR="00CF5700" w:rsidRPr="005A6184">
        <w:rPr>
          <w:rFonts w:eastAsia="Times New Roman" w:cs="Lucida Sans Unicode"/>
          <w:color w:val="auto"/>
          <w:kern w:val="0"/>
          <w:sz w:val="24"/>
          <w:szCs w:val="24"/>
          <w:lang w:val="en-AU" w:eastAsia="en-AU"/>
        </w:rPr>
        <w:t>to</w:t>
      </w:r>
      <w:r w:rsidR="00807793" w:rsidRPr="005A6184">
        <w:rPr>
          <w:rFonts w:eastAsia="Times New Roman" w:cs="Lucida Sans Unicode"/>
          <w:color w:val="auto"/>
          <w:kern w:val="0"/>
          <w:sz w:val="24"/>
          <w:szCs w:val="24"/>
          <w:lang w:val="en-AU" w:eastAsia="en-AU"/>
        </w:rPr>
        <w:t xml:space="preserve"> </w:t>
      </w:r>
      <w:r w:rsidR="00EB34AF">
        <w:rPr>
          <w:rFonts w:eastAsia="Times New Roman" w:cs="Lucida Sans Unicode"/>
          <w:color w:val="auto"/>
          <w:kern w:val="0"/>
          <w:sz w:val="24"/>
          <w:szCs w:val="24"/>
          <w:lang w:val="en-AU" w:eastAsia="en-AU"/>
        </w:rPr>
        <w:t xml:space="preserve">Australian public and </w:t>
      </w:r>
      <w:r w:rsidR="00EB34AF">
        <w:rPr>
          <w:rFonts w:eastAsia="Times New Roman" w:cs="Lucida Sans Unicode"/>
          <w:color w:val="auto"/>
          <w:kern w:val="0"/>
          <w:sz w:val="24"/>
          <w:szCs w:val="24"/>
          <w:lang w:val="en-AU" w:eastAsia="en-AU"/>
        </w:rPr>
        <w:lastRenderedPageBreak/>
        <w:t xml:space="preserve">private </w:t>
      </w:r>
      <w:r w:rsidR="00CF5700" w:rsidRPr="005A6184">
        <w:rPr>
          <w:rFonts w:eastAsia="Times New Roman" w:cs="Lucida Sans Unicode"/>
          <w:color w:val="auto"/>
          <w:kern w:val="0"/>
          <w:sz w:val="24"/>
          <w:szCs w:val="24"/>
          <w:lang w:val="en-AU" w:eastAsia="en-AU"/>
        </w:rPr>
        <w:t>hospitals</w:t>
      </w:r>
      <w:r w:rsidRPr="005A6184">
        <w:rPr>
          <w:rFonts w:eastAsia="Times New Roman" w:cs="Lucida Sans Unicode"/>
          <w:color w:val="auto"/>
          <w:kern w:val="0"/>
          <w:sz w:val="24"/>
          <w:szCs w:val="24"/>
          <w:lang w:val="en-AU" w:eastAsia="en-AU"/>
        </w:rPr>
        <w:t xml:space="preserve">, </w:t>
      </w:r>
      <w:r w:rsidR="00EB34AF">
        <w:rPr>
          <w:rFonts w:eastAsia="Times New Roman" w:cs="Lucida Sans Unicode"/>
          <w:color w:val="auto"/>
          <w:kern w:val="0"/>
          <w:sz w:val="24"/>
          <w:szCs w:val="24"/>
          <w:lang w:val="en-AU" w:eastAsia="en-AU"/>
        </w:rPr>
        <w:t xml:space="preserve">allergy and gastroenterology </w:t>
      </w:r>
      <w:r w:rsidRPr="005A6184">
        <w:rPr>
          <w:rFonts w:eastAsia="Times New Roman" w:cs="Lucida Sans Unicode"/>
          <w:color w:val="auto"/>
          <w:kern w:val="0"/>
          <w:sz w:val="24"/>
          <w:szCs w:val="24"/>
          <w:lang w:val="en-AU" w:eastAsia="en-AU"/>
        </w:rPr>
        <w:t>clinics, medical professionals including an increase in out</w:t>
      </w:r>
      <w:r w:rsidR="00CF5700" w:rsidRPr="005A6184">
        <w:rPr>
          <w:rFonts w:eastAsia="Times New Roman" w:cs="Lucida Sans Unicode"/>
          <w:color w:val="auto"/>
          <w:kern w:val="0"/>
          <w:sz w:val="24"/>
          <w:szCs w:val="24"/>
          <w:lang w:val="en-AU" w:eastAsia="en-AU"/>
        </w:rPr>
        <w:t>reach</w:t>
      </w:r>
      <w:r w:rsidR="00807793" w:rsidRPr="005A6184">
        <w:rPr>
          <w:rFonts w:eastAsia="Times New Roman" w:cs="Lucida Sans Unicode"/>
          <w:color w:val="auto"/>
          <w:kern w:val="0"/>
          <w:sz w:val="24"/>
          <w:szCs w:val="24"/>
          <w:lang w:val="en-AU" w:eastAsia="en-AU"/>
        </w:rPr>
        <w:t xml:space="preserve"> </w:t>
      </w:r>
      <w:r w:rsidR="00CF5700" w:rsidRPr="005A6184">
        <w:rPr>
          <w:rFonts w:eastAsia="Times New Roman" w:cs="Lucida Sans Unicode"/>
          <w:color w:val="auto"/>
          <w:kern w:val="0"/>
          <w:sz w:val="24"/>
          <w:szCs w:val="24"/>
          <w:lang w:val="en-AU" w:eastAsia="en-AU"/>
        </w:rPr>
        <w:t>to</w:t>
      </w:r>
      <w:r w:rsidR="00807793" w:rsidRPr="005A6184">
        <w:rPr>
          <w:rFonts w:eastAsia="Times New Roman" w:cs="Lucida Sans Unicode"/>
          <w:color w:val="auto"/>
          <w:kern w:val="0"/>
          <w:sz w:val="24"/>
          <w:szCs w:val="24"/>
          <w:lang w:val="en-AU" w:eastAsia="en-AU"/>
        </w:rPr>
        <w:t xml:space="preserve"> </w:t>
      </w:r>
      <w:bookmarkStart w:id="29" w:name="_Hlk30745151"/>
      <w:r w:rsidR="00CF5700" w:rsidRPr="005A6184">
        <w:rPr>
          <w:rFonts w:eastAsia="Times New Roman" w:cs="Lucida Sans Unicode"/>
          <w:color w:val="auto"/>
          <w:kern w:val="0"/>
          <w:sz w:val="24"/>
          <w:szCs w:val="24"/>
          <w:lang w:val="en-AU" w:eastAsia="en-AU"/>
        </w:rPr>
        <w:t>regional</w:t>
      </w:r>
      <w:r w:rsidR="00974A62">
        <w:rPr>
          <w:rFonts w:eastAsia="Times New Roman" w:cs="Lucida Sans Unicode"/>
          <w:color w:val="auto"/>
          <w:kern w:val="0"/>
          <w:sz w:val="24"/>
          <w:szCs w:val="24"/>
          <w:lang w:val="en-AU" w:eastAsia="en-AU"/>
        </w:rPr>
        <w:t>, rural</w:t>
      </w:r>
      <w:r w:rsidR="00807793" w:rsidRPr="005A6184">
        <w:rPr>
          <w:rFonts w:eastAsia="Times New Roman" w:cs="Lucida Sans Unicode"/>
          <w:color w:val="auto"/>
          <w:kern w:val="0"/>
          <w:sz w:val="24"/>
          <w:szCs w:val="24"/>
          <w:lang w:val="en-AU" w:eastAsia="en-AU"/>
        </w:rPr>
        <w:t xml:space="preserve"> </w:t>
      </w:r>
      <w:r w:rsidR="00CF5700" w:rsidRPr="005A6184">
        <w:rPr>
          <w:rFonts w:eastAsia="Times New Roman" w:cs="Lucida Sans Unicode"/>
          <w:color w:val="auto"/>
          <w:kern w:val="0"/>
          <w:sz w:val="24"/>
          <w:szCs w:val="24"/>
          <w:lang w:val="en-AU" w:eastAsia="en-AU"/>
        </w:rPr>
        <w:t>and</w:t>
      </w:r>
      <w:r w:rsidR="00807793" w:rsidRPr="005A6184">
        <w:rPr>
          <w:rFonts w:eastAsia="Times New Roman" w:cs="Lucida Sans Unicode"/>
          <w:color w:val="auto"/>
          <w:kern w:val="0"/>
          <w:sz w:val="24"/>
          <w:szCs w:val="24"/>
          <w:lang w:val="en-AU" w:eastAsia="en-AU"/>
        </w:rPr>
        <w:t xml:space="preserve"> </w:t>
      </w:r>
      <w:r w:rsidR="00CF5700" w:rsidRPr="005A6184">
        <w:rPr>
          <w:rFonts w:eastAsia="Times New Roman" w:cs="Lucida Sans Unicode"/>
          <w:color w:val="auto"/>
          <w:kern w:val="0"/>
          <w:sz w:val="24"/>
          <w:szCs w:val="24"/>
          <w:lang w:val="en-AU" w:eastAsia="en-AU"/>
        </w:rPr>
        <w:t>remote</w:t>
      </w:r>
      <w:r w:rsidR="00807793" w:rsidRPr="005A6184">
        <w:rPr>
          <w:rFonts w:eastAsia="Times New Roman" w:cs="Lucida Sans Unicode"/>
          <w:color w:val="auto"/>
          <w:kern w:val="0"/>
          <w:sz w:val="24"/>
          <w:szCs w:val="24"/>
          <w:lang w:val="en-AU" w:eastAsia="en-AU"/>
        </w:rPr>
        <w:t xml:space="preserve"> </w:t>
      </w:r>
      <w:r w:rsidR="00CF5700" w:rsidRPr="005A6184">
        <w:rPr>
          <w:rFonts w:eastAsia="Times New Roman" w:cs="Lucida Sans Unicode"/>
          <w:color w:val="auto"/>
          <w:kern w:val="0"/>
          <w:sz w:val="24"/>
          <w:szCs w:val="24"/>
          <w:lang w:val="en-AU" w:eastAsia="en-AU"/>
        </w:rPr>
        <w:t>locations</w:t>
      </w:r>
      <w:r w:rsidR="00807793" w:rsidRPr="005A6184">
        <w:rPr>
          <w:rFonts w:eastAsia="Times New Roman" w:cs="Lucida Sans Unicode"/>
          <w:color w:val="auto"/>
          <w:kern w:val="0"/>
          <w:sz w:val="24"/>
          <w:szCs w:val="24"/>
          <w:lang w:val="en-AU" w:eastAsia="en-AU"/>
        </w:rPr>
        <w:t>.</w:t>
      </w:r>
      <w:bookmarkEnd w:id="29"/>
    </w:p>
    <w:p w14:paraId="65072965" w14:textId="77777777" w:rsidR="0039410A" w:rsidRPr="0039410A" w:rsidRDefault="0039410A" w:rsidP="0039410A">
      <w:pPr>
        <w:pStyle w:val="ListParagraph"/>
        <w:spacing w:line="276" w:lineRule="auto"/>
        <w:ind w:left="426"/>
        <w:jc w:val="both"/>
        <w:rPr>
          <w:rFonts w:eastAsia="Times New Roman" w:cs="Lucida Sans Unicode"/>
          <w:color w:val="auto"/>
          <w:kern w:val="0"/>
          <w:sz w:val="24"/>
          <w:szCs w:val="24"/>
          <w:lang w:val="en-AU" w:eastAsia="en-AU"/>
        </w:rPr>
      </w:pPr>
    </w:p>
    <w:p w14:paraId="787C42DE" w14:textId="2089E447" w:rsidR="00EB34AF" w:rsidRPr="00EB34AF" w:rsidRDefault="0005731D" w:rsidP="0039410A">
      <w:pPr>
        <w:pStyle w:val="ListParagraph"/>
        <w:numPr>
          <w:ilvl w:val="0"/>
          <w:numId w:val="23"/>
        </w:numPr>
        <w:spacing w:line="276" w:lineRule="auto"/>
        <w:ind w:left="426" w:hanging="426"/>
        <w:jc w:val="both"/>
        <w:rPr>
          <w:rFonts w:eastAsia="Times New Roman" w:cs="Lucida Sans Unicode"/>
          <w:color w:val="auto"/>
          <w:kern w:val="0"/>
          <w:sz w:val="24"/>
          <w:szCs w:val="24"/>
          <w:lang w:val="en-AU" w:eastAsia="en-AU"/>
        </w:rPr>
      </w:pPr>
      <w:r w:rsidRPr="00EB34AF">
        <w:rPr>
          <w:rFonts w:cstheme="minorHAnsi"/>
          <w:color w:val="auto"/>
          <w:sz w:val="24"/>
          <w:szCs w:val="24"/>
        </w:rPr>
        <w:t>Providing relevant evidence-based information to medical practitioners (including doctors, nurses and allied health professionals) via Quarterly medical professionals’ newsletters</w:t>
      </w:r>
      <w:r w:rsidR="00EB34AF">
        <w:rPr>
          <w:rFonts w:cstheme="minorHAnsi"/>
          <w:color w:val="auto"/>
          <w:sz w:val="24"/>
          <w:szCs w:val="24"/>
        </w:rPr>
        <w:t>.</w:t>
      </w:r>
    </w:p>
    <w:p w14:paraId="50021FC8" w14:textId="77777777" w:rsidR="0039410A" w:rsidRPr="0039410A" w:rsidRDefault="0039410A" w:rsidP="0039410A">
      <w:pPr>
        <w:pStyle w:val="ListParagraph"/>
        <w:spacing w:line="276" w:lineRule="auto"/>
        <w:ind w:left="426"/>
        <w:jc w:val="both"/>
        <w:rPr>
          <w:rFonts w:eastAsia="Times New Roman" w:cs="Lucida Sans Unicode"/>
          <w:color w:val="auto"/>
          <w:kern w:val="0"/>
          <w:sz w:val="24"/>
          <w:szCs w:val="24"/>
          <w:lang w:val="en-AU" w:eastAsia="en-AU"/>
        </w:rPr>
      </w:pPr>
    </w:p>
    <w:p w14:paraId="77D85093" w14:textId="4F9209A6" w:rsidR="0005731D" w:rsidRPr="00887CF9" w:rsidRDefault="0005731D" w:rsidP="0039410A">
      <w:pPr>
        <w:pStyle w:val="ListParagraph"/>
        <w:numPr>
          <w:ilvl w:val="0"/>
          <w:numId w:val="23"/>
        </w:numPr>
        <w:spacing w:line="276" w:lineRule="auto"/>
        <w:ind w:left="426" w:hanging="426"/>
        <w:jc w:val="both"/>
        <w:rPr>
          <w:rFonts w:eastAsia="Times New Roman" w:cs="Lucida Sans Unicode"/>
          <w:color w:val="auto"/>
          <w:kern w:val="0"/>
          <w:sz w:val="24"/>
          <w:szCs w:val="24"/>
          <w:lang w:val="en-AU" w:eastAsia="en-AU"/>
        </w:rPr>
      </w:pPr>
      <w:r w:rsidRPr="00EB34AF">
        <w:rPr>
          <w:rFonts w:cstheme="minorHAnsi"/>
          <w:color w:val="auto"/>
          <w:sz w:val="24"/>
          <w:szCs w:val="24"/>
        </w:rPr>
        <w:t>Disseminating relevant evidence-based information to individuals, families, communities via social media and through Monthly newsletters</w:t>
      </w:r>
      <w:r w:rsidR="00EB34AF">
        <w:rPr>
          <w:rFonts w:cstheme="minorHAnsi"/>
          <w:color w:val="auto"/>
          <w:sz w:val="24"/>
          <w:szCs w:val="24"/>
        </w:rPr>
        <w:t>.</w:t>
      </w:r>
    </w:p>
    <w:p w14:paraId="12E4BDCA" w14:textId="77777777" w:rsidR="00887CF9" w:rsidRPr="00887CF9" w:rsidRDefault="00887CF9" w:rsidP="00887CF9">
      <w:pPr>
        <w:pStyle w:val="ListParagraph"/>
        <w:rPr>
          <w:rFonts w:eastAsia="Times New Roman" w:cs="Lucida Sans Unicode"/>
          <w:color w:val="auto"/>
          <w:kern w:val="0"/>
          <w:sz w:val="24"/>
          <w:szCs w:val="24"/>
          <w:lang w:val="en-AU" w:eastAsia="en-AU"/>
        </w:rPr>
      </w:pPr>
    </w:p>
    <w:p w14:paraId="3089007E" w14:textId="7AC1B092" w:rsidR="00887CF9" w:rsidRPr="0039410A" w:rsidRDefault="00887CF9" w:rsidP="0039410A">
      <w:pPr>
        <w:pStyle w:val="ListParagraph"/>
        <w:numPr>
          <w:ilvl w:val="0"/>
          <w:numId w:val="23"/>
        </w:numPr>
        <w:spacing w:line="276" w:lineRule="auto"/>
        <w:ind w:left="426" w:hanging="426"/>
        <w:jc w:val="both"/>
        <w:rPr>
          <w:rFonts w:eastAsia="Times New Roman" w:cs="Lucida Sans Unicode"/>
          <w:color w:val="auto"/>
          <w:kern w:val="0"/>
          <w:sz w:val="24"/>
          <w:szCs w:val="24"/>
          <w:lang w:val="en-AU" w:eastAsia="en-AU"/>
        </w:rPr>
      </w:pPr>
      <w:r>
        <w:rPr>
          <w:rFonts w:eastAsia="Times New Roman" w:cs="Lucida Sans Unicode"/>
          <w:color w:val="auto"/>
          <w:kern w:val="0"/>
          <w:sz w:val="24"/>
          <w:szCs w:val="24"/>
          <w:lang w:val="en-AU" w:eastAsia="en-AU"/>
        </w:rPr>
        <w:t>Maintaining our Feeding Tube Awareness website which provides a platform for links to information and resources for Australians living with a feeding tube</w:t>
      </w:r>
      <w:r w:rsidR="00307B1E">
        <w:rPr>
          <w:rFonts w:eastAsia="Times New Roman" w:cs="Lucida Sans Unicode"/>
          <w:color w:val="auto"/>
          <w:kern w:val="0"/>
          <w:sz w:val="24"/>
          <w:szCs w:val="24"/>
          <w:lang w:val="en-AU" w:eastAsia="en-AU"/>
        </w:rPr>
        <w:t xml:space="preserve"> and fosters </w:t>
      </w:r>
      <w:r w:rsidR="00307B1E" w:rsidRPr="000943C3">
        <w:rPr>
          <w:rFonts w:eastAsia="Calibri" w:cs="Times New Roman"/>
          <w:color w:val="auto"/>
          <w:kern w:val="0"/>
          <w:sz w:val="24"/>
          <w:szCs w:val="24"/>
          <w:lang w:val="en-AU" w:eastAsia="en-US"/>
        </w:rPr>
        <w:t>partnerships</w:t>
      </w:r>
      <w:r w:rsidR="00307B1E">
        <w:rPr>
          <w:rFonts w:eastAsia="Calibri" w:cs="Times New Roman"/>
          <w:color w:val="auto"/>
          <w:kern w:val="0"/>
          <w:sz w:val="24"/>
          <w:szCs w:val="24"/>
          <w:lang w:val="en-AU" w:eastAsia="en-US"/>
        </w:rPr>
        <w:t xml:space="preserve"> </w:t>
      </w:r>
      <w:r w:rsidR="00307B1E" w:rsidRPr="000943C3">
        <w:rPr>
          <w:rFonts w:eastAsia="Calibri" w:cs="Times New Roman"/>
          <w:color w:val="auto"/>
          <w:kern w:val="0"/>
          <w:sz w:val="24"/>
          <w:szCs w:val="24"/>
          <w:lang w:val="en-AU" w:eastAsia="en-US"/>
        </w:rPr>
        <w:t>fo</w:t>
      </w:r>
      <w:r w:rsidR="00307B1E">
        <w:rPr>
          <w:rFonts w:eastAsia="Calibri" w:cs="Times New Roman"/>
          <w:color w:val="auto"/>
          <w:kern w:val="0"/>
          <w:sz w:val="24"/>
          <w:szCs w:val="24"/>
          <w:lang w:val="en-AU" w:eastAsia="en-US"/>
        </w:rPr>
        <w:t xml:space="preserve">r </w:t>
      </w:r>
      <w:r w:rsidR="00307B1E" w:rsidRPr="000943C3">
        <w:rPr>
          <w:rFonts w:eastAsia="Calibri" w:cs="Times New Roman"/>
          <w:color w:val="auto"/>
          <w:kern w:val="0"/>
          <w:sz w:val="24"/>
          <w:szCs w:val="24"/>
          <w:lang w:val="en-AU" w:eastAsia="en-US"/>
        </w:rPr>
        <w:t>resource</w:t>
      </w:r>
      <w:r w:rsidR="00307B1E">
        <w:rPr>
          <w:rFonts w:eastAsia="Calibri" w:cs="Times New Roman"/>
          <w:color w:val="auto"/>
          <w:kern w:val="0"/>
          <w:sz w:val="24"/>
          <w:szCs w:val="24"/>
          <w:lang w:val="en-AU" w:eastAsia="en-US"/>
        </w:rPr>
        <w:t xml:space="preserve"> </w:t>
      </w:r>
      <w:r w:rsidR="00307B1E" w:rsidRPr="000943C3">
        <w:rPr>
          <w:rFonts w:eastAsia="Calibri" w:cs="Times New Roman"/>
          <w:color w:val="auto"/>
          <w:kern w:val="0"/>
          <w:sz w:val="24"/>
          <w:szCs w:val="24"/>
          <w:lang w:val="en-AU" w:eastAsia="en-US"/>
        </w:rPr>
        <w:t>sharing</w:t>
      </w:r>
      <w:r w:rsidR="00307B1E">
        <w:rPr>
          <w:rFonts w:eastAsia="Calibri" w:cs="Times New Roman"/>
          <w:color w:val="auto"/>
          <w:kern w:val="0"/>
          <w:sz w:val="24"/>
          <w:szCs w:val="24"/>
          <w:lang w:val="en-AU" w:eastAsia="en-US"/>
        </w:rPr>
        <w:t xml:space="preserve"> </w:t>
      </w:r>
      <w:r w:rsidR="00307B1E" w:rsidRPr="000943C3">
        <w:rPr>
          <w:rFonts w:eastAsia="Calibri" w:cs="Times New Roman"/>
          <w:color w:val="auto"/>
          <w:kern w:val="0"/>
          <w:sz w:val="24"/>
          <w:szCs w:val="24"/>
          <w:lang w:val="en-AU" w:eastAsia="en-US"/>
        </w:rPr>
        <w:t>with</w:t>
      </w:r>
      <w:r w:rsidR="00307B1E">
        <w:rPr>
          <w:rFonts w:eastAsia="Calibri" w:cs="Times New Roman"/>
          <w:color w:val="auto"/>
          <w:kern w:val="0"/>
          <w:sz w:val="24"/>
          <w:szCs w:val="24"/>
          <w:lang w:val="en-AU" w:eastAsia="en-US"/>
        </w:rPr>
        <w:t xml:space="preserve"> </w:t>
      </w:r>
      <w:r w:rsidR="00307B1E" w:rsidRPr="000943C3">
        <w:rPr>
          <w:rFonts w:eastAsia="Calibri" w:cs="Times New Roman"/>
          <w:color w:val="auto"/>
          <w:kern w:val="0"/>
          <w:sz w:val="24"/>
          <w:szCs w:val="24"/>
          <w:lang w:val="en-AU" w:eastAsia="en-US"/>
        </w:rPr>
        <w:t>other</w:t>
      </w:r>
      <w:r w:rsidR="00307B1E">
        <w:rPr>
          <w:rFonts w:eastAsia="Calibri" w:cs="Times New Roman"/>
          <w:color w:val="auto"/>
          <w:kern w:val="0"/>
          <w:sz w:val="24"/>
          <w:szCs w:val="24"/>
          <w:lang w:val="en-AU" w:eastAsia="en-US"/>
        </w:rPr>
        <w:t xml:space="preserve"> </w:t>
      </w:r>
      <w:r w:rsidR="00307B1E" w:rsidRPr="000943C3">
        <w:rPr>
          <w:rFonts w:eastAsia="Calibri" w:cs="Times New Roman"/>
          <w:color w:val="auto"/>
          <w:kern w:val="0"/>
          <w:sz w:val="24"/>
          <w:szCs w:val="24"/>
          <w:lang w:val="en-AU" w:eastAsia="en-US"/>
        </w:rPr>
        <w:t>disability</w:t>
      </w:r>
      <w:r w:rsidR="00307B1E">
        <w:rPr>
          <w:rFonts w:eastAsia="Calibri" w:cs="Times New Roman"/>
          <w:color w:val="auto"/>
          <w:kern w:val="0"/>
          <w:sz w:val="24"/>
          <w:szCs w:val="24"/>
          <w:lang w:val="en-AU" w:eastAsia="en-US"/>
        </w:rPr>
        <w:t xml:space="preserve"> </w:t>
      </w:r>
      <w:r w:rsidR="00307B1E" w:rsidRPr="000943C3">
        <w:rPr>
          <w:rFonts w:eastAsia="Calibri" w:cs="Times New Roman"/>
          <w:color w:val="auto"/>
          <w:kern w:val="0"/>
          <w:sz w:val="24"/>
          <w:szCs w:val="24"/>
          <w:lang w:val="en-AU" w:eastAsia="en-US"/>
        </w:rPr>
        <w:t>and</w:t>
      </w:r>
      <w:r w:rsidR="00307B1E">
        <w:rPr>
          <w:rFonts w:eastAsia="Calibri" w:cs="Times New Roman"/>
          <w:color w:val="auto"/>
          <w:kern w:val="0"/>
          <w:sz w:val="24"/>
          <w:szCs w:val="24"/>
          <w:lang w:val="en-AU" w:eastAsia="en-US"/>
        </w:rPr>
        <w:t xml:space="preserve"> a</w:t>
      </w:r>
      <w:r w:rsidR="00307B1E" w:rsidRPr="000943C3">
        <w:rPr>
          <w:rFonts w:eastAsia="Calibri" w:cs="Times New Roman"/>
          <w:color w:val="auto"/>
          <w:kern w:val="0"/>
          <w:sz w:val="24"/>
          <w:szCs w:val="24"/>
          <w:lang w:val="en-AU" w:eastAsia="en-US"/>
        </w:rPr>
        <w:t>dvocacy organisations.</w:t>
      </w:r>
    </w:p>
    <w:p w14:paraId="5B025CCE" w14:textId="77777777" w:rsidR="0039410A" w:rsidRPr="0039410A" w:rsidRDefault="0039410A" w:rsidP="0039410A">
      <w:pPr>
        <w:pStyle w:val="ListParagraph"/>
        <w:spacing w:line="276" w:lineRule="auto"/>
        <w:ind w:left="426"/>
        <w:jc w:val="both"/>
        <w:rPr>
          <w:rFonts w:eastAsia="Times New Roman" w:cs="Lucida Sans Unicode"/>
          <w:color w:val="auto"/>
          <w:kern w:val="0"/>
          <w:sz w:val="24"/>
          <w:szCs w:val="24"/>
          <w:lang w:val="en-AU" w:eastAsia="en-AU"/>
        </w:rPr>
      </w:pPr>
    </w:p>
    <w:p w14:paraId="2523FFC5" w14:textId="7C8A26E0" w:rsidR="0039410A" w:rsidRPr="005A6184" w:rsidRDefault="0039410A" w:rsidP="0039410A">
      <w:pPr>
        <w:pStyle w:val="ListParagraph"/>
        <w:numPr>
          <w:ilvl w:val="0"/>
          <w:numId w:val="23"/>
        </w:numPr>
        <w:spacing w:line="276" w:lineRule="auto"/>
        <w:ind w:left="426" w:hanging="426"/>
        <w:jc w:val="both"/>
        <w:rPr>
          <w:rFonts w:eastAsia="Times New Roman" w:cs="Lucida Sans Unicode"/>
          <w:color w:val="auto"/>
          <w:kern w:val="0"/>
          <w:sz w:val="24"/>
          <w:szCs w:val="24"/>
          <w:lang w:val="en-AU" w:eastAsia="en-AU"/>
        </w:rPr>
      </w:pPr>
      <w:r w:rsidRPr="005A6184">
        <w:rPr>
          <w:rFonts w:cstheme="minorHAnsi"/>
          <w:color w:val="auto"/>
          <w:sz w:val="24"/>
          <w:szCs w:val="24"/>
        </w:rPr>
        <w:t>Managing ausEE’s 1300 Information phone line.</w:t>
      </w:r>
    </w:p>
    <w:p w14:paraId="78C7D42F" w14:textId="77777777" w:rsidR="0039410A" w:rsidRPr="00EB34AF" w:rsidRDefault="0039410A" w:rsidP="0039410A">
      <w:pPr>
        <w:pStyle w:val="ListParagraph"/>
        <w:spacing w:line="276" w:lineRule="auto"/>
        <w:ind w:left="426"/>
        <w:jc w:val="both"/>
        <w:rPr>
          <w:rFonts w:eastAsia="Times New Roman" w:cs="Lucida Sans Unicode"/>
          <w:color w:val="auto"/>
          <w:kern w:val="0"/>
          <w:sz w:val="24"/>
          <w:szCs w:val="24"/>
          <w:lang w:val="en-AU" w:eastAsia="en-AU"/>
        </w:rPr>
      </w:pPr>
    </w:p>
    <w:p w14:paraId="7CDF9B19" w14:textId="66A22BFE" w:rsidR="00733FD2" w:rsidRPr="002468AB" w:rsidRDefault="00733FD2" w:rsidP="00733FD2">
      <w:pPr>
        <w:pStyle w:val="Heading1"/>
        <w:rPr>
          <w:color w:val="auto"/>
        </w:rPr>
      </w:pPr>
      <w:bookmarkStart w:id="30" w:name="_Toc30830732"/>
      <w:r>
        <w:rPr>
          <w:color w:val="auto"/>
        </w:rPr>
        <w:lastRenderedPageBreak/>
        <w:t>Objective 4</w:t>
      </w:r>
      <w:bookmarkEnd w:id="30"/>
    </w:p>
    <w:p w14:paraId="1CC12DD1" w14:textId="6CD44800" w:rsidR="00733FD2" w:rsidRDefault="00733FD2" w:rsidP="00FE40CB">
      <w:pPr>
        <w:spacing w:before="0" w:after="0" w:line="240" w:lineRule="auto"/>
        <w:rPr>
          <w:rFonts w:asciiTheme="majorHAnsi" w:eastAsiaTheme="majorEastAsia" w:hAnsiTheme="majorHAnsi" w:cstheme="majorBidi"/>
          <w:b/>
          <w:caps/>
          <w:color w:val="4D3C77" w:themeColor="accent1" w:themeShade="BF"/>
          <w:sz w:val="24"/>
          <w14:ligatures w14:val="standardContextual"/>
        </w:rPr>
      </w:pPr>
      <w:r w:rsidRPr="00733FD2">
        <w:rPr>
          <w:rFonts w:asciiTheme="majorHAnsi" w:eastAsiaTheme="majorEastAsia" w:hAnsiTheme="majorHAnsi" w:cstheme="majorBidi"/>
          <w:b/>
          <w:caps/>
          <w:color w:val="4D3C77" w:themeColor="accent1" w:themeShade="BF"/>
          <w:sz w:val="24"/>
          <w14:ligatures w14:val="standardContextual"/>
        </w:rPr>
        <w:t>Support Services</w:t>
      </w:r>
    </w:p>
    <w:p w14:paraId="289458F8" w14:textId="77777777" w:rsidR="00F66D72" w:rsidRDefault="00F66D72" w:rsidP="00974A62">
      <w:pPr>
        <w:pStyle w:val="CompanyInfo"/>
        <w:spacing w:after="0" w:line="276" w:lineRule="auto"/>
        <w:rPr>
          <w:color w:val="auto"/>
          <w:sz w:val="24"/>
          <w:szCs w:val="24"/>
          <w:lang w:val="en-AU"/>
        </w:rPr>
      </w:pPr>
    </w:p>
    <w:p w14:paraId="28D7FE60" w14:textId="3CEE1EA2" w:rsidR="00974A62" w:rsidRDefault="00DE5E4C" w:rsidP="00974A62">
      <w:pPr>
        <w:pStyle w:val="CompanyInfo"/>
        <w:spacing w:after="0" w:line="276" w:lineRule="auto"/>
        <w:jc w:val="both"/>
        <w:rPr>
          <w:rFonts w:cstheme="minorHAnsi"/>
          <w:bCs/>
          <w:color w:val="auto"/>
          <w:sz w:val="24"/>
          <w:szCs w:val="24"/>
          <w:lang w:val="en-AU"/>
        </w:rPr>
      </w:pPr>
      <w:r w:rsidRPr="007825FC">
        <w:rPr>
          <w:rFonts w:cstheme="minorHAnsi"/>
          <w:color w:val="auto"/>
          <w:sz w:val="24"/>
          <w:szCs w:val="24"/>
          <w:lang w:val="en-AU"/>
        </w:rPr>
        <w:t>Living with an EGID greatly impacts on quality of life; physically, socially and mentally. Due to the complexity of these disorders</w:t>
      </w:r>
      <w:r w:rsidR="005F25C1">
        <w:rPr>
          <w:rFonts w:cstheme="minorHAnsi"/>
          <w:color w:val="auto"/>
          <w:sz w:val="24"/>
          <w:szCs w:val="24"/>
          <w:lang w:val="en-AU"/>
        </w:rPr>
        <w:t xml:space="preserve"> </w:t>
      </w:r>
      <w:r w:rsidR="00147B04" w:rsidRPr="007825FC">
        <w:rPr>
          <w:rFonts w:cstheme="minorHAnsi"/>
          <w:color w:val="auto"/>
          <w:sz w:val="24"/>
          <w:szCs w:val="24"/>
          <w:lang w:val="en-AU"/>
        </w:rPr>
        <w:t xml:space="preserve">individuals and </w:t>
      </w:r>
      <w:r w:rsidRPr="007825FC">
        <w:rPr>
          <w:rFonts w:cstheme="minorHAnsi"/>
          <w:color w:val="auto"/>
          <w:sz w:val="24"/>
          <w:szCs w:val="24"/>
          <w:lang w:val="en-AU"/>
        </w:rPr>
        <w:t>families</w:t>
      </w:r>
      <w:r w:rsidR="00187AD3" w:rsidRPr="007825FC">
        <w:rPr>
          <w:rFonts w:cstheme="minorHAnsi"/>
          <w:color w:val="auto"/>
          <w:sz w:val="24"/>
          <w:szCs w:val="24"/>
          <w:lang w:val="en-AU"/>
        </w:rPr>
        <w:t xml:space="preserve"> can feel very isolated and</w:t>
      </w:r>
      <w:r w:rsidRPr="007825FC">
        <w:rPr>
          <w:rFonts w:cstheme="minorHAnsi"/>
          <w:color w:val="auto"/>
          <w:sz w:val="24"/>
          <w:szCs w:val="24"/>
          <w:lang w:val="en-AU"/>
        </w:rPr>
        <w:t xml:space="preserve"> require a lot of support. </w:t>
      </w:r>
      <w:r w:rsidR="005F25C1">
        <w:rPr>
          <w:rFonts w:cstheme="minorHAnsi"/>
          <w:bCs/>
          <w:color w:val="auto"/>
          <w:sz w:val="24"/>
          <w:szCs w:val="24"/>
          <w:lang w:val="en-AU"/>
        </w:rPr>
        <w:t>As the only patient support organisation for EGIDs in Australia we</w:t>
      </w:r>
      <w:r w:rsidR="007C776C">
        <w:rPr>
          <w:rFonts w:cstheme="minorHAnsi"/>
          <w:bCs/>
          <w:color w:val="auto"/>
          <w:sz w:val="24"/>
          <w:szCs w:val="24"/>
          <w:lang w:val="en-AU"/>
        </w:rPr>
        <w:t xml:space="preserve"> play</w:t>
      </w:r>
      <w:r w:rsidR="007C776C" w:rsidRPr="007C776C">
        <w:rPr>
          <w:rFonts w:cstheme="minorHAnsi"/>
          <w:bCs/>
          <w:color w:val="auto"/>
          <w:sz w:val="24"/>
          <w:szCs w:val="24"/>
          <w:lang w:val="en-AU"/>
        </w:rPr>
        <w:t xml:space="preserve"> </w:t>
      </w:r>
      <w:r w:rsidR="007C776C">
        <w:rPr>
          <w:rFonts w:cstheme="minorHAnsi"/>
          <w:bCs/>
          <w:color w:val="auto"/>
          <w:sz w:val="24"/>
          <w:szCs w:val="24"/>
          <w:lang w:val="en-AU"/>
        </w:rPr>
        <w:t>a</w:t>
      </w:r>
      <w:r w:rsidR="007C776C" w:rsidRPr="007C776C">
        <w:rPr>
          <w:rFonts w:cstheme="minorHAnsi"/>
          <w:bCs/>
          <w:color w:val="auto"/>
          <w:sz w:val="24"/>
          <w:szCs w:val="24"/>
          <w:lang w:val="en-AU"/>
        </w:rPr>
        <w:t xml:space="preserve">n important role in providing </w:t>
      </w:r>
      <w:r w:rsidR="005F25C1">
        <w:rPr>
          <w:rFonts w:cstheme="minorHAnsi"/>
          <w:bCs/>
          <w:color w:val="auto"/>
          <w:sz w:val="24"/>
          <w:szCs w:val="24"/>
          <w:lang w:val="en-AU"/>
        </w:rPr>
        <w:t xml:space="preserve">these </w:t>
      </w:r>
      <w:r w:rsidR="007C776C" w:rsidRPr="007C776C">
        <w:rPr>
          <w:rFonts w:cstheme="minorHAnsi"/>
          <w:bCs/>
          <w:color w:val="auto"/>
          <w:sz w:val="24"/>
          <w:szCs w:val="24"/>
          <w:lang w:val="en-AU"/>
        </w:rPr>
        <w:t xml:space="preserve">support networks </w:t>
      </w:r>
      <w:r w:rsidR="00256B85">
        <w:rPr>
          <w:rFonts w:cstheme="minorHAnsi"/>
          <w:bCs/>
          <w:color w:val="auto"/>
          <w:sz w:val="24"/>
          <w:szCs w:val="24"/>
          <w:lang w:val="en-AU"/>
        </w:rPr>
        <w:t>to improve patient wellbeing</w:t>
      </w:r>
      <w:r w:rsidR="007C776C">
        <w:rPr>
          <w:rFonts w:cstheme="minorHAnsi"/>
          <w:bCs/>
          <w:color w:val="auto"/>
          <w:sz w:val="24"/>
          <w:szCs w:val="24"/>
          <w:lang w:val="en-AU"/>
        </w:rPr>
        <w:t xml:space="preserve">. </w:t>
      </w:r>
    </w:p>
    <w:p w14:paraId="060F1AD1" w14:textId="77777777" w:rsidR="00974A62" w:rsidRDefault="00974A62" w:rsidP="00974A62">
      <w:pPr>
        <w:pStyle w:val="CompanyInfo"/>
        <w:spacing w:after="0" w:line="276" w:lineRule="auto"/>
        <w:jc w:val="both"/>
        <w:rPr>
          <w:rFonts w:cstheme="minorHAnsi"/>
          <w:bCs/>
          <w:color w:val="auto"/>
          <w:sz w:val="24"/>
          <w:szCs w:val="24"/>
          <w:lang w:val="en-AU"/>
        </w:rPr>
      </w:pPr>
    </w:p>
    <w:p w14:paraId="636FCD82" w14:textId="7DC328D6" w:rsidR="00256B85" w:rsidRPr="00974A62" w:rsidRDefault="00974A62" w:rsidP="00974A62">
      <w:pPr>
        <w:pStyle w:val="CompanyInfo"/>
        <w:spacing w:after="0" w:line="276" w:lineRule="auto"/>
        <w:jc w:val="both"/>
        <w:rPr>
          <w:rFonts w:cstheme="minorHAnsi"/>
          <w:bCs/>
          <w:color w:val="auto"/>
          <w:sz w:val="24"/>
          <w:szCs w:val="24"/>
          <w:lang w:val="en-AU"/>
        </w:rPr>
      </w:pPr>
      <w:r>
        <w:rPr>
          <w:rFonts w:cstheme="minorHAnsi"/>
          <w:bCs/>
          <w:color w:val="auto"/>
          <w:sz w:val="24"/>
          <w:szCs w:val="24"/>
          <w:lang w:val="en-AU"/>
        </w:rPr>
        <w:t xml:space="preserve">Our </w:t>
      </w:r>
      <w:r>
        <w:rPr>
          <w:rFonts w:cstheme="minorHAnsi"/>
          <w:color w:val="auto"/>
          <w:sz w:val="24"/>
          <w:szCs w:val="24"/>
          <w:lang w:val="en-AU"/>
        </w:rPr>
        <w:t>s</w:t>
      </w:r>
      <w:r w:rsidRPr="00256B85">
        <w:rPr>
          <w:rFonts w:cstheme="minorHAnsi"/>
          <w:color w:val="auto"/>
          <w:sz w:val="24"/>
          <w:szCs w:val="24"/>
          <w:lang w:val="en-AU"/>
        </w:rPr>
        <w:t xml:space="preserve">upport networks provide opportunities for </w:t>
      </w:r>
      <w:r>
        <w:rPr>
          <w:rFonts w:cstheme="minorHAnsi"/>
          <w:color w:val="auto"/>
          <w:sz w:val="24"/>
          <w:szCs w:val="24"/>
          <w:lang w:val="en-AU"/>
        </w:rPr>
        <w:t xml:space="preserve">people to </w:t>
      </w:r>
      <w:r w:rsidRPr="00256B85">
        <w:rPr>
          <w:rFonts w:cstheme="minorHAnsi"/>
          <w:color w:val="auto"/>
          <w:sz w:val="24"/>
          <w:szCs w:val="24"/>
          <w:lang w:val="en-AU"/>
        </w:rPr>
        <w:t xml:space="preserve">connect with someone else going through similar, someone who 'gets it'. With the rapid increase in prevalence of EoE since our foundation demand for ausEE’s </w:t>
      </w:r>
      <w:r>
        <w:rPr>
          <w:rFonts w:cstheme="minorHAnsi"/>
          <w:color w:val="auto"/>
          <w:sz w:val="24"/>
          <w:szCs w:val="24"/>
          <w:lang w:val="en-AU"/>
        </w:rPr>
        <w:t xml:space="preserve">support </w:t>
      </w:r>
      <w:r w:rsidRPr="00256B85">
        <w:rPr>
          <w:rFonts w:cstheme="minorHAnsi"/>
          <w:color w:val="auto"/>
          <w:sz w:val="24"/>
          <w:szCs w:val="24"/>
          <w:lang w:val="en-AU"/>
        </w:rPr>
        <w:t>services has dramatically increased</w:t>
      </w:r>
      <w:r>
        <w:rPr>
          <w:rFonts w:cstheme="minorHAnsi"/>
          <w:color w:val="auto"/>
          <w:sz w:val="24"/>
          <w:szCs w:val="24"/>
          <w:lang w:val="en-AU"/>
        </w:rPr>
        <w:t>. S</w:t>
      </w:r>
      <w:r w:rsidR="00256B85" w:rsidRPr="00256B85">
        <w:rPr>
          <w:rFonts w:cstheme="minorHAnsi"/>
          <w:color w:val="auto"/>
          <w:sz w:val="24"/>
          <w:szCs w:val="24"/>
          <w:lang w:val="en-AU"/>
        </w:rPr>
        <w:t xml:space="preserve">upport </w:t>
      </w:r>
      <w:r>
        <w:rPr>
          <w:rFonts w:cstheme="minorHAnsi"/>
          <w:color w:val="auto"/>
          <w:sz w:val="24"/>
          <w:szCs w:val="24"/>
          <w:lang w:val="en-AU"/>
        </w:rPr>
        <w:t xml:space="preserve">from the government is required to </w:t>
      </w:r>
      <w:r w:rsidR="00256B85" w:rsidRPr="00256B85">
        <w:rPr>
          <w:rFonts w:cstheme="minorHAnsi"/>
          <w:color w:val="auto"/>
          <w:sz w:val="24"/>
          <w:szCs w:val="24"/>
          <w:lang w:val="en-AU"/>
        </w:rPr>
        <w:t>ensur</w:t>
      </w:r>
      <w:r>
        <w:rPr>
          <w:rFonts w:cstheme="minorHAnsi"/>
          <w:color w:val="auto"/>
          <w:sz w:val="24"/>
          <w:szCs w:val="24"/>
          <w:lang w:val="en-AU"/>
        </w:rPr>
        <w:t>e</w:t>
      </w:r>
      <w:r w:rsidR="00256B85" w:rsidRPr="00256B85">
        <w:rPr>
          <w:rFonts w:cstheme="minorHAnsi"/>
          <w:color w:val="auto"/>
          <w:sz w:val="24"/>
          <w:szCs w:val="24"/>
          <w:lang w:val="en-AU"/>
        </w:rPr>
        <w:t xml:space="preserve"> the needs of the estimated 12,000 Australians living with EGIDs are met and that they have access to</w:t>
      </w:r>
      <w:r w:rsidR="00FB0ECB">
        <w:rPr>
          <w:rFonts w:cstheme="minorHAnsi"/>
          <w:color w:val="auto"/>
          <w:sz w:val="24"/>
          <w:szCs w:val="24"/>
          <w:lang w:val="en-AU"/>
        </w:rPr>
        <w:t xml:space="preserve"> the</w:t>
      </w:r>
      <w:r w:rsidR="00256B85" w:rsidRPr="00256B85">
        <w:rPr>
          <w:rFonts w:cstheme="minorHAnsi"/>
          <w:color w:val="auto"/>
          <w:sz w:val="24"/>
          <w:szCs w:val="24"/>
          <w:lang w:val="en-AU"/>
        </w:rPr>
        <w:t xml:space="preserve"> support they need. </w:t>
      </w:r>
    </w:p>
    <w:p w14:paraId="1C6EC481" w14:textId="60754A20" w:rsidR="00256B85" w:rsidRDefault="00256B85" w:rsidP="00974A62">
      <w:pPr>
        <w:pStyle w:val="CompanyInfo"/>
        <w:spacing w:after="0" w:line="276" w:lineRule="auto"/>
        <w:jc w:val="both"/>
        <w:rPr>
          <w:rFonts w:cstheme="minorHAnsi"/>
          <w:color w:val="auto"/>
          <w:sz w:val="24"/>
          <w:szCs w:val="24"/>
          <w:lang w:val="en-AU"/>
        </w:rPr>
      </w:pPr>
    </w:p>
    <w:p w14:paraId="25CC5FAB" w14:textId="3968122C" w:rsidR="007C776C" w:rsidRPr="007C776C" w:rsidRDefault="007C776C" w:rsidP="00974A62">
      <w:pPr>
        <w:tabs>
          <w:tab w:val="left" w:pos="426"/>
        </w:tabs>
        <w:kinsoku w:val="0"/>
        <w:overflowPunct w:val="0"/>
        <w:autoSpaceDE w:val="0"/>
        <w:autoSpaceDN w:val="0"/>
        <w:adjustRightInd w:val="0"/>
        <w:spacing w:before="0" w:after="0" w:line="276" w:lineRule="auto"/>
        <w:jc w:val="both"/>
        <w:rPr>
          <w:rFonts w:cstheme="minorHAnsi"/>
          <w:color w:val="auto"/>
          <w:sz w:val="24"/>
          <w:szCs w:val="24"/>
        </w:rPr>
      </w:pPr>
      <w:r>
        <w:rPr>
          <w:rFonts w:cstheme="minorHAnsi"/>
          <w:color w:val="auto"/>
          <w:sz w:val="24"/>
          <w:szCs w:val="24"/>
        </w:rPr>
        <w:t>Funding is requested to allow for the growth required to e</w:t>
      </w:r>
      <w:r w:rsidRPr="007C776C">
        <w:rPr>
          <w:rFonts w:cstheme="minorHAnsi"/>
          <w:color w:val="auto"/>
          <w:sz w:val="24"/>
          <w:szCs w:val="24"/>
        </w:rPr>
        <w:t>nsur</w:t>
      </w:r>
      <w:r>
        <w:rPr>
          <w:rFonts w:cstheme="minorHAnsi"/>
          <w:color w:val="auto"/>
          <w:sz w:val="24"/>
          <w:szCs w:val="24"/>
        </w:rPr>
        <w:t xml:space="preserve">e </w:t>
      </w:r>
      <w:r w:rsidR="00715291">
        <w:rPr>
          <w:rFonts w:cstheme="minorHAnsi"/>
          <w:color w:val="auto"/>
          <w:sz w:val="24"/>
          <w:szCs w:val="24"/>
        </w:rPr>
        <w:t xml:space="preserve">access </w:t>
      </w:r>
      <w:r w:rsidRPr="007C776C">
        <w:rPr>
          <w:rFonts w:cstheme="minorHAnsi"/>
          <w:color w:val="auto"/>
          <w:sz w:val="24"/>
          <w:szCs w:val="24"/>
        </w:rPr>
        <w:t xml:space="preserve">to support </w:t>
      </w:r>
      <w:r>
        <w:rPr>
          <w:rFonts w:cstheme="minorHAnsi"/>
          <w:color w:val="auto"/>
          <w:sz w:val="24"/>
          <w:szCs w:val="24"/>
        </w:rPr>
        <w:t xml:space="preserve">services and provide for </w:t>
      </w:r>
      <w:r w:rsidRPr="007C776C">
        <w:rPr>
          <w:rFonts w:cstheme="minorHAnsi"/>
          <w:color w:val="auto"/>
          <w:sz w:val="24"/>
          <w:szCs w:val="24"/>
        </w:rPr>
        <w:t xml:space="preserve">a </w:t>
      </w:r>
      <w:r>
        <w:rPr>
          <w:rFonts w:cstheme="minorHAnsi"/>
          <w:color w:val="auto"/>
          <w:sz w:val="24"/>
          <w:szCs w:val="24"/>
        </w:rPr>
        <w:t xml:space="preserve">dedicated </w:t>
      </w:r>
      <w:r w:rsidRPr="007C776C">
        <w:rPr>
          <w:rFonts w:cstheme="minorHAnsi"/>
          <w:color w:val="auto"/>
          <w:sz w:val="24"/>
          <w:szCs w:val="24"/>
        </w:rPr>
        <w:t xml:space="preserve">focus on </w:t>
      </w:r>
      <w:bookmarkStart w:id="31" w:name="_Hlk1077373"/>
      <w:r w:rsidRPr="007C776C">
        <w:rPr>
          <w:rFonts w:cstheme="minorHAnsi"/>
          <w:color w:val="auto"/>
          <w:sz w:val="24"/>
          <w:szCs w:val="24"/>
        </w:rPr>
        <w:t xml:space="preserve">increasing our </w:t>
      </w:r>
      <w:r>
        <w:rPr>
          <w:rFonts w:cstheme="minorHAnsi"/>
          <w:color w:val="auto"/>
          <w:sz w:val="24"/>
          <w:szCs w:val="24"/>
        </w:rPr>
        <w:t xml:space="preserve">currently limited </w:t>
      </w:r>
      <w:r w:rsidRPr="007C776C">
        <w:rPr>
          <w:rFonts w:cstheme="minorHAnsi"/>
          <w:color w:val="auto"/>
          <w:sz w:val="24"/>
          <w:szCs w:val="24"/>
        </w:rPr>
        <w:t xml:space="preserve">capacity to reach </w:t>
      </w:r>
      <w:r>
        <w:rPr>
          <w:rFonts w:cstheme="minorHAnsi"/>
          <w:color w:val="auto"/>
          <w:sz w:val="24"/>
          <w:szCs w:val="24"/>
        </w:rPr>
        <w:t xml:space="preserve">two target groups, young people and </w:t>
      </w:r>
      <w:r w:rsidRPr="007C776C">
        <w:rPr>
          <w:rFonts w:cstheme="minorHAnsi"/>
          <w:color w:val="auto"/>
          <w:sz w:val="24"/>
          <w:szCs w:val="24"/>
        </w:rPr>
        <w:t>those living in regional</w:t>
      </w:r>
      <w:r w:rsidR="00974A62">
        <w:rPr>
          <w:rFonts w:cstheme="minorHAnsi"/>
          <w:color w:val="auto"/>
          <w:sz w:val="24"/>
          <w:szCs w:val="24"/>
        </w:rPr>
        <w:t>, rural</w:t>
      </w:r>
      <w:r w:rsidRPr="007C776C">
        <w:rPr>
          <w:rFonts w:cstheme="minorHAnsi"/>
          <w:color w:val="auto"/>
          <w:sz w:val="24"/>
          <w:szCs w:val="24"/>
        </w:rPr>
        <w:t xml:space="preserve"> and remote locations</w:t>
      </w:r>
      <w:bookmarkEnd w:id="31"/>
      <w:r w:rsidR="00974A62">
        <w:rPr>
          <w:rFonts w:cstheme="minorHAnsi"/>
          <w:color w:val="auto"/>
          <w:sz w:val="24"/>
          <w:szCs w:val="24"/>
        </w:rPr>
        <w:t xml:space="preserve"> who</w:t>
      </w:r>
      <w:r w:rsidR="00D32ED5">
        <w:rPr>
          <w:rFonts w:cstheme="minorHAnsi"/>
          <w:color w:val="auto"/>
          <w:sz w:val="24"/>
          <w:szCs w:val="24"/>
        </w:rPr>
        <w:t xml:space="preserve"> often</w:t>
      </w:r>
      <w:r w:rsidR="00974A62">
        <w:rPr>
          <w:rFonts w:cstheme="minorHAnsi"/>
          <w:color w:val="auto"/>
          <w:sz w:val="24"/>
          <w:szCs w:val="24"/>
        </w:rPr>
        <w:t xml:space="preserve"> </w:t>
      </w:r>
      <w:r w:rsidR="00585B43">
        <w:rPr>
          <w:rFonts w:cstheme="minorHAnsi"/>
          <w:color w:val="auto"/>
          <w:sz w:val="24"/>
          <w:szCs w:val="24"/>
        </w:rPr>
        <w:t xml:space="preserve">face </w:t>
      </w:r>
      <w:r w:rsidR="00FB0ECB">
        <w:rPr>
          <w:rFonts w:cstheme="minorHAnsi"/>
          <w:color w:val="auto"/>
          <w:sz w:val="24"/>
          <w:szCs w:val="24"/>
        </w:rPr>
        <w:t xml:space="preserve">obstacles </w:t>
      </w:r>
      <w:r w:rsidR="00974A62">
        <w:rPr>
          <w:rFonts w:cstheme="minorHAnsi"/>
          <w:color w:val="auto"/>
          <w:sz w:val="24"/>
          <w:szCs w:val="24"/>
        </w:rPr>
        <w:t>to access</w:t>
      </w:r>
      <w:r w:rsidR="00FB0ECB">
        <w:rPr>
          <w:rFonts w:cstheme="minorHAnsi"/>
          <w:color w:val="auto"/>
          <w:sz w:val="24"/>
          <w:szCs w:val="24"/>
        </w:rPr>
        <w:t>ing</w:t>
      </w:r>
      <w:r w:rsidR="00974A62">
        <w:rPr>
          <w:rFonts w:cstheme="minorHAnsi"/>
          <w:color w:val="auto"/>
          <w:sz w:val="24"/>
          <w:szCs w:val="24"/>
        </w:rPr>
        <w:t xml:space="preserve"> support services.</w:t>
      </w:r>
    </w:p>
    <w:p w14:paraId="1380B702" w14:textId="77777777" w:rsidR="00DE5E4C" w:rsidRPr="007825FC" w:rsidRDefault="00DE5E4C" w:rsidP="0039410A">
      <w:pPr>
        <w:pStyle w:val="CompanyInfo"/>
        <w:spacing w:after="0" w:line="240" w:lineRule="auto"/>
        <w:jc w:val="both"/>
        <w:rPr>
          <w:rFonts w:cstheme="minorHAnsi"/>
          <w:color w:val="auto"/>
          <w:sz w:val="24"/>
          <w:szCs w:val="24"/>
          <w:lang w:val="en-AU"/>
        </w:rPr>
      </w:pPr>
    </w:p>
    <w:p w14:paraId="100D8AD0" w14:textId="77777777" w:rsidR="001902FF" w:rsidRPr="007825FC" w:rsidRDefault="00F84031" w:rsidP="0039410A">
      <w:pPr>
        <w:pStyle w:val="CompanyInfo"/>
        <w:spacing w:after="0" w:line="240" w:lineRule="auto"/>
        <w:jc w:val="both"/>
        <w:rPr>
          <w:rFonts w:cstheme="minorHAnsi"/>
          <w:b/>
          <w:color w:val="auto"/>
          <w:sz w:val="24"/>
          <w:szCs w:val="24"/>
          <w:lang w:val="en-AU"/>
        </w:rPr>
      </w:pPr>
      <w:bookmarkStart w:id="32" w:name="_Hlk30654163"/>
      <w:bookmarkStart w:id="33" w:name="_Hlk30630060"/>
      <w:r w:rsidRPr="007825FC">
        <w:rPr>
          <w:rFonts w:cstheme="minorHAnsi"/>
          <w:b/>
          <w:color w:val="auto"/>
          <w:sz w:val="24"/>
          <w:szCs w:val="24"/>
          <w:lang w:val="en-AU"/>
        </w:rPr>
        <w:t>Objective Activities</w:t>
      </w:r>
      <w:r w:rsidR="001902FF" w:rsidRPr="007825FC">
        <w:rPr>
          <w:rFonts w:cstheme="minorHAnsi"/>
          <w:b/>
          <w:color w:val="auto"/>
          <w:sz w:val="24"/>
          <w:szCs w:val="24"/>
          <w:lang w:val="en-AU"/>
        </w:rPr>
        <w:t>:</w:t>
      </w:r>
    </w:p>
    <w:bookmarkEnd w:id="32"/>
    <w:p w14:paraId="0DFD3E67" w14:textId="77777777" w:rsidR="001902FF" w:rsidRPr="007825FC" w:rsidRDefault="001902FF" w:rsidP="00256B85">
      <w:pPr>
        <w:pStyle w:val="CompanyInfo"/>
        <w:spacing w:after="0" w:line="240" w:lineRule="auto"/>
        <w:ind w:left="426" w:hanging="426"/>
        <w:jc w:val="both"/>
        <w:rPr>
          <w:rFonts w:cstheme="minorHAnsi"/>
          <w:color w:val="auto"/>
          <w:sz w:val="24"/>
          <w:szCs w:val="24"/>
        </w:rPr>
      </w:pPr>
    </w:p>
    <w:bookmarkEnd w:id="33"/>
    <w:p w14:paraId="14A1E9E1" w14:textId="1EC5F136" w:rsidR="00256B85" w:rsidRPr="00974A62" w:rsidRDefault="00256B85" w:rsidP="00256B85">
      <w:pPr>
        <w:pStyle w:val="ListParagraph"/>
        <w:numPr>
          <w:ilvl w:val="0"/>
          <w:numId w:val="11"/>
        </w:numPr>
        <w:tabs>
          <w:tab w:val="left" w:pos="426"/>
        </w:tabs>
        <w:ind w:left="426" w:hanging="426"/>
        <w:jc w:val="both"/>
        <w:rPr>
          <w:rFonts w:cstheme="minorHAnsi"/>
          <w:bCs/>
          <w:color w:val="auto"/>
          <w:sz w:val="24"/>
          <w:szCs w:val="24"/>
          <w:lang w:val="en-AU"/>
        </w:rPr>
      </w:pPr>
      <w:r w:rsidRPr="00256B85">
        <w:rPr>
          <w:rFonts w:cstheme="minorHAnsi"/>
          <w:bCs/>
          <w:color w:val="auto"/>
          <w:sz w:val="24"/>
          <w:szCs w:val="24"/>
          <w:lang w:val="en-AU"/>
        </w:rPr>
        <w:t xml:space="preserve">Facilitate, </w:t>
      </w:r>
      <w:r>
        <w:rPr>
          <w:rFonts w:cstheme="minorHAnsi"/>
          <w:bCs/>
          <w:color w:val="auto"/>
          <w:sz w:val="24"/>
          <w:szCs w:val="24"/>
          <w:lang w:val="en-AU"/>
        </w:rPr>
        <w:t xml:space="preserve">coordinate, </w:t>
      </w:r>
      <w:r w:rsidRPr="00256B85">
        <w:rPr>
          <w:rFonts w:cstheme="minorHAnsi"/>
          <w:bCs/>
          <w:color w:val="auto"/>
          <w:sz w:val="24"/>
          <w:szCs w:val="24"/>
          <w:lang w:val="en-AU"/>
        </w:rPr>
        <w:t xml:space="preserve">manage, monitor and promote </w:t>
      </w:r>
      <w:r w:rsidRPr="00256B85">
        <w:rPr>
          <w:rFonts w:cstheme="minorHAnsi"/>
          <w:color w:val="auto"/>
          <w:sz w:val="24"/>
          <w:szCs w:val="24"/>
        </w:rPr>
        <w:t xml:space="preserve">peer-led </w:t>
      </w:r>
      <w:r w:rsidR="00A301E2" w:rsidRPr="00256B85">
        <w:rPr>
          <w:rFonts w:cstheme="minorHAnsi"/>
          <w:color w:val="auto"/>
          <w:sz w:val="24"/>
          <w:szCs w:val="24"/>
        </w:rPr>
        <w:t>s</w:t>
      </w:r>
      <w:r w:rsidR="00C45D8F" w:rsidRPr="00256B85">
        <w:rPr>
          <w:rFonts w:cstheme="minorHAnsi"/>
          <w:color w:val="auto"/>
          <w:sz w:val="24"/>
          <w:szCs w:val="24"/>
        </w:rPr>
        <w:t xml:space="preserve">upport </w:t>
      </w:r>
      <w:r w:rsidR="00A301E2" w:rsidRPr="00256B85">
        <w:rPr>
          <w:rFonts w:cstheme="minorHAnsi"/>
          <w:color w:val="auto"/>
          <w:sz w:val="24"/>
          <w:szCs w:val="24"/>
        </w:rPr>
        <w:t>n</w:t>
      </w:r>
      <w:r w:rsidR="0009358A" w:rsidRPr="00256B85">
        <w:rPr>
          <w:rFonts w:cstheme="minorHAnsi"/>
          <w:color w:val="auto"/>
          <w:sz w:val="24"/>
          <w:szCs w:val="24"/>
        </w:rPr>
        <w:t>etworks</w:t>
      </w:r>
      <w:r w:rsidR="00C45D8F" w:rsidRPr="00256B85">
        <w:rPr>
          <w:rFonts w:cstheme="minorHAnsi"/>
          <w:color w:val="auto"/>
          <w:sz w:val="24"/>
          <w:szCs w:val="24"/>
        </w:rPr>
        <w:t xml:space="preserve"> </w:t>
      </w:r>
      <w:r w:rsidR="00A301E2" w:rsidRPr="00256B85">
        <w:rPr>
          <w:rFonts w:cstheme="minorHAnsi"/>
          <w:color w:val="auto"/>
          <w:sz w:val="24"/>
          <w:szCs w:val="24"/>
        </w:rPr>
        <w:t xml:space="preserve">for those living with an EGID </w:t>
      </w:r>
      <w:r w:rsidR="00C45D8F" w:rsidRPr="00256B85">
        <w:rPr>
          <w:rFonts w:cstheme="minorHAnsi"/>
          <w:color w:val="auto"/>
          <w:sz w:val="24"/>
          <w:szCs w:val="24"/>
        </w:rPr>
        <w:t>including</w:t>
      </w:r>
      <w:r>
        <w:rPr>
          <w:rFonts w:cstheme="minorHAnsi"/>
          <w:color w:val="auto"/>
          <w:sz w:val="24"/>
          <w:szCs w:val="24"/>
        </w:rPr>
        <w:t>:</w:t>
      </w:r>
      <w:r w:rsidR="00C45D8F" w:rsidRPr="00256B85">
        <w:rPr>
          <w:rFonts w:cstheme="minorHAnsi"/>
          <w:color w:val="auto"/>
          <w:sz w:val="24"/>
          <w:szCs w:val="24"/>
        </w:rPr>
        <w:t xml:space="preserve"> </w:t>
      </w:r>
      <w:bookmarkStart w:id="34" w:name="_Hlk527230871"/>
    </w:p>
    <w:p w14:paraId="2AC360DC" w14:textId="77777777" w:rsidR="00974A62" w:rsidRDefault="00974A62" w:rsidP="00974A62">
      <w:pPr>
        <w:pStyle w:val="ListParagraph"/>
        <w:tabs>
          <w:tab w:val="left" w:pos="426"/>
        </w:tabs>
        <w:ind w:left="426"/>
        <w:jc w:val="both"/>
        <w:rPr>
          <w:rFonts w:cstheme="minorHAnsi"/>
          <w:bCs/>
          <w:color w:val="auto"/>
          <w:sz w:val="24"/>
          <w:szCs w:val="24"/>
          <w:lang w:val="en-AU"/>
        </w:rPr>
      </w:pPr>
    </w:p>
    <w:p w14:paraId="3673B557" w14:textId="4F555F3F" w:rsidR="00256B85" w:rsidRDefault="00822714" w:rsidP="00256B85">
      <w:pPr>
        <w:pStyle w:val="ListParagraph"/>
        <w:numPr>
          <w:ilvl w:val="1"/>
          <w:numId w:val="11"/>
        </w:numPr>
        <w:tabs>
          <w:tab w:val="left" w:pos="426"/>
        </w:tabs>
        <w:jc w:val="both"/>
        <w:rPr>
          <w:rFonts w:cstheme="minorHAnsi"/>
          <w:bCs/>
          <w:color w:val="auto"/>
          <w:sz w:val="24"/>
          <w:szCs w:val="24"/>
          <w:lang w:val="en-AU"/>
        </w:rPr>
      </w:pPr>
      <w:r w:rsidRPr="00256B85">
        <w:rPr>
          <w:rFonts w:cstheme="minorHAnsi"/>
          <w:bCs/>
          <w:color w:val="auto"/>
          <w:sz w:val="24"/>
          <w:szCs w:val="24"/>
          <w:lang w:val="en-AU"/>
        </w:rPr>
        <w:t xml:space="preserve">online </w:t>
      </w:r>
      <w:r w:rsidR="00443E4F">
        <w:rPr>
          <w:rFonts w:cstheme="minorHAnsi"/>
          <w:bCs/>
          <w:color w:val="auto"/>
          <w:sz w:val="24"/>
          <w:szCs w:val="24"/>
          <w:lang w:val="en-AU"/>
        </w:rPr>
        <w:t>support g</w:t>
      </w:r>
      <w:r w:rsidRPr="00256B85">
        <w:rPr>
          <w:rFonts w:cstheme="minorHAnsi"/>
          <w:bCs/>
          <w:color w:val="auto"/>
          <w:sz w:val="24"/>
          <w:szCs w:val="24"/>
          <w:lang w:val="en-AU"/>
        </w:rPr>
        <w:t>roups/forums</w:t>
      </w:r>
      <w:r w:rsidR="00443E4F">
        <w:rPr>
          <w:rFonts w:cstheme="minorHAnsi"/>
          <w:bCs/>
          <w:color w:val="auto"/>
          <w:sz w:val="24"/>
          <w:szCs w:val="24"/>
          <w:lang w:val="en-AU"/>
        </w:rPr>
        <w:t xml:space="preserve"> for adults living an EGID and parents/carers of children living with an EGID</w:t>
      </w:r>
    </w:p>
    <w:p w14:paraId="335D9215" w14:textId="52C51801" w:rsidR="00256B85" w:rsidRDefault="00256B85" w:rsidP="00256B85">
      <w:pPr>
        <w:pStyle w:val="ListParagraph"/>
        <w:numPr>
          <w:ilvl w:val="1"/>
          <w:numId w:val="11"/>
        </w:numPr>
        <w:tabs>
          <w:tab w:val="left" w:pos="426"/>
        </w:tabs>
        <w:jc w:val="both"/>
        <w:rPr>
          <w:rFonts w:cstheme="minorHAnsi"/>
          <w:bCs/>
          <w:color w:val="auto"/>
          <w:sz w:val="24"/>
          <w:szCs w:val="24"/>
          <w:lang w:val="en-AU"/>
        </w:rPr>
      </w:pPr>
      <w:r>
        <w:rPr>
          <w:rFonts w:cstheme="minorHAnsi"/>
          <w:bCs/>
          <w:color w:val="auto"/>
          <w:sz w:val="24"/>
          <w:szCs w:val="24"/>
          <w:lang w:val="en-AU"/>
        </w:rPr>
        <w:t xml:space="preserve">support </w:t>
      </w:r>
      <w:r w:rsidR="00974A62">
        <w:rPr>
          <w:rFonts w:cstheme="minorHAnsi"/>
          <w:bCs/>
          <w:color w:val="auto"/>
          <w:sz w:val="24"/>
          <w:szCs w:val="24"/>
          <w:lang w:val="en-AU"/>
        </w:rPr>
        <w:t>g</w:t>
      </w:r>
      <w:r w:rsidR="00822714" w:rsidRPr="00256B85">
        <w:rPr>
          <w:rFonts w:cstheme="minorHAnsi"/>
          <w:bCs/>
          <w:color w:val="auto"/>
          <w:sz w:val="24"/>
          <w:szCs w:val="24"/>
          <w:lang w:val="en-AU"/>
        </w:rPr>
        <w:t>roup</w:t>
      </w:r>
      <w:r w:rsidR="00443E4F">
        <w:rPr>
          <w:rFonts w:cstheme="minorHAnsi"/>
          <w:bCs/>
          <w:color w:val="auto"/>
          <w:sz w:val="24"/>
          <w:szCs w:val="24"/>
          <w:lang w:val="en-AU"/>
        </w:rPr>
        <w:t xml:space="preserve"> option</w:t>
      </w:r>
      <w:r w:rsidR="00974A62">
        <w:rPr>
          <w:rFonts w:cstheme="minorHAnsi"/>
          <w:bCs/>
          <w:color w:val="auto"/>
          <w:sz w:val="24"/>
          <w:szCs w:val="24"/>
          <w:lang w:val="en-AU"/>
        </w:rPr>
        <w:t>s</w:t>
      </w:r>
      <w:r w:rsidR="00822714" w:rsidRPr="00256B85">
        <w:rPr>
          <w:rFonts w:cstheme="minorHAnsi"/>
          <w:bCs/>
          <w:color w:val="auto"/>
          <w:sz w:val="24"/>
          <w:szCs w:val="24"/>
          <w:lang w:val="en-AU"/>
        </w:rPr>
        <w:t xml:space="preserve"> for teens and young adults</w:t>
      </w:r>
    </w:p>
    <w:p w14:paraId="5068ECBB" w14:textId="765EE8D2" w:rsidR="00974A62" w:rsidRDefault="00974A62" w:rsidP="00256B85">
      <w:pPr>
        <w:pStyle w:val="ListParagraph"/>
        <w:numPr>
          <w:ilvl w:val="1"/>
          <w:numId w:val="11"/>
        </w:numPr>
        <w:tabs>
          <w:tab w:val="left" w:pos="426"/>
        </w:tabs>
        <w:jc w:val="both"/>
        <w:rPr>
          <w:rFonts w:cstheme="minorHAnsi"/>
          <w:bCs/>
          <w:color w:val="auto"/>
          <w:sz w:val="24"/>
          <w:szCs w:val="24"/>
          <w:lang w:val="en-AU"/>
        </w:rPr>
      </w:pPr>
      <w:r>
        <w:rPr>
          <w:rFonts w:cstheme="minorHAnsi"/>
          <w:bCs/>
          <w:color w:val="auto"/>
          <w:sz w:val="24"/>
          <w:szCs w:val="24"/>
          <w:lang w:val="en-AU"/>
        </w:rPr>
        <w:t>support p</w:t>
      </w:r>
      <w:r w:rsidR="00822714" w:rsidRPr="00256B85">
        <w:rPr>
          <w:rFonts w:cstheme="minorHAnsi"/>
          <w:bCs/>
          <w:color w:val="auto"/>
          <w:sz w:val="24"/>
          <w:szCs w:val="24"/>
          <w:lang w:val="en-AU"/>
        </w:rPr>
        <w:t>rogram for children</w:t>
      </w:r>
      <w:r>
        <w:rPr>
          <w:rFonts w:cstheme="minorHAnsi"/>
          <w:bCs/>
          <w:color w:val="auto"/>
          <w:sz w:val="24"/>
          <w:szCs w:val="24"/>
          <w:lang w:val="en-AU"/>
        </w:rPr>
        <w:t xml:space="preserve"> to connect with other children and their siblings</w:t>
      </w:r>
    </w:p>
    <w:p w14:paraId="2B0B77AE" w14:textId="5CE8981A" w:rsidR="00FB0ECB" w:rsidRDefault="00822714" w:rsidP="00FB0ECB">
      <w:pPr>
        <w:pStyle w:val="ListParagraph"/>
        <w:numPr>
          <w:ilvl w:val="1"/>
          <w:numId w:val="11"/>
        </w:numPr>
        <w:tabs>
          <w:tab w:val="left" w:pos="426"/>
        </w:tabs>
        <w:jc w:val="both"/>
        <w:rPr>
          <w:rFonts w:cstheme="minorHAnsi"/>
          <w:bCs/>
          <w:color w:val="auto"/>
          <w:sz w:val="24"/>
          <w:szCs w:val="24"/>
          <w:lang w:val="en-AU"/>
        </w:rPr>
      </w:pPr>
      <w:r w:rsidRPr="00256B85">
        <w:rPr>
          <w:rFonts w:cstheme="minorHAnsi"/>
          <w:bCs/>
          <w:color w:val="auto"/>
          <w:sz w:val="24"/>
          <w:szCs w:val="24"/>
          <w:lang w:val="en-AU"/>
        </w:rPr>
        <w:t>face-to-face support group meetings for individuals and families of all ages</w:t>
      </w:r>
    </w:p>
    <w:p w14:paraId="62200239" w14:textId="77777777" w:rsidR="00FB0ECB" w:rsidRPr="00FB0ECB" w:rsidRDefault="00FB0ECB" w:rsidP="00FB0ECB">
      <w:pPr>
        <w:pStyle w:val="ListParagraph"/>
        <w:tabs>
          <w:tab w:val="left" w:pos="426"/>
        </w:tabs>
        <w:ind w:left="1440"/>
        <w:jc w:val="both"/>
        <w:rPr>
          <w:rFonts w:cstheme="minorHAnsi"/>
          <w:bCs/>
          <w:color w:val="auto"/>
          <w:sz w:val="24"/>
          <w:szCs w:val="24"/>
          <w:lang w:val="en-AU"/>
        </w:rPr>
      </w:pPr>
    </w:p>
    <w:p w14:paraId="2E958866" w14:textId="107B43A4" w:rsidR="00FB0ECB" w:rsidRPr="00FB0ECB" w:rsidRDefault="00FB0ECB" w:rsidP="00FB0ECB">
      <w:pPr>
        <w:pStyle w:val="ListParagraph"/>
        <w:numPr>
          <w:ilvl w:val="0"/>
          <w:numId w:val="24"/>
        </w:numPr>
        <w:tabs>
          <w:tab w:val="left" w:pos="426"/>
        </w:tabs>
        <w:ind w:left="426" w:hanging="426"/>
        <w:jc w:val="both"/>
        <w:rPr>
          <w:rFonts w:cstheme="minorHAnsi"/>
          <w:bCs/>
          <w:color w:val="auto"/>
          <w:sz w:val="24"/>
          <w:szCs w:val="24"/>
          <w:lang w:val="en-AU"/>
        </w:rPr>
      </w:pPr>
      <w:r>
        <w:rPr>
          <w:rFonts w:cstheme="minorHAnsi"/>
          <w:bCs/>
          <w:color w:val="auto"/>
          <w:sz w:val="24"/>
          <w:szCs w:val="24"/>
          <w:lang w:val="en-AU"/>
        </w:rPr>
        <w:t>O</w:t>
      </w:r>
      <w:r w:rsidRPr="00FB0ECB">
        <w:rPr>
          <w:rFonts w:cstheme="minorHAnsi"/>
          <w:bCs/>
          <w:color w:val="auto"/>
          <w:sz w:val="24"/>
          <w:szCs w:val="24"/>
          <w:lang w:val="en-AU"/>
        </w:rPr>
        <w:t>utreach to regional, rural and remote locations about our support networks</w:t>
      </w:r>
      <w:r>
        <w:rPr>
          <w:rFonts w:cstheme="minorHAnsi"/>
          <w:bCs/>
          <w:color w:val="auto"/>
          <w:sz w:val="24"/>
          <w:szCs w:val="24"/>
          <w:lang w:val="en-AU"/>
        </w:rPr>
        <w:t>.</w:t>
      </w:r>
    </w:p>
    <w:p w14:paraId="2B124574" w14:textId="1997B0B3" w:rsidR="00BB591B" w:rsidRPr="00C76647" w:rsidRDefault="000C2DD3" w:rsidP="005445A9">
      <w:pPr>
        <w:pStyle w:val="Heading1"/>
        <w:rPr>
          <w:color w:val="auto"/>
        </w:rPr>
      </w:pPr>
      <w:bookmarkStart w:id="35" w:name="_Toc30830733"/>
      <w:bookmarkEnd w:id="34"/>
      <w:r>
        <w:rPr>
          <w:color w:val="auto"/>
        </w:rPr>
        <w:lastRenderedPageBreak/>
        <w:t xml:space="preserve">Objective </w:t>
      </w:r>
      <w:r w:rsidR="00733FD2">
        <w:rPr>
          <w:color w:val="auto"/>
        </w:rPr>
        <w:t>5</w:t>
      </w:r>
      <w:bookmarkEnd w:id="35"/>
    </w:p>
    <w:p w14:paraId="71368CA4" w14:textId="4EBBB588" w:rsidR="00AD1D53" w:rsidRDefault="00733FD2" w:rsidP="005445A9">
      <w:pPr>
        <w:spacing w:before="0" w:after="0" w:line="240" w:lineRule="auto"/>
        <w:rPr>
          <w:rFonts w:asciiTheme="majorHAnsi" w:eastAsiaTheme="majorEastAsia" w:hAnsiTheme="majorHAnsi" w:cstheme="majorBidi"/>
          <w:b/>
          <w:caps/>
          <w:color w:val="4D3C77" w:themeColor="accent1" w:themeShade="BF"/>
          <w:sz w:val="24"/>
          <w14:ligatures w14:val="standardContextual"/>
        </w:rPr>
      </w:pPr>
      <w:r w:rsidRPr="00733FD2">
        <w:rPr>
          <w:rFonts w:asciiTheme="majorHAnsi" w:eastAsiaTheme="majorEastAsia" w:hAnsiTheme="majorHAnsi" w:cstheme="majorBidi"/>
          <w:b/>
          <w:caps/>
          <w:color w:val="4D3C77" w:themeColor="accent1" w:themeShade="BF"/>
          <w:sz w:val="24"/>
          <w14:ligatures w14:val="standardContextual"/>
        </w:rPr>
        <w:t>Community Outreach</w:t>
      </w:r>
    </w:p>
    <w:p w14:paraId="6444D27A" w14:textId="7112F0D1" w:rsidR="00F84031" w:rsidRDefault="00F84031" w:rsidP="00552E33">
      <w:pPr>
        <w:spacing w:before="0" w:after="0" w:line="240" w:lineRule="auto"/>
        <w:jc w:val="both"/>
        <w:rPr>
          <w:rFonts w:eastAsia="Times New Roman" w:cs="Lucida Sans Unicode"/>
          <w:color w:val="auto"/>
          <w:kern w:val="0"/>
          <w:sz w:val="24"/>
          <w:szCs w:val="24"/>
          <w:lang w:val="en-AU" w:eastAsia="en-AU"/>
        </w:rPr>
      </w:pPr>
    </w:p>
    <w:p w14:paraId="70DA6AA5" w14:textId="2CDF4BE4" w:rsidR="00B73187" w:rsidRDefault="00544ECC" w:rsidP="00552E33">
      <w:pPr>
        <w:spacing w:before="0" w:after="0" w:line="240" w:lineRule="auto"/>
        <w:jc w:val="both"/>
        <w:rPr>
          <w:rFonts w:eastAsia="Times New Roman" w:cs="Lucida Sans Unicode"/>
          <w:color w:val="auto"/>
          <w:kern w:val="0"/>
          <w:sz w:val="24"/>
          <w:szCs w:val="24"/>
          <w:lang w:val="en-AU" w:eastAsia="en-AU"/>
        </w:rPr>
      </w:pPr>
      <w:r w:rsidRPr="00B73187">
        <w:rPr>
          <w:color w:val="auto"/>
          <w:sz w:val="24"/>
          <w:szCs w:val="24"/>
          <w:lang w:val="en-AU"/>
        </w:rPr>
        <w:t>EGIDs are complex to diagnose and treat</w:t>
      </w:r>
      <w:r w:rsidR="00B73187" w:rsidRPr="00B73187">
        <w:rPr>
          <w:color w:val="auto"/>
          <w:sz w:val="24"/>
          <w:szCs w:val="24"/>
          <w:lang w:val="en-AU"/>
        </w:rPr>
        <w:t xml:space="preserve"> </w:t>
      </w:r>
      <w:r w:rsidR="00461097">
        <w:rPr>
          <w:color w:val="auto"/>
          <w:sz w:val="24"/>
          <w:szCs w:val="24"/>
          <w:lang w:val="en-AU"/>
        </w:rPr>
        <w:t>and</w:t>
      </w:r>
      <w:r w:rsidR="00D32ED5">
        <w:rPr>
          <w:color w:val="auto"/>
          <w:sz w:val="24"/>
          <w:szCs w:val="24"/>
          <w:lang w:val="en-AU"/>
        </w:rPr>
        <w:t xml:space="preserve"> </w:t>
      </w:r>
      <w:r w:rsidR="00B73187" w:rsidRPr="00B73187">
        <w:rPr>
          <w:rFonts w:eastAsia="Times New Roman" w:cs="Lucida Sans Unicode"/>
          <w:color w:val="auto"/>
          <w:kern w:val="0"/>
          <w:sz w:val="24"/>
          <w:szCs w:val="24"/>
          <w:lang w:val="en-AU" w:eastAsia="en-AU"/>
        </w:rPr>
        <w:t xml:space="preserve">awareness raising </w:t>
      </w:r>
      <w:r w:rsidR="00D32ED5">
        <w:rPr>
          <w:rFonts w:eastAsia="Times New Roman" w:cs="Lucida Sans Unicode"/>
          <w:color w:val="auto"/>
          <w:kern w:val="0"/>
          <w:sz w:val="24"/>
          <w:szCs w:val="24"/>
          <w:lang w:val="en-AU" w:eastAsia="en-AU"/>
        </w:rPr>
        <w:t>activities</w:t>
      </w:r>
      <w:r w:rsidR="00B73187" w:rsidRPr="00B73187">
        <w:rPr>
          <w:rFonts w:eastAsia="Times New Roman" w:cs="Lucida Sans Unicode"/>
          <w:color w:val="auto"/>
          <w:kern w:val="0"/>
          <w:sz w:val="24"/>
          <w:szCs w:val="24"/>
          <w:lang w:val="en-AU" w:eastAsia="en-AU"/>
        </w:rPr>
        <w:t xml:space="preserve"> </w:t>
      </w:r>
      <w:r w:rsidR="00D32ED5">
        <w:rPr>
          <w:rFonts w:eastAsia="Times New Roman" w:cs="Lucida Sans Unicode"/>
          <w:color w:val="auto"/>
          <w:kern w:val="0"/>
          <w:sz w:val="24"/>
          <w:szCs w:val="24"/>
          <w:lang w:val="en-AU" w:eastAsia="en-AU"/>
        </w:rPr>
        <w:t>are vital to a</w:t>
      </w:r>
      <w:r w:rsidR="00A76242">
        <w:rPr>
          <w:rFonts w:eastAsia="Times New Roman" w:cs="Lucida Sans Unicode"/>
          <w:color w:val="auto"/>
          <w:kern w:val="0"/>
          <w:sz w:val="24"/>
          <w:szCs w:val="24"/>
          <w:lang w:val="en-AU" w:eastAsia="en-AU"/>
        </w:rPr>
        <w:t>ssist</w:t>
      </w:r>
      <w:r w:rsidR="000E04F5">
        <w:rPr>
          <w:rFonts w:eastAsia="Times New Roman" w:cs="Lucida Sans Unicode"/>
          <w:color w:val="auto"/>
          <w:kern w:val="0"/>
          <w:sz w:val="24"/>
          <w:szCs w:val="24"/>
          <w:lang w:val="en-AU" w:eastAsia="en-AU"/>
        </w:rPr>
        <w:t xml:space="preserve"> </w:t>
      </w:r>
      <w:r w:rsidR="00A76242">
        <w:rPr>
          <w:rFonts w:eastAsia="Times New Roman" w:cs="Lucida Sans Unicode"/>
          <w:color w:val="auto"/>
          <w:kern w:val="0"/>
          <w:sz w:val="24"/>
          <w:szCs w:val="24"/>
          <w:lang w:val="en-AU" w:eastAsia="en-AU"/>
        </w:rPr>
        <w:t xml:space="preserve">in </w:t>
      </w:r>
      <w:r w:rsidR="0058639E">
        <w:rPr>
          <w:rFonts w:eastAsia="Times New Roman" w:cs="Lucida Sans Unicode"/>
          <w:color w:val="auto"/>
          <w:kern w:val="0"/>
          <w:sz w:val="24"/>
          <w:szCs w:val="24"/>
          <w:lang w:val="en-AU" w:eastAsia="en-AU"/>
        </w:rPr>
        <w:t xml:space="preserve">an </w:t>
      </w:r>
      <w:r w:rsidR="00111430">
        <w:rPr>
          <w:rFonts w:eastAsia="Times New Roman" w:cs="Lucida Sans Unicode"/>
          <w:color w:val="auto"/>
          <w:kern w:val="0"/>
          <w:sz w:val="24"/>
          <w:szCs w:val="24"/>
          <w:lang w:val="en-AU" w:eastAsia="en-AU"/>
        </w:rPr>
        <w:t>improve</w:t>
      </w:r>
      <w:r w:rsidR="006228FE">
        <w:rPr>
          <w:rFonts w:eastAsia="Times New Roman" w:cs="Lucida Sans Unicode"/>
          <w:color w:val="auto"/>
          <w:kern w:val="0"/>
          <w:sz w:val="24"/>
          <w:szCs w:val="24"/>
          <w:lang w:val="en-AU" w:eastAsia="en-AU"/>
        </w:rPr>
        <w:t>d</w:t>
      </w:r>
      <w:r w:rsidR="00111430">
        <w:rPr>
          <w:rFonts w:eastAsia="Times New Roman" w:cs="Lucida Sans Unicode"/>
          <w:color w:val="auto"/>
          <w:kern w:val="0"/>
          <w:sz w:val="24"/>
          <w:szCs w:val="24"/>
          <w:lang w:val="en-AU" w:eastAsia="en-AU"/>
        </w:rPr>
        <w:t xml:space="preserve"> pathway to diagnosis and</w:t>
      </w:r>
      <w:r w:rsidR="00504C5E">
        <w:rPr>
          <w:rFonts w:eastAsia="Times New Roman" w:cs="Lucida Sans Unicode"/>
          <w:color w:val="auto"/>
          <w:kern w:val="0"/>
          <w:sz w:val="24"/>
          <w:szCs w:val="24"/>
          <w:lang w:val="en-AU" w:eastAsia="en-AU"/>
        </w:rPr>
        <w:t xml:space="preserve"> </w:t>
      </w:r>
      <w:r w:rsidR="0058639E">
        <w:rPr>
          <w:rFonts w:eastAsia="Times New Roman" w:cs="Lucida Sans Unicode"/>
          <w:color w:val="auto"/>
          <w:kern w:val="0"/>
          <w:sz w:val="24"/>
          <w:szCs w:val="24"/>
          <w:lang w:val="en-AU" w:eastAsia="en-AU"/>
        </w:rPr>
        <w:t xml:space="preserve">to </w:t>
      </w:r>
      <w:r w:rsidR="00504C5E">
        <w:rPr>
          <w:rFonts w:eastAsia="Times New Roman" w:cs="Lucida Sans Unicode"/>
          <w:color w:val="auto"/>
          <w:kern w:val="0"/>
          <w:sz w:val="24"/>
          <w:szCs w:val="24"/>
          <w:lang w:val="en-AU" w:eastAsia="en-AU"/>
        </w:rPr>
        <w:t>provide</w:t>
      </w:r>
      <w:r w:rsidR="00111430">
        <w:rPr>
          <w:rFonts w:eastAsia="Times New Roman" w:cs="Lucida Sans Unicode"/>
          <w:color w:val="auto"/>
          <w:kern w:val="0"/>
          <w:sz w:val="24"/>
          <w:szCs w:val="24"/>
          <w:lang w:val="en-AU" w:eastAsia="en-AU"/>
        </w:rPr>
        <w:t xml:space="preserve"> </w:t>
      </w:r>
      <w:r w:rsidR="0058639E">
        <w:rPr>
          <w:rFonts w:eastAsia="Times New Roman" w:cs="Lucida Sans Unicode"/>
          <w:color w:val="auto"/>
          <w:kern w:val="0"/>
          <w:sz w:val="24"/>
          <w:szCs w:val="24"/>
          <w:lang w:val="en-AU" w:eastAsia="en-AU"/>
        </w:rPr>
        <w:t xml:space="preserve">greater </w:t>
      </w:r>
      <w:r w:rsidR="004677FC" w:rsidRPr="004677FC">
        <w:rPr>
          <w:rFonts w:eastAsia="Times New Roman" w:cs="Lucida Sans Unicode"/>
          <w:color w:val="auto"/>
          <w:kern w:val="0"/>
          <w:sz w:val="24"/>
          <w:szCs w:val="24"/>
          <w:lang w:val="en-AU" w:eastAsia="en-AU"/>
        </w:rPr>
        <w:t xml:space="preserve">knowledge and understanding of EGIDs </w:t>
      </w:r>
      <w:r w:rsidR="006228FE">
        <w:rPr>
          <w:rFonts w:eastAsia="Times New Roman" w:cs="Lucida Sans Unicode"/>
          <w:color w:val="auto"/>
          <w:kern w:val="0"/>
          <w:sz w:val="24"/>
          <w:szCs w:val="24"/>
          <w:lang w:val="en-AU" w:eastAsia="en-AU"/>
        </w:rPr>
        <w:t xml:space="preserve">and </w:t>
      </w:r>
      <w:r w:rsidR="004677FC" w:rsidRPr="004677FC">
        <w:rPr>
          <w:rFonts w:eastAsia="Times New Roman" w:cs="Lucida Sans Unicode"/>
          <w:color w:val="auto"/>
          <w:kern w:val="0"/>
          <w:sz w:val="24"/>
          <w:szCs w:val="24"/>
          <w:lang w:val="en-AU" w:eastAsia="en-AU"/>
        </w:rPr>
        <w:t>th</w:t>
      </w:r>
      <w:r w:rsidR="006228FE">
        <w:rPr>
          <w:rFonts w:eastAsia="Times New Roman" w:cs="Lucida Sans Unicode"/>
          <w:color w:val="auto"/>
          <w:kern w:val="0"/>
          <w:sz w:val="24"/>
          <w:szCs w:val="24"/>
          <w:lang w:val="en-AU" w:eastAsia="en-AU"/>
        </w:rPr>
        <w:t>e</w:t>
      </w:r>
      <w:r w:rsidR="004677FC" w:rsidRPr="004677FC">
        <w:rPr>
          <w:rFonts w:eastAsia="Times New Roman" w:cs="Lucida Sans Unicode"/>
          <w:color w:val="auto"/>
          <w:kern w:val="0"/>
          <w:sz w:val="24"/>
          <w:szCs w:val="24"/>
          <w:lang w:val="en-AU" w:eastAsia="en-AU"/>
        </w:rPr>
        <w:t xml:space="preserve"> impact on those </w:t>
      </w:r>
      <w:r w:rsidR="00CC4A6D">
        <w:rPr>
          <w:rFonts w:eastAsia="Times New Roman" w:cs="Lucida Sans Unicode"/>
          <w:color w:val="auto"/>
          <w:kern w:val="0"/>
          <w:sz w:val="24"/>
          <w:szCs w:val="24"/>
          <w:lang w:val="en-AU" w:eastAsia="en-AU"/>
        </w:rPr>
        <w:t>affected</w:t>
      </w:r>
      <w:r w:rsidR="00BB6035">
        <w:rPr>
          <w:rFonts w:eastAsia="Times New Roman" w:cs="Lucida Sans Unicode"/>
          <w:color w:val="auto"/>
          <w:kern w:val="0"/>
          <w:sz w:val="24"/>
          <w:szCs w:val="24"/>
          <w:lang w:val="en-AU" w:eastAsia="en-AU"/>
        </w:rPr>
        <w:t xml:space="preserve"> to the wider community.</w:t>
      </w:r>
    </w:p>
    <w:p w14:paraId="0D6F32F6" w14:textId="7E02C5A1" w:rsidR="00443E4F" w:rsidRDefault="00443E4F" w:rsidP="00552E33">
      <w:pPr>
        <w:spacing w:before="0" w:after="0" w:line="240" w:lineRule="auto"/>
        <w:jc w:val="both"/>
        <w:rPr>
          <w:rFonts w:eastAsia="Times New Roman" w:cs="Lucida Sans Unicode"/>
          <w:color w:val="auto"/>
          <w:kern w:val="0"/>
          <w:sz w:val="24"/>
          <w:szCs w:val="24"/>
          <w:lang w:val="en-AU" w:eastAsia="en-AU"/>
        </w:rPr>
      </w:pPr>
    </w:p>
    <w:p w14:paraId="37C1BA1C" w14:textId="77777777" w:rsidR="00443E4F" w:rsidRDefault="00443E4F" w:rsidP="00443E4F">
      <w:pPr>
        <w:spacing w:before="0" w:after="0" w:line="240" w:lineRule="auto"/>
        <w:jc w:val="both"/>
        <w:rPr>
          <w:rFonts w:eastAsia="Calibri" w:cs="Times New Roman"/>
          <w:color w:val="auto"/>
          <w:kern w:val="0"/>
          <w:sz w:val="24"/>
          <w:szCs w:val="24"/>
          <w:lang w:val="en-AU" w:eastAsia="en-US"/>
        </w:rPr>
      </w:pPr>
      <w:r w:rsidRPr="00176F33">
        <w:rPr>
          <w:rFonts w:eastAsia="Calibri" w:cs="Times New Roman"/>
          <w:color w:val="auto"/>
          <w:kern w:val="0"/>
          <w:sz w:val="24"/>
          <w:szCs w:val="24"/>
          <w:lang w:val="en-AU" w:eastAsia="en-US"/>
        </w:rPr>
        <w:t>ausEE</w:t>
      </w:r>
      <w:r>
        <w:rPr>
          <w:rFonts w:eastAsia="Calibri" w:cs="Times New Roman"/>
          <w:color w:val="auto"/>
          <w:kern w:val="0"/>
          <w:sz w:val="24"/>
          <w:szCs w:val="24"/>
          <w:lang w:val="en-AU" w:eastAsia="en-US"/>
        </w:rPr>
        <w:t xml:space="preserve"> </w:t>
      </w:r>
      <w:r w:rsidRPr="00176F33">
        <w:rPr>
          <w:rFonts w:eastAsia="Calibri" w:cs="Times New Roman"/>
          <w:color w:val="auto"/>
          <w:kern w:val="0"/>
          <w:sz w:val="24"/>
          <w:szCs w:val="24"/>
          <w:lang w:val="en-AU" w:eastAsia="en-US"/>
        </w:rPr>
        <w:t>Inc.</w:t>
      </w:r>
      <w:r>
        <w:rPr>
          <w:rFonts w:eastAsia="Calibri" w:cs="Times New Roman"/>
          <w:color w:val="auto"/>
          <w:kern w:val="0"/>
          <w:sz w:val="24"/>
          <w:szCs w:val="24"/>
          <w:lang w:val="en-AU" w:eastAsia="en-US"/>
        </w:rPr>
        <w:t xml:space="preserve"> </w:t>
      </w:r>
      <w:r w:rsidRPr="00176F33">
        <w:rPr>
          <w:rFonts w:eastAsia="Calibri" w:cs="Times New Roman"/>
          <w:color w:val="auto"/>
          <w:kern w:val="0"/>
          <w:sz w:val="24"/>
          <w:szCs w:val="24"/>
          <w:lang w:val="en-AU" w:eastAsia="en-US"/>
        </w:rPr>
        <w:t>is</w:t>
      </w:r>
      <w:r>
        <w:rPr>
          <w:rFonts w:eastAsia="Calibri" w:cs="Times New Roman"/>
          <w:color w:val="auto"/>
          <w:kern w:val="0"/>
          <w:sz w:val="24"/>
          <w:szCs w:val="24"/>
          <w:lang w:val="en-AU" w:eastAsia="en-US"/>
        </w:rPr>
        <w:t xml:space="preserve"> </w:t>
      </w:r>
      <w:r w:rsidRPr="00176F33">
        <w:rPr>
          <w:rFonts w:eastAsia="Calibri" w:cs="Times New Roman"/>
          <w:color w:val="auto"/>
          <w:kern w:val="0"/>
          <w:sz w:val="24"/>
          <w:szCs w:val="24"/>
          <w:lang w:val="en-AU" w:eastAsia="en-US"/>
        </w:rPr>
        <w:t>the</w:t>
      </w:r>
      <w:r>
        <w:rPr>
          <w:rFonts w:eastAsia="Calibri" w:cs="Times New Roman"/>
          <w:color w:val="auto"/>
          <w:kern w:val="0"/>
          <w:sz w:val="24"/>
          <w:szCs w:val="24"/>
          <w:lang w:val="en-AU" w:eastAsia="en-US"/>
        </w:rPr>
        <w:t xml:space="preserve"> </w:t>
      </w:r>
      <w:r w:rsidRPr="00176F33">
        <w:rPr>
          <w:rFonts w:eastAsia="Calibri" w:cs="Times New Roman"/>
          <w:color w:val="auto"/>
          <w:kern w:val="0"/>
          <w:sz w:val="24"/>
          <w:szCs w:val="24"/>
          <w:lang w:val="en-AU" w:eastAsia="en-US"/>
        </w:rPr>
        <w:t>only</w:t>
      </w:r>
      <w:r>
        <w:rPr>
          <w:rFonts w:eastAsia="Calibri" w:cs="Times New Roman"/>
          <w:color w:val="auto"/>
          <w:kern w:val="0"/>
          <w:sz w:val="24"/>
          <w:szCs w:val="24"/>
          <w:lang w:val="en-AU" w:eastAsia="en-US"/>
        </w:rPr>
        <w:t xml:space="preserve"> patient </w:t>
      </w:r>
      <w:r w:rsidRPr="00176F33">
        <w:rPr>
          <w:rFonts w:eastAsia="Calibri" w:cs="Times New Roman"/>
          <w:color w:val="auto"/>
          <w:kern w:val="0"/>
          <w:sz w:val="24"/>
          <w:szCs w:val="24"/>
          <w:lang w:val="en-AU" w:eastAsia="en-US"/>
        </w:rPr>
        <w:t>organisation</w:t>
      </w:r>
      <w:r>
        <w:rPr>
          <w:rFonts w:eastAsia="Calibri" w:cs="Times New Roman"/>
          <w:color w:val="auto"/>
          <w:kern w:val="0"/>
          <w:sz w:val="24"/>
          <w:szCs w:val="24"/>
          <w:lang w:val="en-AU" w:eastAsia="en-US"/>
        </w:rPr>
        <w:t xml:space="preserve"> </w:t>
      </w:r>
      <w:r w:rsidRPr="00176F33">
        <w:rPr>
          <w:rFonts w:eastAsia="Calibri" w:cs="Times New Roman"/>
          <w:color w:val="auto"/>
          <w:kern w:val="0"/>
          <w:sz w:val="24"/>
          <w:szCs w:val="24"/>
          <w:lang w:val="en-AU" w:eastAsia="en-US"/>
        </w:rPr>
        <w:t>providing</w:t>
      </w:r>
      <w:r>
        <w:rPr>
          <w:rFonts w:eastAsia="Calibri" w:cs="Times New Roman"/>
          <w:color w:val="auto"/>
          <w:kern w:val="0"/>
          <w:sz w:val="24"/>
          <w:szCs w:val="24"/>
          <w:lang w:val="en-AU" w:eastAsia="en-US"/>
        </w:rPr>
        <w:t xml:space="preserve"> Australia wide </w:t>
      </w:r>
      <w:r w:rsidRPr="00176F33">
        <w:rPr>
          <w:rFonts w:eastAsia="Calibri" w:cs="Times New Roman"/>
          <w:color w:val="auto"/>
          <w:kern w:val="0"/>
          <w:sz w:val="24"/>
          <w:szCs w:val="24"/>
          <w:lang w:val="en-AU" w:eastAsia="en-US"/>
        </w:rPr>
        <w:t>awareness</w:t>
      </w:r>
      <w:r>
        <w:rPr>
          <w:rFonts w:eastAsia="Calibri" w:cs="Times New Roman"/>
          <w:color w:val="auto"/>
          <w:kern w:val="0"/>
          <w:sz w:val="24"/>
          <w:szCs w:val="24"/>
          <w:lang w:val="en-AU" w:eastAsia="en-US"/>
        </w:rPr>
        <w:t xml:space="preserve"> about eosinophilic gastrointestinal disorders and additionally we raise awareness for those with </w:t>
      </w:r>
      <w:r w:rsidRPr="00176F33">
        <w:rPr>
          <w:rFonts w:eastAsia="Calibri" w:cs="Times New Roman"/>
          <w:color w:val="auto"/>
          <w:kern w:val="0"/>
          <w:sz w:val="24"/>
          <w:szCs w:val="24"/>
          <w:lang w:val="en-AU" w:eastAsia="en-US"/>
        </w:rPr>
        <w:t>feeding</w:t>
      </w:r>
      <w:r>
        <w:rPr>
          <w:rFonts w:eastAsia="Calibri" w:cs="Times New Roman"/>
          <w:color w:val="auto"/>
          <w:kern w:val="0"/>
          <w:sz w:val="24"/>
          <w:szCs w:val="24"/>
          <w:lang w:val="en-AU" w:eastAsia="en-US"/>
        </w:rPr>
        <w:t xml:space="preserve"> </w:t>
      </w:r>
      <w:r w:rsidRPr="00176F33">
        <w:rPr>
          <w:rFonts w:eastAsia="Calibri" w:cs="Times New Roman"/>
          <w:color w:val="auto"/>
          <w:kern w:val="0"/>
          <w:sz w:val="24"/>
          <w:szCs w:val="24"/>
          <w:lang w:val="en-AU" w:eastAsia="en-US"/>
        </w:rPr>
        <w:t>tubes</w:t>
      </w:r>
      <w:r>
        <w:rPr>
          <w:rFonts w:eastAsia="Calibri" w:cs="Times New Roman"/>
          <w:color w:val="auto"/>
          <w:kern w:val="0"/>
          <w:sz w:val="24"/>
          <w:szCs w:val="24"/>
          <w:lang w:val="en-AU" w:eastAsia="en-US"/>
        </w:rPr>
        <w:t xml:space="preserve"> as an EGID is one condition where a patient may require a feeding tube to meet their nutritional needs.</w:t>
      </w:r>
    </w:p>
    <w:p w14:paraId="252D1B19" w14:textId="4E754275" w:rsidR="00805CA5" w:rsidRDefault="00805CA5" w:rsidP="00552E33">
      <w:pPr>
        <w:spacing w:before="0" w:after="0" w:line="240" w:lineRule="auto"/>
        <w:jc w:val="both"/>
        <w:rPr>
          <w:rFonts w:eastAsia="Times New Roman" w:cs="Lucida Sans Unicode"/>
          <w:color w:val="auto"/>
          <w:kern w:val="0"/>
          <w:sz w:val="24"/>
          <w:szCs w:val="24"/>
          <w:lang w:val="en-AU" w:eastAsia="en-AU"/>
        </w:rPr>
      </w:pPr>
    </w:p>
    <w:p w14:paraId="1422657C" w14:textId="06EBF35B" w:rsidR="00443E4F" w:rsidRPr="00443E4F" w:rsidRDefault="00805CA5" w:rsidP="00552E33">
      <w:pPr>
        <w:spacing w:before="0" w:after="0" w:line="240" w:lineRule="auto"/>
        <w:jc w:val="both"/>
        <w:rPr>
          <w:rFonts w:eastAsia="Times New Roman" w:cs="Lucida Sans Unicode"/>
          <w:color w:val="auto"/>
          <w:kern w:val="0"/>
          <w:sz w:val="24"/>
          <w:szCs w:val="24"/>
          <w:lang w:val="en-AU" w:eastAsia="en-AU"/>
        </w:rPr>
      </w:pPr>
      <w:r w:rsidRPr="00805CA5">
        <w:rPr>
          <w:rFonts w:eastAsia="Times New Roman" w:cs="Lucida Sans Unicode"/>
          <w:color w:val="auto"/>
          <w:kern w:val="0"/>
          <w:sz w:val="24"/>
          <w:szCs w:val="24"/>
          <w:lang w:val="en-AU" w:eastAsia="en-AU"/>
        </w:rPr>
        <w:t>A survey of our members in Jun</w:t>
      </w:r>
      <w:r>
        <w:rPr>
          <w:rFonts w:eastAsia="Times New Roman" w:cs="Lucida Sans Unicode"/>
          <w:color w:val="auto"/>
          <w:kern w:val="0"/>
          <w:sz w:val="24"/>
          <w:szCs w:val="24"/>
          <w:lang w:val="en-AU" w:eastAsia="en-AU"/>
        </w:rPr>
        <w:t>e</w:t>
      </w:r>
      <w:r w:rsidRPr="00805CA5">
        <w:rPr>
          <w:rFonts w:eastAsia="Times New Roman" w:cs="Lucida Sans Unicode"/>
          <w:color w:val="auto"/>
          <w:kern w:val="0"/>
          <w:sz w:val="24"/>
          <w:szCs w:val="24"/>
          <w:lang w:val="en-AU" w:eastAsia="en-AU"/>
        </w:rPr>
        <w:t>-Jul</w:t>
      </w:r>
      <w:r>
        <w:rPr>
          <w:rFonts w:eastAsia="Times New Roman" w:cs="Lucida Sans Unicode"/>
          <w:color w:val="auto"/>
          <w:kern w:val="0"/>
          <w:sz w:val="24"/>
          <w:szCs w:val="24"/>
          <w:lang w:val="en-AU" w:eastAsia="en-AU"/>
        </w:rPr>
        <w:t>y</w:t>
      </w:r>
      <w:r w:rsidRPr="00805CA5">
        <w:rPr>
          <w:rFonts w:eastAsia="Times New Roman" w:cs="Lucida Sans Unicode"/>
          <w:color w:val="auto"/>
          <w:kern w:val="0"/>
          <w:sz w:val="24"/>
          <w:szCs w:val="24"/>
          <w:lang w:val="en-AU" w:eastAsia="en-AU"/>
        </w:rPr>
        <w:t xml:space="preserve"> 2019</w:t>
      </w:r>
      <w:r>
        <w:rPr>
          <w:rStyle w:val="FootnoteReference"/>
          <w:rFonts w:eastAsia="Times New Roman" w:cs="Lucida Sans Unicode"/>
          <w:color w:val="auto"/>
          <w:kern w:val="0"/>
          <w:sz w:val="24"/>
          <w:szCs w:val="24"/>
          <w:lang w:val="en-AU" w:eastAsia="en-AU"/>
        </w:rPr>
        <w:footnoteReference w:id="8"/>
      </w:r>
      <w:r w:rsidRPr="00805CA5">
        <w:rPr>
          <w:rFonts w:eastAsia="Times New Roman" w:cs="Lucida Sans Unicode"/>
          <w:color w:val="auto"/>
          <w:kern w:val="0"/>
          <w:sz w:val="24"/>
          <w:szCs w:val="24"/>
          <w:lang w:val="en-AU" w:eastAsia="en-AU"/>
        </w:rPr>
        <w:t xml:space="preserve"> on the social impact of EGIDs found that families are facing major on-going social, financial and employment issues as a result of EGIDs. This highlights the importance of ausEE’s goal to raise </w:t>
      </w:r>
      <w:r w:rsidR="00D32ED5">
        <w:rPr>
          <w:rFonts w:eastAsia="Times New Roman" w:cs="Lucida Sans Unicode"/>
          <w:color w:val="auto"/>
          <w:kern w:val="0"/>
          <w:sz w:val="24"/>
          <w:szCs w:val="24"/>
          <w:lang w:val="en-AU" w:eastAsia="en-AU"/>
        </w:rPr>
        <w:t xml:space="preserve">further </w:t>
      </w:r>
      <w:r w:rsidRPr="00805CA5">
        <w:rPr>
          <w:rFonts w:eastAsia="Times New Roman" w:cs="Lucida Sans Unicode"/>
          <w:color w:val="auto"/>
          <w:kern w:val="0"/>
          <w:sz w:val="24"/>
          <w:szCs w:val="24"/>
          <w:lang w:val="en-AU" w:eastAsia="en-AU"/>
        </w:rPr>
        <w:t>awareness to promote inclusion and inform the community of the simple things that others can do to help</w:t>
      </w:r>
      <w:r w:rsidR="00443E4F">
        <w:rPr>
          <w:rFonts w:eastAsia="Times New Roman" w:cs="Lucida Sans Unicode"/>
          <w:color w:val="auto"/>
          <w:kern w:val="0"/>
          <w:sz w:val="24"/>
          <w:szCs w:val="24"/>
          <w:lang w:val="en-AU" w:eastAsia="en-AU"/>
        </w:rPr>
        <w:t xml:space="preserve"> their overall wellbeing.</w:t>
      </w:r>
    </w:p>
    <w:p w14:paraId="66D4E3A2" w14:textId="77777777" w:rsidR="00234867" w:rsidRDefault="00234867" w:rsidP="00443E4F">
      <w:pPr>
        <w:spacing w:before="0" w:after="0" w:line="276" w:lineRule="auto"/>
        <w:jc w:val="both"/>
        <w:rPr>
          <w:rFonts w:eastAsia="Times New Roman" w:cs="Lucida Sans Unicode"/>
          <w:color w:val="auto"/>
          <w:kern w:val="0"/>
          <w:sz w:val="24"/>
          <w:szCs w:val="24"/>
          <w:lang w:val="en-AU" w:eastAsia="en-AU"/>
        </w:rPr>
      </w:pPr>
    </w:p>
    <w:p w14:paraId="76CE3E5B" w14:textId="77777777" w:rsidR="006002C4" w:rsidRDefault="00F84031" w:rsidP="00552E33">
      <w:pPr>
        <w:spacing w:before="0" w:after="0" w:line="240" w:lineRule="auto"/>
        <w:jc w:val="both"/>
        <w:rPr>
          <w:rFonts w:eastAsia="Times New Roman" w:cs="Lucida Sans Unicode"/>
          <w:b/>
          <w:color w:val="auto"/>
          <w:kern w:val="0"/>
          <w:sz w:val="24"/>
          <w:szCs w:val="24"/>
          <w:lang w:val="en-AU" w:eastAsia="en-AU"/>
        </w:rPr>
      </w:pPr>
      <w:r w:rsidRPr="00F84031">
        <w:rPr>
          <w:rFonts w:eastAsia="Times New Roman" w:cs="Lucida Sans Unicode"/>
          <w:b/>
          <w:color w:val="auto"/>
          <w:kern w:val="0"/>
          <w:sz w:val="24"/>
          <w:szCs w:val="24"/>
          <w:lang w:val="en-AU" w:eastAsia="en-AU"/>
        </w:rPr>
        <w:t xml:space="preserve">Objective Activities: </w:t>
      </w:r>
    </w:p>
    <w:p w14:paraId="36F27258" w14:textId="77777777" w:rsidR="006002C4" w:rsidRPr="00443E4F" w:rsidRDefault="006002C4" w:rsidP="00552E33">
      <w:pPr>
        <w:spacing w:before="0" w:after="0" w:line="240" w:lineRule="auto"/>
        <w:jc w:val="both"/>
        <w:rPr>
          <w:rFonts w:cstheme="minorHAnsi"/>
          <w:color w:val="auto"/>
          <w:sz w:val="24"/>
          <w:szCs w:val="24"/>
        </w:rPr>
      </w:pPr>
    </w:p>
    <w:p w14:paraId="6166B14B" w14:textId="732F5E7D" w:rsidR="00CB742F" w:rsidRDefault="00CB742F" w:rsidP="006C3496">
      <w:pPr>
        <w:pStyle w:val="ListParagraph"/>
        <w:numPr>
          <w:ilvl w:val="0"/>
          <w:numId w:val="12"/>
        </w:numPr>
        <w:spacing w:line="240" w:lineRule="auto"/>
        <w:ind w:left="709" w:hanging="425"/>
        <w:jc w:val="both"/>
        <w:rPr>
          <w:rFonts w:cstheme="minorHAnsi"/>
          <w:color w:val="auto"/>
          <w:sz w:val="24"/>
          <w:szCs w:val="24"/>
        </w:rPr>
      </w:pPr>
      <w:r w:rsidRPr="004C11AD">
        <w:rPr>
          <w:rFonts w:cstheme="minorHAnsi"/>
          <w:color w:val="auto"/>
          <w:sz w:val="24"/>
          <w:szCs w:val="24"/>
        </w:rPr>
        <w:t>Develop</w:t>
      </w:r>
      <w:r>
        <w:rPr>
          <w:rFonts w:cstheme="minorHAnsi"/>
          <w:color w:val="auto"/>
          <w:sz w:val="24"/>
          <w:szCs w:val="24"/>
        </w:rPr>
        <w:t>ing and promoting</w:t>
      </w:r>
      <w:r w:rsidRPr="004C11AD">
        <w:rPr>
          <w:rFonts w:cstheme="minorHAnsi"/>
          <w:color w:val="auto"/>
          <w:sz w:val="24"/>
          <w:szCs w:val="24"/>
        </w:rPr>
        <w:t xml:space="preserve"> awareness campaigns to help people recognize the symptoms of EGIDs and seek appropriate medical advice </w:t>
      </w:r>
      <w:r>
        <w:rPr>
          <w:rFonts w:cstheme="minorHAnsi"/>
          <w:color w:val="auto"/>
          <w:sz w:val="24"/>
          <w:szCs w:val="24"/>
        </w:rPr>
        <w:t>to reach</w:t>
      </w:r>
      <w:r w:rsidRPr="004C11AD">
        <w:rPr>
          <w:rFonts w:cstheme="minorHAnsi"/>
          <w:color w:val="auto"/>
          <w:sz w:val="24"/>
          <w:szCs w:val="24"/>
        </w:rPr>
        <w:t xml:space="preserve"> a timely diagnosis</w:t>
      </w:r>
      <w:r w:rsidR="007F746F">
        <w:rPr>
          <w:rFonts w:cstheme="minorHAnsi"/>
          <w:color w:val="auto"/>
          <w:sz w:val="24"/>
          <w:szCs w:val="24"/>
        </w:rPr>
        <w:t>.</w:t>
      </w:r>
      <w:r w:rsidRPr="004C11AD">
        <w:rPr>
          <w:rFonts w:cstheme="minorHAnsi"/>
          <w:color w:val="auto"/>
          <w:sz w:val="24"/>
          <w:szCs w:val="24"/>
        </w:rPr>
        <w:t xml:space="preserve"> </w:t>
      </w:r>
    </w:p>
    <w:p w14:paraId="7B48D6D2" w14:textId="77777777" w:rsidR="003166E4" w:rsidRPr="004C11AD" w:rsidRDefault="003166E4" w:rsidP="003166E4">
      <w:pPr>
        <w:pStyle w:val="ListParagraph"/>
        <w:spacing w:line="240" w:lineRule="auto"/>
        <w:ind w:left="709"/>
        <w:jc w:val="both"/>
        <w:rPr>
          <w:rFonts w:cstheme="minorHAnsi"/>
          <w:color w:val="auto"/>
          <w:sz w:val="24"/>
          <w:szCs w:val="24"/>
        </w:rPr>
      </w:pPr>
    </w:p>
    <w:p w14:paraId="4E28E9D5" w14:textId="7321399E" w:rsidR="003166E4" w:rsidRPr="003166E4" w:rsidRDefault="00CB742F" w:rsidP="003166E4">
      <w:pPr>
        <w:pStyle w:val="ListParagraph"/>
        <w:numPr>
          <w:ilvl w:val="0"/>
          <w:numId w:val="12"/>
        </w:numPr>
        <w:spacing w:line="240" w:lineRule="auto"/>
        <w:ind w:left="709" w:hanging="425"/>
        <w:jc w:val="both"/>
        <w:rPr>
          <w:rFonts w:cstheme="minorHAnsi"/>
          <w:color w:val="auto"/>
          <w:sz w:val="24"/>
          <w:szCs w:val="24"/>
        </w:rPr>
      </w:pPr>
      <w:r>
        <w:rPr>
          <w:rFonts w:cstheme="minorHAnsi"/>
          <w:color w:val="auto"/>
          <w:sz w:val="24"/>
          <w:szCs w:val="24"/>
        </w:rPr>
        <w:t>Hosting a</w:t>
      </w:r>
      <w:r w:rsidRPr="004C11AD">
        <w:rPr>
          <w:rFonts w:cstheme="minorHAnsi"/>
          <w:color w:val="auto"/>
          <w:sz w:val="24"/>
          <w:szCs w:val="24"/>
        </w:rPr>
        <w:t>wareness campaigns including Nati</w:t>
      </w:r>
      <w:r>
        <w:rPr>
          <w:rFonts w:cstheme="minorHAnsi"/>
          <w:color w:val="auto"/>
          <w:sz w:val="24"/>
          <w:szCs w:val="24"/>
        </w:rPr>
        <w:t>o</w:t>
      </w:r>
      <w:r w:rsidRPr="004C11AD">
        <w:rPr>
          <w:rFonts w:cstheme="minorHAnsi"/>
          <w:color w:val="auto"/>
          <w:sz w:val="24"/>
          <w:szCs w:val="24"/>
        </w:rPr>
        <w:t>nal EOS Awareness Week</w:t>
      </w:r>
      <w:r>
        <w:rPr>
          <w:rFonts w:cstheme="minorHAnsi"/>
          <w:color w:val="auto"/>
          <w:sz w:val="24"/>
          <w:szCs w:val="24"/>
        </w:rPr>
        <w:t xml:space="preserve"> </w:t>
      </w:r>
      <w:r w:rsidRPr="004C11AD">
        <w:rPr>
          <w:rFonts w:cstheme="minorHAnsi"/>
          <w:color w:val="auto"/>
          <w:sz w:val="24"/>
          <w:szCs w:val="24"/>
        </w:rPr>
        <w:t>and Feeding Tube Awareness Week</w:t>
      </w:r>
      <w:r>
        <w:rPr>
          <w:rFonts w:cstheme="minorHAnsi"/>
          <w:color w:val="auto"/>
          <w:sz w:val="24"/>
          <w:szCs w:val="24"/>
        </w:rPr>
        <w:t xml:space="preserve"> with </w:t>
      </w:r>
      <w:r w:rsidR="001F7E96">
        <w:rPr>
          <w:rFonts w:cstheme="minorHAnsi"/>
          <w:color w:val="auto"/>
          <w:sz w:val="24"/>
          <w:szCs w:val="24"/>
        </w:rPr>
        <w:t>the goal of</w:t>
      </w:r>
      <w:r>
        <w:rPr>
          <w:rFonts w:cstheme="minorHAnsi"/>
          <w:color w:val="auto"/>
          <w:sz w:val="24"/>
          <w:szCs w:val="24"/>
        </w:rPr>
        <w:t xml:space="preserve"> </w:t>
      </w:r>
      <w:r>
        <w:rPr>
          <w:rFonts w:eastAsia="Times New Roman" w:cs="Lucida Sans Unicode"/>
          <w:color w:val="auto"/>
          <w:kern w:val="0"/>
          <w:sz w:val="24"/>
          <w:szCs w:val="24"/>
          <w:lang w:val="en-AU" w:eastAsia="en-AU"/>
        </w:rPr>
        <w:t>creating more awareness and</w:t>
      </w:r>
      <w:r w:rsidRPr="00B73187">
        <w:rPr>
          <w:rFonts w:eastAsia="Times New Roman" w:cs="Lucida Sans Unicode"/>
          <w:color w:val="auto"/>
          <w:kern w:val="0"/>
          <w:sz w:val="24"/>
          <w:szCs w:val="24"/>
          <w:lang w:val="en-AU" w:eastAsia="en-AU"/>
        </w:rPr>
        <w:t xml:space="preserve"> understanding by the</w:t>
      </w:r>
      <w:r>
        <w:rPr>
          <w:rFonts w:eastAsia="Times New Roman" w:cs="Lucida Sans Unicode"/>
          <w:color w:val="auto"/>
          <w:kern w:val="0"/>
          <w:sz w:val="24"/>
          <w:szCs w:val="24"/>
          <w:lang w:val="en-AU" w:eastAsia="en-AU"/>
        </w:rPr>
        <w:t xml:space="preserve"> general</w:t>
      </w:r>
      <w:r w:rsidRPr="00B73187">
        <w:rPr>
          <w:rFonts w:eastAsia="Times New Roman" w:cs="Lucida Sans Unicode"/>
          <w:color w:val="auto"/>
          <w:kern w:val="0"/>
          <w:sz w:val="24"/>
          <w:szCs w:val="24"/>
          <w:lang w:val="en-AU" w:eastAsia="en-AU"/>
        </w:rPr>
        <w:t xml:space="preserve"> community, schools</w:t>
      </w:r>
      <w:r w:rsidR="00D32ED5">
        <w:rPr>
          <w:rFonts w:eastAsia="Times New Roman" w:cs="Lucida Sans Unicode"/>
          <w:color w:val="auto"/>
          <w:kern w:val="0"/>
          <w:sz w:val="24"/>
          <w:szCs w:val="24"/>
          <w:lang w:val="en-AU" w:eastAsia="en-AU"/>
        </w:rPr>
        <w:t>, c</w:t>
      </w:r>
      <w:r w:rsidRPr="00B73187">
        <w:rPr>
          <w:rFonts w:eastAsia="Times New Roman" w:cs="Lucida Sans Unicode"/>
          <w:color w:val="auto"/>
          <w:kern w:val="0"/>
          <w:sz w:val="24"/>
          <w:szCs w:val="24"/>
          <w:lang w:val="en-AU" w:eastAsia="en-AU"/>
        </w:rPr>
        <w:t>hildcare</w:t>
      </w:r>
      <w:r w:rsidR="0093672E">
        <w:rPr>
          <w:rFonts w:eastAsia="Times New Roman" w:cs="Lucida Sans Unicode"/>
          <w:color w:val="auto"/>
          <w:kern w:val="0"/>
          <w:sz w:val="24"/>
          <w:szCs w:val="24"/>
          <w:lang w:val="en-AU" w:eastAsia="en-AU"/>
        </w:rPr>
        <w:t xml:space="preserve"> services</w:t>
      </w:r>
      <w:r w:rsidR="00D32ED5">
        <w:rPr>
          <w:rFonts w:eastAsia="Times New Roman" w:cs="Lucida Sans Unicode"/>
          <w:color w:val="auto"/>
          <w:kern w:val="0"/>
          <w:sz w:val="24"/>
          <w:szCs w:val="24"/>
          <w:lang w:val="en-AU" w:eastAsia="en-AU"/>
        </w:rPr>
        <w:t>, friends and extended family</w:t>
      </w:r>
      <w:r w:rsidR="007F746F">
        <w:rPr>
          <w:rFonts w:eastAsia="Times New Roman" w:cs="Lucida Sans Unicode"/>
          <w:color w:val="auto"/>
          <w:kern w:val="0"/>
          <w:sz w:val="24"/>
          <w:szCs w:val="24"/>
          <w:lang w:val="en-AU" w:eastAsia="en-AU"/>
        </w:rPr>
        <w:t>.</w:t>
      </w:r>
    </w:p>
    <w:p w14:paraId="3574449E" w14:textId="77777777" w:rsidR="003166E4" w:rsidRPr="003166E4" w:rsidRDefault="003166E4" w:rsidP="003166E4">
      <w:pPr>
        <w:pStyle w:val="ListParagraph"/>
        <w:kinsoku w:val="0"/>
        <w:overflowPunct w:val="0"/>
        <w:autoSpaceDE w:val="0"/>
        <w:autoSpaceDN w:val="0"/>
        <w:adjustRightInd w:val="0"/>
        <w:spacing w:before="0" w:after="0" w:line="240" w:lineRule="auto"/>
        <w:ind w:left="709"/>
        <w:jc w:val="both"/>
        <w:rPr>
          <w:rFonts w:cstheme="minorHAnsi"/>
          <w:color w:val="auto"/>
          <w:sz w:val="24"/>
          <w:szCs w:val="24"/>
        </w:rPr>
      </w:pPr>
    </w:p>
    <w:p w14:paraId="72337F7C" w14:textId="144C57B6" w:rsidR="00C7001C" w:rsidRDefault="00CB742F" w:rsidP="00C7001C">
      <w:pPr>
        <w:pStyle w:val="ListParagraph"/>
        <w:numPr>
          <w:ilvl w:val="0"/>
          <w:numId w:val="11"/>
        </w:numPr>
        <w:kinsoku w:val="0"/>
        <w:overflowPunct w:val="0"/>
        <w:autoSpaceDE w:val="0"/>
        <w:autoSpaceDN w:val="0"/>
        <w:adjustRightInd w:val="0"/>
        <w:spacing w:before="0" w:after="0" w:line="240" w:lineRule="auto"/>
        <w:ind w:left="709" w:hanging="425"/>
        <w:jc w:val="both"/>
        <w:rPr>
          <w:rFonts w:cstheme="minorHAnsi"/>
          <w:color w:val="auto"/>
          <w:sz w:val="24"/>
          <w:szCs w:val="24"/>
        </w:rPr>
      </w:pPr>
      <w:r w:rsidRPr="004C11AD">
        <w:rPr>
          <w:rFonts w:cstheme="minorHAnsi"/>
          <w:color w:val="auto"/>
          <w:sz w:val="24"/>
          <w:szCs w:val="24"/>
          <w:lang w:val="en-AU"/>
        </w:rPr>
        <w:t>Improv</w:t>
      </w:r>
      <w:r w:rsidR="00862053">
        <w:rPr>
          <w:rFonts w:cstheme="minorHAnsi"/>
          <w:color w:val="auto"/>
          <w:sz w:val="24"/>
          <w:szCs w:val="24"/>
          <w:lang w:val="en-AU"/>
        </w:rPr>
        <w:t xml:space="preserve">ing the </w:t>
      </w:r>
      <w:r w:rsidRPr="004C11AD">
        <w:rPr>
          <w:rFonts w:cstheme="minorHAnsi"/>
          <w:color w:val="auto"/>
          <w:sz w:val="24"/>
          <w:szCs w:val="24"/>
          <w:lang w:val="en-AU"/>
        </w:rPr>
        <w:t>timeliness of patient diagnosis</w:t>
      </w:r>
      <w:r w:rsidR="00C7001C">
        <w:rPr>
          <w:rFonts w:cstheme="minorHAnsi"/>
          <w:color w:val="auto"/>
          <w:sz w:val="24"/>
          <w:szCs w:val="24"/>
          <w:lang w:val="en-AU"/>
        </w:rPr>
        <w:t xml:space="preserve"> and patient care pathways</w:t>
      </w:r>
      <w:r w:rsidRPr="004C11AD">
        <w:rPr>
          <w:rFonts w:cstheme="minorHAnsi"/>
          <w:color w:val="auto"/>
          <w:sz w:val="24"/>
          <w:szCs w:val="24"/>
          <w:lang w:val="en-AU"/>
        </w:rPr>
        <w:t xml:space="preserve"> by outreaching to healthcare professionals including gastroenterologists, allergists, dietitians, paediatricians, general practitioners </w:t>
      </w:r>
      <w:r w:rsidR="00862053">
        <w:rPr>
          <w:rFonts w:cstheme="minorHAnsi"/>
          <w:color w:val="auto"/>
          <w:sz w:val="24"/>
          <w:szCs w:val="24"/>
          <w:lang w:val="en-AU"/>
        </w:rPr>
        <w:t>and</w:t>
      </w:r>
      <w:r w:rsidRPr="004C11AD">
        <w:rPr>
          <w:rFonts w:cstheme="minorHAnsi"/>
          <w:color w:val="auto"/>
          <w:sz w:val="24"/>
          <w:szCs w:val="24"/>
          <w:lang w:val="en-AU"/>
        </w:rPr>
        <w:t xml:space="preserve"> </w:t>
      </w:r>
      <w:r w:rsidR="00C7001C">
        <w:rPr>
          <w:rFonts w:cstheme="minorHAnsi"/>
          <w:color w:val="auto"/>
          <w:sz w:val="24"/>
          <w:szCs w:val="24"/>
          <w:lang w:val="en-AU"/>
        </w:rPr>
        <w:t xml:space="preserve">key stakeholders to </w:t>
      </w:r>
      <w:r w:rsidRPr="004C11AD">
        <w:rPr>
          <w:rFonts w:cstheme="minorHAnsi"/>
          <w:color w:val="auto"/>
          <w:sz w:val="24"/>
          <w:szCs w:val="24"/>
          <w:lang w:val="en-AU"/>
        </w:rPr>
        <w:t>rai</w:t>
      </w:r>
      <w:r w:rsidR="00862053">
        <w:rPr>
          <w:rFonts w:cstheme="minorHAnsi"/>
          <w:color w:val="auto"/>
          <w:sz w:val="24"/>
          <w:szCs w:val="24"/>
          <w:lang w:val="en-AU"/>
        </w:rPr>
        <w:t>s</w:t>
      </w:r>
      <w:r w:rsidR="00C7001C">
        <w:rPr>
          <w:rFonts w:cstheme="minorHAnsi"/>
          <w:color w:val="auto"/>
          <w:sz w:val="24"/>
          <w:szCs w:val="24"/>
          <w:lang w:val="en-AU"/>
        </w:rPr>
        <w:t>e</w:t>
      </w:r>
      <w:r w:rsidRPr="004C11AD">
        <w:rPr>
          <w:rFonts w:cstheme="minorHAnsi"/>
          <w:color w:val="auto"/>
          <w:sz w:val="24"/>
          <w:szCs w:val="24"/>
          <w:lang w:val="en-AU"/>
        </w:rPr>
        <w:t xml:space="preserve"> awareness </w:t>
      </w:r>
      <w:r w:rsidR="00862053">
        <w:rPr>
          <w:rFonts w:cstheme="minorHAnsi"/>
          <w:color w:val="auto"/>
          <w:sz w:val="24"/>
          <w:szCs w:val="24"/>
          <w:lang w:val="en-AU"/>
        </w:rPr>
        <w:t>of</w:t>
      </w:r>
      <w:r w:rsidRPr="004C11AD">
        <w:rPr>
          <w:rFonts w:cstheme="minorHAnsi"/>
          <w:color w:val="auto"/>
          <w:sz w:val="24"/>
          <w:szCs w:val="24"/>
          <w:lang w:val="en-AU"/>
        </w:rPr>
        <w:t xml:space="preserve"> EGIDs with a focus on increasing our capacity to reach those working in regional</w:t>
      </w:r>
      <w:r w:rsidR="00974A62">
        <w:rPr>
          <w:rFonts w:cstheme="minorHAnsi"/>
          <w:color w:val="auto"/>
          <w:sz w:val="24"/>
          <w:szCs w:val="24"/>
          <w:lang w:val="en-AU"/>
        </w:rPr>
        <w:t>, rural</w:t>
      </w:r>
      <w:r w:rsidRPr="004C11AD">
        <w:rPr>
          <w:rFonts w:cstheme="minorHAnsi"/>
          <w:color w:val="auto"/>
          <w:sz w:val="24"/>
          <w:szCs w:val="24"/>
          <w:lang w:val="en-AU"/>
        </w:rPr>
        <w:t xml:space="preserve"> and remote locations</w:t>
      </w:r>
      <w:r w:rsidR="007F746F">
        <w:rPr>
          <w:rFonts w:cstheme="minorHAnsi"/>
          <w:color w:val="auto"/>
          <w:sz w:val="24"/>
          <w:szCs w:val="24"/>
          <w:lang w:val="en-AU"/>
        </w:rPr>
        <w:t>.</w:t>
      </w:r>
    </w:p>
    <w:p w14:paraId="11A67D2A" w14:textId="77777777" w:rsidR="00C7001C" w:rsidRDefault="00C7001C" w:rsidP="00C7001C">
      <w:pPr>
        <w:pStyle w:val="ListParagraph"/>
        <w:kinsoku w:val="0"/>
        <w:overflowPunct w:val="0"/>
        <w:autoSpaceDE w:val="0"/>
        <w:autoSpaceDN w:val="0"/>
        <w:adjustRightInd w:val="0"/>
        <w:spacing w:before="0" w:after="0" w:line="240" w:lineRule="auto"/>
        <w:ind w:left="709"/>
        <w:jc w:val="both"/>
        <w:rPr>
          <w:rFonts w:cstheme="minorHAnsi"/>
          <w:color w:val="auto"/>
          <w:sz w:val="24"/>
          <w:szCs w:val="24"/>
        </w:rPr>
      </w:pPr>
    </w:p>
    <w:p w14:paraId="5E5962CE" w14:textId="3CAE9C14" w:rsidR="00263125" w:rsidRPr="00C7001C" w:rsidRDefault="007F746F" w:rsidP="00C7001C">
      <w:pPr>
        <w:pStyle w:val="ListParagraph"/>
        <w:numPr>
          <w:ilvl w:val="0"/>
          <w:numId w:val="11"/>
        </w:numPr>
        <w:kinsoku w:val="0"/>
        <w:overflowPunct w:val="0"/>
        <w:autoSpaceDE w:val="0"/>
        <w:autoSpaceDN w:val="0"/>
        <w:adjustRightInd w:val="0"/>
        <w:spacing w:before="0" w:after="0" w:line="240" w:lineRule="auto"/>
        <w:ind w:left="709" w:hanging="425"/>
        <w:jc w:val="both"/>
        <w:rPr>
          <w:rFonts w:cstheme="minorHAnsi"/>
          <w:color w:val="auto"/>
          <w:sz w:val="24"/>
          <w:szCs w:val="24"/>
        </w:rPr>
      </w:pPr>
      <w:r w:rsidRPr="00C7001C">
        <w:rPr>
          <w:rFonts w:eastAsia="Calibri" w:cs="Times New Roman"/>
          <w:color w:val="auto"/>
          <w:kern w:val="0"/>
          <w:sz w:val="24"/>
          <w:szCs w:val="24"/>
          <w:lang w:val="en-AU" w:eastAsia="en-US"/>
        </w:rPr>
        <w:t>P</w:t>
      </w:r>
      <w:r w:rsidR="002B0896" w:rsidRPr="00C7001C">
        <w:rPr>
          <w:rFonts w:eastAsia="Calibri" w:cs="Times New Roman"/>
          <w:color w:val="auto"/>
          <w:kern w:val="0"/>
          <w:sz w:val="24"/>
          <w:szCs w:val="24"/>
          <w:lang w:val="en-AU" w:eastAsia="en-US"/>
        </w:rPr>
        <w:t>romoti</w:t>
      </w:r>
      <w:r w:rsidRPr="00C7001C">
        <w:rPr>
          <w:rFonts w:eastAsia="Calibri" w:cs="Times New Roman"/>
          <w:color w:val="auto"/>
          <w:kern w:val="0"/>
          <w:sz w:val="24"/>
          <w:szCs w:val="24"/>
          <w:lang w:val="en-AU" w:eastAsia="en-US"/>
        </w:rPr>
        <w:t xml:space="preserve">on of </w:t>
      </w:r>
      <w:r w:rsidR="002B0896" w:rsidRPr="00C7001C">
        <w:rPr>
          <w:rFonts w:eastAsia="Calibri" w:cs="Times New Roman"/>
          <w:color w:val="auto"/>
          <w:kern w:val="0"/>
          <w:sz w:val="24"/>
          <w:szCs w:val="24"/>
          <w:lang w:val="en-AU" w:eastAsia="en-US"/>
        </w:rPr>
        <w:t>inclusiveness</w:t>
      </w:r>
      <w:r w:rsidRPr="00C7001C">
        <w:rPr>
          <w:rFonts w:eastAsia="Calibri" w:cs="Times New Roman"/>
          <w:color w:val="auto"/>
          <w:kern w:val="0"/>
          <w:sz w:val="24"/>
          <w:szCs w:val="24"/>
          <w:lang w:val="en-AU" w:eastAsia="en-US"/>
        </w:rPr>
        <w:t xml:space="preserve"> </w:t>
      </w:r>
      <w:r w:rsidR="002B0896" w:rsidRPr="00C7001C">
        <w:rPr>
          <w:rFonts w:eastAsia="Calibri" w:cs="Times New Roman"/>
          <w:color w:val="auto"/>
          <w:kern w:val="0"/>
          <w:sz w:val="24"/>
          <w:szCs w:val="24"/>
          <w:lang w:val="en-AU" w:eastAsia="en-US"/>
        </w:rPr>
        <w:t>and</w:t>
      </w:r>
      <w:r w:rsidRPr="00C7001C">
        <w:rPr>
          <w:rFonts w:eastAsia="Calibri" w:cs="Times New Roman"/>
          <w:color w:val="auto"/>
          <w:kern w:val="0"/>
          <w:sz w:val="24"/>
          <w:szCs w:val="24"/>
          <w:lang w:val="en-AU" w:eastAsia="en-US"/>
        </w:rPr>
        <w:t xml:space="preserve"> </w:t>
      </w:r>
      <w:r w:rsidR="002B0896" w:rsidRPr="00C7001C">
        <w:rPr>
          <w:rFonts w:eastAsia="Calibri" w:cs="Times New Roman"/>
          <w:color w:val="auto"/>
          <w:kern w:val="0"/>
          <w:sz w:val="24"/>
          <w:szCs w:val="24"/>
          <w:lang w:val="en-AU" w:eastAsia="en-US"/>
        </w:rPr>
        <w:t>understanding</w:t>
      </w:r>
      <w:r w:rsidRPr="00C7001C">
        <w:rPr>
          <w:rFonts w:eastAsia="Calibri" w:cs="Times New Roman"/>
          <w:color w:val="auto"/>
          <w:kern w:val="0"/>
          <w:sz w:val="24"/>
          <w:szCs w:val="24"/>
          <w:lang w:val="en-AU" w:eastAsia="en-US"/>
        </w:rPr>
        <w:t xml:space="preserve"> </w:t>
      </w:r>
      <w:r w:rsidR="002B0896" w:rsidRPr="00C7001C">
        <w:rPr>
          <w:rFonts w:eastAsia="Calibri" w:cs="Times New Roman"/>
          <w:color w:val="auto"/>
          <w:kern w:val="0"/>
          <w:sz w:val="24"/>
          <w:szCs w:val="24"/>
          <w:lang w:val="en-AU" w:eastAsia="en-US"/>
        </w:rPr>
        <w:t>through</w:t>
      </w:r>
      <w:r w:rsidRPr="00C7001C">
        <w:rPr>
          <w:rFonts w:eastAsia="Calibri" w:cs="Times New Roman"/>
          <w:color w:val="auto"/>
          <w:kern w:val="0"/>
          <w:sz w:val="24"/>
          <w:szCs w:val="24"/>
          <w:lang w:val="en-AU" w:eastAsia="en-US"/>
        </w:rPr>
        <w:t xml:space="preserve"> </w:t>
      </w:r>
      <w:r w:rsidR="00C7001C" w:rsidRPr="00C7001C">
        <w:rPr>
          <w:rFonts w:eastAsia="Calibri" w:cs="Times New Roman"/>
          <w:color w:val="auto"/>
          <w:kern w:val="0"/>
          <w:sz w:val="24"/>
          <w:szCs w:val="24"/>
          <w:lang w:val="en-AU" w:eastAsia="en-US"/>
        </w:rPr>
        <w:t xml:space="preserve">general </w:t>
      </w:r>
      <w:r w:rsidR="002B0896" w:rsidRPr="00C7001C">
        <w:rPr>
          <w:rFonts w:eastAsia="Calibri" w:cs="Times New Roman"/>
          <w:color w:val="auto"/>
          <w:kern w:val="0"/>
          <w:sz w:val="24"/>
          <w:szCs w:val="24"/>
          <w:lang w:val="en-AU" w:eastAsia="en-US"/>
        </w:rPr>
        <w:t>awareness</w:t>
      </w:r>
      <w:r w:rsidRPr="00C7001C">
        <w:rPr>
          <w:rFonts w:eastAsia="Calibri" w:cs="Times New Roman"/>
          <w:color w:val="auto"/>
          <w:kern w:val="0"/>
          <w:sz w:val="24"/>
          <w:szCs w:val="24"/>
          <w:lang w:val="en-AU" w:eastAsia="en-US"/>
        </w:rPr>
        <w:t xml:space="preserve"> </w:t>
      </w:r>
      <w:r w:rsidR="002B0896" w:rsidRPr="00C7001C">
        <w:rPr>
          <w:rFonts w:eastAsia="Calibri" w:cs="Times New Roman"/>
          <w:color w:val="auto"/>
          <w:kern w:val="0"/>
          <w:sz w:val="24"/>
          <w:szCs w:val="24"/>
          <w:lang w:val="en-AU" w:eastAsia="en-US"/>
        </w:rPr>
        <w:t>campaign</w:t>
      </w:r>
      <w:r w:rsidR="00C7001C" w:rsidRPr="00C7001C">
        <w:rPr>
          <w:rFonts w:eastAsia="Calibri" w:cs="Times New Roman"/>
          <w:color w:val="auto"/>
          <w:kern w:val="0"/>
          <w:sz w:val="24"/>
          <w:szCs w:val="24"/>
          <w:lang w:val="en-AU" w:eastAsia="en-US"/>
        </w:rPr>
        <w:t xml:space="preserve">s </w:t>
      </w:r>
      <w:r w:rsidR="002B0896" w:rsidRPr="00C7001C">
        <w:rPr>
          <w:rFonts w:eastAsia="Calibri" w:cs="Times New Roman"/>
          <w:color w:val="auto"/>
          <w:kern w:val="0"/>
          <w:sz w:val="24"/>
          <w:szCs w:val="24"/>
          <w:lang w:val="en-AU" w:eastAsia="en-US"/>
        </w:rPr>
        <w:t>and</w:t>
      </w:r>
      <w:r w:rsidR="00C7001C" w:rsidRPr="00C7001C">
        <w:rPr>
          <w:rFonts w:eastAsia="Calibri" w:cs="Times New Roman"/>
          <w:color w:val="auto"/>
          <w:kern w:val="0"/>
          <w:sz w:val="24"/>
          <w:szCs w:val="24"/>
          <w:lang w:val="en-AU" w:eastAsia="en-US"/>
        </w:rPr>
        <w:t xml:space="preserve"> </w:t>
      </w:r>
      <w:r w:rsidR="002B0896" w:rsidRPr="00C7001C">
        <w:rPr>
          <w:rFonts w:eastAsia="Calibri" w:cs="Times New Roman"/>
          <w:color w:val="auto"/>
          <w:kern w:val="0"/>
          <w:sz w:val="24"/>
          <w:szCs w:val="24"/>
          <w:lang w:val="en-AU" w:eastAsia="en-US"/>
        </w:rPr>
        <w:t>empowering</w:t>
      </w:r>
      <w:r w:rsidRPr="00C7001C">
        <w:rPr>
          <w:rFonts w:eastAsia="Calibri" w:cs="Times New Roman"/>
          <w:color w:val="auto"/>
          <w:kern w:val="0"/>
          <w:sz w:val="24"/>
          <w:szCs w:val="24"/>
          <w:lang w:val="en-AU" w:eastAsia="en-US"/>
        </w:rPr>
        <w:t xml:space="preserve"> </w:t>
      </w:r>
      <w:r w:rsidR="002B0896" w:rsidRPr="00C7001C">
        <w:rPr>
          <w:rFonts w:eastAsia="Calibri" w:cs="Times New Roman"/>
          <w:color w:val="auto"/>
          <w:kern w:val="0"/>
          <w:sz w:val="24"/>
          <w:szCs w:val="24"/>
          <w:lang w:val="en-AU" w:eastAsia="en-US"/>
        </w:rPr>
        <w:t>individuals</w:t>
      </w:r>
      <w:r w:rsidRPr="00C7001C">
        <w:rPr>
          <w:rFonts w:eastAsia="Calibri" w:cs="Times New Roman"/>
          <w:color w:val="auto"/>
          <w:kern w:val="0"/>
          <w:sz w:val="24"/>
          <w:szCs w:val="24"/>
          <w:lang w:val="en-AU" w:eastAsia="en-US"/>
        </w:rPr>
        <w:t xml:space="preserve"> </w:t>
      </w:r>
      <w:r w:rsidR="00C7001C" w:rsidRPr="00C7001C">
        <w:rPr>
          <w:rFonts w:eastAsia="Calibri" w:cs="Times New Roman"/>
          <w:color w:val="auto"/>
          <w:kern w:val="0"/>
          <w:sz w:val="24"/>
          <w:szCs w:val="24"/>
          <w:lang w:val="en-AU" w:eastAsia="en-US"/>
        </w:rPr>
        <w:t xml:space="preserve">and families </w:t>
      </w:r>
      <w:r w:rsidR="002B0896" w:rsidRPr="00C7001C">
        <w:rPr>
          <w:rFonts w:eastAsia="Calibri" w:cs="Times New Roman"/>
          <w:color w:val="auto"/>
          <w:kern w:val="0"/>
          <w:sz w:val="24"/>
          <w:szCs w:val="24"/>
          <w:lang w:val="en-AU" w:eastAsia="en-US"/>
        </w:rPr>
        <w:t>with</w:t>
      </w:r>
      <w:r w:rsidRPr="00C7001C">
        <w:rPr>
          <w:rFonts w:eastAsia="Calibri" w:cs="Times New Roman"/>
          <w:color w:val="auto"/>
          <w:kern w:val="0"/>
          <w:sz w:val="24"/>
          <w:szCs w:val="24"/>
          <w:lang w:val="en-AU" w:eastAsia="en-US"/>
        </w:rPr>
        <w:t xml:space="preserve"> </w:t>
      </w:r>
      <w:r w:rsidR="00C7001C" w:rsidRPr="00C7001C">
        <w:rPr>
          <w:rFonts w:eastAsia="Calibri" w:cs="Times New Roman"/>
          <w:color w:val="auto"/>
          <w:kern w:val="0"/>
          <w:sz w:val="24"/>
          <w:szCs w:val="24"/>
          <w:lang w:val="en-AU" w:eastAsia="en-US"/>
        </w:rPr>
        <w:t xml:space="preserve">evidence-based </w:t>
      </w:r>
      <w:r w:rsidR="002B0896" w:rsidRPr="00C7001C">
        <w:rPr>
          <w:rFonts w:eastAsia="Calibri" w:cs="Times New Roman"/>
          <w:color w:val="auto"/>
          <w:kern w:val="0"/>
          <w:sz w:val="24"/>
          <w:szCs w:val="24"/>
          <w:lang w:val="en-AU" w:eastAsia="en-US"/>
        </w:rPr>
        <w:t>information.</w:t>
      </w:r>
    </w:p>
    <w:p w14:paraId="7644B917" w14:textId="20FDEA8D" w:rsidR="005B79F8" w:rsidRPr="00D179C7" w:rsidRDefault="00563E2F" w:rsidP="00D179C7">
      <w:pPr>
        <w:pStyle w:val="Heading1"/>
        <w:rPr>
          <w:color w:val="auto"/>
        </w:rPr>
      </w:pPr>
      <w:bookmarkStart w:id="36" w:name="_Toc30830734"/>
      <w:bookmarkStart w:id="37" w:name="_Hlk27373807"/>
      <w:r>
        <w:rPr>
          <w:color w:val="auto"/>
        </w:rPr>
        <w:lastRenderedPageBreak/>
        <w:t>Conclusion</w:t>
      </w:r>
      <w:bookmarkEnd w:id="36"/>
    </w:p>
    <w:p w14:paraId="2D61783A" w14:textId="770913B9" w:rsidR="004E1815" w:rsidRDefault="001351CC" w:rsidP="00185204">
      <w:pPr>
        <w:spacing w:after="0" w:line="240" w:lineRule="auto"/>
        <w:jc w:val="both"/>
        <w:rPr>
          <w:rFonts w:cstheme="minorHAnsi"/>
          <w:color w:val="auto"/>
          <w:sz w:val="24"/>
          <w:szCs w:val="24"/>
          <w:lang w:val="en-AU"/>
        </w:rPr>
      </w:pPr>
      <w:r>
        <w:rPr>
          <w:rFonts w:cstheme="minorHAnsi"/>
          <w:color w:val="auto"/>
          <w:sz w:val="24"/>
          <w:szCs w:val="24"/>
          <w:lang w:val="en-AU"/>
        </w:rPr>
        <w:t>E</w:t>
      </w:r>
      <w:r w:rsidR="002A6CDC">
        <w:rPr>
          <w:rFonts w:cstheme="minorHAnsi"/>
          <w:color w:val="auto"/>
          <w:sz w:val="24"/>
          <w:szCs w:val="24"/>
          <w:lang w:val="en-AU"/>
        </w:rPr>
        <w:t>osinophilic gastrointestinal disorders (EGIDs)</w:t>
      </w:r>
      <w:r w:rsidR="008B332E">
        <w:rPr>
          <w:rFonts w:cstheme="minorHAnsi"/>
          <w:color w:val="auto"/>
          <w:sz w:val="24"/>
          <w:szCs w:val="24"/>
          <w:lang w:val="en-AU"/>
        </w:rPr>
        <w:t xml:space="preserve">, whilst </w:t>
      </w:r>
      <w:r w:rsidR="002D5231">
        <w:rPr>
          <w:rFonts w:cstheme="minorHAnsi"/>
          <w:color w:val="auto"/>
          <w:sz w:val="24"/>
          <w:szCs w:val="24"/>
          <w:lang w:val="en-AU"/>
        </w:rPr>
        <w:t xml:space="preserve">being </w:t>
      </w:r>
      <w:r w:rsidR="00BC1706">
        <w:rPr>
          <w:rFonts w:cstheme="minorHAnsi"/>
          <w:color w:val="auto"/>
          <w:sz w:val="24"/>
          <w:szCs w:val="24"/>
          <w:lang w:val="en-AU"/>
        </w:rPr>
        <w:t>classified a</w:t>
      </w:r>
      <w:r w:rsidR="00CF2BD6">
        <w:rPr>
          <w:rFonts w:cstheme="minorHAnsi"/>
          <w:color w:val="auto"/>
          <w:sz w:val="24"/>
          <w:szCs w:val="24"/>
          <w:lang w:val="en-AU"/>
        </w:rPr>
        <w:t>s</w:t>
      </w:r>
      <w:r w:rsidR="002D5231">
        <w:rPr>
          <w:rFonts w:cstheme="minorHAnsi"/>
          <w:color w:val="auto"/>
          <w:sz w:val="24"/>
          <w:szCs w:val="24"/>
          <w:lang w:val="en-AU"/>
        </w:rPr>
        <w:t xml:space="preserve"> rare disease</w:t>
      </w:r>
      <w:r w:rsidR="00BC1706">
        <w:rPr>
          <w:rFonts w:cstheme="minorHAnsi"/>
          <w:color w:val="auto"/>
          <w:sz w:val="24"/>
          <w:szCs w:val="24"/>
          <w:lang w:val="en-AU"/>
        </w:rPr>
        <w:t>s</w:t>
      </w:r>
      <w:r w:rsidR="002D5231">
        <w:rPr>
          <w:rFonts w:cstheme="minorHAnsi"/>
          <w:color w:val="auto"/>
          <w:sz w:val="24"/>
          <w:szCs w:val="24"/>
          <w:lang w:val="en-AU"/>
        </w:rPr>
        <w:t xml:space="preserve">, </w:t>
      </w:r>
      <w:r>
        <w:rPr>
          <w:rFonts w:cstheme="minorHAnsi"/>
          <w:color w:val="auto"/>
          <w:sz w:val="24"/>
          <w:szCs w:val="24"/>
          <w:lang w:val="en-AU"/>
        </w:rPr>
        <w:t xml:space="preserve">have </w:t>
      </w:r>
      <w:r w:rsidRPr="004D729E">
        <w:rPr>
          <w:rFonts w:cstheme="minorHAnsi"/>
          <w:color w:val="auto"/>
          <w:sz w:val="24"/>
          <w:szCs w:val="24"/>
          <w:lang w:val="en-AU"/>
        </w:rPr>
        <w:t xml:space="preserve">increased in prevalence, </w:t>
      </w:r>
      <w:r w:rsidR="00F73A84">
        <w:rPr>
          <w:rFonts w:cstheme="minorHAnsi"/>
          <w:color w:val="auto"/>
          <w:sz w:val="24"/>
          <w:szCs w:val="24"/>
          <w:lang w:val="en-AU"/>
        </w:rPr>
        <w:t xml:space="preserve">with </w:t>
      </w:r>
      <w:r w:rsidR="004E1815">
        <w:rPr>
          <w:rFonts w:cstheme="minorHAnsi"/>
          <w:color w:val="auto"/>
          <w:sz w:val="24"/>
          <w:szCs w:val="24"/>
          <w:lang w:val="en-AU"/>
        </w:rPr>
        <w:t>eosinophilic oesophagitis (</w:t>
      </w:r>
      <w:r w:rsidRPr="004D729E">
        <w:rPr>
          <w:rFonts w:cstheme="minorHAnsi"/>
          <w:color w:val="auto"/>
          <w:sz w:val="24"/>
          <w:szCs w:val="24"/>
          <w:lang w:val="en-AU"/>
        </w:rPr>
        <w:t>EoE</w:t>
      </w:r>
      <w:r w:rsidR="004E1815">
        <w:rPr>
          <w:rFonts w:cstheme="minorHAnsi"/>
          <w:color w:val="auto"/>
          <w:sz w:val="24"/>
          <w:szCs w:val="24"/>
          <w:lang w:val="en-AU"/>
        </w:rPr>
        <w:t>)</w:t>
      </w:r>
      <w:r w:rsidR="001B2881">
        <w:rPr>
          <w:rFonts w:cstheme="minorHAnsi"/>
          <w:color w:val="auto"/>
          <w:sz w:val="24"/>
          <w:szCs w:val="24"/>
          <w:lang w:val="en-AU"/>
        </w:rPr>
        <w:t>, being the most common</w:t>
      </w:r>
      <w:r w:rsidR="00221F8D">
        <w:rPr>
          <w:rFonts w:cstheme="minorHAnsi"/>
          <w:color w:val="auto"/>
          <w:sz w:val="24"/>
          <w:szCs w:val="24"/>
          <w:lang w:val="en-AU"/>
        </w:rPr>
        <w:t xml:space="preserve">, </w:t>
      </w:r>
      <w:r w:rsidR="00B8637E">
        <w:rPr>
          <w:rFonts w:cstheme="minorHAnsi"/>
          <w:color w:val="auto"/>
          <w:sz w:val="24"/>
          <w:szCs w:val="24"/>
          <w:lang w:val="en-AU"/>
        </w:rPr>
        <w:t xml:space="preserve">now </w:t>
      </w:r>
      <w:r w:rsidR="002D5231">
        <w:rPr>
          <w:rFonts w:cstheme="minorHAnsi"/>
          <w:color w:val="auto"/>
          <w:sz w:val="24"/>
          <w:szCs w:val="24"/>
          <w:lang w:val="en-AU"/>
        </w:rPr>
        <w:t>affect</w:t>
      </w:r>
      <w:r w:rsidR="001B2881">
        <w:rPr>
          <w:rFonts w:cstheme="minorHAnsi"/>
          <w:color w:val="auto"/>
          <w:sz w:val="24"/>
          <w:szCs w:val="24"/>
          <w:lang w:val="en-AU"/>
        </w:rPr>
        <w:t>ing</w:t>
      </w:r>
      <w:r w:rsidR="002D5231">
        <w:rPr>
          <w:rFonts w:cstheme="minorHAnsi"/>
          <w:color w:val="auto"/>
          <w:sz w:val="24"/>
          <w:szCs w:val="24"/>
          <w:lang w:val="en-AU"/>
        </w:rPr>
        <w:t xml:space="preserve"> </w:t>
      </w:r>
      <w:r w:rsidRPr="004D729E">
        <w:rPr>
          <w:rFonts w:cstheme="minorHAnsi"/>
          <w:color w:val="auto"/>
          <w:sz w:val="24"/>
          <w:szCs w:val="24"/>
          <w:lang w:val="en-AU"/>
        </w:rPr>
        <w:t>1</w:t>
      </w:r>
      <w:r w:rsidR="002D5231">
        <w:rPr>
          <w:rFonts w:cstheme="minorHAnsi"/>
          <w:color w:val="auto"/>
          <w:sz w:val="24"/>
          <w:szCs w:val="24"/>
          <w:lang w:val="en-AU"/>
        </w:rPr>
        <w:t xml:space="preserve"> in </w:t>
      </w:r>
      <w:r w:rsidRPr="004D729E">
        <w:rPr>
          <w:rFonts w:cstheme="minorHAnsi"/>
          <w:color w:val="auto"/>
          <w:sz w:val="24"/>
          <w:szCs w:val="24"/>
          <w:lang w:val="en-AU"/>
        </w:rPr>
        <w:t>2,000</w:t>
      </w:r>
      <w:r w:rsidR="002D5231">
        <w:rPr>
          <w:rFonts w:cstheme="minorHAnsi"/>
          <w:color w:val="auto"/>
          <w:sz w:val="24"/>
          <w:szCs w:val="24"/>
          <w:lang w:val="en-AU"/>
        </w:rPr>
        <w:t xml:space="preserve"> </w:t>
      </w:r>
      <w:r w:rsidR="00BC1706">
        <w:rPr>
          <w:rFonts w:cstheme="minorHAnsi"/>
          <w:color w:val="auto"/>
          <w:sz w:val="24"/>
          <w:szCs w:val="24"/>
          <w:lang w:val="en-AU"/>
        </w:rPr>
        <w:t xml:space="preserve">individuals </w:t>
      </w:r>
      <w:r w:rsidR="002D5231">
        <w:rPr>
          <w:rFonts w:cstheme="minorHAnsi"/>
          <w:color w:val="auto"/>
          <w:sz w:val="24"/>
          <w:szCs w:val="24"/>
          <w:lang w:val="en-AU"/>
        </w:rPr>
        <w:t xml:space="preserve">and rising. </w:t>
      </w:r>
      <w:r w:rsidRPr="004D729E">
        <w:rPr>
          <w:rFonts w:cstheme="minorHAnsi"/>
          <w:color w:val="auto"/>
          <w:sz w:val="24"/>
          <w:szCs w:val="24"/>
          <w:lang w:val="en-AU"/>
        </w:rPr>
        <w:t xml:space="preserve"> </w:t>
      </w:r>
    </w:p>
    <w:p w14:paraId="050550C2" w14:textId="4060BF96" w:rsidR="00C6336E" w:rsidRDefault="00C6336E" w:rsidP="00185204">
      <w:pPr>
        <w:spacing w:after="0" w:line="240" w:lineRule="auto"/>
        <w:jc w:val="both"/>
        <w:rPr>
          <w:rFonts w:cstheme="minorHAnsi"/>
          <w:color w:val="auto"/>
          <w:sz w:val="24"/>
          <w:szCs w:val="24"/>
        </w:rPr>
      </w:pPr>
    </w:p>
    <w:p w14:paraId="3547D549" w14:textId="7F8E7676" w:rsidR="009E6961" w:rsidRDefault="009E6961" w:rsidP="00185204">
      <w:pPr>
        <w:spacing w:after="0" w:line="240" w:lineRule="auto"/>
        <w:jc w:val="both"/>
        <w:rPr>
          <w:rFonts w:cstheme="minorHAnsi"/>
          <w:color w:val="auto"/>
          <w:sz w:val="24"/>
          <w:szCs w:val="24"/>
        </w:rPr>
      </w:pPr>
      <w:r>
        <w:rPr>
          <w:rFonts w:cstheme="minorHAnsi"/>
          <w:color w:val="auto"/>
          <w:sz w:val="24"/>
          <w:szCs w:val="24"/>
        </w:rPr>
        <w:t>ausEE a</w:t>
      </w:r>
      <w:r w:rsidRPr="009E6961">
        <w:rPr>
          <w:rFonts w:cstheme="minorHAnsi"/>
          <w:color w:val="auto"/>
          <w:sz w:val="24"/>
          <w:szCs w:val="24"/>
        </w:rPr>
        <w:t>dvocate</w:t>
      </w:r>
      <w:r>
        <w:rPr>
          <w:rFonts w:cstheme="minorHAnsi"/>
          <w:color w:val="auto"/>
          <w:sz w:val="24"/>
          <w:szCs w:val="24"/>
        </w:rPr>
        <w:t>s</w:t>
      </w:r>
      <w:r w:rsidRPr="009E6961">
        <w:rPr>
          <w:rFonts w:cstheme="minorHAnsi"/>
          <w:color w:val="auto"/>
          <w:sz w:val="24"/>
          <w:szCs w:val="24"/>
        </w:rPr>
        <w:t xml:space="preserve"> for those impacted by </w:t>
      </w:r>
      <w:r>
        <w:rPr>
          <w:rFonts w:cstheme="minorHAnsi"/>
          <w:color w:val="auto"/>
          <w:sz w:val="24"/>
          <w:szCs w:val="24"/>
        </w:rPr>
        <w:t>EGIDs</w:t>
      </w:r>
      <w:r w:rsidRPr="009E6961">
        <w:rPr>
          <w:rFonts w:cstheme="minorHAnsi"/>
          <w:color w:val="auto"/>
          <w:sz w:val="24"/>
          <w:szCs w:val="24"/>
        </w:rPr>
        <w:t xml:space="preserve"> and we are also well placed to provide input on policy matters, identify service gaps and draw on our expertise to collaborate with a wide </w:t>
      </w:r>
      <w:r w:rsidR="0007698B" w:rsidRPr="009E6961">
        <w:rPr>
          <w:rFonts w:cstheme="minorHAnsi"/>
          <w:color w:val="auto"/>
          <w:sz w:val="24"/>
          <w:szCs w:val="24"/>
        </w:rPr>
        <w:t xml:space="preserve">range </w:t>
      </w:r>
      <w:r w:rsidR="0007698B">
        <w:rPr>
          <w:rFonts w:cstheme="minorHAnsi"/>
          <w:color w:val="auto"/>
          <w:sz w:val="24"/>
          <w:szCs w:val="24"/>
        </w:rPr>
        <w:t>of</w:t>
      </w:r>
      <w:r w:rsidRPr="009E6961">
        <w:rPr>
          <w:rFonts w:cstheme="minorHAnsi"/>
          <w:color w:val="auto"/>
          <w:sz w:val="24"/>
          <w:szCs w:val="24"/>
        </w:rPr>
        <w:t xml:space="preserve"> stakeholders, including researchers, healthcare and service providers</w:t>
      </w:r>
      <w:r w:rsidR="001F7E96">
        <w:rPr>
          <w:rFonts w:cstheme="minorHAnsi"/>
          <w:color w:val="auto"/>
          <w:sz w:val="24"/>
          <w:szCs w:val="24"/>
        </w:rPr>
        <w:t xml:space="preserve"> and </w:t>
      </w:r>
      <w:r w:rsidRPr="009E6961">
        <w:rPr>
          <w:rFonts w:cstheme="minorHAnsi"/>
          <w:color w:val="auto"/>
          <w:sz w:val="24"/>
          <w:szCs w:val="24"/>
        </w:rPr>
        <w:t>other peak bodies to Nationally address the issues identified.</w:t>
      </w:r>
    </w:p>
    <w:p w14:paraId="0DF178A9" w14:textId="77777777" w:rsidR="009E6961" w:rsidRDefault="009E6961" w:rsidP="00185204">
      <w:pPr>
        <w:spacing w:after="0" w:line="240" w:lineRule="auto"/>
        <w:jc w:val="both"/>
        <w:rPr>
          <w:rFonts w:cstheme="minorHAnsi"/>
          <w:color w:val="auto"/>
          <w:sz w:val="24"/>
          <w:szCs w:val="24"/>
        </w:rPr>
      </w:pPr>
    </w:p>
    <w:p w14:paraId="7F8A03FD" w14:textId="7A73FAC1" w:rsidR="00ED76DB" w:rsidRDefault="00251C75" w:rsidP="00ED76DB">
      <w:pPr>
        <w:spacing w:after="0" w:line="240" w:lineRule="auto"/>
        <w:jc w:val="both"/>
        <w:rPr>
          <w:rFonts w:cstheme="minorHAnsi"/>
          <w:color w:val="auto"/>
          <w:sz w:val="24"/>
          <w:szCs w:val="24"/>
        </w:rPr>
      </w:pPr>
      <w:r>
        <w:rPr>
          <w:rFonts w:cstheme="minorHAnsi"/>
          <w:color w:val="auto"/>
          <w:sz w:val="24"/>
          <w:szCs w:val="24"/>
        </w:rPr>
        <w:t>I</w:t>
      </w:r>
      <w:r w:rsidR="003F3C7C" w:rsidRPr="003F3C7C">
        <w:rPr>
          <w:rFonts w:cstheme="minorHAnsi"/>
          <w:color w:val="auto"/>
          <w:sz w:val="24"/>
          <w:szCs w:val="24"/>
        </w:rPr>
        <w:t xml:space="preserve">nvesting in </w:t>
      </w:r>
      <w:r w:rsidR="009E2BE8">
        <w:rPr>
          <w:rFonts w:cstheme="minorHAnsi"/>
          <w:color w:val="auto"/>
          <w:sz w:val="24"/>
          <w:szCs w:val="24"/>
        </w:rPr>
        <w:t xml:space="preserve">these </w:t>
      </w:r>
      <w:r w:rsidR="009E7E80">
        <w:rPr>
          <w:rFonts w:cstheme="minorHAnsi"/>
          <w:color w:val="auto"/>
          <w:sz w:val="24"/>
          <w:szCs w:val="24"/>
        </w:rPr>
        <w:t xml:space="preserve">identified </w:t>
      </w:r>
      <w:r w:rsidR="008329F2">
        <w:rPr>
          <w:rFonts w:cstheme="minorHAnsi"/>
          <w:color w:val="auto"/>
          <w:sz w:val="24"/>
          <w:szCs w:val="24"/>
        </w:rPr>
        <w:t>initiatives</w:t>
      </w:r>
      <w:r w:rsidR="003F3C7C" w:rsidRPr="003F3C7C">
        <w:rPr>
          <w:rFonts w:cstheme="minorHAnsi"/>
          <w:color w:val="auto"/>
          <w:sz w:val="24"/>
          <w:szCs w:val="24"/>
        </w:rPr>
        <w:t xml:space="preserve"> t</w:t>
      </w:r>
      <w:r w:rsidR="00451875">
        <w:rPr>
          <w:rFonts w:cstheme="minorHAnsi"/>
          <w:color w:val="auto"/>
          <w:sz w:val="24"/>
          <w:szCs w:val="24"/>
        </w:rPr>
        <w:t>o</w:t>
      </w:r>
      <w:r w:rsidR="003F3C7C" w:rsidRPr="003F3C7C">
        <w:rPr>
          <w:rFonts w:cstheme="minorHAnsi"/>
          <w:color w:val="auto"/>
          <w:sz w:val="24"/>
          <w:szCs w:val="24"/>
        </w:rPr>
        <w:t xml:space="preserve"> </w:t>
      </w:r>
      <w:r w:rsidR="00A769C8">
        <w:rPr>
          <w:rFonts w:cstheme="minorHAnsi"/>
          <w:color w:val="auto"/>
          <w:sz w:val="24"/>
          <w:szCs w:val="24"/>
        </w:rPr>
        <w:t>define</w:t>
      </w:r>
      <w:r w:rsidR="003F3C7C" w:rsidRPr="003F3C7C">
        <w:rPr>
          <w:rFonts w:cstheme="minorHAnsi"/>
          <w:color w:val="auto"/>
          <w:sz w:val="24"/>
          <w:szCs w:val="24"/>
        </w:rPr>
        <w:t xml:space="preserve"> the </w:t>
      </w:r>
      <w:r w:rsidR="00A769C8">
        <w:rPr>
          <w:rFonts w:cstheme="minorHAnsi"/>
          <w:color w:val="auto"/>
          <w:sz w:val="24"/>
          <w:szCs w:val="24"/>
        </w:rPr>
        <w:t xml:space="preserve">diagnosis </w:t>
      </w:r>
      <w:r w:rsidR="003F3C7C" w:rsidRPr="003F3C7C">
        <w:rPr>
          <w:rFonts w:cstheme="minorHAnsi"/>
          <w:color w:val="auto"/>
          <w:sz w:val="24"/>
          <w:szCs w:val="24"/>
        </w:rPr>
        <w:t>pathway</w:t>
      </w:r>
      <w:r w:rsidR="00ED76DB">
        <w:rPr>
          <w:rFonts w:cstheme="minorHAnsi"/>
          <w:color w:val="auto"/>
          <w:sz w:val="24"/>
          <w:szCs w:val="24"/>
        </w:rPr>
        <w:t xml:space="preserve"> for a timely diagnosis</w:t>
      </w:r>
      <w:r w:rsidR="00D74AE7">
        <w:rPr>
          <w:rFonts w:cstheme="minorHAnsi"/>
          <w:color w:val="auto"/>
          <w:sz w:val="24"/>
          <w:szCs w:val="24"/>
        </w:rPr>
        <w:t>,</w:t>
      </w:r>
      <w:r w:rsidR="003F3C7C" w:rsidRPr="003F3C7C">
        <w:rPr>
          <w:rFonts w:cstheme="minorHAnsi"/>
          <w:color w:val="auto"/>
          <w:sz w:val="24"/>
          <w:szCs w:val="24"/>
        </w:rPr>
        <w:t xml:space="preserve"> </w:t>
      </w:r>
      <w:r w:rsidR="00ED76DB">
        <w:rPr>
          <w:rFonts w:cstheme="minorHAnsi"/>
          <w:color w:val="auto"/>
          <w:sz w:val="24"/>
          <w:szCs w:val="24"/>
        </w:rPr>
        <w:t xml:space="preserve">provide optimal standards of care, evidence-based information, </w:t>
      </w:r>
      <w:r w:rsidR="00E218F6">
        <w:rPr>
          <w:rFonts w:cstheme="minorHAnsi"/>
          <w:color w:val="auto"/>
          <w:sz w:val="24"/>
          <w:szCs w:val="24"/>
        </w:rPr>
        <w:t xml:space="preserve">support </w:t>
      </w:r>
      <w:r w:rsidR="009E7E80">
        <w:rPr>
          <w:rFonts w:cstheme="minorHAnsi"/>
          <w:color w:val="auto"/>
          <w:sz w:val="24"/>
          <w:szCs w:val="24"/>
        </w:rPr>
        <w:t xml:space="preserve">for </w:t>
      </w:r>
      <w:r w:rsidR="00E218F6">
        <w:rPr>
          <w:rFonts w:cstheme="minorHAnsi"/>
          <w:color w:val="auto"/>
          <w:sz w:val="24"/>
          <w:szCs w:val="24"/>
        </w:rPr>
        <w:t>th</w:t>
      </w:r>
      <w:r w:rsidR="00ED76DB">
        <w:rPr>
          <w:rFonts w:cstheme="minorHAnsi"/>
          <w:color w:val="auto"/>
          <w:sz w:val="24"/>
          <w:szCs w:val="24"/>
        </w:rPr>
        <w:t>ose affected and rais</w:t>
      </w:r>
      <w:r w:rsidR="009E7E80">
        <w:rPr>
          <w:rFonts w:cstheme="minorHAnsi"/>
          <w:color w:val="auto"/>
          <w:sz w:val="24"/>
          <w:szCs w:val="24"/>
        </w:rPr>
        <w:t>e</w:t>
      </w:r>
      <w:r w:rsidR="00ED76DB">
        <w:rPr>
          <w:rFonts w:cstheme="minorHAnsi"/>
          <w:color w:val="auto"/>
          <w:sz w:val="24"/>
          <w:szCs w:val="24"/>
        </w:rPr>
        <w:t xml:space="preserve"> awareness </w:t>
      </w:r>
      <w:r w:rsidR="009E7E80">
        <w:rPr>
          <w:rFonts w:cstheme="minorHAnsi"/>
          <w:color w:val="auto"/>
          <w:sz w:val="24"/>
          <w:szCs w:val="24"/>
        </w:rPr>
        <w:t xml:space="preserve">with community </w:t>
      </w:r>
      <w:r w:rsidR="00ED76DB">
        <w:rPr>
          <w:rFonts w:cstheme="minorHAnsi"/>
          <w:color w:val="auto"/>
          <w:sz w:val="24"/>
          <w:szCs w:val="24"/>
        </w:rPr>
        <w:t>outreac</w:t>
      </w:r>
      <w:r w:rsidR="009E7E80">
        <w:rPr>
          <w:rFonts w:cstheme="minorHAnsi"/>
          <w:color w:val="auto"/>
          <w:sz w:val="24"/>
          <w:szCs w:val="24"/>
        </w:rPr>
        <w:t>h</w:t>
      </w:r>
      <w:r w:rsidR="00062B9A">
        <w:rPr>
          <w:rFonts w:cstheme="minorHAnsi"/>
          <w:color w:val="auto"/>
          <w:sz w:val="24"/>
          <w:szCs w:val="24"/>
        </w:rPr>
        <w:t>,</w:t>
      </w:r>
      <w:r w:rsidR="00723132">
        <w:rPr>
          <w:rFonts w:cstheme="minorHAnsi"/>
          <w:color w:val="auto"/>
          <w:sz w:val="24"/>
          <w:szCs w:val="24"/>
        </w:rPr>
        <w:t xml:space="preserve"> can </w:t>
      </w:r>
      <w:r w:rsidR="00BE1A39">
        <w:rPr>
          <w:rFonts w:cstheme="minorHAnsi"/>
          <w:color w:val="auto"/>
          <w:sz w:val="24"/>
          <w:szCs w:val="24"/>
        </w:rPr>
        <w:t xml:space="preserve">reduce strain </w:t>
      </w:r>
      <w:r w:rsidR="00A05BAD">
        <w:rPr>
          <w:rFonts w:cstheme="minorHAnsi"/>
          <w:color w:val="auto"/>
          <w:sz w:val="24"/>
          <w:szCs w:val="24"/>
        </w:rPr>
        <w:t xml:space="preserve">on </w:t>
      </w:r>
      <w:r w:rsidR="0045191D">
        <w:rPr>
          <w:rFonts w:cstheme="minorHAnsi"/>
          <w:color w:val="auto"/>
          <w:sz w:val="24"/>
          <w:szCs w:val="24"/>
        </w:rPr>
        <w:t xml:space="preserve">public healthcare and </w:t>
      </w:r>
      <w:r w:rsidR="00BE1A39">
        <w:rPr>
          <w:rFonts w:cstheme="minorHAnsi"/>
          <w:color w:val="auto"/>
          <w:sz w:val="24"/>
          <w:szCs w:val="24"/>
        </w:rPr>
        <w:t>improve</w:t>
      </w:r>
      <w:r w:rsidR="009E7E80">
        <w:rPr>
          <w:rFonts w:cstheme="minorHAnsi"/>
          <w:color w:val="auto"/>
          <w:sz w:val="24"/>
          <w:szCs w:val="24"/>
        </w:rPr>
        <w:t xml:space="preserve"> </w:t>
      </w:r>
      <w:r w:rsidR="00917E1C">
        <w:rPr>
          <w:rFonts w:cstheme="minorHAnsi"/>
          <w:color w:val="auto"/>
          <w:sz w:val="24"/>
          <w:szCs w:val="24"/>
        </w:rPr>
        <w:t>healthcare</w:t>
      </w:r>
      <w:r w:rsidR="0045191D">
        <w:rPr>
          <w:rFonts w:cstheme="minorHAnsi"/>
          <w:color w:val="auto"/>
          <w:sz w:val="24"/>
          <w:szCs w:val="24"/>
        </w:rPr>
        <w:t xml:space="preserve"> services and</w:t>
      </w:r>
      <w:r w:rsidR="00917E1C">
        <w:rPr>
          <w:rFonts w:cstheme="minorHAnsi"/>
          <w:color w:val="auto"/>
          <w:sz w:val="24"/>
          <w:szCs w:val="24"/>
        </w:rPr>
        <w:t xml:space="preserve"> efficiencies</w:t>
      </w:r>
      <w:r w:rsidR="00371375">
        <w:rPr>
          <w:rFonts w:cstheme="minorHAnsi"/>
          <w:color w:val="auto"/>
          <w:sz w:val="24"/>
          <w:szCs w:val="24"/>
        </w:rPr>
        <w:t>, ensuring the needs of all Australians living with EGIDs are met</w:t>
      </w:r>
      <w:r w:rsidR="00ED76DB">
        <w:rPr>
          <w:rFonts w:cstheme="minorHAnsi"/>
          <w:color w:val="auto"/>
          <w:sz w:val="24"/>
          <w:szCs w:val="24"/>
        </w:rPr>
        <w:t xml:space="preserve"> </w:t>
      </w:r>
      <w:r w:rsidR="009E7E80">
        <w:rPr>
          <w:rFonts w:cstheme="minorHAnsi"/>
          <w:color w:val="auto"/>
          <w:sz w:val="24"/>
          <w:szCs w:val="24"/>
        </w:rPr>
        <w:t xml:space="preserve">whilst </w:t>
      </w:r>
      <w:r w:rsidR="00ED76DB">
        <w:rPr>
          <w:rFonts w:cstheme="minorHAnsi"/>
          <w:color w:val="auto"/>
          <w:sz w:val="24"/>
          <w:szCs w:val="24"/>
        </w:rPr>
        <w:t>ha</w:t>
      </w:r>
      <w:r w:rsidR="009E7E80">
        <w:rPr>
          <w:rFonts w:cstheme="minorHAnsi"/>
          <w:color w:val="auto"/>
          <w:sz w:val="24"/>
          <w:szCs w:val="24"/>
        </w:rPr>
        <w:t>ving</w:t>
      </w:r>
      <w:r w:rsidR="00ED76DB">
        <w:rPr>
          <w:rFonts w:cstheme="minorHAnsi"/>
          <w:color w:val="auto"/>
          <w:sz w:val="24"/>
          <w:szCs w:val="24"/>
        </w:rPr>
        <w:t xml:space="preserve"> the potential to bring</w:t>
      </w:r>
      <w:r w:rsidR="00ED76DB" w:rsidRPr="003F3C7C">
        <w:rPr>
          <w:rFonts w:cstheme="minorHAnsi"/>
          <w:color w:val="auto"/>
          <w:sz w:val="24"/>
          <w:szCs w:val="24"/>
        </w:rPr>
        <w:t xml:space="preserve"> long term savings for th</w:t>
      </w:r>
      <w:r w:rsidR="00ED76DB">
        <w:rPr>
          <w:rFonts w:cstheme="minorHAnsi"/>
          <w:color w:val="auto"/>
          <w:sz w:val="24"/>
          <w:szCs w:val="24"/>
        </w:rPr>
        <w:t>e Australian G</w:t>
      </w:r>
      <w:r w:rsidR="00ED76DB" w:rsidRPr="003F3C7C">
        <w:rPr>
          <w:rFonts w:cstheme="minorHAnsi"/>
          <w:color w:val="auto"/>
          <w:sz w:val="24"/>
          <w:szCs w:val="24"/>
        </w:rPr>
        <w:t>overnment</w:t>
      </w:r>
      <w:r w:rsidR="00ED76DB">
        <w:rPr>
          <w:rFonts w:cstheme="minorHAnsi"/>
          <w:color w:val="auto"/>
          <w:sz w:val="24"/>
          <w:szCs w:val="24"/>
        </w:rPr>
        <w:t xml:space="preserve">. </w:t>
      </w:r>
    </w:p>
    <w:p w14:paraId="31A58D3F" w14:textId="4C93DB88" w:rsidR="00917E1C" w:rsidRDefault="00917E1C" w:rsidP="00185204">
      <w:pPr>
        <w:spacing w:after="0" w:line="240" w:lineRule="auto"/>
        <w:jc w:val="both"/>
        <w:rPr>
          <w:rFonts w:cstheme="minorHAnsi"/>
          <w:color w:val="auto"/>
          <w:sz w:val="24"/>
          <w:szCs w:val="24"/>
        </w:rPr>
      </w:pPr>
    </w:p>
    <w:p w14:paraId="5CD4F385" w14:textId="32468A9B" w:rsidR="003166E4" w:rsidRPr="00951B1A" w:rsidRDefault="00951B1A" w:rsidP="00951B1A">
      <w:pPr>
        <w:spacing w:after="0" w:line="240" w:lineRule="auto"/>
        <w:jc w:val="both"/>
        <w:rPr>
          <w:rFonts w:cstheme="minorHAnsi"/>
          <w:color w:val="auto"/>
          <w:sz w:val="24"/>
          <w:szCs w:val="24"/>
        </w:rPr>
      </w:pPr>
      <w:r w:rsidRPr="00951B1A">
        <w:rPr>
          <w:rFonts w:cstheme="minorHAnsi"/>
          <w:color w:val="auto"/>
          <w:sz w:val="24"/>
          <w:szCs w:val="24"/>
        </w:rPr>
        <w:t xml:space="preserve">As Australia’s peak evidence-based EGID patient support organisation with 10 years’ experience supporting </w:t>
      </w:r>
      <w:r w:rsidR="004E1815">
        <w:rPr>
          <w:rFonts w:cstheme="minorHAnsi"/>
          <w:color w:val="auto"/>
          <w:sz w:val="24"/>
          <w:szCs w:val="24"/>
        </w:rPr>
        <w:t xml:space="preserve">and advocating for </w:t>
      </w:r>
      <w:r w:rsidRPr="00951B1A">
        <w:rPr>
          <w:rFonts w:cstheme="minorHAnsi"/>
          <w:color w:val="auto"/>
          <w:sz w:val="24"/>
          <w:szCs w:val="24"/>
        </w:rPr>
        <w:t>the Australian EGID community, we have the passion, drive, capability and expertise to deliver</w:t>
      </w:r>
      <w:r w:rsidR="004E1815">
        <w:rPr>
          <w:rFonts w:cstheme="minorHAnsi"/>
          <w:color w:val="auto"/>
          <w:sz w:val="24"/>
          <w:szCs w:val="24"/>
        </w:rPr>
        <w:t>.</w:t>
      </w:r>
      <w:r w:rsidRPr="00951B1A">
        <w:rPr>
          <w:rFonts w:cstheme="minorHAnsi"/>
          <w:color w:val="auto"/>
          <w:sz w:val="24"/>
          <w:szCs w:val="24"/>
        </w:rPr>
        <w:t xml:space="preserve"> </w:t>
      </w:r>
      <w:r w:rsidR="004E1815">
        <w:rPr>
          <w:rFonts w:cstheme="minorHAnsi"/>
          <w:color w:val="auto"/>
          <w:sz w:val="24"/>
          <w:szCs w:val="24"/>
        </w:rPr>
        <w:t>W</w:t>
      </w:r>
      <w:r w:rsidRPr="00951B1A">
        <w:rPr>
          <w:rFonts w:cstheme="minorHAnsi"/>
          <w:color w:val="auto"/>
          <w:sz w:val="24"/>
          <w:szCs w:val="24"/>
        </w:rPr>
        <w:t>e look forward to working with the Government on the</w:t>
      </w:r>
      <w:r w:rsidR="004E1815">
        <w:rPr>
          <w:rFonts w:cstheme="minorHAnsi"/>
          <w:color w:val="auto"/>
          <w:sz w:val="24"/>
          <w:szCs w:val="24"/>
        </w:rPr>
        <w:t xml:space="preserve"> objectives </w:t>
      </w:r>
      <w:r w:rsidRPr="00951B1A">
        <w:rPr>
          <w:rFonts w:cstheme="minorHAnsi"/>
          <w:color w:val="auto"/>
          <w:sz w:val="24"/>
          <w:szCs w:val="24"/>
        </w:rPr>
        <w:t xml:space="preserve">outlined in this submission to improve the quality of life and overall wellbeing of Australians </w:t>
      </w:r>
      <w:r w:rsidR="004E1815">
        <w:rPr>
          <w:rFonts w:cstheme="minorHAnsi"/>
          <w:color w:val="auto"/>
          <w:sz w:val="24"/>
          <w:szCs w:val="24"/>
        </w:rPr>
        <w:t>impacted by EGIDs.</w:t>
      </w:r>
    </w:p>
    <w:p w14:paraId="43168023" w14:textId="513E9DB9" w:rsidR="00371375" w:rsidRDefault="00371375" w:rsidP="003166E4">
      <w:pPr>
        <w:spacing w:before="0" w:after="0" w:line="240" w:lineRule="auto"/>
        <w:jc w:val="both"/>
        <w:rPr>
          <w:rFonts w:eastAsia="Calibri" w:cs="Times New Roman"/>
          <w:color w:val="auto"/>
          <w:kern w:val="0"/>
          <w:sz w:val="24"/>
          <w:szCs w:val="24"/>
          <w:lang w:val="en-AU" w:eastAsia="en-US"/>
        </w:rPr>
      </w:pPr>
    </w:p>
    <w:p w14:paraId="7B27ACFA" w14:textId="29B6B763" w:rsidR="00F84203" w:rsidRPr="007825FC" w:rsidRDefault="00371375" w:rsidP="00371375">
      <w:pPr>
        <w:spacing w:after="0" w:line="240" w:lineRule="auto"/>
        <w:jc w:val="both"/>
        <w:rPr>
          <w:rFonts w:cstheme="minorHAnsi"/>
          <w:color w:val="auto"/>
          <w:sz w:val="24"/>
          <w:szCs w:val="24"/>
        </w:rPr>
      </w:pPr>
      <w:r w:rsidRPr="00951B1A">
        <w:rPr>
          <w:rFonts w:cstheme="minorHAnsi"/>
          <w:color w:val="auto"/>
          <w:sz w:val="24"/>
          <w:szCs w:val="24"/>
        </w:rPr>
        <w:t>Thank you for your consideration.</w:t>
      </w:r>
      <w:bookmarkEnd w:id="37"/>
    </w:p>
    <w:sectPr w:rsidR="00F84203" w:rsidRPr="007825FC" w:rsidSect="00D83EDF">
      <w:headerReference w:type="default" r:id="rId28"/>
      <w:footerReference w:type="default" r:id="rId29"/>
      <w:type w:val="continuous"/>
      <w:pgSz w:w="12240" w:h="15840" w:code="1"/>
      <w:pgMar w:top="2520" w:right="1325" w:bottom="1800" w:left="1512" w:header="108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4651E4" w14:textId="77777777" w:rsidR="00104DB7" w:rsidRDefault="00104DB7">
      <w:pPr>
        <w:spacing w:after="0" w:line="240" w:lineRule="auto"/>
      </w:pPr>
      <w:r>
        <w:separator/>
      </w:r>
    </w:p>
  </w:endnote>
  <w:endnote w:type="continuationSeparator" w:id="0">
    <w:p w14:paraId="014310E7" w14:textId="77777777" w:rsidR="00104DB7" w:rsidRDefault="00104DB7">
      <w:pPr>
        <w:spacing w:after="0" w:line="240" w:lineRule="auto"/>
      </w:pPr>
      <w:r>
        <w:continuationSeparator/>
      </w:r>
    </w:p>
  </w:endnote>
  <w:endnote w:type="continuationNotice" w:id="1">
    <w:p w14:paraId="71F22F8D" w14:textId="77777777" w:rsidR="00104DB7" w:rsidRDefault="00104DB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451522" w14:textId="3D7E44B9" w:rsidR="002A58AE" w:rsidRDefault="002A58AE" w:rsidP="00180008">
    <w:pPr>
      <w:pStyle w:val="Footer"/>
      <w:jc w:val="center"/>
    </w:pPr>
    <w:r>
      <w:t>www.ausee.org</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80947" w14:textId="1F0B7CF6" w:rsidR="002A58AE" w:rsidRDefault="002A58AE" w:rsidP="00F83014">
    <w:pPr>
      <w:pStyle w:val="Footer"/>
      <w:jc w:val="center"/>
    </w:pPr>
    <w:r>
      <w:t xml:space="preserve">Page </w:t>
    </w:r>
    <w:r>
      <w:fldChar w:fldCharType="begin"/>
    </w:r>
    <w:r>
      <w:instrText xml:space="preserve"> page </w:instrText>
    </w:r>
    <w:r>
      <w:fldChar w:fldCharType="separate"/>
    </w:r>
    <w:r w:rsidR="00DF2373">
      <w:rPr>
        <w:noProof/>
      </w:rPr>
      <w:t>14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95FA8A" w14:textId="77777777" w:rsidR="00104DB7" w:rsidRDefault="00104DB7">
      <w:pPr>
        <w:spacing w:after="0" w:line="240" w:lineRule="auto"/>
      </w:pPr>
      <w:r>
        <w:separator/>
      </w:r>
    </w:p>
  </w:footnote>
  <w:footnote w:type="continuationSeparator" w:id="0">
    <w:p w14:paraId="427EE804" w14:textId="77777777" w:rsidR="00104DB7" w:rsidRDefault="00104DB7">
      <w:pPr>
        <w:spacing w:after="0" w:line="240" w:lineRule="auto"/>
      </w:pPr>
      <w:r>
        <w:continuationSeparator/>
      </w:r>
    </w:p>
  </w:footnote>
  <w:footnote w:type="continuationNotice" w:id="1">
    <w:p w14:paraId="6AA318D1" w14:textId="77777777" w:rsidR="00104DB7" w:rsidRDefault="00104DB7">
      <w:pPr>
        <w:spacing w:before="0" w:after="0" w:line="240" w:lineRule="auto"/>
      </w:pPr>
    </w:p>
  </w:footnote>
  <w:footnote w:id="2">
    <w:p w14:paraId="37321641" w14:textId="79322BEA" w:rsidR="002A58AE" w:rsidRPr="000D1D05" w:rsidRDefault="002A58AE">
      <w:pPr>
        <w:pStyle w:val="FootnoteText"/>
        <w:rPr>
          <w:lang w:val="en-AU"/>
        </w:rPr>
      </w:pPr>
      <w:r>
        <w:rPr>
          <w:rStyle w:val="FootnoteReference"/>
        </w:rPr>
        <w:footnoteRef/>
      </w:r>
      <w:r>
        <w:t xml:space="preserve"> </w:t>
      </w:r>
      <w:r w:rsidRPr="00614998">
        <w:t xml:space="preserve">What are Eosinophilic Gastrointestinal Disorders (EGIDs)? </w:t>
      </w:r>
      <w:hyperlink r:id="rId1" w:history="1">
        <w:r w:rsidRPr="00DF678D">
          <w:rPr>
            <w:rStyle w:val="Hyperlink"/>
          </w:rPr>
          <w:t>https://www.ausee.org/whatisegid.htm</w:t>
        </w:r>
      </w:hyperlink>
      <w:r>
        <w:t xml:space="preserve"> </w:t>
      </w:r>
    </w:p>
  </w:footnote>
  <w:footnote w:id="3">
    <w:p w14:paraId="4B16654A" w14:textId="4E681408" w:rsidR="002A58AE" w:rsidRPr="00E11C03" w:rsidRDefault="002A58AE">
      <w:pPr>
        <w:pStyle w:val="FootnoteText"/>
        <w:rPr>
          <w:lang w:val="en-AU"/>
        </w:rPr>
      </w:pPr>
      <w:r>
        <w:rPr>
          <w:rStyle w:val="FootnoteReference"/>
        </w:rPr>
        <w:footnoteRef/>
      </w:r>
      <w:r>
        <w:t xml:space="preserve"> </w:t>
      </w:r>
      <w:r w:rsidRPr="00E22D3C">
        <w:t xml:space="preserve">Online survey completed by 157 people conducted by ausEE Inc. via Survey Monkey in April/May 2019 on EGIDs. </w:t>
      </w:r>
      <w:hyperlink r:id="rId2" w:history="1">
        <w:r w:rsidRPr="00382BB3">
          <w:rPr>
            <w:rStyle w:val="Hyperlink"/>
          </w:rPr>
          <w:t>https://www.ausee.org/survey-results</w:t>
        </w:r>
      </w:hyperlink>
      <w:r>
        <w:t xml:space="preserve"> </w:t>
      </w:r>
      <w:r w:rsidRPr="00E22D3C">
        <w:t xml:space="preserve">   </w:t>
      </w:r>
    </w:p>
  </w:footnote>
  <w:footnote w:id="4">
    <w:p w14:paraId="6A7F7792" w14:textId="7489B3BA" w:rsidR="002A58AE" w:rsidRPr="00804597" w:rsidRDefault="002A58AE">
      <w:pPr>
        <w:pStyle w:val="FootnoteText"/>
        <w:rPr>
          <w:lang w:val="en-AU"/>
        </w:rPr>
      </w:pPr>
      <w:r>
        <w:rPr>
          <w:rStyle w:val="FootnoteReference"/>
        </w:rPr>
        <w:footnoteRef/>
      </w:r>
      <w:r>
        <w:t xml:space="preserve"> </w:t>
      </w:r>
      <w:r w:rsidRPr="003E7876">
        <w:t xml:space="preserve">Updated International Consensus Diagnostic Criteria for Eosinophilic Esophagitis: Proceedings of the AGREE Conference. Dellon, Evan S. et al. Gastroenterology, Volume 155, Issue 4, 1022 - 1033.e10 </w:t>
      </w:r>
      <w:hyperlink r:id="rId3" w:history="1">
        <w:r w:rsidRPr="00382BB3">
          <w:rPr>
            <w:rStyle w:val="Hyperlink"/>
          </w:rPr>
          <w:t>https://www.gastrojournal.org/article/S0016-5085(18)34763-2/fulltext</w:t>
        </w:r>
      </w:hyperlink>
      <w:r>
        <w:t xml:space="preserve"> </w:t>
      </w:r>
    </w:p>
  </w:footnote>
  <w:footnote w:id="5">
    <w:p w14:paraId="132084D2" w14:textId="5F53EB09" w:rsidR="002A58AE" w:rsidRDefault="002A58AE" w:rsidP="00B64FAA">
      <w:pPr>
        <w:pStyle w:val="FootnoteText"/>
      </w:pPr>
      <w:r>
        <w:rPr>
          <w:rStyle w:val="FootnoteReference"/>
        </w:rPr>
        <w:footnoteRef/>
      </w:r>
      <w:r>
        <w:t xml:space="preserve"> No Maintenance, No Gain in Long-term Treatment of Eosinophilic Esophagitis. Dellon, Evan S.</w:t>
      </w:r>
    </w:p>
    <w:p w14:paraId="2EBD774D" w14:textId="7279422C" w:rsidR="002A58AE" w:rsidRPr="00B64FAA" w:rsidRDefault="002A58AE" w:rsidP="00B64FAA">
      <w:pPr>
        <w:pStyle w:val="FootnoteText"/>
        <w:rPr>
          <w:lang w:val="en-AU"/>
        </w:rPr>
      </w:pPr>
      <w:r>
        <w:t xml:space="preserve">Clinical Gastroenterology and Hepatology, Volume 17, Issue 3, 397 – 399. </w:t>
      </w:r>
      <w:hyperlink r:id="rId4" w:history="1">
        <w:r w:rsidRPr="00382BB3">
          <w:rPr>
            <w:rStyle w:val="Hyperlink"/>
          </w:rPr>
          <w:t>https://www.cghjournal.org/article/S1542-3565(18)30804-8/fulltext</w:t>
        </w:r>
      </w:hyperlink>
      <w:r>
        <w:t xml:space="preserve"> </w:t>
      </w:r>
    </w:p>
  </w:footnote>
  <w:footnote w:id="6">
    <w:p w14:paraId="78406882" w14:textId="4857EFCB" w:rsidR="002A58AE" w:rsidRPr="00B64FAA" w:rsidRDefault="002A58AE">
      <w:pPr>
        <w:pStyle w:val="FootnoteText"/>
        <w:rPr>
          <w:lang w:val="en-AU"/>
        </w:rPr>
      </w:pPr>
      <w:r>
        <w:rPr>
          <w:rStyle w:val="FootnoteReference"/>
        </w:rPr>
        <w:footnoteRef/>
      </w:r>
      <w:r>
        <w:t xml:space="preserve"> </w:t>
      </w:r>
      <w:r w:rsidRPr="00B64FAA">
        <w:t xml:space="preserve">Online survey completed by 72 people conducted by ausEE Inc. via Survey Monkey in April/May 2018 on ausEE research priorities. </w:t>
      </w:r>
      <w:hyperlink r:id="rId5" w:history="1">
        <w:r w:rsidR="00674775" w:rsidRPr="004540B7">
          <w:rPr>
            <w:rStyle w:val="Hyperlink"/>
          </w:rPr>
          <w:t>https://www.ausee.org/survey-results</w:t>
        </w:r>
      </w:hyperlink>
      <w:r w:rsidR="00674775">
        <w:t xml:space="preserve"> </w:t>
      </w:r>
    </w:p>
  </w:footnote>
  <w:footnote w:id="7">
    <w:p w14:paraId="44458F1A" w14:textId="77777777" w:rsidR="002A58AE" w:rsidRPr="00A7137E" w:rsidRDefault="002A58AE" w:rsidP="00C82A2D">
      <w:pPr>
        <w:pStyle w:val="FootnoteText"/>
        <w:rPr>
          <w:lang w:val="en-AU"/>
        </w:rPr>
      </w:pPr>
      <w:r>
        <w:rPr>
          <w:rStyle w:val="FootnoteReference"/>
        </w:rPr>
        <w:footnoteRef/>
      </w:r>
      <w:r>
        <w:t xml:space="preserve"> </w:t>
      </w:r>
      <w:r>
        <w:rPr>
          <w:lang w:val="en-AU"/>
        </w:rPr>
        <w:t xml:space="preserve">ausEE Medical Advisory Board </w:t>
      </w:r>
      <w:hyperlink r:id="rId6" w:history="1">
        <w:r w:rsidRPr="00382BB3">
          <w:rPr>
            <w:rStyle w:val="Hyperlink"/>
            <w:lang w:val="en-AU"/>
          </w:rPr>
          <w:t>https://www.ausee.org/medicaladvisoryboard.htm</w:t>
        </w:r>
      </w:hyperlink>
      <w:r>
        <w:rPr>
          <w:lang w:val="en-AU"/>
        </w:rPr>
        <w:t xml:space="preserve"> </w:t>
      </w:r>
    </w:p>
  </w:footnote>
  <w:footnote w:id="8">
    <w:p w14:paraId="1457CA5B" w14:textId="0848DA06" w:rsidR="00805CA5" w:rsidRPr="00805CA5" w:rsidRDefault="00805CA5">
      <w:pPr>
        <w:pStyle w:val="FootnoteText"/>
        <w:rPr>
          <w:lang w:val="en-AU"/>
        </w:rPr>
      </w:pPr>
      <w:r>
        <w:rPr>
          <w:rStyle w:val="FootnoteReference"/>
        </w:rPr>
        <w:footnoteRef/>
      </w:r>
      <w:r>
        <w:t xml:space="preserve"> </w:t>
      </w:r>
      <w:r w:rsidRPr="00805CA5">
        <w:t xml:space="preserve">Online survey completed by 108 people conducted by ausEE Inc. via Survey Monkey in June/July 2019 on the Social Impact of EGIDs. </w:t>
      </w:r>
      <w:hyperlink r:id="rId7" w:history="1">
        <w:r w:rsidRPr="00EC6812">
          <w:rPr>
            <w:rStyle w:val="Hyperlink"/>
          </w:rPr>
          <w:t>https://www.ausee.org/survey-results</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E0878" w14:textId="276372EE" w:rsidR="002A58AE" w:rsidRPr="00F952A4" w:rsidRDefault="002A58AE">
    <w:pPr>
      <w:pStyle w:val="HeaderShaded"/>
      <w:rPr>
        <w:rFonts w:asciiTheme="minorHAnsi" w:hAnsiTheme="minorHAnsi"/>
      </w:rPr>
    </w:pPr>
    <w:bookmarkStart w:id="2" w:name="_Hlk27373486"/>
    <w:bookmarkStart w:id="3" w:name="_Hlk27373487"/>
    <w:bookmarkStart w:id="4" w:name="_Hlk27373488"/>
    <w:bookmarkStart w:id="5" w:name="_Hlk27373489"/>
    <w:r>
      <w:t>AUSEE INC. 2020-21 pre-budget submission</w:t>
    </w:r>
    <w:bookmarkEnd w:id="2"/>
    <w:bookmarkEnd w:id="3"/>
    <w:bookmarkEnd w:id="4"/>
    <w:bookmarkEnd w:id="5"/>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7AB575" w14:textId="5ED03AC3" w:rsidR="002A58AE" w:rsidRPr="00F952A4" w:rsidRDefault="002A58AE" w:rsidP="00034AC3">
    <w:pPr>
      <w:pStyle w:val="HeaderShaded"/>
      <w:rPr>
        <w:rFonts w:asciiTheme="minorHAnsi" w:hAnsiTheme="minorHAnsi"/>
      </w:rPr>
    </w:pPr>
    <w:r>
      <w:t xml:space="preserve">AUSEE INC. 2020-21 </w:t>
    </w:r>
    <w:r w:rsidR="00FA5596">
      <w:t>pre-</w:t>
    </w:r>
    <w:r>
      <w:t>budget submission</w:t>
    </w:r>
  </w:p>
  <w:p w14:paraId="7D0CC773" w14:textId="55593608" w:rsidR="002A58AE" w:rsidRPr="00034AC3" w:rsidRDefault="002A58AE" w:rsidP="00034A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B6E8615A"/>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7F8230A0"/>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4CF4A9A6"/>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AD2055EC"/>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08EA3334"/>
    <w:lvl w:ilvl="0">
      <w:start w:val="1"/>
      <w:numFmt w:val="bullet"/>
      <w:pStyle w:val="ListBullet"/>
      <w:lvlText w:val="•"/>
      <w:lvlJc w:val="left"/>
      <w:pPr>
        <w:ind w:left="360" w:hanging="360"/>
      </w:pPr>
      <w:rPr>
        <w:rFonts w:ascii="Cambria" w:hAnsi="Cambria" w:hint="default"/>
        <w:color w:val="6750A0" w:themeColor="accent1"/>
      </w:rPr>
    </w:lvl>
  </w:abstractNum>
  <w:abstractNum w:abstractNumId="5" w15:restartNumberingAfterBreak="0">
    <w:nsid w:val="02885216"/>
    <w:multiLevelType w:val="hybridMultilevel"/>
    <w:tmpl w:val="62026B3A"/>
    <w:lvl w:ilvl="0" w:tplc="96D6307A">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4667D0A"/>
    <w:multiLevelType w:val="hybridMultilevel"/>
    <w:tmpl w:val="B8FC30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B446E57"/>
    <w:multiLevelType w:val="hybridMultilevel"/>
    <w:tmpl w:val="93A824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A32F0D"/>
    <w:multiLevelType w:val="hybridMultilevel"/>
    <w:tmpl w:val="908028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6F205A"/>
    <w:multiLevelType w:val="multilevel"/>
    <w:tmpl w:val="9CA4ABB8"/>
    <w:styleLink w:val="AnnualReport"/>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F4C5774"/>
    <w:multiLevelType w:val="multilevel"/>
    <w:tmpl w:val="A1968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2B32A9B"/>
    <w:multiLevelType w:val="hybridMultilevel"/>
    <w:tmpl w:val="52002094"/>
    <w:lvl w:ilvl="0" w:tplc="96D6307A">
      <w:numFmt w:val="bullet"/>
      <w:lvlText w:val="•"/>
      <w:lvlJc w:val="left"/>
      <w:pPr>
        <w:ind w:left="1440" w:hanging="72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367F6A45"/>
    <w:multiLevelType w:val="multilevel"/>
    <w:tmpl w:val="30FED030"/>
    <w:lvl w:ilvl="0">
      <w:start w:val="1"/>
      <w:numFmt w:val="decimal"/>
      <w:pStyle w:val="ListNumber"/>
      <w:lvlText w:val="%1."/>
      <w:lvlJc w:val="left"/>
      <w:pPr>
        <w:ind w:left="360" w:hanging="360"/>
      </w:pPr>
      <w:rPr>
        <w:rFonts w:hint="default"/>
      </w:rPr>
    </w:lvl>
    <w:lvl w:ilvl="1">
      <w:start w:val="1"/>
      <w:numFmt w:val="decimal"/>
      <w:pStyle w:val="ListNumber2"/>
      <w:lvlText w:val="%1.%2"/>
      <w:lvlJc w:val="left"/>
      <w:pPr>
        <w:tabs>
          <w:tab w:val="num" w:pos="432"/>
        </w:tabs>
        <w:ind w:left="432" w:hanging="432"/>
      </w:pPr>
      <w:rPr>
        <w:rFonts w:hint="default"/>
      </w:rPr>
    </w:lvl>
    <w:lvl w:ilvl="2">
      <w:start w:val="1"/>
      <w:numFmt w:val="lowerLetter"/>
      <w:pStyle w:val="ListNumber3"/>
      <w:lvlText w:val="%3."/>
      <w:lvlJc w:val="left"/>
      <w:pPr>
        <w:ind w:left="792" w:hanging="360"/>
      </w:pPr>
      <w:rPr>
        <w:rFonts w:hint="default"/>
      </w:rPr>
    </w:lvl>
    <w:lvl w:ilvl="3">
      <w:start w:val="1"/>
      <w:numFmt w:val="lowerRoman"/>
      <w:pStyle w:val="ListNumber4"/>
      <w:lvlText w:val="%4."/>
      <w:lvlJc w:val="left"/>
      <w:pPr>
        <w:ind w:left="1152" w:hanging="360"/>
      </w:pPr>
      <w:rPr>
        <w:rFonts w:hint="default"/>
      </w:rPr>
    </w:lvl>
    <w:lvl w:ilvl="4">
      <w:start w:val="1"/>
      <w:numFmt w:val="lowerLetter"/>
      <w:pStyle w:val="ListNumber5"/>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13" w15:restartNumberingAfterBreak="0">
    <w:nsid w:val="47E843E0"/>
    <w:multiLevelType w:val="hybridMultilevel"/>
    <w:tmpl w:val="398062CA"/>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14" w15:restartNumberingAfterBreak="0">
    <w:nsid w:val="4CBC1616"/>
    <w:multiLevelType w:val="hybridMultilevel"/>
    <w:tmpl w:val="0156AC48"/>
    <w:lvl w:ilvl="0" w:tplc="C44E8AB0">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15" w15:restartNumberingAfterBreak="0">
    <w:nsid w:val="4CC6049F"/>
    <w:multiLevelType w:val="hybridMultilevel"/>
    <w:tmpl w:val="FAAA1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2C475B5"/>
    <w:multiLevelType w:val="hybridMultilevel"/>
    <w:tmpl w:val="659C8E90"/>
    <w:lvl w:ilvl="0" w:tplc="D3028A04">
      <w:start w:val="1"/>
      <w:numFmt w:val="bullet"/>
      <w:lvlText w:val=""/>
      <w:lvlJc w:val="left"/>
      <w:pPr>
        <w:ind w:left="108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0020068"/>
    <w:multiLevelType w:val="hybridMultilevel"/>
    <w:tmpl w:val="A7E447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70B4F53"/>
    <w:multiLevelType w:val="hybridMultilevel"/>
    <w:tmpl w:val="E08257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ADD77FD"/>
    <w:multiLevelType w:val="hybridMultilevel"/>
    <w:tmpl w:val="F56845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4326ABA"/>
    <w:multiLevelType w:val="hybridMultilevel"/>
    <w:tmpl w:val="C9A44CD6"/>
    <w:lvl w:ilvl="0" w:tplc="96D6307A">
      <w:numFmt w:val="bullet"/>
      <w:lvlText w:val="•"/>
      <w:lvlJc w:val="left"/>
      <w:pPr>
        <w:ind w:left="1080" w:hanging="72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4EF579C"/>
    <w:multiLevelType w:val="hybridMultilevel"/>
    <w:tmpl w:val="9E025E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88B4475"/>
    <w:multiLevelType w:val="hybridMultilevel"/>
    <w:tmpl w:val="16647DC6"/>
    <w:lvl w:ilvl="0" w:tplc="8A4A9D72">
      <w:start w:val="1"/>
      <w:numFmt w:val="decimal"/>
      <w:lvlText w:val="%1."/>
      <w:lvlJc w:val="left"/>
      <w:pPr>
        <w:ind w:left="-207" w:hanging="360"/>
      </w:pPr>
      <w:rPr>
        <w:rFonts w:hint="default"/>
      </w:rPr>
    </w:lvl>
    <w:lvl w:ilvl="1" w:tplc="0C090019" w:tentative="1">
      <w:start w:val="1"/>
      <w:numFmt w:val="lowerLetter"/>
      <w:lvlText w:val="%2."/>
      <w:lvlJc w:val="left"/>
      <w:pPr>
        <w:ind w:left="513" w:hanging="360"/>
      </w:pPr>
    </w:lvl>
    <w:lvl w:ilvl="2" w:tplc="0C09001B" w:tentative="1">
      <w:start w:val="1"/>
      <w:numFmt w:val="lowerRoman"/>
      <w:lvlText w:val="%3."/>
      <w:lvlJc w:val="right"/>
      <w:pPr>
        <w:ind w:left="1233" w:hanging="180"/>
      </w:pPr>
    </w:lvl>
    <w:lvl w:ilvl="3" w:tplc="0C09000F" w:tentative="1">
      <w:start w:val="1"/>
      <w:numFmt w:val="decimal"/>
      <w:lvlText w:val="%4."/>
      <w:lvlJc w:val="left"/>
      <w:pPr>
        <w:ind w:left="1953" w:hanging="360"/>
      </w:pPr>
    </w:lvl>
    <w:lvl w:ilvl="4" w:tplc="0C090019" w:tentative="1">
      <w:start w:val="1"/>
      <w:numFmt w:val="lowerLetter"/>
      <w:lvlText w:val="%5."/>
      <w:lvlJc w:val="left"/>
      <w:pPr>
        <w:ind w:left="2673" w:hanging="360"/>
      </w:pPr>
    </w:lvl>
    <w:lvl w:ilvl="5" w:tplc="0C09001B" w:tentative="1">
      <w:start w:val="1"/>
      <w:numFmt w:val="lowerRoman"/>
      <w:lvlText w:val="%6."/>
      <w:lvlJc w:val="right"/>
      <w:pPr>
        <w:ind w:left="3393" w:hanging="180"/>
      </w:pPr>
    </w:lvl>
    <w:lvl w:ilvl="6" w:tplc="0C09000F" w:tentative="1">
      <w:start w:val="1"/>
      <w:numFmt w:val="decimal"/>
      <w:lvlText w:val="%7."/>
      <w:lvlJc w:val="left"/>
      <w:pPr>
        <w:ind w:left="4113" w:hanging="360"/>
      </w:pPr>
    </w:lvl>
    <w:lvl w:ilvl="7" w:tplc="0C090019" w:tentative="1">
      <w:start w:val="1"/>
      <w:numFmt w:val="lowerLetter"/>
      <w:lvlText w:val="%8."/>
      <w:lvlJc w:val="left"/>
      <w:pPr>
        <w:ind w:left="4833" w:hanging="360"/>
      </w:pPr>
    </w:lvl>
    <w:lvl w:ilvl="8" w:tplc="0C09001B" w:tentative="1">
      <w:start w:val="1"/>
      <w:numFmt w:val="lowerRoman"/>
      <w:lvlText w:val="%9."/>
      <w:lvlJc w:val="right"/>
      <w:pPr>
        <w:ind w:left="5553" w:hanging="180"/>
      </w:pPr>
    </w:lvl>
  </w:abstractNum>
  <w:abstractNum w:abstractNumId="23" w15:restartNumberingAfterBreak="0">
    <w:nsid w:val="7FD44389"/>
    <w:multiLevelType w:val="hybridMultilevel"/>
    <w:tmpl w:val="A07085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9"/>
  </w:num>
  <w:num w:numId="7">
    <w:abstractNumId w:val="12"/>
  </w:num>
  <w:num w:numId="8">
    <w:abstractNumId w:val="7"/>
  </w:num>
  <w:num w:numId="9">
    <w:abstractNumId w:val="21"/>
  </w:num>
  <w:num w:numId="10">
    <w:abstractNumId w:val="16"/>
  </w:num>
  <w:num w:numId="11">
    <w:abstractNumId w:val="20"/>
  </w:num>
  <w:num w:numId="12">
    <w:abstractNumId w:val="5"/>
  </w:num>
  <w:num w:numId="13">
    <w:abstractNumId w:val="11"/>
  </w:num>
  <w:num w:numId="14">
    <w:abstractNumId w:val="14"/>
  </w:num>
  <w:num w:numId="15">
    <w:abstractNumId w:val="13"/>
  </w:num>
  <w:num w:numId="16">
    <w:abstractNumId w:val="22"/>
  </w:num>
  <w:num w:numId="17">
    <w:abstractNumId w:val="17"/>
  </w:num>
  <w:num w:numId="18">
    <w:abstractNumId w:val="8"/>
  </w:num>
  <w:num w:numId="19">
    <w:abstractNumId w:val="15"/>
  </w:num>
  <w:num w:numId="20">
    <w:abstractNumId w:val="10"/>
  </w:num>
  <w:num w:numId="21">
    <w:abstractNumId w:val="6"/>
  </w:num>
  <w:num w:numId="22">
    <w:abstractNumId w:val="18"/>
  </w:num>
  <w:num w:numId="23">
    <w:abstractNumId w:val="23"/>
  </w:num>
  <w:num w:numId="24">
    <w:abstractNumId w:val="1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ttachedTemplate r:id="rId1"/>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5C9A"/>
    <w:rsid w:val="000019D2"/>
    <w:rsid w:val="00001D49"/>
    <w:rsid w:val="000027B5"/>
    <w:rsid w:val="0000525C"/>
    <w:rsid w:val="00005E4C"/>
    <w:rsid w:val="00005FE3"/>
    <w:rsid w:val="0000609A"/>
    <w:rsid w:val="000065B2"/>
    <w:rsid w:val="0000671A"/>
    <w:rsid w:val="000100DB"/>
    <w:rsid w:val="00010213"/>
    <w:rsid w:val="000132F0"/>
    <w:rsid w:val="00017B4F"/>
    <w:rsid w:val="00017D04"/>
    <w:rsid w:val="00020412"/>
    <w:rsid w:val="00021A18"/>
    <w:rsid w:val="000244A3"/>
    <w:rsid w:val="00025F69"/>
    <w:rsid w:val="000261BF"/>
    <w:rsid w:val="00030631"/>
    <w:rsid w:val="00031EC8"/>
    <w:rsid w:val="00033861"/>
    <w:rsid w:val="00034AC3"/>
    <w:rsid w:val="00036AD7"/>
    <w:rsid w:val="00036BE9"/>
    <w:rsid w:val="00036F33"/>
    <w:rsid w:val="00042480"/>
    <w:rsid w:val="0004413A"/>
    <w:rsid w:val="0004475F"/>
    <w:rsid w:val="000448AE"/>
    <w:rsid w:val="00044A64"/>
    <w:rsid w:val="00045E0E"/>
    <w:rsid w:val="00052D1B"/>
    <w:rsid w:val="00053DCD"/>
    <w:rsid w:val="000543A2"/>
    <w:rsid w:val="000548DA"/>
    <w:rsid w:val="000554B5"/>
    <w:rsid w:val="00055818"/>
    <w:rsid w:val="000558B1"/>
    <w:rsid w:val="0005675C"/>
    <w:rsid w:val="000568C2"/>
    <w:rsid w:val="0005731D"/>
    <w:rsid w:val="0005745F"/>
    <w:rsid w:val="0005766E"/>
    <w:rsid w:val="000579E2"/>
    <w:rsid w:val="000601AC"/>
    <w:rsid w:val="00061C67"/>
    <w:rsid w:val="0006237C"/>
    <w:rsid w:val="00062B9A"/>
    <w:rsid w:val="00062CF3"/>
    <w:rsid w:val="000638A2"/>
    <w:rsid w:val="00064F54"/>
    <w:rsid w:val="000652E1"/>
    <w:rsid w:val="000701BF"/>
    <w:rsid w:val="00070368"/>
    <w:rsid w:val="000707BF"/>
    <w:rsid w:val="00070D98"/>
    <w:rsid w:val="0007113E"/>
    <w:rsid w:val="00072021"/>
    <w:rsid w:val="000749C1"/>
    <w:rsid w:val="0007698B"/>
    <w:rsid w:val="00086192"/>
    <w:rsid w:val="00087DDA"/>
    <w:rsid w:val="00092505"/>
    <w:rsid w:val="00092970"/>
    <w:rsid w:val="0009358A"/>
    <w:rsid w:val="000943C3"/>
    <w:rsid w:val="000A1AAC"/>
    <w:rsid w:val="000A34A1"/>
    <w:rsid w:val="000A4C92"/>
    <w:rsid w:val="000A5EB2"/>
    <w:rsid w:val="000A798B"/>
    <w:rsid w:val="000B1B54"/>
    <w:rsid w:val="000C0BC6"/>
    <w:rsid w:val="000C0E0B"/>
    <w:rsid w:val="000C15E2"/>
    <w:rsid w:val="000C2DD3"/>
    <w:rsid w:val="000C598E"/>
    <w:rsid w:val="000C6B69"/>
    <w:rsid w:val="000C7231"/>
    <w:rsid w:val="000D0DA5"/>
    <w:rsid w:val="000D0E78"/>
    <w:rsid w:val="000D1D05"/>
    <w:rsid w:val="000D277B"/>
    <w:rsid w:val="000D3E71"/>
    <w:rsid w:val="000D3EC9"/>
    <w:rsid w:val="000D5791"/>
    <w:rsid w:val="000E0060"/>
    <w:rsid w:val="000E04F5"/>
    <w:rsid w:val="000E1C83"/>
    <w:rsid w:val="000E3515"/>
    <w:rsid w:val="000E4A4F"/>
    <w:rsid w:val="000F3023"/>
    <w:rsid w:val="000F745C"/>
    <w:rsid w:val="00100078"/>
    <w:rsid w:val="001039CD"/>
    <w:rsid w:val="00103BFA"/>
    <w:rsid w:val="001044BA"/>
    <w:rsid w:val="00104DB7"/>
    <w:rsid w:val="001053AC"/>
    <w:rsid w:val="00105CD6"/>
    <w:rsid w:val="001066BE"/>
    <w:rsid w:val="00106B15"/>
    <w:rsid w:val="00111430"/>
    <w:rsid w:val="00112407"/>
    <w:rsid w:val="0011597C"/>
    <w:rsid w:val="00120944"/>
    <w:rsid w:val="00122497"/>
    <w:rsid w:val="0012404B"/>
    <w:rsid w:val="00134A84"/>
    <w:rsid w:val="001351CC"/>
    <w:rsid w:val="00137FCB"/>
    <w:rsid w:val="00143640"/>
    <w:rsid w:val="00143E2A"/>
    <w:rsid w:val="00145521"/>
    <w:rsid w:val="00145DC0"/>
    <w:rsid w:val="00147B04"/>
    <w:rsid w:val="00152F61"/>
    <w:rsid w:val="001534B8"/>
    <w:rsid w:val="00154521"/>
    <w:rsid w:val="00154F89"/>
    <w:rsid w:val="001551A5"/>
    <w:rsid w:val="0016429B"/>
    <w:rsid w:val="0016675D"/>
    <w:rsid w:val="001668F7"/>
    <w:rsid w:val="00170AEE"/>
    <w:rsid w:val="00170F3B"/>
    <w:rsid w:val="0017235B"/>
    <w:rsid w:val="00172692"/>
    <w:rsid w:val="00173DD7"/>
    <w:rsid w:val="00176F33"/>
    <w:rsid w:val="00177F8A"/>
    <w:rsid w:val="00180008"/>
    <w:rsid w:val="001836E6"/>
    <w:rsid w:val="00185204"/>
    <w:rsid w:val="001852DF"/>
    <w:rsid w:val="00185ED0"/>
    <w:rsid w:val="00186EC8"/>
    <w:rsid w:val="00187AD3"/>
    <w:rsid w:val="001902FF"/>
    <w:rsid w:val="00190C16"/>
    <w:rsid w:val="00193CED"/>
    <w:rsid w:val="00194999"/>
    <w:rsid w:val="00195178"/>
    <w:rsid w:val="001961DF"/>
    <w:rsid w:val="0019683C"/>
    <w:rsid w:val="00196AAD"/>
    <w:rsid w:val="00196B7A"/>
    <w:rsid w:val="00196F63"/>
    <w:rsid w:val="001A4A4F"/>
    <w:rsid w:val="001A5421"/>
    <w:rsid w:val="001A5845"/>
    <w:rsid w:val="001B0543"/>
    <w:rsid w:val="001B229C"/>
    <w:rsid w:val="001B2881"/>
    <w:rsid w:val="001B31B6"/>
    <w:rsid w:val="001B3A97"/>
    <w:rsid w:val="001C2451"/>
    <w:rsid w:val="001C251E"/>
    <w:rsid w:val="001C3A2B"/>
    <w:rsid w:val="001C66F6"/>
    <w:rsid w:val="001C7492"/>
    <w:rsid w:val="001D0B33"/>
    <w:rsid w:val="001D0F70"/>
    <w:rsid w:val="001D409F"/>
    <w:rsid w:val="001D4107"/>
    <w:rsid w:val="001D50E9"/>
    <w:rsid w:val="001D59C1"/>
    <w:rsid w:val="001D604B"/>
    <w:rsid w:val="001D6ACA"/>
    <w:rsid w:val="001D7CF7"/>
    <w:rsid w:val="001E4C45"/>
    <w:rsid w:val="001F4945"/>
    <w:rsid w:val="001F5543"/>
    <w:rsid w:val="001F7E96"/>
    <w:rsid w:val="00200D82"/>
    <w:rsid w:val="0020137C"/>
    <w:rsid w:val="00206327"/>
    <w:rsid w:val="0020648A"/>
    <w:rsid w:val="002066F5"/>
    <w:rsid w:val="00211C73"/>
    <w:rsid w:val="00213FC0"/>
    <w:rsid w:val="00215B90"/>
    <w:rsid w:val="0021775F"/>
    <w:rsid w:val="00217763"/>
    <w:rsid w:val="0022145C"/>
    <w:rsid w:val="0022152F"/>
    <w:rsid w:val="00221F8D"/>
    <w:rsid w:val="002223DC"/>
    <w:rsid w:val="002232C6"/>
    <w:rsid w:val="0022341E"/>
    <w:rsid w:val="002238D5"/>
    <w:rsid w:val="00226DA9"/>
    <w:rsid w:val="0023106E"/>
    <w:rsid w:val="00233A92"/>
    <w:rsid w:val="00234867"/>
    <w:rsid w:val="002357C7"/>
    <w:rsid w:val="00235DF6"/>
    <w:rsid w:val="00236113"/>
    <w:rsid w:val="002363B0"/>
    <w:rsid w:val="0023709C"/>
    <w:rsid w:val="002406F8"/>
    <w:rsid w:val="002407D8"/>
    <w:rsid w:val="00240FC2"/>
    <w:rsid w:val="002417A6"/>
    <w:rsid w:val="0024310E"/>
    <w:rsid w:val="00243AFE"/>
    <w:rsid w:val="002441AF"/>
    <w:rsid w:val="00244382"/>
    <w:rsid w:val="002468AB"/>
    <w:rsid w:val="00247202"/>
    <w:rsid w:val="00247890"/>
    <w:rsid w:val="00247D84"/>
    <w:rsid w:val="00250126"/>
    <w:rsid w:val="002506F0"/>
    <w:rsid w:val="00251C75"/>
    <w:rsid w:val="00252DD5"/>
    <w:rsid w:val="00255C9A"/>
    <w:rsid w:val="00255FE6"/>
    <w:rsid w:val="00256B85"/>
    <w:rsid w:val="00263125"/>
    <w:rsid w:val="00263202"/>
    <w:rsid w:val="002634DB"/>
    <w:rsid w:val="0026398A"/>
    <w:rsid w:val="00264CDD"/>
    <w:rsid w:val="00267657"/>
    <w:rsid w:val="0027044F"/>
    <w:rsid w:val="00272828"/>
    <w:rsid w:val="00273628"/>
    <w:rsid w:val="002738DB"/>
    <w:rsid w:val="00273FD9"/>
    <w:rsid w:val="002753BA"/>
    <w:rsid w:val="00282B8E"/>
    <w:rsid w:val="00283B43"/>
    <w:rsid w:val="00285CBB"/>
    <w:rsid w:val="00286B56"/>
    <w:rsid w:val="0028772D"/>
    <w:rsid w:val="00290BBF"/>
    <w:rsid w:val="00292DED"/>
    <w:rsid w:val="00294577"/>
    <w:rsid w:val="002952A7"/>
    <w:rsid w:val="002976F4"/>
    <w:rsid w:val="002A58AE"/>
    <w:rsid w:val="002A5FFA"/>
    <w:rsid w:val="002A6CDC"/>
    <w:rsid w:val="002A6E38"/>
    <w:rsid w:val="002A7F14"/>
    <w:rsid w:val="002A7FD8"/>
    <w:rsid w:val="002B0896"/>
    <w:rsid w:val="002B10A0"/>
    <w:rsid w:val="002B215E"/>
    <w:rsid w:val="002B41CF"/>
    <w:rsid w:val="002B7FE1"/>
    <w:rsid w:val="002C00B4"/>
    <w:rsid w:val="002C1E16"/>
    <w:rsid w:val="002C1E24"/>
    <w:rsid w:val="002C36ED"/>
    <w:rsid w:val="002C5DA4"/>
    <w:rsid w:val="002D4FE7"/>
    <w:rsid w:val="002D5231"/>
    <w:rsid w:val="002D6D12"/>
    <w:rsid w:val="002E0192"/>
    <w:rsid w:val="002E20F0"/>
    <w:rsid w:val="002E2696"/>
    <w:rsid w:val="002E2766"/>
    <w:rsid w:val="002E3FDB"/>
    <w:rsid w:val="002E584A"/>
    <w:rsid w:val="002E61B2"/>
    <w:rsid w:val="002F1325"/>
    <w:rsid w:val="002F19EF"/>
    <w:rsid w:val="002F3C72"/>
    <w:rsid w:val="002F4A29"/>
    <w:rsid w:val="002F76B6"/>
    <w:rsid w:val="00301303"/>
    <w:rsid w:val="00302D3D"/>
    <w:rsid w:val="003033D7"/>
    <w:rsid w:val="00307AFB"/>
    <w:rsid w:val="00307B1E"/>
    <w:rsid w:val="003100BE"/>
    <w:rsid w:val="0031491A"/>
    <w:rsid w:val="00315C27"/>
    <w:rsid w:val="003166E4"/>
    <w:rsid w:val="00317EF0"/>
    <w:rsid w:val="003210C9"/>
    <w:rsid w:val="00321694"/>
    <w:rsid w:val="00325B66"/>
    <w:rsid w:val="00326CE7"/>
    <w:rsid w:val="003274C1"/>
    <w:rsid w:val="00327F89"/>
    <w:rsid w:val="0033026D"/>
    <w:rsid w:val="00336B08"/>
    <w:rsid w:val="00336C22"/>
    <w:rsid w:val="003401E8"/>
    <w:rsid w:val="00341949"/>
    <w:rsid w:val="00344BC7"/>
    <w:rsid w:val="00346D90"/>
    <w:rsid w:val="003526E2"/>
    <w:rsid w:val="00352FCA"/>
    <w:rsid w:val="00353060"/>
    <w:rsid w:val="00353065"/>
    <w:rsid w:val="00353CCA"/>
    <w:rsid w:val="00355712"/>
    <w:rsid w:val="00355965"/>
    <w:rsid w:val="0035645C"/>
    <w:rsid w:val="0036002C"/>
    <w:rsid w:val="00362171"/>
    <w:rsid w:val="003626C9"/>
    <w:rsid w:val="00363318"/>
    <w:rsid w:val="00363D40"/>
    <w:rsid w:val="00366830"/>
    <w:rsid w:val="00371375"/>
    <w:rsid w:val="0037418C"/>
    <w:rsid w:val="00374865"/>
    <w:rsid w:val="003778E1"/>
    <w:rsid w:val="00377BF3"/>
    <w:rsid w:val="00383C7D"/>
    <w:rsid w:val="003846E5"/>
    <w:rsid w:val="00386729"/>
    <w:rsid w:val="0038696E"/>
    <w:rsid w:val="00387A4B"/>
    <w:rsid w:val="0039410A"/>
    <w:rsid w:val="00395420"/>
    <w:rsid w:val="0039578D"/>
    <w:rsid w:val="003972F7"/>
    <w:rsid w:val="003A1935"/>
    <w:rsid w:val="003A1E27"/>
    <w:rsid w:val="003A2312"/>
    <w:rsid w:val="003A45FB"/>
    <w:rsid w:val="003B21D2"/>
    <w:rsid w:val="003B3ED2"/>
    <w:rsid w:val="003B48BA"/>
    <w:rsid w:val="003B5EE3"/>
    <w:rsid w:val="003B6103"/>
    <w:rsid w:val="003B6760"/>
    <w:rsid w:val="003C48F7"/>
    <w:rsid w:val="003D013C"/>
    <w:rsid w:val="003D31D8"/>
    <w:rsid w:val="003D3D0B"/>
    <w:rsid w:val="003D4104"/>
    <w:rsid w:val="003D465C"/>
    <w:rsid w:val="003D7887"/>
    <w:rsid w:val="003D7AEF"/>
    <w:rsid w:val="003E0F30"/>
    <w:rsid w:val="003E377D"/>
    <w:rsid w:val="003E5D50"/>
    <w:rsid w:val="003E7876"/>
    <w:rsid w:val="003E7A35"/>
    <w:rsid w:val="003F0C70"/>
    <w:rsid w:val="003F1A66"/>
    <w:rsid w:val="003F2FC2"/>
    <w:rsid w:val="003F3AB4"/>
    <w:rsid w:val="003F3C7C"/>
    <w:rsid w:val="003F41D8"/>
    <w:rsid w:val="003F4615"/>
    <w:rsid w:val="003F4F8C"/>
    <w:rsid w:val="003F6C74"/>
    <w:rsid w:val="003F766B"/>
    <w:rsid w:val="00402B1A"/>
    <w:rsid w:val="004055C8"/>
    <w:rsid w:val="00405E69"/>
    <w:rsid w:val="004076FB"/>
    <w:rsid w:val="00407BD8"/>
    <w:rsid w:val="00412755"/>
    <w:rsid w:val="00415A93"/>
    <w:rsid w:val="00416043"/>
    <w:rsid w:val="004170F1"/>
    <w:rsid w:val="00420B33"/>
    <w:rsid w:val="004249E1"/>
    <w:rsid w:val="00425896"/>
    <w:rsid w:val="00433DCB"/>
    <w:rsid w:val="0043487F"/>
    <w:rsid w:val="00434C40"/>
    <w:rsid w:val="004357D6"/>
    <w:rsid w:val="00436699"/>
    <w:rsid w:val="004371FE"/>
    <w:rsid w:val="0043740F"/>
    <w:rsid w:val="004377AB"/>
    <w:rsid w:val="00437B7F"/>
    <w:rsid w:val="0044094A"/>
    <w:rsid w:val="00440F41"/>
    <w:rsid w:val="00441E6D"/>
    <w:rsid w:val="00443E4F"/>
    <w:rsid w:val="00444D0A"/>
    <w:rsid w:val="00444DF8"/>
    <w:rsid w:val="00446A3B"/>
    <w:rsid w:val="00447F4E"/>
    <w:rsid w:val="0045085A"/>
    <w:rsid w:val="00451875"/>
    <w:rsid w:val="0045191D"/>
    <w:rsid w:val="00453EA7"/>
    <w:rsid w:val="00455DC3"/>
    <w:rsid w:val="0045698F"/>
    <w:rsid w:val="0046004A"/>
    <w:rsid w:val="00461097"/>
    <w:rsid w:val="00461DA3"/>
    <w:rsid w:val="00465173"/>
    <w:rsid w:val="004677FC"/>
    <w:rsid w:val="004711FC"/>
    <w:rsid w:val="0047175B"/>
    <w:rsid w:val="004724B8"/>
    <w:rsid w:val="00473939"/>
    <w:rsid w:val="00474B2E"/>
    <w:rsid w:val="00475279"/>
    <w:rsid w:val="00480D19"/>
    <w:rsid w:val="00490697"/>
    <w:rsid w:val="00490F8A"/>
    <w:rsid w:val="004922EF"/>
    <w:rsid w:val="00492511"/>
    <w:rsid w:val="00492D11"/>
    <w:rsid w:val="00493ED7"/>
    <w:rsid w:val="004946B7"/>
    <w:rsid w:val="00494A81"/>
    <w:rsid w:val="004960B2"/>
    <w:rsid w:val="00496ECD"/>
    <w:rsid w:val="00497832"/>
    <w:rsid w:val="004A0749"/>
    <w:rsid w:val="004A2438"/>
    <w:rsid w:val="004A4F50"/>
    <w:rsid w:val="004A5C7C"/>
    <w:rsid w:val="004B2888"/>
    <w:rsid w:val="004B2BE6"/>
    <w:rsid w:val="004B636C"/>
    <w:rsid w:val="004B7C33"/>
    <w:rsid w:val="004C11AD"/>
    <w:rsid w:val="004C183B"/>
    <w:rsid w:val="004C1DA2"/>
    <w:rsid w:val="004C3FA7"/>
    <w:rsid w:val="004C49A3"/>
    <w:rsid w:val="004C57A9"/>
    <w:rsid w:val="004C68F3"/>
    <w:rsid w:val="004D1B43"/>
    <w:rsid w:val="004D2DF1"/>
    <w:rsid w:val="004D729E"/>
    <w:rsid w:val="004E1815"/>
    <w:rsid w:val="004E35C3"/>
    <w:rsid w:val="004E4028"/>
    <w:rsid w:val="004E58A1"/>
    <w:rsid w:val="004E7476"/>
    <w:rsid w:val="004F0A25"/>
    <w:rsid w:val="004F1ACD"/>
    <w:rsid w:val="004F26BA"/>
    <w:rsid w:val="004F2BF4"/>
    <w:rsid w:val="004F32E8"/>
    <w:rsid w:val="004F5485"/>
    <w:rsid w:val="004F7BEC"/>
    <w:rsid w:val="00502667"/>
    <w:rsid w:val="00504C5E"/>
    <w:rsid w:val="00506959"/>
    <w:rsid w:val="00512A76"/>
    <w:rsid w:val="00513DE2"/>
    <w:rsid w:val="00517C6B"/>
    <w:rsid w:val="0052069F"/>
    <w:rsid w:val="005234B8"/>
    <w:rsid w:val="00524570"/>
    <w:rsid w:val="00525262"/>
    <w:rsid w:val="005253E8"/>
    <w:rsid w:val="00525811"/>
    <w:rsid w:val="0052612F"/>
    <w:rsid w:val="0052644A"/>
    <w:rsid w:val="005264D9"/>
    <w:rsid w:val="00527154"/>
    <w:rsid w:val="005314CC"/>
    <w:rsid w:val="005323EA"/>
    <w:rsid w:val="0053390D"/>
    <w:rsid w:val="00534ED9"/>
    <w:rsid w:val="0053738E"/>
    <w:rsid w:val="00540126"/>
    <w:rsid w:val="005411F9"/>
    <w:rsid w:val="00543C7C"/>
    <w:rsid w:val="005445A9"/>
    <w:rsid w:val="00544ECC"/>
    <w:rsid w:val="0055070F"/>
    <w:rsid w:val="00551453"/>
    <w:rsid w:val="00552955"/>
    <w:rsid w:val="00552E33"/>
    <w:rsid w:val="005556E9"/>
    <w:rsid w:val="00557F89"/>
    <w:rsid w:val="0056050A"/>
    <w:rsid w:val="00561EB0"/>
    <w:rsid w:val="00562265"/>
    <w:rsid w:val="00563E2F"/>
    <w:rsid w:val="00564105"/>
    <w:rsid w:val="00566687"/>
    <w:rsid w:val="00566D4E"/>
    <w:rsid w:val="00572DD1"/>
    <w:rsid w:val="00576724"/>
    <w:rsid w:val="00576915"/>
    <w:rsid w:val="005775BC"/>
    <w:rsid w:val="00585B43"/>
    <w:rsid w:val="0058639E"/>
    <w:rsid w:val="00586DD6"/>
    <w:rsid w:val="00590C02"/>
    <w:rsid w:val="005926F4"/>
    <w:rsid w:val="005928E8"/>
    <w:rsid w:val="00596221"/>
    <w:rsid w:val="005A293E"/>
    <w:rsid w:val="005A53E2"/>
    <w:rsid w:val="005A6184"/>
    <w:rsid w:val="005B0D86"/>
    <w:rsid w:val="005B4F92"/>
    <w:rsid w:val="005B79F8"/>
    <w:rsid w:val="005C14D1"/>
    <w:rsid w:val="005C164C"/>
    <w:rsid w:val="005C2655"/>
    <w:rsid w:val="005C3994"/>
    <w:rsid w:val="005C44CB"/>
    <w:rsid w:val="005C7F34"/>
    <w:rsid w:val="005D266F"/>
    <w:rsid w:val="005D5372"/>
    <w:rsid w:val="005E0108"/>
    <w:rsid w:val="005E0A3D"/>
    <w:rsid w:val="005E31C0"/>
    <w:rsid w:val="005E750C"/>
    <w:rsid w:val="005F0535"/>
    <w:rsid w:val="005F229E"/>
    <w:rsid w:val="005F2304"/>
    <w:rsid w:val="005F25C1"/>
    <w:rsid w:val="005F3D50"/>
    <w:rsid w:val="005F4962"/>
    <w:rsid w:val="005F56ED"/>
    <w:rsid w:val="005F6178"/>
    <w:rsid w:val="005F6FB7"/>
    <w:rsid w:val="006002C4"/>
    <w:rsid w:val="00600BED"/>
    <w:rsid w:val="00601C67"/>
    <w:rsid w:val="0060282A"/>
    <w:rsid w:val="0061374E"/>
    <w:rsid w:val="00614998"/>
    <w:rsid w:val="00614E97"/>
    <w:rsid w:val="00617577"/>
    <w:rsid w:val="00621F0A"/>
    <w:rsid w:val="006228FE"/>
    <w:rsid w:val="00622F10"/>
    <w:rsid w:val="0062372D"/>
    <w:rsid w:val="006242A2"/>
    <w:rsid w:val="00630156"/>
    <w:rsid w:val="0063136C"/>
    <w:rsid w:val="006337F1"/>
    <w:rsid w:val="0063438F"/>
    <w:rsid w:val="00636C54"/>
    <w:rsid w:val="006376DA"/>
    <w:rsid w:val="00640526"/>
    <w:rsid w:val="006408AE"/>
    <w:rsid w:val="006409E6"/>
    <w:rsid w:val="00640A39"/>
    <w:rsid w:val="0064155E"/>
    <w:rsid w:val="00642238"/>
    <w:rsid w:val="006432B2"/>
    <w:rsid w:val="0064521E"/>
    <w:rsid w:val="00645CC8"/>
    <w:rsid w:val="00645D1D"/>
    <w:rsid w:val="0064690D"/>
    <w:rsid w:val="00646C31"/>
    <w:rsid w:val="00653E92"/>
    <w:rsid w:val="0065478C"/>
    <w:rsid w:val="00655779"/>
    <w:rsid w:val="00655C4B"/>
    <w:rsid w:val="006576E8"/>
    <w:rsid w:val="006578B7"/>
    <w:rsid w:val="00662AD3"/>
    <w:rsid w:val="00666217"/>
    <w:rsid w:val="00666EC2"/>
    <w:rsid w:val="006717AE"/>
    <w:rsid w:val="006736F1"/>
    <w:rsid w:val="00674775"/>
    <w:rsid w:val="00675991"/>
    <w:rsid w:val="006806B5"/>
    <w:rsid w:val="00680DA5"/>
    <w:rsid w:val="0068200C"/>
    <w:rsid w:val="006842C8"/>
    <w:rsid w:val="006852BB"/>
    <w:rsid w:val="00687DF0"/>
    <w:rsid w:val="006920D4"/>
    <w:rsid w:val="0069327E"/>
    <w:rsid w:val="00693D86"/>
    <w:rsid w:val="00694D97"/>
    <w:rsid w:val="00695FE8"/>
    <w:rsid w:val="00696B08"/>
    <w:rsid w:val="006A023D"/>
    <w:rsid w:val="006A2BD9"/>
    <w:rsid w:val="006A3B7F"/>
    <w:rsid w:val="006A5389"/>
    <w:rsid w:val="006A611B"/>
    <w:rsid w:val="006A7243"/>
    <w:rsid w:val="006B03C3"/>
    <w:rsid w:val="006B06F9"/>
    <w:rsid w:val="006B0765"/>
    <w:rsid w:val="006B0EFF"/>
    <w:rsid w:val="006B233A"/>
    <w:rsid w:val="006B2C01"/>
    <w:rsid w:val="006B3F4C"/>
    <w:rsid w:val="006B46C0"/>
    <w:rsid w:val="006B48ED"/>
    <w:rsid w:val="006C0ACC"/>
    <w:rsid w:val="006C1E5E"/>
    <w:rsid w:val="006C202B"/>
    <w:rsid w:val="006C227D"/>
    <w:rsid w:val="006C23E0"/>
    <w:rsid w:val="006C3496"/>
    <w:rsid w:val="006C5BD1"/>
    <w:rsid w:val="006C7A42"/>
    <w:rsid w:val="006D0082"/>
    <w:rsid w:val="006D0371"/>
    <w:rsid w:val="006D0AB9"/>
    <w:rsid w:val="006D2E72"/>
    <w:rsid w:val="006D4174"/>
    <w:rsid w:val="006D612C"/>
    <w:rsid w:val="006D65AD"/>
    <w:rsid w:val="006D6FA2"/>
    <w:rsid w:val="006E1017"/>
    <w:rsid w:val="006E24AC"/>
    <w:rsid w:val="006E76CA"/>
    <w:rsid w:val="006F12D0"/>
    <w:rsid w:val="006F2DAB"/>
    <w:rsid w:val="006F2F76"/>
    <w:rsid w:val="006F45C9"/>
    <w:rsid w:val="006F5919"/>
    <w:rsid w:val="00702C1A"/>
    <w:rsid w:val="00703E21"/>
    <w:rsid w:val="007061DB"/>
    <w:rsid w:val="00712412"/>
    <w:rsid w:val="00715291"/>
    <w:rsid w:val="00721F27"/>
    <w:rsid w:val="00723132"/>
    <w:rsid w:val="00725D3F"/>
    <w:rsid w:val="00726F31"/>
    <w:rsid w:val="00726F7A"/>
    <w:rsid w:val="0073173C"/>
    <w:rsid w:val="00731FD6"/>
    <w:rsid w:val="00733D89"/>
    <w:rsid w:val="00733FD2"/>
    <w:rsid w:val="00734C7E"/>
    <w:rsid w:val="0073650F"/>
    <w:rsid w:val="007368B7"/>
    <w:rsid w:val="00736A80"/>
    <w:rsid w:val="0074009F"/>
    <w:rsid w:val="00740B3E"/>
    <w:rsid w:val="00740F3D"/>
    <w:rsid w:val="00743887"/>
    <w:rsid w:val="007448E4"/>
    <w:rsid w:val="00745933"/>
    <w:rsid w:val="00745E1B"/>
    <w:rsid w:val="00746332"/>
    <w:rsid w:val="00751D2F"/>
    <w:rsid w:val="00752208"/>
    <w:rsid w:val="0075318B"/>
    <w:rsid w:val="00755618"/>
    <w:rsid w:val="00755635"/>
    <w:rsid w:val="00760C1A"/>
    <w:rsid w:val="00760D18"/>
    <w:rsid w:val="0076109A"/>
    <w:rsid w:val="007621D5"/>
    <w:rsid w:val="00764F0F"/>
    <w:rsid w:val="007656DC"/>
    <w:rsid w:val="00766F2A"/>
    <w:rsid w:val="00767C0A"/>
    <w:rsid w:val="0077217B"/>
    <w:rsid w:val="00772D36"/>
    <w:rsid w:val="00775EB4"/>
    <w:rsid w:val="007769E2"/>
    <w:rsid w:val="0078050E"/>
    <w:rsid w:val="00780DED"/>
    <w:rsid w:val="007825FC"/>
    <w:rsid w:val="00782D41"/>
    <w:rsid w:val="0078473F"/>
    <w:rsid w:val="00784922"/>
    <w:rsid w:val="007862EF"/>
    <w:rsid w:val="00786AC0"/>
    <w:rsid w:val="00790551"/>
    <w:rsid w:val="007A1BFA"/>
    <w:rsid w:val="007A1CB0"/>
    <w:rsid w:val="007A3DA0"/>
    <w:rsid w:val="007A4931"/>
    <w:rsid w:val="007A601E"/>
    <w:rsid w:val="007A6715"/>
    <w:rsid w:val="007A70DF"/>
    <w:rsid w:val="007B1B90"/>
    <w:rsid w:val="007B1C64"/>
    <w:rsid w:val="007B3D5C"/>
    <w:rsid w:val="007C0E60"/>
    <w:rsid w:val="007C15C6"/>
    <w:rsid w:val="007C189A"/>
    <w:rsid w:val="007C2508"/>
    <w:rsid w:val="007C2A8A"/>
    <w:rsid w:val="007C655B"/>
    <w:rsid w:val="007C7404"/>
    <w:rsid w:val="007C776C"/>
    <w:rsid w:val="007D0857"/>
    <w:rsid w:val="007D0A9D"/>
    <w:rsid w:val="007D1BFC"/>
    <w:rsid w:val="007D48EE"/>
    <w:rsid w:val="007D4FD0"/>
    <w:rsid w:val="007D5602"/>
    <w:rsid w:val="007D6D49"/>
    <w:rsid w:val="007D722C"/>
    <w:rsid w:val="007E4C00"/>
    <w:rsid w:val="007E4E24"/>
    <w:rsid w:val="007E7BC9"/>
    <w:rsid w:val="007F05BF"/>
    <w:rsid w:val="007F166D"/>
    <w:rsid w:val="007F1ECB"/>
    <w:rsid w:val="007F23DC"/>
    <w:rsid w:val="007F2B28"/>
    <w:rsid w:val="007F2C06"/>
    <w:rsid w:val="007F3228"/>
    <w:rsid w:val="007F4572"/>
    <w:rsid w:val="007F5EF8"/>
    <w:rsid w:val="007F746F"/>
    <w:rsid w:val="007F74CA"/>
    <w:rsid w:val="007F7892"/>
    <w:rsid w:val="00801444"/>
    <w:rsid w:val="00804597"/>
    <w:rsid w:val="00805CA5"/>
    <w:rsid w:val="0080610A"/>
    <w:rsid w:val="00806779"/>
    <w:rsid w:val="00807793"/>
    <w:rsid w:val="00811660"/>
    <w:rsid w:val="0081268A"/>
    <w:rsid w:val="0081293B"/>
    <w:rsid w:val="00813C56"/>
    <w:rsid w:val="00813DB4"/>
    <w:rsid w:val="0081415B"/>
    <w:rsid w:val="00815709"/>
    <w:rsid w:val="0081645A"/>
    <w:rsid w:val="00816C25"/>
    <w:rsid w:val="00822216"/>
    <w:rsid w:val="0082262B"/>
    <w:rsid w:val="00822714"/>
    <w:rsid w:val="00823E35"/>
    <w:rsid w:val="00823FB3"/>
    <w:rsid w:val="00825ABC"/>
    <w:rsid w:val="00825E87"/>
    <w:rsid w:val="00825F99"/>
    <w:rsid w:val="00826F29"/>
    <w:rsid w:val="008271DC"/>
    <w:rsid w:val="008321A8"/>
    <w:rsid w:val="008329F2"/>
    <w:rsid w:val="008357B8"/>
    <w:rsid w:val="00836042"/>
    <w:rsid w:val="00841F49"/>
    <w:rsid w:val="00843361"/>
    <w:rsid w:val="00844162"/>
    <w:rsid w:val="00846D5B"/>
    <w:rsid w:val="00846D6E"/>
    <w:rsid w:val="008521A1"/>
    <w:rsid w:val="00853F44"/>
    <w:rsid w:val="0085535C"/>
    <w:rsid w:val="00855D1E"/>
    <w:rsid w:val="00856A71"/>
    <w:rsid w:val="0085748B"/>
    <w:rsid w:val="008602AC"/>
    <w:rsid w:val="00860991"/>
    <w:rsid w:val="0086099D"/>
    <w:rsid w:val="00862053"/>
    <w:rsid w:val="00862963"/>
    <w:rsid w:val="00865014"/>
    <w:rsid w:val="0086585C"/>
    <w:rsid w:val="00866AD1"/>
    <w:rsid w:val="00867C5B"/>
    <w:rsid w:val="0087025A"/>
    <w:rsid w:val="008751B2"/>
    <w:rsid w:val="00875AE7"/>
    <w:rsid w:val="00883007"/>
    <w:rsid w:val="00883279"/>
    <w:rsid w:val="0088366A"/>
    <w:rsid w:val="008842DE"/>
    <w:rsid w:val="00887CF9"/>
    <w:rsid w:val="00887D2A"/>
    <w:rsid w:val="0089043D"/>
    <w:rsid w:val="0089161D"/>
    <w:rsid w:val="008936F6"/>
    <w:rsid w:val="00897258"/>
    <w:rsid w:val="00897D7F"/>
    <w:rsid w:val="008A1579"/>
    <w:rsid w:val="008A1FC2"/>
    <w:rsid w:val="008A32D2"/>
    <w:rsid w:val="008A56A3"/>
    <w:rsid w:val="008A5A67"/>
    <w:rsid w:val="008A6578"/>
    <w:rsid w:val="008A6DF2"/>
    <w:rsid w:val="008B17C2"/>
    <w:rsid w:val="008B332E"/>
    <w:rsid w:val="008B7FCD"/>
    <w:rsid w:val="008C060E"/>
    <w:rsid w:val="008C35A0"/>
    <w:rsid w:val="008C3E14"/>
    <w:rsid w:val="008C647A"/>
    <w:rsid w:val="008C718A"/>
    <w:rsid w:val="008C7270"/>
    <w:rsid w:val="008D0B14"/>
    <w:rsid w:val="008D3E45"/>
    <w:rsid w:val="008D4175"/>
    <w:rsid w:val="008D5E58"/>
    <w:rsid w:val="008E0A11"/>
    <w:rsid w:val="008E13CC"/>
    <w:rsid w:val="008E421C"/>
    <w:rsid w:val="008E47FD"/>
    <w:rsid w:val="008F2C8C"/>
    <w:rsid w:val="008F2E47"/>
    <w:rsid w:val="008F33B6"/>
    <w:rsid w:val="008F4E69"/>
    <w:rsid w:val="008F5D9C"/>
    <w:rsid w:val="00900287"/>
    <w:rsid w:val="00901050"/>
    <w:rsid w:val="009035EA"/>
    <w:rsid w:val="00904988"/>
    <w:rsid w:val="009065BA"/>
    <w:rsid w:val="00907F36"/>
    <w:rsid w:val="00910709"/>
    <w:rsid w:val="00913057"/>
    <w:rsid w:val="009134A5"/>
    <w:rsid w:val="00914EB8"/>
    <w:rsid w:val="00916BA8"/>
    <w:rsid w:val="0091703E"/>
    <w:rsid w:val="00917E1C"/>
    <w:rsid w:val="009208C2"/>
    <w:rsid w:val="00921B2D"/>
    <w:rsid w:val="00922678"/>
    <w:rsid w:val="00922EB1"/>
    <w:rsid w:val="00923190"/>
    <w:rsid w:val="009245D9"/>
    <w:rsid w:val="00927E0D"/>
    <w:rsid w:val="0093004A"/>
    <w:rsid w:val="00931B3F"/>
    <w:rsid w:val="00934C9C"/>
    <w:rsid w:val="0093672E"/>
    <w:rsid w:val="0094064C"/>
    <w:rsid w:val="009407A2"/>
    <w:rsid w:val="00942857"/>
    <w:rsid w:val="00944CC0"/>
    <w:rsid w:val="00945A64"/>
    <w:rsid w:val="00950E00"/>
    <w:rsid w:val="00951037"/>
    <w:rsid w:val="00951208"/>
    <w:rsid w:val="00951B1A"/>
    <w:rsid w:val="00951F68"/>
    <w:rsid w:val="00953469"/>
    <w:rsid w:val="00953C40"/>
    <w:rsid w:val="009569B1"/>
    <w:rsid w:val="00961358"/>
    <w:rsid w:val="0096150D"/>
    <w:rsid w:val="0097033D"/>
    <w:rsid w:val="00972504"/>
    <w:rsid w:val="0097310F"/>
    <w:rsid w:val="009743E2"/>
    <w:rsid w:val="00974A62"/>
    <w:rsid w:val="009801CB"/>
    <w:rsid w:val="00980DEB"/>
    <w:rsid w:val="00980F36"/>
    <w:rsid w:val="00981322"/>
    <w:rsid w:val="00981875"/>
    <w:rsid w:val="009828AF"/>
    <w:rsid w:val="00983BD2"/>
    <w:rsid w:val="00984A7F"/>
    <w:rsid w:val="0098581D"/>
    <w:rsid w:val="00990B9E"/>
    <w:rsid w:val="009915DF"/>
    <w:rsid w:val="00994DE6"/>
    <w:rsid w:val="009957C3"/>
    <w:rsid w:val="00995E02"/>
    <w:rsid w:val="009A01A3"/>
    <w:rsid w:val="009A1024"/>
    <w:rsid w:val="009A2BC7"/>
    <w:rsid w:val="009A4577"/>
    <w:rsid w:val="009A75FA"/>
    <w:rsid w:val="009A7D6F"/>
    <w:rsid w:val="009B1140"/>
    <w:rsid w:val="009B3AD1"/>
    <w:rsid w:val="009B3DDF"/>
    <w:rsid w:val="009B50EE"/>
    <w:rsid w:val="009B65F7"/>
    <w:rsid w:val="009B691D"/>
    <w:rsid w:val="009B6B64"/>
    <w:rsid w:val="009B6CB4"/>
    <w:rsid w:val="009C304A"/>
    <w:rsid w:val="009C60DC"/>
    <w:rsid w:val="009D1CDF"/>
    <w:rsid w:val="009D2517"/>
    <w:rsid w:val="009D2637"/>
    <w:rsid w:val="009D29EB"/>
    <w:rsid w:val="009D53A7"/>
    <w:rsid w:val="009D7D45"/>
    <w:rsid w:val="009E0BC7"/>
    <w:rsid w:val="009E0BF0"/>
    <w:rsid w:val="009E2BE8"/>
    <w:rsid w:val="009E4808"/>
    <w:rsid w:val="009E5215"/>
    <w:rsid w:val="009E6961"/>
    <w:rsid w:val="009E6DAA"/>
    <w:rsid w:val="009E7667"/>
    <w:rsid w:val="009E7E80"/>
    <w:rsid w:val="009F2090"/>
    <w:rsid w:val="009F2D4D"/>
    <w:rsid w:val="009F3567"/>
    <w:rsid w:val="00A01642"/>
    <w:rsid w:val="00A0251B"/>
    <w:rsid w:val="00A027BD"/>
    <w:rsid w:val="00A0281B"/>
    <w:rsid w:val="00A0354A"/>
    <w:rsid w:val="00A03A4C"/>
    <w:rsid w:val="00A04AF5"/>
    <w:rsid w:val="00A05BAD"/>
    <w:rsid w:val="00A064D5"/>
    <w:rsid w:val="00A06C2A"/>
    <w:rsid w:val="00A07906"/>
    <w:rsid w:val="00A13758"/>
    <w:rsid w:val="00A13D04"/>
    <w:rsid w:val="00A15152"/>
    <w:rsid w:val="00A1556A"/>
    <w:rsid w:val="00A164C1"/>
    <w:rsid w:val="00A172BB"/>
    <w:rsid w:val="00A20D1D"/>
    <w:rsid w:val="00A21642"/>
    <w:rsid w:val="00A250D3"/>
    <w:rsid w:val="00A25763"/>
    <w:rsid w:val="00A260DF"/>
    <w:rsid w:val="00A26A32"/>
    <w:rsid w:val="00A301E2"/>
    <w:rsid w:val="00A30642"/>
    <w:rsid w:val="00A30C37"/>
    <w:rsid w:val="00A30D92"/>
    <w:rsid w:val="00A31386"/>
    <w:rsid w:val="00A33F25"/>
    <w:rsid w:val="00A42A95"/>
    <w:rsid w:val="00A4396B"/>
    <w:rsid w:val="00A4471F"/>
    <w:rsid w:val="00A4606F"/>
    <w:rsid w:val="00A519B3"/>
    <w:rsid w:val="00A54868"/>
    <w:rsid w:val="00A55C4E"/>
    <w:rsid w:val="00A607AE"/>
    <w:rsid w:val="00A623EB"/>
    <w:rsid w:val="00A6417B"/>
    <w:rsid w:val="00A6674F"/>
    <w:rsid w:val="00A6690F"/>
    <w:rsid w:val="00A70396"/>
    <w:rsid w:val="00A7137E"/>
    <w:rsid w:val="00A739C7"/>
    <w:rsid w:val="00A7423A"/>
    <w:rsid w:val="00A76242"/>
    <w:rsid w:val="00A769C8"/>
    <w:rsid w:val="00A770F0"/>
    <w:rsid w:val="00A80103"/>
    <w:rsid w:val="00A81E09"/>
    <w:rsid w:val="00A878F0"/>
    <w:rsid w:val="00A913D9"/>
    <w:rsid w:val="00A925E9"/>
    <w:rsid w:val="00A92DC4"/>
    <w:rsid w:val="00A9427C"/>
    <w:rsid w:val="00A94472"/>
    <w:rsid w:val="00A951E2"/>
    <w:rsid w:val="00A9541F"/>
    <w:rsid w:val="00A96D26"/>
    <w:rsid w:val="00A97718"/>
    <w:rsid w:val="00AA14F2"/>
    <w:rsid w:val="00AA5391"/>
    <w:rsid w:val="00AA58E9"/>
    <w:rsid w:val="00AA6280"/>
    <w:rsid w:val="00AA67DA"/>
    <w:rsid w:val="00AA6975"/>
    <w:rsid w:val="00AB0C45"/>
    <w:rsid w:val="00AB132D"/>
    <w:rsid w:val="00AB15E8"/>
    <w:rsid w:val="00AB1C4D"/>
    <w:rsid w:val="00AB24F6"/>
    <w:rsid w:val="00AB4526"/>
    <w:rsid w:val="00AB473C"/>
    <w:rsid w:val="00AB74B3"/>
    <w:rsid w:val="00AC14BA"/>
    <w:rsid w:val="00AC162D"/>
    <w:rsid w:val="00AC3536"/>
    <w:rsid w:val="00AC4C06"/>
    <w:rsid w:val="00AC59E4"/>
    <w:rsid w:val="00AC6659"/>
    <w:rsid w:val="00AC6F0E"/>
    <w:rsid w:val="00AD1C7E"/>
    <w:rsid w:val="00AD1D53"/>
    <w:rsid w:val="00AD262F"/>
    <w:rsid w:val="00AD398D"/>
    <w:rsid w:val="00AD4F66"/>
    <w:rsid w:val="00AD7F5E"/>
    <w:rsid w:val="00AE12A7"/>
    <w:rsid w:val="00AE272B"/>
    <w:rsid w:val="00AE2B89"/>
    <w:rsid w:val="00AE5E27"/>
    <w:rsid w:val="00AE6D9C"/>
    <w:rsid w:val="00AF1AE1"/>
    <w:rsid w:val="00AF2C12"/>
    <w:rsid w:val="00AF2F5C"/>
    <w:rsid w:val="00AF3A1C"/>
    <w:rsid w:val="00AF6E54"/>
    <w:rsid w:val="00AF7214"/>
    <w:rsid w:val="00B00431"/>
    <w:rsid w:val="00B041AD"/>
    <w:rsid w:val="00B0485E"/>
    <w:rsid w:val="00B06586"/>
    <w:rsid w:val="00B13011"/>
    <w:rsid w:val="00B14046"/>
    <w:rsid w:val="00B15CCC"/>
    <w:rsid w:val="00B15D50"/>
    <w:rsid w:val="00B16637"/>
    <w:rsid w:val="00B211F0"/>
    <w:rsid w:val="00B26157"/>
    <w:rsid w:val="00B3237F"/>
    <w:rsid w:val="00B3279F"/>
    <w:rsid w:val="00B33EF9"/>
    <w:rsid w:val="00B35CE1"/>
    <w:rsid w:val="00B40CBD"/>
    <w:rsid w:val="00B40CC5"/>
    <w:rsid w:val="00B40F4B"/>
    <w:rsid w:val="00B429A0"/>
    <w:rsid w:val="00B443FB"/>
    <w:rsid w:val="00B47B3D"/>
    <w:rsid w:val="00B506E2"/>
    <w:rsid w:val="00B5132A"/>
    <w:rsid w:val="00B513C3"/>
    <w:rsid w:val="00B51472"/>
    <w:rsid w:val="00B51790"/>
    <w:rsid w:val="00B531E5"/>
    <w:rsid w:val="00B53E3B"/>
    <w:rsid w:val="00B54A3F"/>
    <w:rsid w:val="00B57D61"/>
    <w:rsid w:val="00B57E66"/>
    <w:rsid w:val="00B6110F"/>
    <w:rsid w:val="00B61ED0"/>
    <w:rsid w:val="00B631D1"/>
    <w:rsid w:val="00B64FAA"/>
    <w:rsid w:val="00B6624B"/>
    <w:rsid w:val="00B66B13"/>
    <w:rsid w:val="00B66C08"/>
    <w:rsid w:val="00B675F0"/>
    <w:rsid w:val="00B71807"/>
    <w:rsid w:val="00B73187"/>
    <w:rsid w:val="00B73B8D"/>
    <w:rsid w:val="00B76897"/>
    <w:rsid w:val="00B809C8"/>
    <w:rsid w:val="00B80F04"/>
    <w:rsid w:val="00B812B3"/>
    <w:rsid w:val="00B843EC"/>
    <w:rsid w:val="00B8637E"/>
    <w:rsid w:val="00B87575"/>
    <w:rsid w:val="00B91D13"/>
    <w:rsid w:val="00B95290"/>
    <w:rsid w:val="00B95390"/>
    <w:rsid w:val="00B9589C"/>
    <w:rsid w:val="00B960A5"/>
    <w:rsid w:val="00BA132C"/>
    <w:rsid w:val="00BA1DBE"/>
    <w:rsid w:val="00BA23B8"/>
    <w:rsid w:val="00BA2E29"/>
    <w:rsid w:val="00BA47F4"/>
    <w:rsid w:val="00BA51FD"/>
    <w:rsid w:val="00BA6138"/>
    <w:rsid w:val="00BA716E"/>
    <w:rsid w:val="00BB18F6"/>
    <w:rsid w:val="00BB1B05"/>
    <w:rsid w:val="00BB3A3F"/>
    <w:rsid w:val="00BB4E8A"/>
    <w:rsid w:val="00BB591B"/>
    <w:rsid w:val="00BB6035"/>
    <w:rsid w:val="00BB72C5"/>
    <w:rsid w:val="00BB785A"/>
    <w:rsid w:val="00BB7E8F"/>
    <w:rsid w:val="00BC1706"/>
    <w:rsid w:val="00BC67E5"/>
    <w:rsid w:val="00BC6C85"/>
    <w:rsid w:val="00BC70D6"/>
    <w:rsid w:val="00BC7253"/>
    <w:rsid w:val="00BC748B"/>
    <w:rsid w:val="00BD075B"/>
    <w:rsid w:val="00BD0F39"/>
    <w:rsid w:val="00BD125E"/>
    <w:rsid w:val="00BD1B36"/>
    <w:rsid w:val="00BD1B83"/>
    <w:rsid w:val="00BD24C0"/>
    <w:rsid w:val="00BD4009"/>
    <w:rsid w:val="00BD50E9"/>
    <w:rsid w:val="00BD6DA3"/>
    <w:rsid w:val="00BD7C6A"/>
    <w:rsid w:val="00BD7D7A"/>
    <w:rsid w:val="00BE1A39"/>
    <w:rsid w:val="00BF2C60"/>
    <w:rsid w:val="00BF5549"/>
    <w:rsid w:val="00C0041F"/>
    <w:rsid w:val="00C053AA"/>
    <w:rsid w:val="00C05FB2"/>
    <w:rsid w:val="00C0710C"/>
    <w:rsid w:val="00C118A2"/>
    <w:rsid w:val="00C1308E"/>
    <w:rsid w:val="00C149E8"/>
    <w:rsid w:val="00C15EF8"/>
    <w:rsid w:val="00C16AD5"/>
    <w:rsid w:val="00C17F6E"/>
    <w:rsid w:val="00C23A3E"/>
    <w:rsid w:val="00C26394"/>
    <w:rsid w:val="00C27ABF"/>
    <w:rsid w:val="00C3082F"/>
    <w:rsid w:val="00C30F00"/>
    <w:rsid w:val="00C32635"/>
    <w:rsid w:val="00C336E4"/>
    <w:rsid w:val="00C41C4E"/>
    <w:rsid w:val="00C420AC"/>
    <w:rsid w:val="00C42A15"/>
    <w:rsid w:val="00C435C2"/>
    <w:rsid w:val="00C45D8F"/>
    <w:rsid w:val="00C502A5"/>
    <w:rsid w:val="00C50852"/>
    <w:rsid w:val="00C5159D"/>
    <w:rsid w:val="00C51EBB"/>
    <w:rsid w:val="00C52A37"/>
    <w:rsid w:val="00C53C26"/>
    <w:rsid w:val="00C55308"/>
    <w:rsid w:val="00C5571F"/>
    <w:rsid w:val="00C564AA"/>
    <w:rsid w:val="00C56B17"/>
    <w:rsid w:val="00C60D6E"/>
    <w:rsid w:val="00C6234B"/>
    <w:rsid w:val="00C625DC"/>
    <w:rsid w:val="00C62A6C"/>
    <w:rsid w:val="00C6336E"/>
    <w:rsid w:val="00C63ECE"/>
    <w:rsid w:val="00C63EF4"/>
    <w:rsid w:val="00C642EA"/>
    <w:rsid w:val="00C65EC4"/>
    <w:rsid w:val="00C66622"/>
    <w:rsid w:val="00C67081"/>
    <w:rsid w:val="00C7001C"/>
    <w:rsid w:val="00C738BD"/>
    <w:rsid w:val="00C74879"/>
    <w:rsid w:val="00C75012"/>
    <w:rsid w:val="00C76647"/>
    <w:rsid w:val="00C81F1F"/>
    <w:rsid w:val="00C82A2D"/>
    <w:rsid w:val="00C8301E"/>
    <w:rsid w:val="00C849AA"/>
    <w:rsid w:val="00C8546D"/>
    <w:rsid w:val="00C8547F"/>
    <w:rsid w:val="00C860B7"/>
    <w:rsid w:val="00C861AE"/>
    <w:rsid w:val="00C866F6"/>
    <w:rsid w:val="00C86D39"/>
    <w:rsid w:val="00C872AE"/>
    <w:rsid w:val="00C907AA"/>
    <w:rsid w:val="00C95A9F"/>
    <w:rsid w:val="00C95D28"/>
    <w:rsid w:val="00CA0C9C"/>
    <w:rsid w:val="00CA1575"/>
    <w:rsid w:val="00CA1F1D"/>
    <w:rsid w:val="00CA614B"/>
    <w:rsid w:val="00CA7762"/>
    <w:rsid w:val="00CB1A65"/>
    <w:rsid w:val="00CB1EAF"/>
    <w:rsid w:val="00CB30A2"/>
    <w:rsid w:val="00CB3DE7"/>
    <w:rsid w:val="00CB4BD8"/>
    <w:rsid w:val="00CB4C90"/>
    <w:rsid w:val="00CB4EBF"/>
    <w:rsid w:val="00CB5920"/>
    <w:rsid w:val="00CB742F"/>
    <w:rsid w:val="00CB7CF3"/>
    <w:rsid w:val="00CB7EA7"/>
    <w:rsid w:val="00CC0152"/>
    <w:rsid w:val="00CC092E"/>
    <w:rsid w:val="00CC14D7"/>
    <w:rsid w:val="00CC1D21"/>
    <w:rsid w:val="00CC1EFC"/>
    <w:rsid w:val="00CC1F28"/>
    <w:rsid w:val="00CC2E89"/>
    <w:rsid w:val="00CC4A6D"/>
    <w:rsid w:val="00CD0081"/>
    <w:rsid w:val="00CD03AD"/>
    <w:rsid w:val="00CD11AB"/>
    <w:rsid w:val="00CD2E55"/>
    <w:rsid w:val="00CD3485"/>
    <w:rsid w:val="00CD3ACE"/>
    <w:rsid w:val="00CD4602"/>
    <w:rsid w:val="00CD4D97"/>
    <w:rsid w:val="00CD5252"/>
    <w:rsid w:val="00CD7FB0"/>
    <w:rsid w:val="00CE14C9"/>
    <w:rsid w:val="00CE1A4A"/>
    <w:rsid w:val="00CE1E24"/>
    <w:rsid w:val="00CE208B"/>
    <w:rsid w:val="00CE3325"/>
    <w:rsid w:val="00CE5E96"/>
    <w:rsid w:val="00CF1197"/>
    <w:rsid w:val="00CF2BD6"/>
    <w:rsid w:val="00CF4FE9"/>
    <w:rsid w:val="00CF5700"/>
    <w:rsid w:val="00CF597D"/>
    <w:rsid w:val="00CF6D37"/>
    <w:rsid w:val="00CF78C6"/>
    <w:rsid w:val="00CF7922"/>
    <w:rsid w:val="00CF7BFD"/>
    <w:rsid w:val="00D0448C"/>
    <w:rsid w:val="00D07B0C"/>
    <w:rsid w:val="00D10B9D"/>
    <w:rsid w:val="00D1279A"/>
    <w:rsid w:val="00D12B77"/>
    <w:rsid w:val="00D1779F"/>
    <w:rsid w:val="00D178E7"/>
    <w:rsid w:val="00D179C7"/>
    <w:rsid w:val="00D2010F"/>
    <w:rsid w:val="00D20A07"/>
    <w:rsid w:val="00D21A25"/>
    <w:rsid w:val="00D21C29"/>
    <w:rsid w:val="00D21E5A"/>
    <w:rsid w:val="00D22483"/>
    <w:rsid w:val="00D228E9"/>
    <w:rsid w:val="00D30F1E"/>
    <w:rsid w:val="00D316BA"/>
    <w:rsid w:val="00D32944"/>
    <w:rsid w:val="00D32ED5"/>
    <w:rsid w:val="00D3402C"/>
    <w:rsid w:val="00D35929"/>
    <w:rsid w:val="00D363D4"/>
    <w:rsid w:val="00D36A0B"/>
    <w:rsid w:val="00D372C4"/>
    <w:rsid w:val="00D4007B"/>
    <w:rsid w:val="00D4183B"/>
    <w:rsid w:val="00D4267C"/>
    <w:rsid w:val="00D436DB"/>
    <w:rsid w:val="00D44103"/>
    <w:rsid w:val="00D4577D"/>
    <w:rsid w:val="00D45935"/>
    <w:rsid w:val="00D464D3"/>
    <w:rsid w:val="00D4792D"/>
    <w:rsid w:val="00D50ED8"/>
    <w:rsid w:val="00D530BD"/>
    <w:rsid w:val="00D53334"/>
    <w:rsid w:val="00D561DA"/>
    <w:rsid w:val="00D57395"/>
    <w:rsid w:val="00D577FA"/>
    <w:rsid w:val="00D57B45"/>
    <w:rsid w:val="00D57D00"/>
    <w:rsid w:val="00D61316"/>
    <w:rsid w:val="00D63E05"/>
    <w:rsid w:val="00D641C6"/>
    <w:rsid w:val="00D7078E"/>
    <w:rsid w:val="00D70B61"/>
    <w:rsid w:val="00D71650"/>
    <w:rsid w:val="00D71C6F"/>
    <w:rsid w:val="00D72753"/>
    <w:rsid w:val="00D74AE7"/>
    <w:rsid w:val="00D74E87"/>
    <w:rsid w:val="00D76CD1"/>
    <w:rsid w:val="00D779D7"/>
    <w:rsid w:val="00D81EB5"/>
    <w:rsid w:val="00D83A93"/>
    <w:rsid w:val="00D83EDF"/>
    <w:rsid w:val="00D84400"/>
    <w:rsid w:val="00D84FC4"/>
    <w:rsid w:val="00D90034"/>
    <w:rsid w:val="00D91959"/>
    <w:rsid w:val="00D92EDD"/>
    <w:rsid w:val="00D9482A"/>
    <w:rsid w:val="00D95CF3"/>
    <w:rsid w:val="00D97658"/>
    <w:rsid w:val="00D97EF9"/>
    <w:rsid w:val="00DA0757"/>
    <w:rsid w:val="00DA0E7F"/>
    <w:rsid w:val="00DA3777"/>
    <w:rsid w:val="00DA63C3"/>
    <w:rsid w:val="00DA659A"/>
    <w:rsid w:val="00DB1329"/>
    <w:rsid w:val="00DB1CC0"/>
    <w:rsid w:val="00DB47AD"/>
    <w:rsid w:val="00DB4DB7"/>
    <w:rsid w:val="00DC2E06"/>
    <w:rsid w:val="00DC57A2"/>
    <w:rsid w:val="00DC6840"/>
    <w:rsid w:val="00DC759A"/>
    <w:rsid w:val="00DD18BA"/>
    <w:rsid w:val="00DD1CB3"/>
    <w:rsid w:val="00DD27F4"/>
    <w:rsid w:val="00DD34EB"/>
    <w:rsid w:val="00DD3EF7"/>
    <w:rsid w:val="00DD4247"/>
    <w:rsid w:val="00DD60D8"/>
    <w:rsid w:val="00DD690F"/>
    <w:rsid w:val="00DD7905"/>
    <w:rsid w:val="00DE17D3"/>
    <w:rsid w:val="00DE1929"/>
    <w:rsid w:val="00DE4207"/>
    <w:rsid w:val="00DE5063"/>
    <w:rsid w:val="00DE5E4C"/>
    <w:rsid w:val="00DE68ED"/>
    <w:rsid w:val="00DF2102"/>
    <w:rsid w:val="00DF2373"/>
    <w:rsid w:val="00DF4F0C"/>
    <w:rsid w:val="00DF77AD"/>
    <w:rsid w:val="00E019CD"/>
    <w:rsid w:val="00E11C03"/>
    <w:rsid w:val="00E14C5F"/>
    <w:rsid w:val="00E15684"/>
    <w:rsid w:val="00E15D8C"/>
    <w:rsid w:val="00E16304"/>
    <w:rsid w:val="00E16F6C"/>
    <w:rsid w:val="00E1736E"/>
    <w:rsid w:val="00E1756E"/>
    <w:rsid w:val="00E17C10"/>
    <w:rsid w:val="00E2101E"/>
    <w:rsid w:val="00E218F6"/>
    <w:rsid w:val="00E22D3C"/>
    <w:rsid w:val="00E27E21"/>
    <w:rsid w:val="00E30326"/>
    <w:rsid w:val="00E30494"/>
    <w:rsid w:val="00E30D8C"/>
    <w:rsid w:val="00E31199"/>
    <w:rsid w:val="00E33BD0"/>
    <w:rsid w:val="00E340C5"/>
    <w:rsid w:val="00E35228"/>
    <w:rsid w:val="00E354E6"/>
    <w:rsid w:val="00E3603A"/>
    <w:rsid w:val="00E37953"/>
    <w:rsid w:val="00E42E7B"/>
    <w:rsid w:val="00E43330"/>
    <w:rsid w:val="00E43373"/>
    <w:rsid w:val="00E440E4"/>
    <w:rsid w:val="00E4480D"/>
    <w:rsid w:val="00E508DA"/>
    <w:rsid w:val="00E52C7F"/>
    <w:rsid w:val="00E52EC9"/>
    <w:rsid w:val="00E53002"/>
    <w:rsid w:val="00E60395"/>
    <w:rsid w:val="00E60978"/>
    <w:rsid w:val="00E633EC"/>
    <w:rsid w:val="00E658D7"/>
    <w:rsid w:val="00E671B2"/>
    <w:rsid w:val="00E67ADE"/>
    <w:rsid w:val="00E73E4F"/>
    <w:rsid w:val="00E74025"/>
    <w:rsid w:val="00E75D05"/>
    <w:rsid w:val="00E77087"/>
    <w:rsid w:val="00E77FA6"/>
    <w:rsid w:val="00E800DC"/>
    <w:rsid w:val="00E80D35"/>
    <w:rsid w:val="00E81CE5"/>
    <w:rsid w:val="00E82F66"/>
    <w:rsid w:val="00E86DE9"/>
    <w:rsid w:val="00E931A8"/>
    <w:rsid w:val="00E93C86"/>
    <w:rsid w:val="00E9444B"/>
    <w:rsid w:val="00EA2389"/>
    <w:rsid w:val="00EA58E6"/>
    <w:rsid w:val="00EB0876"/>
    <w:rsid w:val="00EB1F6B"/>
    <w:rsid w:val="00EB34AF"/>
    <w:rsid w:val="00EB6611"/>
    <w:rsid w:val="00EC0F39"/>
    <w:rsid w:val="00EC44CA"/>
    <w:rsid w:val="00EC4D9F"/>
    <w:rsid w:val="00EC69BF"/>
    <w:rsid w:val="00EC7658"/>
    <w:rsid w:val="00ED132F"/>
    <w:rsid w:val="00ED3380"/>
    <w:rsid w:val="00ED37DA"/>
    <w:rsid w:val="00ED3970"/>
    <w:rsid w:val="00ED3E91"/>
    <w:rsid w:val="00ED581A"/>
    <w:rsid w:val="00ED76DB"/>
    <w:rsid w:val="00ED7A12"/>
    <w:rsid w:val="00EE312A"/>
    <w:rsid w:val="00F03116"/>
    <w:rsid w:val="00F07EF3"/>
    <w:rsid w:val="00F108C8"/>
    <w:rsid w:val="00F1249E"/>
    <w:rsid w:val="00F12C3E"/>
    <w:rsid w:val="00F13F58"/>
    <w:rsid w:val="00F14883"/>
    <w:rsid w:val="00F15668"/>
    <w:rsid w:val="00F2037B"/>
    <w:rsid w:val="00F20AA4"/>
    <w:rsid w:val="00F212A2"/>
    <w:rsid w:val="00F21667"/>
    <w:rsid w:val="00F22CDC"/>
    <w:rsid w:val="00F23D31"/>
    <w:rsid w:val="00F2488D"/>
    <w:rsid w:val="00F2496E"/>
    <w:rsid w:val="00F2571D"/>
    <w:rsid w:val="00F25AF1"/>
    <w:rsid w:val="00F310DD"/>
    <w:rsid w:val="00F31104"/>
    <w:rsid w:val="00F33575"/>
    <w:rsid w:val="00F339E3"/>
    <w:rsid w:val="00F4251E"/>
    <w:rsid w:val="00F43E2D"/>
    <w:rsid w:val="00F51719"/>
    <w:rsid w:val="00F51AAB"/>
    <w:rsid w:val="00F52625"/>
    <w:rsid w:val="00F5306C"/>
    <w:rsid w:val="00F543A9"/>
    <w:rsid w:val="00F54A3D"/>
    <w:rsid w:val="00F54E40"/>
    <w:rsid w:val="00F55048"/>
    <w:rsid w:val="00F56440"/>
    <w:rsid w:val="00F566C7"/>
    <w:rsid w:val="00F56C11"/>
    <w:rsid w:val="00F62A01"/>
    <w:rsid w:val="00F62A0A"/>
    <w:rsid w:val="00F62EB4"/>
    <w:rsid w:val="00F64882"/>
    <w:rsid w:val="00F65E56"/>
    <w:rsid w:val="00F66186"/>
    <w:rsid w:val="00F66A02"/>
    <w:rsid w:val="00F66D72"/>
    <w:rsid w:val="00F67684"/>
    <w:rsid w:val="00F70ABE"/>
    <w:rsid w:val="00F70BAE"/>
    <w:rsid w:val="00F70FAE"/>
    <w:rsid w:val="00F72382"/>
    <w:rsid w:val="00F73A84"/>
    <w:rsid w:val="00F75F5F"/>
    <w:rsid w:val="00F76C37"/>
    <w:rsid w:val="00F77D68"/>
    <w:rsid w:val="00F822D4"/>
    <w:rsid w:val="00F82726"/>
    <w:rsid w:val="00F83014"/>
    <w:rsid w:val="00F84031"/>
    <w:rsid w:val="00F84043"/>
    <w:rsid w:val="00F84203"/>
    <w:rsid w:val="00F847BE"/>
    <w:rsid w:val="00F852B4"/>
    <w:rsid w:val="00F85625"/>
    <w:rsid w:val="00F857D5"/>
    <w:rsid w:val="00F864A4"/>
    <w:rsid w:val="00F86D39"/>
    <w:rsid w:val="00F8710F"/>
    <w:rsid w:val="00F92AAC"/>
    <w:rsid w:val="00F952A4"/>
    <w:rsid w:val="00F97D1C"/>
    <w:rsid w:val="00F97EA0"/>
    <w:rsid w:val="00FA05C5"/>
    <w:rsid w:val="00FA06C7"/>
    <w:rsid w:val="00FA1D7B"/>
    <w:rsid w:val="00FA38AE"/>
    <w:rsid w:val="00FA5596"/>
    <w:rsid w:val="00FA69D9"/>
    <w:rsid w:val="00FB0ECB"/>
    <w:rsid w:val="00FB1082"/>
    <w:rsid w:val="00FB1A2A"/>
    <w:rsid w:val="00FB3CA8"/>
    <w:rsid w:val="00FB478B"/>
    <w:rsid w:val="00FB6D13"/>
    <w:rsid w:val="00FC201D"/>
    <w:rsid w:val="00FC2105"/>
    <w:rsid w:val="00FC324A"/>
    <w:rsid w:val="00FC6824"/>
    <w:rsid w:val="00FC7145"/>
    <w:rsid w:val="00FD03A3"/>
    <w:rsid w:val="00FD0F96"/>
    <w:rsid w:val="00FD0FB5"/>
    <w:rsid w:val="00FD5FDE"/>
    <w:rsid w:val="00FD622F"/>
    <w:rsid w:val="00FD7072"/>
    <w:rsid w:val="00FD7A10"/>
    <w:rsid w:val="00FE061D"/>
    <w:rsid w:val="00FE08DF"/>
    <w:rsid w:val="00FE2837"/>
    <w:rsid w:val="00FE30CA"/>
    <w:rsid w:val="00FE40CB"/>
    <w:rsid w:val="00FE5DE1"/>
    <w:rsid w:val="00FE5E72"/>
    <w:rsid w:val="00FF53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C24D8A2"/>
  <w15:docId w15:val="{8F60B8A0-DB4D-46B1-B14A-7B549940A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595959" w:themeColor="text1" w:themeTint="A6"/>
        <w:lang w:val="en-US" w:eastAsia="ja-JP" w:bidi="ar-SA"/>
      </w:rPr>
    </w:rPrDefault>
    <w:pPrDefault>
      <w:pPr>
        <w:spacing w:before="40" w:after="160" w:line="288"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8" w:unhideWhenUsed="1" w:qFormat="1"/>
    <w:lsdException w:name="heading 5" w:semiHidden="1" w:uiPriority="18" w:unhideWhenUsed="1" w:qFormat="1"/>
    <w:lsdException w:name="heading 6" w:semiHidden="1" w:uiPriority="18" w:unhideWhenUsed="1" w:qFormat="1"/>
    <w:lsdException w:name="heading 7" w:semiHidden="1" w:uiPriority="18" w:unhideWhenUsed="1" w:qFormat="1"/>
    <w:lsdException w:name="heading 8" w:semiHidden="1" w:uiPriority="18" w:unhideWhenUsed="1" w:qFormat="1"/>
    <w:lsdException w:name="heading 9" w:semiHidden="1" w:uiPriority="1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 w:unhideWhenUsed="1" w:qFormat="1"/>
    <w:lsdException w:name="List Number 3" w:semiHidden="1" w:uiPriority="18" w:unhideWhenUsed="1" w:qFormat="1"/>
    <w:lsdException w:name="List Number 4" w:semiHidden="1" w:uiPriority="18" w:unhideWhenUsed="1"/>
    <w:lsdException w:name="List Number 5" w:semiHidden="1" w:uiPriority="18" w:unhideWhenUsed="1"/>
    <w:lsdException w:name="Title" w:semiHidden="1" w:uiPriority="19" w:qFormat="1"/>
    <w:lsdException w:name="Closing" w:semiHidden="1" w:unhideWhenUsed="1"/>
    <w:lsdException w:name="Signature" w:semiHidden="1" w:uiPriority="20"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9"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semiHidden="1"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3FD2"/>
    <w:rPr>
      <w:kern w:val="20"/>
    </w:rPr>
  </w:style>
  <w:style w:type="paragraph" w:styleId="Heading1">
    <w:name w:val="heading 1"/>
    <w:basedOn w:val="Normal"/>
    <w:next w:val="Normal"/>
    <w:link w:val="Heading1Char"/>
    <w:uiPriority w:val="1"/>
    <w:qFormat/>
    <w:pPr>
      <w:pageBreakBefore/>
      <w:spacing w:before="0" w:after="360" w:line="240" w:lineRule="auto"/>
      <w:outlineLvl w:val="0"/>
    </w:pPr>
    <w:rPr>
      <w:sz w:val="36"/>
    </w:rPr>
  </w:style>
  <w:style w:type="paragraph" w:styleId="Heading2">
    <w:name w:val="heading 2"/>
    <w:basedOn w:val="Normal"/>
    <w:next w:val="Normal"/>
    <w:link w:val="Heading2Char"/>
    <w:uiPriority w:val="1"/>
    <w:unhideWhenUsed/>
    <w:qFormat/>
    <w:pPr>
      <w:keepNext/>
      <w:keepLines/>
      <w:spacing w:before="360" w:after="60" w:line="240" w:lineRule="auto"/>
      <w:outlineLvl w:val="1"/>
    </w:pPr>
    <w:rPr>
      <w:rFonts w:asciiTheme="majorHAnsi" w:eastAsiaTheme="majorEastAsia" w:hAnsiTheme="majorHAnsi" w:cstheme="majorBidi"/>
      <w:caps/>
      <w:color w:val="4D3C77" w:themeColor="accent1" w:themeShade="BF"/>
      <w:sz w:val="24"/>
      <w14:ligatures w14:val="standardContextual"/>
    </w:rPr>
  </w:style>
  <w:style w:type="paragraph" w:styleId="Heading3">
    <w:name w:val="heading 3"/>
    <w:basedOn w:val="Normal"/>
    <w:next w:val="Normal"/>
    <w:link w:val="Heading3Char"/>
    <w:uiPriority w:val="1"/>
    <w:unhideWhenUsed/>
    <w:qFormat/>
    <w:pPr>
      <w:keepNext/>
      <w:keepLines/>
      <w:spacing w:before="200" w:after="0"/>
      <w:outlineLvl w:val="2"/>
    </w:pPr>
    <w:rPr>
      <w:rFonts w:asciiTheme="majorHAnsi" w:eastAsiaTheme="majorEastAsia" w:hAnsiTheme="majorHAnsi" w:cstheme="majorBidi"/>
      <w:b/>
      <w:bCs/>
      <w:color w:val="6750A0" w:themeColor="accent1"/>
      <w14:ligatures w14:val="standardContextual"/>
    </w:rPr>
  </w:style>
  <w:style w:type="paragraph" w:styleId="Heading4">
    <w:name w:val="heading 4"/>
    <w:basedOn w:val="Normal"/>
    <w:next w:val="Normal"/>
    <w:link w:val="Heading4Char"/>
    <w:uiPriority w:val="18"/>
    <w:semiHidden/>
    <w:unhideWhenUsed/>
    <w:qFormat/>
    <w:pPr>
      <w:keepNext/>
      <w:keepLines/>
      <w:spacing w:before="200" w:after="0"/>
      <w:outlineLvl w:val="3"/>
    </w:pPr>
    <w:rPr>
      <w:rFonts w:asciiTheme="majorHAnsi" w:eastAsiaTheme="majorEastAsia" w:hAnsiTheme="majorHAnsi" w:cstheme="majorBidi"/>
      <w:b/>
      <w:bCs/>
      <w:i/>
      <w:iCs/>
      <w:color w:val="6750A0" w:themeColor="accent1"/>
    </w:rPr>
  </w:style>
  <w:style w:type="paragraph" w:styleId="Heading5">
    <w:name w:val="heading 5"/>
    <w:basedOn w:val="Normal"/>
    <w:next w:val="Normal"/>
    <w:link w:val="Heading5Char"/>
    <w:uiPriority w:val="18"/>
    <w:semiHidden/>
    <w:unhideWhenUsed/>
    <w:qFormat/>
    <w:pPr>
      <w:keepNext/>
      <w:keepLines/>
      <w:spacing w:before="200" w:after="0"/>
      <w:outlineLvl w:val="4"/>
    </w:pPr>
    <w:rPr>
      <w:rFonts w:asciiTheme="majorHAnsi" w:eastAsiaTheme="majorEastAsia" w:hAnsiTheme="majorHAnsi" w:cstheme="majorBidi"/>
      <w:color w:val="33274F" w:themeColor="accent1" w:themeShade="7F"/>
    </w:rPr>
  </w:style>
  <w:style w:type="paragraph" w:styleId="Heading6">
    <w:name w:val="heading 6"/>
    <w:basedOn w:val="Normal"/>
    <w:next w:val="Normal"/>
    <w:link w:val="Heading6Char"/>
    <w:uiPriority w:val="18"/>
    <w:semiHidden/>
    <w:unhideWhenUsed/>
    <w:qFormat/>
    <w:pPr>
      <w:keepNext/>
      <w:keepLines/>
      <w:spacing w:before="200" w:after="0"/>
      <w:outlineLvl w:val="5"/>
    </w:pPr>
    <w:rPr>
      <w:rFonts w:asciiTheme="majorHAnsi" w:eastAsiaTheme="majorEastAsia" w:hAnsiTheme="majorHAnsi" w:cstheme="majorBidi"/>
      <w:i/>
      <w:iCs/>
      <w:color w:val="33274F" w:themeColor="accent1" w:themeShade="7F"/>
    </w:rPr>
  </w:style>
  <w:style w:type="paragraph" w:styleId="Heading7">
    <w:name w:val="heading 7"/>
    <w:basedOn w:val="Normal"/>
    <w:next w:val="Normal"/>
    <w:link w:val="Heading7Char"/>
    <w:uiPriority w:val="18"/>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8"/>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8"/>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pPr>
      <w:tabs>
        <w:tab w:val="center" w:pos="4680"/>
        <w:tab w:val="right" w:pos="9360"/>
      </w:tabs>
      <w:spacing w:before="0" w:after="0" w:line="240" w:lineRule="auto"/>
    </w:pPr>
  </w:style>
  <w:style w:type="character" w:customStyle="1" w:styleId="HeaderChar">
    <w:name w:val="Header Char"/>
    <w:basedOn w:val="DefaultParagraphFont"/>
    <w:link w:val="Header"/>
    <w:rPr>
      <w:kern w:val="20"/>
    </w:rPr>
  </w:style>
  <w:style w:type="paragraph" w:styleId="Footer">
    <w:name w:val="footer"/>
    <w:basedOn w:val="Normal"/>
    <w:link w:val="FooterChar"/>
    <w:uiPriority w:val="99"/>
    <w:unhideWhenUsed/>
    <w:pPr>
      <w:pBdr>
        <w:top w:val="single" w:sz="4" w:space="6" w:color="A293C9" w:themeColor="accent1" w:themeTint="99"/>
        <w:left w:val="single" w:sz="4" w:space="20" w:color="FFFFFF" w:themeColor="background1"/>
        <w:right w:val="single" w:sz="2" w:space="20" w:color="FFFFFF" w:themeColor="background1"/>
      </w:pBdr>
      <w:spacing w:after="0" w:line="240" w:lineRule="auto"/>
    </w:pPr>
  </w:style>
  <w:style w:type="character" w:customStyle="1" w:styleId="FooterChar">
    <w:name w:val="Footer Char"/>
    <w:basedOn w:val="DefaultParagraphFont"/>
    <w:link w:val="Footer"/>
    <w:uiPriority w:val="99"/>
    <w:rPr>
      <w:kern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pPr>
      <w:spacing w:after="0" w:line="240" w:lineRule="auto"/>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customStyle="1" w:styleId="Heading1Char">
    <w:name w:val="Heading 1 Char"/>
    <w:basedOn w:val="DefaultParagraphFont"/>
    <w:link w:val="Heading1"/>
    <w:uiPriority w:val="1"/>
    <w:rPr>
      <w:kern w:val="20"/>
      <w:sz w:val="36"/>
    </w:rPr>
  </w:style>
  <w:style w:type="character" w:customStyle="1" w:styleId="Heading2Char">
    <w:name w:val="Heading 2 Char"/>
    <w:basedOn w:val="DefaultParagraphFont"/>
    <w:link w:val="Heading2"/>
    <w:uiPriority w:val="1"/>
    <w:rPr>
      <w:rFonts w:asciiTheme="majorHAnsi" w:eastAsiaTheme="majorEastAsia" w:hAnsiTheme="majorHAnsi" w:cstheme="majorBidi"/>
      <w:caps/>
      <w:color w:val="4D3C77" w:themeColor="accent1" w:themeShade="BF"/>
      <w:kern w:val="20"/>
      <w:sz w:val="24"/>
      <w14:ligatures w14:val="standardContextual"/>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9"/>
    <w:unhideWhenUsed/>
    <w:qFormat/>
    <w:pPr>
      <w:spacing w:before="240" w:after="240"/>
      <w:ind w:left="720" w:right="720"/>
    </w:pPr>
    <w:rPr>
      <w:i/>
      <w:iCs/>
      <w:noProof/>
      <w:color w:val="6750A0" w:themeColor="accent1"/>
      <w:sz w:val="28"/>
    </w:rPr>
  </w:style>
  <w:style w:type="character" w:customStyle="1" w:styleId="QuoteChar">
    <w:name w:val="Quote Char"/>
    <w:basedOn w:val="DefaultParagraphFont"/>
    <w:link w:val="Quote"/>
    <w:uiPriority w:val="9"/>
    <w:rPr>
      <w:i/>
      <w:iCs/>
      <w:noProof/>
      <w:color w:val="6750A0" w:themeColor="accent1"/>
      <w:kern w:val="20"/>
      <w:sz w:val="28"/>
    </w:rPr>
  </w:style>
  <w:style w:type="paragraph" w:styleId="Bibliography">
    <w:name w:val="Bibliography"/>
    <w:basedOn w:val="Normal"/>
    <w:next w:val="Normal"/>
    <w:uiPriority w:val="37"/>
    <w:semiHidden/>
    <w:unhideWhenUsed/>
  </w:style>
  <w:style w:type="paragraph" w:styleId="BlockText">
    <w:name w:val="Block Text"/>
    <w:basedOn w:val="Normal"/>
    <w:uiPriority w:val="99"/>
    <w:semiHidden/>
    <w:unhideWhenUsed/>
    <w:pPr>
      <w:pBdr>
        <w:top w:val="single" w:sz="2" w:space="10" w:color="6750A0" w:themeColor="accent1" w:frame="1"/>
        <w:left w:val="single" w:sz="2" w:space="10" w:color="6750A0" w:themeColor="accent1" w:frame="1"/>
        <w:bottom w:val="single" w:sz="2" w:space="10" w:color="6750A0" w:themeColor="accent1" w:frame="1"/>
        <w:right w:val="single" w:sz="2" w:space="10" w:color="6750A0" w:themeColor="accent1" w:frame="1"/>
      </w:pBdr>
      <w:ind w:left="1152" w:right="1152"/>
    </w:pPr>
    <w:rPr>
      <w:i/>
      <w:iCs/>
      <w:color w:val="6750A0" w:themeColor="accent1"/>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pPr>
      <w:spacing w:after="120"/>
    </w:pPr>
    <w:rPr>
      <w:sz w:val="16"/>
    </w:rPr>
  </w:style>
  <w:style w:type="character" w:customStyle="1" w:styleId="BodyText3Char">
    <w:name w:val="Body Text 3 Char"/>
    <w:basedOn w:val="DefaultParagraphFont"/>
    <w:link w:val="BodyText3"/>
    <w:uiPriority w:val="99"/>
    <w:semiHidden/>
    <w:rPr>
      <w:sz w:val="16"/>
    </w:rPr>
  </w:style>
  <w:style w:type="paragraph" w:styleId="BodyTextFirstIndent">
    <w:name w:val="Body Text First Indent"/>
    <w:basedOn w:val="BodyText"/>
    <w:link w:val="BodyTextFirstIndentChar"/>
    <w:uiPriority w:val="99"/>
    <w:semiHidden/>
    <w:unhideWhenUsed/>
    <w:pPr>
      <w:spacing w:after="200"/>
      <w:ind w:firstLine="36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200"/>
      <w:ind w:firstLine="36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pPr>
      <w:spacing w:after="120"/>
      <w:ind w:left="360"/>
    </w:pPr>
    <w:rPr>
      <w:sz w:val="16"/>
    </w:rPr>
  </w:style>
  <w:style w:type="character" w:customStyle="1" w:styleId="BodyTextIndent3Char">
    <w:name w:val="Body Text Indent 3 Char"/>
    <w:basedOn w:val="DefaultParagraphFont"/>
    <w:link w:val="BodyTextIndent3"/>
    <w:uiPriority w:val="99"/>
    <w:semiHidden/>
    <w:rPr>
      <w:sz w:val="16"/>
    </w:rPr>
  </w:style>
  <w:style w:type="character" w:styleId="BookTitle">
    <w:name w:val="Book Title"/>
    <w:basedOn w:val="DefaultParagraphFont"/>
    <w:uiPriority w:val="33"/>
    <w:semiHidden/>
    <w:unhideWhenUsed/>
    <w:rPr>
      <w:b/>
      <w:bCs/>
      <w:smallCaps/>
      <w:spacing w:val="5"/>
    </w:rPr>
  </w:style>
  <w:style w:type="paragraph" w:styleId="Caption">
    <w:name w:val="caption"/>
    <w:basedOn w:val="Normal"/>
    <w:next w:val="Normal"/>
    <w:uiPriority w:val="35"/>
    <w:semiHidden/>
    <w:unhideWhenUsed/>
    <w:qFormat/>
    <w:pPr>
      <w:spacing w:line="240" w:lineRule="auto"/>
    </w:pPr>
    <w:rPr>
      <w:b/>
      <w:bCs/>
      <w:color w:val="6750A0" w:themeColor="accent1"/>
      <w:sz w:val="18"/>
    </w:rPr>
  </w:style>
  <w:style w:type="paragraph" w:styleId="Closing">
    <w:name w:val="Closing"/>
    <w:basedOn w:val="Normal"/>
    <w:link w:val="ClosingChar"/>
    <w:uiPriority w:val="99"/>
    <w:semiHidden/>
    <w:unhideWhenUsed/>
    <w:pPr>
      <w:spacing w:after="0" w:line="240" w:lineRule="auto"/>
      <w:ind w:left="4320"/>
    </w:pPr>
  </w:style>
  <w:style w:type="character" w:customStyle="1" w:styleId="ClosingChar">
    <w:name w:val="Closing Char"/>
    <w:basedOn w:val="DefaultParagraphFont"/>
    <w:link w:val="Closing"/>
    <w:uiPriority w:val="99"/>
    <w:semiHidden/>
  </w:style>
  <w:style w:type="table" w:styleId="ColorfulGrid">
    <w:name w:val="Colorful Grid"/>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0DBED" w:themeFill="accent1" w:themeFillTint="33"/>
    </w:tcPr>
    <w:tblStylePr w:type="firstRow">
      <w:rPr>
        <w:b/>
        <w:bCs/>
      </w:rPr>
      <w:tblPr/>
      <w:tcPr>
        <w:shd w:val="clear" w:color="auto" w:fill="C1B7DB" w:themeFill="accent1" w:themeFillTint="66"/>
      </w:tcPr>
    </w:tblStylePr>
    <w:tblStylePr w:type="lastRow">
      <w:rPr>
        <w:b/>
        <w:bCs/>
        <w:color w:val="000000" w:themeColor="text1"/>
      </w:rPr>
      <w:tblPr/>
      <w:tcPr>
        <w:shd w:val="clear" w:color="auto" w:fill="C1B7DB" w:themeFill="accent1" w:themeFillTint="66"/>
      </w:tcPr>
    </w:tblStylePr>
    <w:tblStylePr w:type="firstCol">
      <w:rPr>
        <w:color w:val="FFFFFF" w:themeColor="background1"/>
      </w:rPr>
      <w:tblPr/>
      <w:tcPr>
        <w:shd w:val="clear" w:color="auto" w:fill="4D3C77" w:themeFill="accent1" w:themeFillShade="BF"/>
      </w:tcPr>
    </w:tblStylePr>
    <w:tblStylePr w:type="lastCol">
      <w:rPr>
        <w:color w:val="FFFFFF" w:themeColor="background1"/>
      </w:rPr>
      <w:tblPr/>
      <w:tcPr>
        <w:shd w:val="clear" w:color="auto" w:fill="4D3C77" w:themeFill="accent1" w:themeFillShade="BF"/>
      </w:tcPr>
    </w:tblStylePr>
    <w:tblStylePr w:type="band1Vert">
      <w:tblPr/>
      <w:tcPr>
        <w:shd w:val="clear" w:color="auto" w:fill="B2A5D2" w:themeFill="accent1" w:themeFillTint="7F"/>
      </w:tcPr>
    </w:tblStylePr>
    <w:tblStylePr w:type="band1Horz">
      <w:tblPr/>
      <w:tcPr>
        <w:shd w:val="clear" w:color="auto" w:fill="B2A5D2" w:themeFill="accent1" w:themeFillTint="7F"/>
      </w:tcPr>
    </w:tblStylePr>
  </w:style>
  <w:style w:type="table" w:styleId="ColorfulGrid-Accent2">
    <w:name w:val="Colorful Grid Accent 2"/>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0DBED" w:themeFill="accent2" w:themeFillTint="33"/>
    </w:tcPr>
    <w:tblStylePr w:type="firstRow">
      <w:rPr>
        <w:b/>
        <w:bCs/>
      </w:rPr>
      <w:tblPr/>
      <w:tcPr>
        <w:shd w:val="clear" w:color="auto" w:fill="C1B7DB" w:themeFill="accent2" w:themeFillTint="66"/>
      </w:tcPr>
    </w:tblStylePr>
    <w:tblStylePr w:type="lastRow">
      <w:rPr>
        <w:b/>
        <w:bCs/>
        <w:color w:val="000000" w:themeColor="text1"/>
      </w:rPr>
      <w:tblPr/>
      <w:tcPr>
        <w:shd w:val="clear" w:color="auto" w:fill="C1B7DB" w:themeFill="accent2" w:themeFillTint="66"/>
      </w:tcPr>
    </w:tblStylePr>
    <w:tblStylePr w:type="firstCol">
      <w:rPr>
        <w:color w:val="FFFFFF" w:themeColor="background1"/>
      </w:rPr>
      <w:tblPr/>
      <w:tcPr>
        <w:shd w:val="clear" w:color="auto" w:fill="4D3C77" w:themeFill="accent2" w:themeFillShade="BF"/>
      </w:tcPr>
    </w:tblStylePr>
    <w:tblStylePr w:type="lastCol">
      <w:rPr>
        <w:color w:val="FFFFFF" w:themeColor="background1"/>
      </w:rPr>
      <w:tblPr/>
      <w:tcPr>
        <w:shd w:val="clear" w:color="auto" w:fill="4D3C77" w:themeFill="accent2" w:themeFillShade="BF"/>
      </w:tcPr>
    </w:tblStylePr>
    <w:tblStylePr w:type="band1Vert">
      <w:tblPr/>
      <w:tcPr>
        <w:shd w:val="clear" w:color="auto" w:fill="B2A5D2" w:themeFill="accent2" w:themeFillTint="7F"/>
      </w:tcPr>
    </w:tblStylePr>
    <w:tblStylePr w:type="band1Horz">
      <w:tblPr/>
      <w:tcPr>
        <w:shd w:val="clear" w:color="auto" w:fill="B2A5D2" w:themeFill="accent2" w:themeFillTint="7F"/>
      </w:tcPr>
    </w:tblStylePr>
  </w:style>
  <w:style w:type="table" w:styleId="ColorfulGrid-Accent3">
    <w:name w:val="Colorful Grid Accent 3"/>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0DBED" w:themeFill="accent3" w:themeFillTint="33"/>
    </w:tcPr>
    <w:tblStylePr w:type="firstRow">
      <w:rPr>
        <w:b/>
        <w:bCs/>
      </w:rPr>
      <w:tblPr/>
      <w:tcPr>
        <w:shd w:val="clear" w:color="auto" w:fill="C1B7DB" w:themeFill="accent3" w:themeFillTint="66"/>
      </w:tcPr>
    </w:tblStylePr>
    <w:tblStylePr w:type="lastRow">
      <w:rPr>
        <w:b/>
        <w:bCs/>
        <w:color w:val="000000" w:themeColor="text1"/>
      </w:rPr>
      <w:tblPr/>
      <w:tcPr>
        <w:shd w:val="clear" w:color="auto" w:fill="C1B7DB" w:themeFill="accent3" w:themeFillTint="66"/>
      </w:tcPr>
    </w:tblStylePr>
    <w:tblStylePr w:type="firstCol">
      <w:rPr>
        <w:color w:val="FFFFFF" w:themeColor="background1"/>
      </w:rPr>
      <w:tblPr/>
      <w:tcPr>
        <w:shd w:val="clear" w:color="auto" w:fill="4D3C77" w:themeFill="accent3" w:themeFillShade="BF"/>
      </w:tcPr>
    </w:tblStylePr>
    <w:tblStylePr w:type="lastCol">
      <w:rPr>
        <w:color w:val="FFFFFF" w:themeColor="background1"/>
      </w:rPr>
      <w:tblPr/>
      <w:tcPr>
        <w:shd w:val="clear" w:color="auto" w:fill="4D3C77" w:themeFill="accent3" w:themeFillShade="BF"/>
      </w:tcPr>
    </w:tblStylePr>
    <w:tblStylePr w:type="band1Vert">
      <w:tblPr/>
      <w:tcPr>
        <w:shd w:val="clear" w:color="auto" w:fill="B2A5D2" w:themeFill="accent3" w:themeFillTint="7F"/>
      </w:tcPr>
    </w:tblStylePr>
    <w:tblStylePr w:type="band1Horz">
      <w:tblPr/>
      <w:tcPr>
        <w:shd w:val="clear" w:color="auto" w:fill="B2A5D2" w:themeFill="accent3" w:themeFillTint="7F"/>
      </w:tcPr>
    </w:tblStylePr>
  </w:style>
  <w:style w:type="table" w:styleId="ColorfulGrid-Accent4">
    <w:name w:val="Colorful Grid Accent 4"/>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0DBED" w:themeFill="accent4" w:themeFillTint="33"/>
    </w:tcPr>
    <w:tblStylePr w:type="firstRow">
      <w:rPr>
        <w:b/>
        <w:bCs/>
      </w:rPr>
      <w:tblPr/>
      <w:tcPr>
        <w:shd w:val="clear" w:color="auto" w:fill="C1B7DB" w:themeFill="accent4" w:themeFillTint="66"/>
      </w:tcPr>
    </w:tblStylePr>
    <w:tblStylePr w:type="lastRow">
      <w:rPr>
        <w:b/>
        <w:bCs/>
        <w:color w:val="000000" w:themeColor="text1"/>
      </w:rPr>
      <w:tblPr/>
      <w:tcPr>
        <w:shd w:val="clear" w:color="auto" w:fill="C1B7DB" w:themeFill="accent4" w:themeFillTint="66"/>
      </w:tcPr>
    </w:tblStylePr>
    <w:tblStylePr w:type="firstCol">
      <w:rPr>
        <w:color w:val="FFFFFF" w:themeColor="background1"/>
      </w:rPr>
      <w:tblPr/>
      <w:tcPr>
        <w:shd w:val="clear" w:color="auto" w:fill="4D3C77" w:themeFill="accent4" w:themeFillShade="BF"/>
      </w:tcPr>
    </w:tblStylePr>
    <w:tblStylePr w:type="lastCol">
      <w:rPr>
        <w:color w:val="FFFFFF" w:themeColor="background1"/>
      </w:rPr>
      <w:tblPr/>
      <w:tcPr>
        <w:shd w:val="clear" w:color="auto" w:fill="4D3C77" w:themeFill="accent4" w:themeFillShade="BF"/>
      </w:tcPr>
    </w:tblStylePr>
    <w:tblStylePr w:type="band1Vert">
      <w:tblPr/>
      <w:tcPr>
        <w:shd w:val="clear" w:color="auto" w:fill="B2A5D2" w:themeFill="accent4" w:themeFillTint="7F"/>
      </w:tcPr>
    </w:tblStylePr>
    <w:tblStylePr w:type="band1Horz">
      <w:tblPr/>
      <w:tcPr>
        <w:shd w:val="clear" w:color="auto" w:fill="B2A5D2" w:themeFill="accent4" w:themeFillTint="7F"/>
      </w:tcPr>
    </w:tblStylePr>
  </w:style>
  <w:style w:type="table" w:styleId="ColorfulGrid-Accent5">
    <w:name w:val="Colorful Grid Accent 5"/>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0DBED" w:themeFill="accent5" w:themeFillTint="33"/>
    </w:tcPr>
    <w:tblStylePr w:type="firstRow">
      <w:rPr>
        <w:b/>
        <w:bCs/>
      </w:rPr>
      <w:tblPr/>
      <w:tcPr>
        <w:shd w:val="clear" w:color="auto" w:fill="C1B7DB" w:themeFill="accent5" w:themeFillTint="66"/>
      </w:tcPr>
    </w:tblStylePr>
    <w:tblStylePr w:type="lastRow">
      <w:rPr>
        <w:b/>
        <w:bCs/>
        <w:color w:val="000000" w:themeColor="text1"/>
      </w:rPr>
      <w:tblPr/>
      <w:tcPr>
        <w:shd w:val="clear" w:color="auto" w:fill="C1B7DB" w:themeFill="accent5" w:themeFillTint="66"/>
      </w:tcPr>
    </w:tblStylePr>
    <w:tblStylePr w:type="firstCol">
      <w:rPr>
        <w:color w:val="FFFFFF" w:themeColor="background1"/>
      </w:rPr>
      <w:tblPr/>
      <w:tcPr>
        <w:shd w:val="clear" w:color="auto" w:fill="4D3C77" w:themeFill="accent5" w:themeFillShade="BF"/>
      </w:tcPr>
    </w:tblStylePr>
    <w:tblStylePr w:type="lastCol">
      <w:rPr>
        <w:color w:val="FFFFFF" w:themeColor="background1"/>
      </w:rPr>
      <w:tblPr/>
      <w:tcPr>
        <w:shd w:val="clear" w:color="auto" w:fill="4D3C77" w:themeFill="accent5" w:themeFillShade="BF"/>
      </w:tcPr>
    </w:tblStylePr>
    <w:tblStylePr w:type="band1Vert">
      <w:tblPr/>
      <w:tcPr>
        <w:shd w:val="clear" w:color="auto" w:fill="B2A5D2" w:themeFill="accent5" w:themeFillTint="7F"/>
      </w:tcPr>
    </w:tblStylePr>
    <w:tblStylePr w:type="band1Horz">
      <w:tblPr/>
      <w:tcPr>
        <w:shd w:val="clear" w:color="auto" w:fill="B2A5D2" w:themeFill="accent5" w:themeFillTint="7F"/>
      </w:tcPr>
    </w:tblStylePr>
  </w:style>
  <w:style w:type="table" w:styleId="ColorfulGrid-Accent6">
    <w:name w:val="Colorful Grid Accent 6"/>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3CEE8" w:themeFill="accent6" w:themeFillTint="33"/>
    </w:tcPr>
    <w:tblStylePr w:type="firstRow">
      <w:rPr>
        <w:b/>
        <w:bCs/>
      </w:rPr>
      <w:tblPr/>
      <w:tcPr>
        <w:shd w:val="clear" w:color="auto" w:fill="E89ED2" w:themeFill="accent6" w:themeFillTint="66"/>
      </w:tcPr>
    </w:tblStylePr>
    <w:tblStylePr w:type="lastRow">
      <w:rPr>
        <w:b/>
        <w:bCs/>
        <w:color w:val="000000" w:themeColor="text1"/>
      </w:rPr>
      <w:tblPr/>
      <w:tcPr>
        <w:shd w:val="clear" w:color="auto" w:fill="E89ED2" w:themeFill="accent6" w:themeFillTint="66"/>
      </w:tcPr>
    </w:tblStylePr>
    <w:tblStylePr w:type="firstCol">
      <w:rPr>
        <w:color w:val="FFFFFF" w:themeColor="background1"/>
      </w:rPr>
      <w:tblPr/>
      <w:tcPr>
        <w:shd w:val="clear" w:color="auto" w:fill="801E64" w:themeFill="accent6" w:themeFillShade="BF"/>
      </w:tcPr>
    </w:tblStylePr>
    <w:tblStylePr w:type="lastCol">
      <w:rPr>
        <w:color w:val="FFFFFF" w:themeColor="background1"/>
      </w:rPr>
      <w:tblPr/>
      <w:tcPr>
        <w:shd w:val="clear" w:color="auto" w:fill="801E64" w:themeFill="accent6" w:themeFillShade="BF"/>
      </w:tcPr>
    </w:tblStylePr>
    <w:tblStylePr w:type="band1Vert">
      <w:tblPr/>
      <w:tcPr>
        <w:shd w:val="clear" w:color="auto" w:fill="E287C8" w:themeFill="accent6" w:themeFillTint="7F"/>
      </w:tcPr>
    </w:tblStylePr>
    <w:tblStylePr w:type="band1Horz">
      <w:tblPr/>
      <w:tcPr>
        <w:shd w:val="clear" w:color="auto" w:fill="E287C8" w:themeFill="accent6" w:themeFillTint="7F"/>
      </w:tcPr>
    </w:tblStylePr>
  </w:style>
  <w:style w:type="table" w:styleId="ColorfulList">
    <w:name w:val="Colorful List"/>
    <w:basedOn w:val="TableNormal"/>
    <w:uiPriority w:val="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524080" w:themeFill="accent2" w:themeFillShade="CC"/>
      </w:tcPr>
    </w:tblStylePr>
    <w:tblStylePr w:type="lastRow">
      <w:rPr>
        <w:b/>
        <w:bCs/>
        <w:color w:val="52408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pPr>
      <w:spacing w:after="0" w:line="240" w:lineRule="auto"/>
    </w:pPr>
    <w:rPr>
      <w:color w:val="000000" w:themeColor="text1"/>
    </w:rPr>
    <w:tblPr>
      <w:tblStyleRowBandSize w:val="1"/>
      <w:tblStyleColBandSize w:val="1"/>
    </w:tblPr>
    <w:tcPr>
      <w:shd w:val="clear" w:color="auto" w:fill="EFEDF6" w:themeFill="accent1" w:themeFillTint="19"/>
    </w:tcPr>
    <w:tblStylePr w:type="firstRow">
      <w:rPr>
        <w:b/>
        <w:bCs/>
        <w:color w:val="FFFFFF" w:themeColor="background1"/>
      </w:rPr>
      <w:tblPr/>
      <w:tcPr>
        <w:tcBorders>
          <w:bottom w:val="single" w:sz="12" w:space="0" w:color="FFFFFF" w:themeColor="background1"/>
        </w:tcBorders>
        <w:shd w:val="clear" w:color="auto" w:fill="524080" w:themeFill="accent2" w:themeFillShade="CC"/>
      </w:tcPr>
    </w:tblStylePr>
    <w:tblStylePr w:type="lastRow">
      <w:rPr>
        <w:b/>
        <w:bCs/>
        <w:color w:val="52408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2E8" w:themeFill="accent1" w:themeFillTint="3F"/>
      </w:tcPr>
    </w:tblStylePr>
    <w:tblStylePr w:type="band1Horz">
      <w:tblPr/>
      <w:tcPr>
        <w:shd w:val="clear" w:color="auto" w:fill="E0DBED" w:themeFill="accent1" w:themeFillTint="33"/>
      </w:tcPr>
    </w:tblStylePr>
  </w:style>
  <w:style w:type="table" w:styleId="ColorfulList-Accent2">
    <w:name w:val="Colorful List Accent 2"/>
    <w:basedOn w:val="TableNormal"/>
    <w:uiPriority w:val="72"/>
    <w:pPr>
      <w:spacing w:after="0" w:line="240" w:lineRule="auto"/>
    </w:pPr>
    <w:rPr>
      <w:color w:val="000000" w:themeColor="text1"/>
    </w:rPr>
    <w:tblPr>
      <w:tblStyleRowBandSize w:val="1"/>
      <w:tblStyleColBandSize w:val="1"/>
    </w:tblPr>
    <w:tcPr>
      <w:shd w:val="clear" w:color="auto" w:fill="EFEDF6" w:themeFill="accent2" w:themeFillTint="19"/>
    </w:tcPr>
    <w:tblStylePr w:type="firstRow">
      <w:rPr>
        <w:b/>
        <w:bCs/>
        <w:color w:val="FFFFFF" w:themeColor="background1"/>
      </w:rPr>
      <w:tblPr/>
      <w:tcPr>
        <w:tcBorders>
          <w:bottom w:val="single" w:sz="12" w:space="0" w:color="FFFFFF" w:themeColor="background1"/>
        </w:tcBorders>
        <w:shd w:val="clear" w:color="auto" w:fill="524080" w:themeFill="accent2" w:themeFillShade="CC"/>
      </w:tcPr>
    </w:tblStylePr>
    <w:tblStylePr w:type="lastRow">
      <w:rPr>
        <w:b/>
        <w:bCs/>
        <w:color w:val="52408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2E8" w:themeFill="accent2" w:themeFillTint="3F"/>
      </w:tcPr>
    </w:tblStylePr>
    <w:tblStylePr w:type="band1Horz">
      <w:tblPr/>
      <w:tcPr>
        <w:shd w:val="clear" w:color="auto" w:fill="E0DBED" w:themeFill="accent2" w:themeFillTint="33"/>
      </w:tcPr>
    </w:tblStylePr>
  </w:style>
  <w:style w:type="table" w:styleId="ColorfulList-Accent3">
    <w:name w:val="Colorful List Accent 3"/>
    <w:basedOn w:val="TableNormal"/>
    <w:uiPriority w:val="72"/>
    <w:pPr>
      <w:spacing w:after="0" w:line="240" w:lineRule="auto"/>
    </w:pPr>
    <w:rPr>
      <w:color w:val="000000" w:themeColor="text1"/>
    </w:rPr>
    <w:tblPr>
      <w:tblStyleRowBandSize w:val="1"/>
      <w:tblStyleColBandSize w:val="1"/>
    </w:tblPr>
    <w:tcPr>
      <w:shd w:val="clear" w:color="auto" w:fill="EFEDF6" w:themeFill="accent3" w:themeFillTint="19"/>
    </w:tcPr>
    <w:tblStylePr w:type="firstRow">
      <w:rPr>
        <w:b/>
        <w:bCs/>
        <w:color w:val="FFFFFF" w:themeColor="background1"/>
      </w:rPr>
      <w:tblPr/>
      <w:tcPr>
        <w:tcBorders>
          <w:bottom w:val="single" w:sz="12" w:space="0" w:color="FFFFFF" w:themeColor="background1"/>
        </w:tcBorders>
        <w:shd w:val="clear" w:color="auto" w:fill="524080" w:themeFill="accent4" w:themeFillShade="CC"/>
      </w:tcPr>
    </w:tblStylePr>
    <w:tblStylePr w:type="lastRow">
      <w:rPr>
        <w:b/>
        <w:bCs/>
        <w:color w:val="52408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2E8" w:themeFill="accent3" w:themeFillTint="3F"/>
      </w:tcPr>
    </w:tblStylePr>
    <w:tblStylePr w:type="band1Horz">
      <w:tblPr/>
      <w:tcPr>
        <w:shd w:val="clear" w:color="auto" w:fill="E0DBED" w:themeFill="accent3" w:themeFillTint="33"/>
      </w:tcPr>
    </w:tblStylePr>
  </w:style>
  <w:style w:type="table" w:styleId="ColorfulList-Accent4">
    <w:name w:val="Colorful List Accent 4"/>
    <w:basedOn w:val="TableNormal"/>
    <w:uiPriority w:val="72"/>
    <w:pPr>
      <w:spacing w:after="0" w:line="240" w:lineRule="auto"/>
    </w:pPr>
    <w:rPr>
      <w:color w:val="000000" w:themeColor="text1"/>
    </w:rPr>
    <w:tblPr>
      <w:tblStyleRowBandSize w:val="1"/>
      <w:tblStyleColBandSize w:val="1"/>
    </w:tblPr>
    <w:tcPr>
      <w:shd w:val="clear" w:color="auto" w:fill="EFEDF6" w:themeFill="accent4" w:themeFillTint="19"/>
    </w:tcPr>
    <w:tblStylePr w:type="firstRow">
      <w:rPr>
        <w:b/>
        <w:bCs/>
        <w:color w:val="FFFFFF" w:themeColor="background1"/>
      </w:rPr>
      <w:tblPr/>
      <w:tcPr>
        <w:tcBorders>
          <w:bottom w:val="single" w:sz="12" w:space="0" w:color="FFFFFF" w:themeColor="background1"/>
        </w:tcBorders>
        <w:shd w:val="clear" w:color="auto" w:fill="524080" w:themeFill="accent3" w:themeFillShade="CC"/>
      </w:tcPr>
    </w:tblStylePr>
    <w:tblStylePr w:type="lastRow">
      <w:rPr>
        <w:b/>
        <w:bCs/>
        <w:color w:val="52408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2E8" w:themeFill="accent4" w:themeFillTint="3F"/>
      </w:tcPr>
    </w:tblStylePr>
    <w:tblStylePr w:type="band1Horz">
      <w:tblPr/>
      <w:tcPr>
        <w:shd w:val="clear" w:color="auto" w:fill="E0DBED" w:themeFill="accent4" w:themeFillTint="33"/>
      </w:tcPr>
    </w:tblStylePr>
  </w:style>
  <w:style w:type="table" w:styleId="ColorfulList-Accent5">
    <w:name w:val="Colorful List Accent 5"/>
    <w:basedOn w:val="TableNormal"/>
    <w:uiPriority w:val="72"/>
    <w:pPr>
      <w:spacing w:after="0" w:line="240" w:lineRule="auto"/>
    </w:pPr>
    <w:rPr>
      <w:color w:val="000000" w:themeColor="text1"/>
    </w:rPr>
    <w:tblPr>
      <w:tblStyleRowBandSize w:val="1"/>
      <w:tblStyleColBandSize w:val="1"/>
    </w:tblPr>
    <w:tcPr>
      <w:shd w:val="clear" w:color="auto" w:fill="EFEDF6" w:themeFill="accent5" w:themeFillTint="19"/>
    </w:tcPr>
    <w:tblStylePr w:type="firstRow">
      <w:rPr>
        <w:b/>
        <w:bCs/>
        <w:color w:val="FFFFFF" w:themeColor="background1"/>
      </w:rPr>
      <w:tblPr/>
      <w:tcPr>
        <w:tcBorders>
          <w:bottom w:val="single" w:sz="12" w:space="0" w:color="FFFFFF" w:themeColor="background1"/>
        </w:tcBorders>
        <w:shd w:val="clear" w:color="auto" w:fill="89216B" w:themeFill="accent6" w:themeFillShade="CC"/>
      </w:tcPr>
    </w:tblStylePr>
    <w:tblStylePr w:type="lastRow">
      <w:rPr>
        <w:b/>
        <w:bCs/>
        <w:color w:val="89216B"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2E8" w:themeFill="accent5" w:themeFillTint="3F"/>
      </w:tcPr>
    </w:tblStylePr>
    <w:tblStylePr w:type="band1Horz">
      <w:tblPr/>
      <w:tcPr>
        <w:shd w:val="clear" w:color="auto" w:fill="E0DBED" w:themeFill="accent5" w:themeFillTint="33"/>
      </w:tcPr>
    </w:tblStylePr>
  </w:style>
  <w:style w:type="table" w:styleId="ColorfulList-Accent6">
    <w:name w:val="Colorful List Accent 6"/>
    <w:basedOn w:val="TableNormal"/>
    <w:uiPriority w:val="72"/>
    <w:pPr>
      <w:spacing w:after="0" w:line="240" w:lineRule="auto"/>
    </w:pPr>
    <w:rPr>
      <w:color w:val="000000" w:themeColor="text1"/>
    </w:rPr>
    <w:tblPr>
      <w:tblStyleRowBandSize w:val="1"/>
      <w:tblStyleColBandSize w:val="1"/>
    </w:tblPr>
    <w:tcPr>
      <w:shd w:val="clear" w:color="auto" w:fill="F9E7F4" w:themeFill="accent6" w:themeFillTint="19"/>
    </w:tcPr>
    <w:tblStylePr w:type="firstRow">
      <w:rPr>
        <w:b/>
        <w:bCs/>
        <w:color w:val="FFFFFF" w:themeColor="background1"/>
      </w:rPr>
      <w:tblPr/>
      <w:tcPr>
        <w:tcBorders>
          <w:bottom w:val="single" w:sz="12" w:space="0" w:color="FFFFFF" w:themeColor="background1"/>
        </w:tcBorders>
        <w:shd w:val="clear" w:color="auto" w:fill="524080" w:themeFill="accent5" w:themeFillShade="CC"/>
      </w:tcPr>
    </w:tblStylePr>
    <w:tblStylePr w:type="lastRow">
      <w:rPr>
        <w:b/>
        <w:bCs/>
        <w:color w:val="52408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0C3E3" w:themeFill="accent6" w:themeFillTint="3F"/>
      </w:tcPr>
    </w:tblStylePr>
    <w:tblStylePr w:type="band1Horz">
      <w:tblPr/>
      <w:tcPr>
        <w:shd w:val="clear" w:color="auto" w:fill="F3CEE8" w:themeFill="accent6" w:themeFillTint="33"/>
      </w:tcPr>
    </w:tblStylePr>
  </w:style>
  <w:style w:type="table" w:styleId="ColorfulShading">
    <w:name w:val="Colorful Shading"/>
    <w:basedOn w:val="TableNormal"/>
    <w:uiPriority w:val="71"/>
    <w:pPr>
      <w:spacing w:after="0" w:line="240" w:lineRule="auto"/>
    </w:pPr>
    <w:rPr>
      <w:color w:val="000000" w:themeColor="text1"/>
    </w:rPr>
    <w:tblPr>
      <w:tblStyleRowBandSize w:val="1"/>
      <w:tblStyleColBandSize w:val="1"/>
      <w:tblBorders>
        <w:top w:val="single" w:sz="24" w:space="0" w:color="6750A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6750A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pPr>
      <w:spacing w:after="0" w:line="240" w:lineRule="auto"/>
    </w:pPr>
    <w:rPr>
      <w:color w:val="000000" w:themeColor="text1"/>
    </w:rPr>
    <w:tblPr>
      <w:tblStyleRowBandSize w:val="1"/>
      <w:tblStyleColBandSize w:val="1"/>
      <w:tblBorders>
        <w:top w:val="single" w:sz="24" w:space="0" w:color="6750A0" w:themeColor="accent2"/>
        <w:left w:val="single" w:sz="4" w:space="0" w:color="6750A0" w:themeColor="accent1"/>
        <w:bottom w:val="single" w:sz="4" w:space="0" w:color="6750A0" w:themeColor="accent1"/>
        <w:right w:val="single" w:sz="4" w:space="0" w:color="6750A0" w:themeColor="accent1"/>
        <w:insideH w:val="single" w:sz="4" w:space="0" w:color="FFFFFF" w:themeColor="background1"/>
        <w:insideV w:val="single" w:sz="4" w:space="0" w:color="FFFFFF" w:themeColor="background1"/>
      </w:tblBorders>
    </w:tblPr>
    <w:tcPr>
      <w:shd w:val="clear" w:color="auto" w:fill="EFEDF6" w:themeFill="accent1" w:themeFillTint="19"/>
    </w:tcPr>
    <w:tblStylePr w:type="firstRow">
      <w:rPr>
        <w:b/>
        <w:bCs/>
      </w:rPr>
      <w:tblPr/>
      <w:tcPr>
        <w:tcBorders>
          <w:top w:val="nil"/>
          <w:left w:val="nil"/>
          <w:bottom w:val="single" w:sz="24" w:space="0" w:color="6750A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060" w:themeFill="accent1" w:themeFillShade="99"/>
      </w:tcPr>
    </w:tblStylePr>
    <w:tblStylePr w:type="firstCol">
      <w:rPr>
        <w:color w:val="FFFFFF" w:themeColor="background1"/>
      </w:rPr>
      <w:tblPr/>
      <w:tcPr>
        <w:tcBorders>
          <w:top w:val="nil"/>
          <w:left w:val="nil"/>
          <w:bottom w:val="nil"/>
          <w:right w:val="nil"/>
          <w:insideH w:val="single" w:sz="4" w:space="0" w:color="3D3060" w:themeColor="accent1" w:themeShade="99"/>
          <w:insideV w:val="nil"/>
        </w:tcBorders>
        <w:shd w:val="clear" w:color="auto" w:fill="3D306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D3060" w:themeFill="accent1" w:themeFillShade="99"/>
      </w:tcPr>
    </w:tblStylePr>
    <w:tblStylePr w:type="band1Vert">
      <w:tblPr/>
      <w:tcPr>
        <w:shd w:val="clear" w:color="auto" w:fill="C1B7DB" w:themeFill="accent1" w:themeFillTint="66"/>
      </w:tcPr>
    </w:tblStylePr>
    <w:tblStylePr w:type="band1Horz">
      <w:tblPr/>
      <w:tcPr>
        <w:shd w:val="clear" w:color="auto" w:fill="B2A5D2"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pPr>
      <w:spacing w:after="0" w:line="240" w:lineRule="auto"/>
    </w:pPr>
    <w:rPr>
      <w:color w:val="000000" w:themeColor="text1"/>
    </w:rPr>
    <w:tblPr>
      <w:tblStyleRowBandSize w:val="1"/>
      <w:tblStyleColBandSize w:val="1"/>
      <w:tblBorders>
        <w:top w:val="single" w:sz="24" w:space="0" w:color="6750A0" w:themeColor="accent2"/>
        <w:left w:val="single" w:sz="4" w:space="0" w:color="6750A0" w:themeColor="accent2"/>
        <w:bottom w:val="single" w:sz="4" w:space="0" w:color="6750A0" w:themeColor="accent2"/>
        <w:right w:val="single" w:sz="4" w:space="0" w:color="6750A0" w:themeColor="accent2"/>
        <w:insideH w:val="single" w:sz="4" w:space="0" w:color="FFFFFF" w:themeColor="background1"/>
        <w:insideV w:val="single" w:sz="4" w:space="0" w:color="FFFFFF" w:themeColor="background1"/>
      </w:tblBorders>
    </w:tblPr>
    <w:tcPr>
      <w:shd w:val="clear" w:color="auto" w:fill="EFEDF6" w:themeFill="accent2" w:themeFillTint="19"/>
    </w:tcPr>
    <w:tblStylePr w:type="firstRow">
      <w:rPr>
        <w:b/>
        <w:bCs/>
      </w:rPr>
      <w:tblPr/>
      <w:tcPr>
        <w:tcBorders>
          <w:top w:val="nil"/>
          <w:left w:val="nil"/>
          <w:bottom w:val="single" w:sz="24" w:space="0" w:color="6750A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060" w:themeFill="accent2" w:themeFillShade="99"/>
      </w:tcPr>
    </w:tblStylePr>
    <w:tblStylePr w:type="firstCol">
      <w:rPr>
        <w:color w:val="FFFFFF" w:themeColor="background1"/>
      </w:rPr>
      <w:tblPr/>
      <w:tcPr>
        <w:tcBorders>
          <w:top w:val="nil"/>
          <w:left w:val="nil"/>
          <w:bottom w:val="nil"/>
          <w:right w:val="nil"/>
          <w:insideH w:val="single" w:sz="4" w:space="0" w:color="3D3060" w:themeColor="accent2" w:themeShade="99"/>
          <w:insideV w:val="nil"/>
        </w:tcBorders>
        <w:shd w:val="clear" w:color="auto" w:fill="3D306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D3060" w:themeFill="accent2" w:themeFillShade="99"/>
      </w:tcPr>
    </w:tblStylePr>
    <w:tblStylePr w:type="band1Vert">
      <w:tblPr/>
      <w:tcPr>
        <w:shd w:val="clear" w:color="auto" w:fill="C1B7DB" w:themeFill="accent2" w:themeFillTint="66"/>
      </w:tcPr>
    </w:tblStylePr>
    <w:tblStylePr w:type="band1Horz">
      <w:tblPr/>
      <w:tcPr>
        <w:shd w:val="clear" w:color="auto" w:fill="B2A5D2"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pPr>
      <w:spacing w:after="0" w:line="240" w:lineRule="auto"/>
    </w:pPr>
    <w:rPr>
      <w:color w:val="000000" w:themeColor="text1"/>
    </w:rPr>
    <w:tblPr>
      <w:tblStyleRowBandSize w:val="1"/>
      <w:tblStyleColBandSize w:val="1"/>
      <w:tblBorders>
        <w:top w:val="single" w:sz="24" w:space="0" w:color="6750A0" w:themeColor="accent4"/>
        <w:left w:val="single" w:sz="4" w:space="0" w:color="6750A0" w:themeColor="accent3"/>
        <w:bottom w:val="single" w:sz="4" w:space="0" w:color="6750A0" w:themeColor="accent3"/>
        <w:right w:val="single" w:sz="4" w:space="0" w:color="6750A0" w:themeColor="accent3"/>
        <w:insideH w:val="single" w:sz="4" w:space="0" w:color="FFFFFF" w:themeColor="background1"/>
        <w:insideV w:val="single" w:sz="4" w:space="0" w:color="FFFFFF" w:themeColor="background1"/>
      </w:tblBorders>
    </w:tblPr>
    <w:tcPr>
      <w:shd w:val="clear" w:color="auto" w:fill="EFEDF6" w:themeFill="accent3" w:themeFillTint="19"/>
    </w:tcPr>
    <w:tblStylePr w:type="firstRow">
      <w:rPr>
        <w:b/>
        <w:bCs/>
      </w:rPr>
      <w:tblPr/>
      <w:tcPr>
        <w:tcBorders>
          <w:top w:val="nil"/>
          <w:left w:val="nil"/>
          <w:bottom w:val="single" w:sz="24" w:space="0" w:color="6750A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060" w:themeFill="accent3" w:themeFillShade="99"/>
      </w:tcPr>
    </w:tblStylePr>
    <w:tblStylePr w:type="firstCol">
      <w:rPr>
        <w:color w:val="FFFFFF" w:themeColor="background1"/>
      </w:rPr>
      <w:tblPr/>
      <w:tcPr>
        <w:tcBorders>
          <w:top w:val="nil"/>
          <w:left w:val="nil"/>
          <w:bottom w:val="nil"/>
          <w:right w:val="nil"/>
          <w:insideH w:val="single" w:sz="4" w:space="0" w:color="3D3060" w:themeColor="accent3" w:themeShade="99"/>
          <w:insideV w:val="nil"/>
        </w:tcBorders>
        <w:shd w:val="clear" w:color="auto" w:fill="3D306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D3060" w:themeFill="accent3" w:themeFillShade="99"/>
      </w:tcPr>
    </w:tblStylePr>
    <w:tblStylePr w:type="band1Vert">
      <w:tblPr/>
      <w:tcPr>
        <w:shd w:val="clear" w:color="auto" w:fill="C1B7DB" w:themeFill="accent3" w:themeFillTint="66"/>
      </w:tcPr>
    </w:tblStylePr>
    <w:tblStylePr w:type="band1Horz">
      <w:tblPr/>
      <w:tcPr>
        <w:shd w:val="clear" w:color="auto" w:fill="B2A5D2" w:themeFill="accent3" w:themeFillTint="7F"/>
      </w:tcPr>
    </w:tblStylePr>
  </w:style>
  <w:style w:type="table" w:styleId="ColorfulShading-Accent4">
    <w:name w:val="Colorful Shading Accent 4"/>
    <w:basedOn w:val="TableNormal"/>
    <w:uiPriority w:val="71"/>
    <w:pPr>
      <w:spacing w:after="0" w:line="240" w:lineRule="auto"/>
    </w:pPr>
    <w:rPr>
      <w:color w:val="000000" w:themeColor="text1"/>
    </w:rPr>
    <w:tblPr>
      <w:tblStyleRowBandSize w:val="1"/>
      <w:tblStyleColBandSize w:val="1"/>
      <w:tblBorders>
        <w:top w:val="single" w:sz="24" w:space="0" w:color="6750A0" w:themeColor="accent3"/>
        <w:left w:val="single" w:sz="4" w:space="0" w:color="6750A0" w:themeColor="accent4"/>
        <w:bottom w:val="single" w:sz="4" w:space="0" w:color="6750A0" w:themeColor="accent4"/>
        <w:right w:val="single" w:sz="4" w:space="0" w:color="6750A0" w:themeColor="accent4"/>
        <w:insideH w:val="single" w:sz="4" w:space="0" w:color="FFFFFF" w:themeColor="background1"/>
        <w:insideV w:val="single" w:sz="4" w:space="0" w:color="FFFFFF" w:themeColor="background1"/>
      </w:tblBorders>
    </w:tblPr>
    <w:tcPr>
      <w:shd w:val="clear" w:color="auto" w:fill="EFEDF6" w:themeFill="accent4" w:themeFillTint="19"/>
    </w:tcPr>
    <w:tblStylePr w:type="firstRow">
      <w:rPr>
        <w:b/>
        <w:bCs/>
      </w:rPr>
      <w:tblPr/>
      <w:tcPr>
        <w:tcBorders>
          <w:top w:val="nil"/>
          <w:left w:val="nil"/>
          <w:bottom w:val="single" w:sz="24" w:space="0" w:color="6750A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060" w:themeFill="accent4" w:themeFillShade="99"/>
      </w:tcPr>
    </w:tblStylePr>
    <w:tblStylePr w:type="firstCol">
      <w:rPr>
        <w:color w:val="FFFFFF" w:themeColor="background1"/>
      </w:rPr>
      <w:tblPr/>
      <w:tcPr>
        <w:tcBorders>
          <w:top w:val="nil"/>
          <w:left w:val="nil"/>
          <w:bottom w:val="nil"/>
          <w:right w:val="nil"/>
          <w:insideH w:val="single" w:sz="4" w:space="0" w:color="3D3060" w:themeColor="accent4" w:themeShade="99"/>
          <w:insideV w:val="nil"/>
        </w:tcBorders>
        <w:shd w:val="clear" w:color="auto" w:fill="3D306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060" w:themeFill="accent4" w:themeFillShade="99"/>
      </w:tcPr>
    </w:tblStylePr>
    <w:tblStylePr w:type="band1Vert">
      <w:tblPr/>
      <w:tcPr>
        <w:shd w:val="clear" w:color="auto" w:fill="C1B7DB" w:themeFill="accent4" w:themeFillTint="66"/>
      </w:tcPr>
    </w:tblStylePr>
    <w:tblStylePr w:type="band1Horz">
      <w:tblPr/>
      <w:tcPr>
        <w:shd w:val="clear" w:color="auto" w:fill="B2A5D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pPr>
      <w:spacing w:after="0" w:line="240" w:lineRule="auto"/>
    </w:pPr>
    <w:rPr>
      <w:color w:val="000000" w:themeColor="text1"/>
    </w:rPr>
    <w:tblPr>
      <w:tblStyleRowBandSize w:val="1"/>
      <w:tblStyleColBandSize w:val="1"/>
      <w:tblBorders>
        <w:top w:val="single" w:sz="24" w:space="0" w:color="AC2986" w:themeColor="accent6"/>
        <w:left w:val="single" w:sz="4" w:space="0" w:color="6750A0" w:themeColor="accent5"/>
        <w:bottom w:val="single" w:sz="4" w:space="0" w:color="6750A0" w:themeColor="accent5"/>
        <w:right w:val="single" w:sz="4" w:space="0" w:color="6750A0" w:themeColor="accent5"/>
        <w:insideH w:val="single" w:sz="4" w:space="0" w:color="FFFFFF" w:themeColor="background1"/>
        <w:insideV w:val="single" w:sz="4" w:space="0" w:color="FFFFFF" w:themeColor="background1"/>
      </w:tblBorders>
    </w:tblPr>
    <w:tcPr>
      <w:shd w:val="clear" w:color="auto" w:fill="EFEDF6" w:themeFill="accent5" w:themeFillTint="19"/>
    </w:tcPr>
    <w:tblStylePr w:type="firstRow">
      <w:rPr>
        <w:b/>
        <w:bCs/>
      </w:rPr>
      <w:tblPr/>
      <w:tcPr>
        <w:tcBorders>
          <w:top w:val="nil"/>
          <w:left w:val="nil"/>
          <w:bottom w:val="single" w:sz="24" w:space="0" w:color="AC298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060" w:themeFill="accent5" w:themeFillShade="99"/>
      </w:tcPr>
    </w:tblStylePr>
    <w:tblStylePr w:type="firstCol">
      <w:rPr>
        <w:color w:val="FFFFFF" w:themeColor="background1"/>
      </w:rPr>
      <w:tblPr/>
      <w:tcPr>
        <w:tcBorders>
          <w:top w:val="nil"/>
          <w:left w:val="nil"/>
          <w:bottom w:val="nil"/>
          <w:right w:val="nil"/>
          <w:insideH w:val="single" w:sz="4" w:space="0" w:color="3D3060" w:themeColor="accent5" w:themeShade="99"/>
          <w:insideV w:val="nil"/>
        </w:tcBorders>
        <w:shd w:val="clear" w:color="auto" w:fill="3D306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3060" w:themeFill="accent5" w:themeFillShade="99"/>
      </w:tcPr>
    </w:tblStylePr>
    <w:tblStylePr w:type="band1Vert">
      <w:tblPr/>
      <w:tcPr>
        <w:shd w:val="clear" w:color="auto" w:fill="C1B7DB" w:themeFill="accent5" w:themeFillTint="66"/>
      </w:tcPr>
    </w:tblStylePr>
    <w:tblStylePr w:type="band1Horz">
      <w:tblPr/>
      <w:tcPr>
        <w:shd w:val="clear" w:color="auto" w:fill="B2A5D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pPr>
      <w:spacing w:after="0" w:line="240" w:lineRule="auto"/>
    </w:pPr>
    <w:rPr>
      <w:color w:val="000000" w:themeColor="text1"/>
    </w:rPr>
    <w:tblPr>
      <w:tblStyleRowBandSize w:val="1"/>
      <w:tblStyleColBandSize w:val="1"/>
      <w:tblBorders>
        <w:top w:val="single" w:sz="24" w:space="0" w:color="6750A0" w:themeColor="accent5"/>
        <w:left w:val="single" w:sz="4" w:space="0" w:color="AC2986" w:themeColor="accent6"/>
        <w:bottom w:val="single" w:sz="4" w:space="0" w:color="AC2986" w:themeColor="accent6"/>
        <w:right w:val="single" w:sz="4" w:space="0" w:color="AC2986" w:themeColor="accent6"/>
        <w:insideH w:val="single" w:sz="4" w:space="0" w:color="FFFFFF" w:themeColor="background1"/>
        <w:insideV w:val="single" w:sz="4" w:space="0" w:color="FFFFFF" w:themeColor="background1"/>
      </w:tblBorders>
    </w:tblPr>
    <w:tcPr>
      <w:shd w:val="clear" w:color="auto" w:fill="F9E7F4" w:themeFill="accent6" w:themeFillTint="19"/>
    </w:tcPr>
    <w:tblStylePr w:type="firstRow">
      <w:rPr>
        <w:b/>
        <w:bCs/>
      </w:rPr>
      <w:tblPr/>
      <w:tcPr>
        <w:tcBorders>
          <w:top w:val="nil"/>
          <w:left w:val="nil"/>
          <w:bottom w:val="single" w:sz="24" w:space="0" w:color="6750A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71850" w:themeFill="accent6" w:themeFillShade="99"/>
      </w:tcPr>
    </w:tblStylePr>
    <w:tblStylePr w:type="firstCol">
      <w:rPr>
        <w:color w:val="FFFFFF" w:themeColor="background1"/>
      </w:rPr>
      <w:tblPr/>
      <w:tcPr>
        <w:tcBorders>
          <w:top w:val="nil"/>
          <w:left w:val="nil"/>
          <w:bottom w:val="nil"/>
          <w:right w:val="nil"/>
          <w:insideH w:val="single" w:sz="4" w:space="0" w:color="671850" w:themeColor="accent6" w:themeShade="99"/>
          <w:insideV w:val="nil"/>
        </w:tcBorders>
        <w:shd w:val="clear" w:color="auto" w:fill="67185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71850" w:themeFill="accent6" w:themeFillShade="99"/>
      </w:tcPr>
    </w:tblStylePr>
    <w:tblStylePr w:type="band1Vert">
      <w:tblPr/>
      <w:tcPr>
        <w:shd w:val="clear" w:color="auto" w:fill="E89ED2" w:themeFill="accent6" w:themeFillTint="66"/>
      </w:tcPr>
    </w:tblStylePr>
    <w:tblStylePr w:type="band1Horz">
      <w:tblPr/>
      <w:tcPr>
        <w:shd w:val="clear" w:color="auto" w:fill="E287C8"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rPr>
      <w:sz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rPr>
  </w:style>
  <w:style w:type="table" w:styleId="DarkList">
    <w:name w:val="Dark List"/>
    <w:basedOn w:val="TableNormal"/>
    <w:uiPriority w:val="7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pPr>
      <w:spacing w:after="0" w:line="240" w:lineRule="auto"/>
    </w:pPr>
    <w:rPr>
      <w:color w:val="FFFFFF" w:themeColor="background1"/>
    </w:rPr>
    <w:tblPr>
      <w:tblStyleRowBandSize w:val="1"/>
      <w:tblStyleColBandSize w:val="1"/>
    </w:tblPr>
    <w:tcPr>
      <w:shd w:val="clear" w:color="auto" w:fill="6750A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274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D3C7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D3C77" w:themeFill="accent1" w:themeFillShade="BF"/>
      </w:tcPr>
    </w:tblStylePr>
    <w:tblStylePr w:type="band1Vert">
      <w:tblPr/>
      <w:tcPr>
        <w:tcBorders>
          <w:top w:val="nil"/>
          <w:left w:val="nil"/>
          <w:bottom w:val="nil"/>
          <w:right w:val="nil"/>
          <w:insideH w:val="nil"/>
          <w:insideV w:val="nil"/>
        </w:tcBorders>
        <w:shd w:val="clear" w:color="auto" w:fill="4D3C77" w:themeFill="accent1" w:themeFillShade="BF"/>
      </w:tcPr>
    </w:tblStylePr>
    <w:tblStylePr w:type="band1Horz">
      <w:tblPr/>
      <w:tcPr>
        <w:tcBorders>
          <w:top w:val="nil"/>
          <w:left w:val="nil"/>
          <w:bottom w:val="nil"/>
          <w:right w:val="nil"/>
          <w:insideH w:val="nil"/>
          <w:insideV w:val="nil"/>
        </w:tcBorders>
        <w:shd w:val="clear" w:color="auto" w:fill="4D3C77" w:themeFill="accent1" w:themeFillShade="BF"/>
      </w:tcPr>
    </w:tblStylePr>
  </w:style>
  <w:style w:type="table" w:styleId="DarkList-Accent2">
    <w:name w:val="Dark List Accent 2"/>
    <w:basedOn w:val="TableNormal"/>
    <w:uiPriority w:val="70"/>
    <w:pPr>
      <w:spacing w:after="0" w:line="240" w:lineRule="auto"/>
    </w:pPr>
    <w:rPr>
      <w:color w:val="FFFFFF" w:themeColor="background1"/>
    </w:rPr>
    <w:tblPr>
      <w:tblStyleRowBandSize w:val="1"/>
      <w:tblStyleColBandSize w:val="1"/>
    </w:tblPr>
    <w:tcPr>
      <w:shd w:val="clear" w:color="auto" w:fill="6750A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274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D3C77"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D3C77" w:themeFill="accent2" w:themeFillShade="BF"/>
      </w:tcPr>
    </w:tblStylePr>
    <w:tblStylePr w:type="band1Vert">
      <w:tblPr/>
      <w:tcPr>
        <w:tcBorders>
          <w:top w:val="nil"/>
          <w:left w:val="nil"/>
          <w:bottom w:val="nil"/>
          <w:right w:val="nil"/>
          <w:insideH w:val="nil"/>
          <w:insideV w:val="nil"/>
        </w:tcBorders>
        <w:shd w:val="clear" w:color="auto" w:fill="4D3C77" w:themeFill="accent2" w:themeFillShade="BF"/>
      </w:tcPr>
    </w:tblStylePr>
    <w:tblStylePr w:type="band1Horz">
      <w:tblPr/>
      <w:tcPr>
        <w:tcBorders>
          <w:top w:val="nil"/>
          <w:left w:val="nil"/>
          <w:bottom w:val="nil"/>
          <w:right w:val="nil"/>
          <w:insideH w:val="nil"/>
          <w:insideV w:val="nil"/>
        </w:tcBorders>
        <w:shd w:val="clear" w:color="auto" w:fill="4D3C77" w:themeFill="accent2" w:themeFillShade="BF"/>
      </w:tcPr>
    </w:tblStylePr>
  </w:style>
  <w:style w:type="table" w:styleId="DarkList-Accent3">
    <w:name w:val="Dark List Accent 3"/>
    <w:basedOn w:val="TableNormal"/>
    <w:uiPriority w:val="70"/>
    <w:pPr>
      <w:spacing w:after="0" w:line="240" w:lineRule="auto"/>
    </w:pPr>
    <w:rPr>
      <w:color w:val="FFFFFF" w:themeColor="background1"/>
    </w:rPr>
    <w:tblPr>
      <w:tblStyleRowBandSize w:val="1"/>
      <w:tblStyleColBandSize w:val="1"/>
    </w:tblPr>
    <w:tcPr>
      <w:shd w:val="clear" w:color="auto" w:fill="6750A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274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D3C7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D3C77" w:themeFill="accent3" w:themeFillShade="BF"/>
      </w:tcPr>
    </w:tblStylePr>
    <w:tblStylePr w:type="band1Vert">
      <w:tblPr/>
      <w:tcPr>
        <w:tcBorders>
          <w:top w:val="nil"/>
          <w:left w:val="nil"/>
          <w:bottom w:val="nil"/>
          <w:right w:val="nil"/>
          <w:insideH w:val="nil"/>
          <w:insideV w:val="nil"/>
        </w:tcBorders>
        <w:shd w:val="clear" w:color="auto" w:fill="4D3C77" w:themeFill="accent3" w:themeFillShade="BF"/>
      </w:tcPr>
    </w:tblStylePr>
    <w:tblStylePr w:type="band1Horz">
      <w:tblPr/>
      <w:tcPr>
        <w:tcBorders>
          <w:top w:val="nil"/>
          <w:left w:val="nil"/>
          <w:bottom w:val="nil"/>
          <w:right w:val="nil"/>
          <w:insideH w:val="nil"/>
          <w:insideV w:val="nil"/>
        </w:tcBorders>
        <w:shd w:val="clear" w:color="auto" w:fill="4D3C77" w:themeFill="accent3" w:themeFillShade="BF"/>
      </w:tcPr>
    </w:tblStylePr>
  </w:style>
  <w:style w:type="table" w:styleId="DarkList-Accent4">
    <w:name w:val="Dark List Accent 4"/>
    <w:basedOn w:val="TableNormal"/>
    <w:uiPriority w:val="70"/>
    <w:pPr>
      <w:spacing w:after="0" w:line="240" w:lineRule="auto"/>
    </w:pPr>
    <w:rPr>
      <w:color w:val="FFFFFF" w:themeColor="background1"/>
    </w:rPr>
    <w:tblPr>
      <w:tblStyleRowBandSize w:val="1"/>
      <w:tblStyleColBandSize w:val="1"/>
    </w:tblPr>
    <w:tcPr>
      <w:shd w:val="clear" w:color="auto" w:fill="6750A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274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D3C77"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D3C77" w:themeFill="accent4" w:themeFillShade="BF"/>
      </w:tcPr>
    </w:tblStylePr>
    <w:tblStylePr w:type="band1Vert">
      <w:tblPr/>
      <w:tcPr>
        <w:tcBorders>
          <w:top w:val="nil"/>
          <w:left w:val="nil"/>
          <w:bottom w:val="nil"/>
          <w:right w:val="nil"/>
          <w:insideH w:val="nil"/>
          <w:insideV w:val="nil"/>
        </w:tcBorders>
        <w:shd w:val="clear" w:color="auto" w:fill="4D3C77" w:themeFill="accent4" w:themeFillShade="BF"/>
      </w:tcPr>
    </w:tblStylePr>
    <w:tblStylePr w:type="band1Horz">
      <w:tblPr/>
      <w:tcPr>
        <w:tcBorders>
          <w:top w:val="nil"/>
          <w:left w:val="nil"/>
          <w:bottom w:val="nil"/>
          <w:right w:val="nil"/>
          <w:insideH w:val="nil"/>
          <w:insideV w:val="nil"/>
        </w:tcBorders>
        <w:shd w:val="clear" w:color="auto" w:fill="4D3C77" w:themeFill="accent4" w:themeFillShade="BF"/>
      </w:tcPr>
    </w:tblStylePr>
  </w:style>
  <w:style w:type="table" w:styleId="DarkList-Accent5">
    <w:name w:val="Dark List Accent 5"/>
    <w:basedOn w:val="TableNormal"/>
    <w:uiPriority w:val="70"/>
    <w:pPr>
      <w:spacing w:after="0" w:line="240" w:lineRule="auto"/>
    </w:pPr>
    <w:rPr>
      <w:color w:val="FFFFFF" w:themeColor="background1"/>
    </w:rPr>
    <w:tblPr>
      <w:tblStyleRowBandSize w:val="1"/>
      <w:tblStyleColBandSize w:val="1"/>
    </w:tblPr>
    <w:tcPr>
      <w:shd w:val="clear" w:color="auto" w:fill="6750A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274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D3C7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D3C77" w:themeFill="accent5" w:themeFillShade="BF"/>
      </w:tcPr>
    </w:tblStylePr>
    <w:tblStylePr w:type="band1Vert">
      <w:tblPr/>
      <w:tcPr>
        <w:tcBorders>
          <w:top w:val="nil"/>
          <w:left w:val="nil"/>
          <w:bottom w:val="nil"/>
          <w:right w:val="nil"/>
          <w:insideH w:val="nil"/>
          <w:insideV w:val="nil"/>
        </w:tcBorders>
        <w:shd w:val="clear" w:color="auto" w:fill="4D3C77" w:themeFill="accent5" w:themeFillShade="BF"/>
      </w:tcPr>
    </w:tblStylePr>
    <w:tblStylePr w:type="band1Horz">
      <w:tblPr/>
      <w:tcPr>
        <w:tcBorders>
          <w:top w:val="nil"/>
          <w:left w:val="nil"/>
          <w:bottom w:val="nil"/>
          <w:right w:val="nil"/>
          <w:insideH w:val="nil"/>
          <w:insideV w:val="nil"/>
        </w:tcBorders>
        <w:shd w:val="clear" w:color="auto" w:fill="4D3C77" w:themeFill="accent5" w:themeFillShade="BF"/>
      </w:tcPr>
    </w:tblStylePr>
  </w:style>
  <w:style w:type="table" w:styleId="DarkList-Accent6">
    <w:name w:val="Dark List Accent 6"/>
    <w:basedOn w:val="TableNormal"/>
    <w:uiPriority w:val="70"/>
    <w:pPr>
      <w:spacing w:after="0" w:line="240" w:lineRule="auto"/>
    </w:pPr>
    <w:rPr>
      <w:color w:val="FFFFFF" w:themeColor="background1"/>
    </w:rPr>
    <w:tblPr>
      <w:tblStyleRowBandSize w:val="1"/>
      <w:tblStyleColBandSize w:val="1"/>
    </w:tblPr>
    <w:tcPr>
      <w:shd w:val="clear" w:color="auto" w:fill="AC298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5144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01E64"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01E64" w:themeFill="accent6" w:themeFillShade="BF"/>
      </w:tcPr>
    </w:tblStylePr>
    <w:tblStylePr w:type="band1Vert">
      <w:tblPr/>
      <w:tcPr>
        <w:tcBorders>
          <w:top w:val="nil"/>
          <w:left w:val="nil"/>
          <w:bottom w:val="nil"/>
          <w:right w:val="nil"/>
          <w:insideH w:val="nil"/>
          <w:insideV w:val="nil"/>
        </w:tcBorders>
        <w:shd w:val="clear" w:color="auto" w:fill="801E64" w:themeFill="accent6" w:themeFillShade="BF"/>
      </w:tcPr>
    </w:tblStylePr>
    <w:tblStylePr w:type="band1Horz">
      <w:tblPr/>
      <w:tcPr>
        <w:tcBorders>
          <w:top w:val="nil"/>
          <w:left w:val="nil"/>
          <w:bottom w:val="nil"/>
          <w:right w:val="nil"/>
          <w:insideH w:val="nil"/>
          <w:insideV w:val="nil"/>
        </w:tcBorders>
        <w:shd w:val="clear" w:color="auto" w:fill="801E64" w:themeFill="accent6" w:themeFillShade="BF"/>
      </w:tcPr>
    </w:tblStyle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style>
  <w:style w:type="paragraph" w:styleId="DocumentMap">
    <w:name w:val="Document Map"/>
    <w:basedOn w:val="Normal"/>
    <w:link w:val="DocumentMapChar"/>
    <w:uiPriority w:val="99"/>
    <w:semiHidden/>
    <w:unhideWhenUsed/>
    <w:pPr>
      <w:spacing w:after="0" w:line="240" w:lineRule="auto"/>
    </w:pPr>
    <w:rPr>
      <w:rFonts w:ascii="Tahoma" w:hAnsi="Tahoma" w:cs="Tahoma"/>
      <w:sz w:val="16"/>
    </w:rPr>
  </w:style>
  <w:style w:type="character" w:customStyle="1" w:styleId="DocumentMapChar">
    <w:name w:val="Document Map Char"/>
    <w:basedOn w:val="DefaultParagraphFont"/>
    <w:link w:val="DocumentMap"/>
    <w:uiPriority w:val="99"/>
    <w:semiHidden/>
    <w:rPr>
      <w:rFonts w:ascii="Tahoma" w:hAnsi="Tahoma" w:cs="Tahoma"/>
      <w:sz w:val="16"/>
    </w:rPr>
  </w:style>
  <w:style w:type="paragraph" w:styleId="E-mailSignature">
    <w:name w:val="E-mail Signature"/>
    <w:basedOn w:val="Normal"/>
    <w:link w:val="E-mailSignatureChar"/>
    <w:uiPriority w:val="99"/>
    <w:semiHidden/>
    <w:unhideWhenUsed/>
    <w:pPr>
      <w:spacing w:after="0" w:line="240" w:lineRule="auto"/>
    </w:pPr>
  </w:style>
  <w:style w:type="character" w:customStyle="1" w:styleId="E-mailSignatureChar">
    <w:name w:val="E-mail Signature Char"/>
    <w:basedOn w:val="DefaultParagraphFont"/>
    <w:link w:val="E-mailSignature"/>
    <w:uiPriority w:val="99"/>
    <w:semiHidden/>
  </w:style>
  <w:style w:type="character" w:styleId="Emphasis">
    <w:name w:val="Emphasis"/>
    <w:basedOn w:val="DefaultParagraphFont"/>
    <w:uiPriority w:val="20"/>
    <w:semiHidden/>
    <w:unhideWhenUsed/>
    <w:rPr>
      <w:i/>
      <w:iCs/>
    </w:rPr>
  </w:style>
  <w:style w:type="character" w:styleId="EndnoteReference">
    <w:name w:val="endnote reference"/>
    <w:basedOn w:val="DefaultParagraphFont"/>
    <w:unhideWhenUsed/>
    <w:rPr>
      <w:vertAlign w:val="superscript"/>
    </w:rPr>
  </w:style>
  <w:style w:type="paragraph" w:styleId="EndnoteText">
    <w:name w:val="endnote text"/>
    <w:basedOn w:val="Normal"/>
    <w:link w:val="EndnoteTextChar"/>
    <w:unhideWhenUsed/>
    <w:pPr>
      <w:spacing w:after="0" w:line="240" w:lineRule="auto"/>
    </w:pPr>
  </w:style>
  <w:style w:type="character" w:customStyle="1" w:styleId="EndnoteTextChar">
    <w:name w:val="Endnote Text Char"/>
    <w:basedOn w:val="DefaultParagraphFont"/>
    <w:link w:val="EndnoteText"/>
    <w:rPr>
      <w:sz w:val="20"/>
    </w:rPr>
  </w:style>
  <w:style w:type="paragraph" w:styleId="EnvelopeAddress">
    <w:name w:val="envelope address"/>
    <w:basedOn w:val="Normal"/>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pPr>
      <w:spacing w:after="0" w:line="240" w:lineRule="auto"/>
    </w:pPr>
    <w:rPr>
      <w:rFonts w:asciiTheme="majorHAnsi" w:eastAsiaTheme="majorEastAsia" w:hAnsiTheme="majorHAnsi" w:cstheme="majorBidi"/>
    </w:rPr>
  </w:style>
  <w:style w:type="character" w:styleId="FollowedHyperlink">
    <w:name w:val="FollowedHyperlink"/>
    <w:basedOn w:val="DefaultParagraphFont"/>
    <w:unhideWhenUsed/>
    <w:rPr>
      <w:color w:val="AC2986" w:themeColor="followedHyperlink"/>
      <w:u w:val="single"/>
    </w:rPr>
  </w:style>
  <w:style w:type="character" w:styleId="FootnoteReference">
    <w:name w:val="footnote reference"/>
    <w:basedOn w:val="DefaultParagraphFont"/>
    <w:unhideWhenUsed/>
    <w:rPr>
      <w:vertAlign w:val="superscript"/>
    </w:rPr>
  </w:style>
  <w:style w:type="paragraph" w:styleId="FootnoteText">
    <w:name w:val="footnote text"/>
    <w:basedOn w:val="Normal"/>
    <w:link w:val="FootnoteTextChar"/>
    <w:unhideWhenUsed/>
    <w:pPr>
      <w:spacing w:after="0" w:line="240" w:lineRule="auto"/>
    </w:pPr>
  </w:style>
  <w:style w:type="character" w:customStyle="1" w:styleId="FootnoteTextChar">
    <w:name w:val="Footnote Text Char"/>
    <w:basedOn w:val="DefaultParagraphFont"/>
    <w:link w:val="FootnoteText"/>
    <w:rPr>
      <w:sz w:val="20"/>
    </w:rPr>
  </w:style>
  <w:style w:type="character" w:customStyle="1" w:styleId="Heading3Char">
    <w:name w:val="Heading 3 Char"/>
    <w:basedOn w:val="DefaultParagraphFont"/>
    <w:link w:val="Heading3"/>
    <w:uiPriority w:val="1"/>
    <w:rPr>
      <w:rFonts w:asciiTheme="majorHAnsi" w:eastAsiaTheme="majorEastAsia" w:hAnsiTheme="majorHAnsi" w:cstheme="majorBidi"/>
      <w:b/>
      <w:bCs/>
      <w:color w:val="6750A0" w:themeColor="accent1"/>
      <w:kern w:val="20"/>
      <w14:ligatures w14:val="standardContextual"/>
    </w:rPr>
  </w:style>
  <w:style w:type="character" w:customStyle="1" w:styleId="Heading4Char">
    <w:name w:val="Heading 4 Char"/>
    <w:basedOn w:val="DefaultParagraphFont"/>
    <w:link w:val="Heading4"/>
    <w:uiPriority w:val="18"/>
    <w:semiHidden/>
    <w:rPr>
      <w:rFonts w:asciiTheme="majorHAnsi" w:eastAsiaTheme="majorEastAsia" w:hAnsiTheme="majorHAnsi" w:cstheme="majorBidi"/>
      <w:b/>
      <w:bCs/>
      <w:i/>
      <w:iCs/>
      <w:color w:val="6750A0" w:themeColor="accent1"/>
      <w:kern w:val="20"/>
    </w:rPr>
  </w:style>
  <w:style w:type="character" w:customStyle="1" w:styleId="Heading5Char">
    <w:name w:val="Heading 5 Char"/>
    <w:basedOn w:val="DefaultParagraphFont"/>
    <w:link w:val="Heading5"/>
    <w:uiPriority w:val="18"/>
    <w:semiHidden/>
    <w:rPr>
      <w:rFonts w:asciiTheme="majorHAnsi" w:eastAsiaTheme="majorEastAsia" w:hAnsiTheme="majorHAnsi" w:cstheme="majorBidi"/>
      <w:color w:val="33274F" w:themeColor="accent1" w:themeShade="7F"/>
      <w:kern w:val="20"/>
    </w:rPr>
  </w:style>
  <w:style w:type="character" w:customStyle="1" w:styleId="Heading6Char">
    <w:name w:val="Heading 6 Char"/>
    <w:basedOn w:val="DefaultParagraphFont"/>
    <w:link w:val="Heading6"/>
    <w:uiPriority w:val="18"/>
    <w:semiHidden/>
    <w:rPr>
      <w:rFonts w:asciiTheme="majorHAnsi" w:eastAsiaTheme="majorEastAsia" w:hAnsiTheme="majorHAnsi" w:cstheme="majorBidi"/>
      <w:i/>
      <w:iCs/>
      <w:color w:val="33274F" w:themeColor="accent1" w:themeShade="7F"/>
      <w:kern w:val="20"/>
    </w:rPr>
  </w:style>
  <w:style w:type="character" w:customStyle="1" w:styleId="Heading7Char">
    <w:name w:val="Heading 7 Char"/>
    <w:basedOn w:val="DefaultParagraphFont"/>
    <w:link w:val="Heading7"/>
    <w:uiPriority w:val="18"/>
    <w:semiHidden/>
    <w:rPr>
      <w:rFonts w:asciiTheme="majorHAnsi" w:eastAsiaTheme="majorEastAsia" w:hAnsiTheme="majorHAnsi" w:cstheme="majorBidi"/>
      <w:i/>
      <w:iCs/>
      <w:color w:val="404040" w:themeColor="text1" w:themeTint="BF"/>
      <w:kern w:val="20"/>
    </w:rPr>
  </w:style>
  <w:style w:type="character" w:customStyle="1" w:styleId="Heading8Char">
    <w:name w:val="Heading 8 Char"/>
    <w:basedOn w:val="DefaultParagraphFont"/>
    <w:link w:val="Heading8"/>
    <w:uiPriority w:val="18"/>
    <w:semiHidden/>
    <w:rPr>
      <w:rFonts w:asciiTheme="majorHAnsi" w:eastAsiaTheme="majorEastAsia" w:hAnsiTheme="majorHAnsi" w:cstheme="majorBidi"/>
      <w:color w:val="404040" w:themeColor="text1" w:themeTint="BF"/>
      <w:kern w:val="20"/>
    </w:rPr>
  </w:style>
  <w:style w:type="character" w:customStyle="1" w:styleId="Heading9Char">
    <w:name w:val="Heading 9 Char"/>
    <w:basedOn w:val="DefaultParagraphFont"/>
    <w:link w:val="Heading9"/>
    <w:uiPriority w:val="18"/>
    <w:semiHidden/>
    <w:rPr>
      <w:rFonts w:asciiTheme="majorHAnsi" w:eastAsiaTheme="majorEastAsia" w:hAnsiTheme="majorHAnsi" w:cstheme="majorBidi"/>
      <w:i/>
      <w:iCs/>
      <w:color w:val="404040" w:themeColor="text1" w:themeTint="BF"/>
      <w:kern w:val="20"/>
    </w:rPr>
  </w:style>
  <w:style w:type="character" w:styleId="HTMLAcronym">
    <w:name w:val="HTML Acronym"/>
    <w:basedOn w:val="DefaultParagraphFont"/>
    <w:uiPriority w:val="99"/>
    <w:semiHidden/>
    <w:unhideWhenUsed/>
  </w:style>
  <w:style w:type="paragraph" w:styleId="HTMLAddress">
    <w:name w:val="HTML Address"/>
    <w:basedOn w:val="Normal"/>
    <w:link w:val="HTMLAddressChar"/>
    <w:uiPriority w:val="99"/>
    <w:semiHidden/>
    <w:unhideWhenUsed/>
    <w:pPr>
      <w:spacing w:after="0" w:line="240" w:lineRule="auto"/>
    </w:pPr>
    <w:rPr>
      <w:i/>
      <w:iCs/>
    </w:rPr>
  </w:style>
  <w:style w:type="character" w:customStyle="1" w:styleId="HTMLAddressChar">
    <w:name w:val="HTML Address Char"/>
    <w:basedOn w:val="DefaultParagraphFont"/>
    <w:link w:val="HTMLAddress"/>
    <w:uiPriority w:val="99"/>
    <w:semiHidden/>
    <w:rPr>
      <w:i/>
      <w:iCs/>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nsolas" w:hAnsi="Consolas" w:cs="Consolas"/>
      <w:sz w:val="20"/>
    </w:rPr>
  </w:style>
  <w:style w:type="character" w:styleId="HTMLDefinition">
    <w:name w:val="HTML Definition"/>
    <w:basedOn w:val="DefaultParagraphFont"/>
    <w:uiPriority w:val="99"/>
    <w:semiHidden/>
    <w:unhideWhenUsed/>
    <w:rPr>
      <w:i/>
      <w:iCs/>
    </w:rPr>
  </w:style>
  <w:style w:type="character" w:styleId="HTMLKeyboard">
    <w:name w:val="HTML Keyboard"/>
    <w:basedOn w:val="DefaultParagraphFont"/>
    <w:uiPriority w:val="99"/>
    <w:semiHidden/>
    <w:unhideWhenUsed/>
    <w:rPr>
      <w:rFonts w:ascii="Consolas" w:hAnsi="Consolas" w:cs="Consolas"/>
      <w:sz w:val="20"/>
    </w:rPr>
  </w:style>
  <w:style w:type="paragraph" w:styleId="HTMLPreformatted">
    <w:name w:val="HTML Preformatted"/>
    <w:basedOn w:val="Normal"/>
    <w:link w:val="HTMLPreformattedChar"/>
    <w:uiPriority w:val="99"/>
    <w:semiHidden/>
    <w:unhideWhenUsed/>
    <w:pPr>
      <w:spacing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Pr>
      <w:rFonts w:ascii="Consolas" w:hAnsi="Consolas" w:cs="Consolas"/>
      <w:sz w:val="20"/>
    </w:rPr>
  </w:style>
  <w:style w:type="character" w:styleId="HTMLSample">
    <w:name w:val="HTML Sample"/>
    <w:basedOn w:val="DefaultParagraphFont"/>
    <w:uiPriority w:val="99"/>
    <w:semiHidden/>
    <w:unhideWhenUsed/>
    <w:rPr>
      <w:rFonts w:ascii="Consolas" w:hAnsi="Consolas" w:cs="Consolas"/>
      <w:sz w:val="24"/>
    </w:rPr>
  </w:style>
  <w:style w:type="character" w:styleId="HTMLTypewriter">
    <w:name w:val="HTML Typewriter"/>
    <w:basedOn w:val="DefaultParagraphFont"/>
    <w:uiPriority w:val="99"/>
    <w:semiHidden/>
    <w:unhideWhenUsed/>
    <w:rPr>
      <w:rFonts w:ascii="Consolas" w:hAnsi="Consolas" w:cs="Consolas"/>
      <w:sz w:val="20"/>
    </w:rPr>
  </w:style>
  <w:style w:type="character" w:styleId="HTMLVariable">
    <w:name w:val="HTML Variable"/>
    <w:basedOn w:val="DefaultParagraphFont"/>
    <w:uiPriority w:val="99"/>
    <w:semiHidden/>
    <w:unhideWhenUsed/>
    <w:rPr>
      <w:i/>
      <w:iCs/>
    </w:rPr>
  </w:style>
  <w:style w:type="character" w:styleId="Hyperlink">
    <w:name w:val="Hyperlink"/>
    <w:basedOn w:val="DefaultParagraphFont"/>
    <w:uiPriority w:val="99"/>
    <w:unhideWhenUsed/>
    <w:rPr>
      <w:color w:val="6750A0" w:themeColor="hyperlink"/>
      <w:u w:val="single"/>
    </w:rPr>
  </w:style>
  <w:style w:type="paragraph" w:styleId="Index1">
    <w:name w:val="index 1"/>
    <w:basedOn w:val="Normal"/>
    <w:next w:val="Normal"/>
    <w:autoRedefine/>
    <w:uiPriority w:val="99"/>
    <w:semiHidden/>
    <w:unhideWhenUsed/>
    <w:pPr>
      <w:spacing w:after="0" w:line="240" w:lineRule="auto"/>
      <w:ind w:left="220" w:hanging="220"/>
    </w:pPr>
  </w:style>
  <w:style w:type="paragraph" w:styleId="Index2">
    <w:name w:val="index 2"/>
    <w:basedOn w:val="Normal"/>
    <w:next w:val="Normal"/>
    <w:autoRedefine/>
    <w:uiPriority w:val="99"/>
    <w:semiHidden/>
    <w:unhideWhenUsed/>
    <w:pPr>
      <w:spacing w:after="0" w:line="240" w:lineRule="auto"/>
      <w:ind w:left="440" w:hanging="220"/>
    </w:pPr>
  </w:style>
  <w:style w:type="paragraph" w:styleId="Index3">
    <w:name w:val="index 3"/>
    <w:basedOn w:val="Normal"/>
    <w:next w:val="Normal"/>
    <w:autoRedefine/>
    <w:uiPriority w:val="99"/>
    <w:semiHidden/>
    <w:unhideWhenUsed/>
    <w:pPr>
      <w:spacing w:after="0" w:line="240" w:lineRule="auto"/>
      <w:ind w:left="660" w:hanging="220"/>
    </w:pPr>
  </w:style>
  <w:style w:type="paragraph" w:styleId="Index4">
    <w:name w:val="index 4"/>
    <w:basedOn w:val="Normal"/>
    <w:next w:val="Normal"/>
    <w:autoRedefine/>
    <w:uiPriority w:val="99"/>
    <w:semiHidden/>
    <w:unhideWhenUsed/>
    <w:pPr>
      <w:spacing w:after="0" w:line="240" w:lineRule="auto"/>
      <w:ind w:left="880" w:hanging="220"/>
    </w:pPr>
  </w:style>
  <w:style w:type="paragraph" w:styleId="Index5">
    <w:name w:val="index 5"/>
    <w:basedOn w:val="Normal"/>
    <w:next w:val="Normal"/>
    <w:autoRedefine/>
    <w:uiPriority w:val="99"/>
    <w:semiHidden/>
    <w:unhideWhenUsed/>
    <w:pPr>
      <w:spacing w:after="0" w:line="240" w:lineRule="auto"/>
      <w:ind w:left="1100" w:hanging="220"/>
    </w:pPr>
  </w:style>
  <w:style w:type="paragraph" w:styleId="Index6">
    <w:name w:val="index 6"/>
    <w:basedOn w:val="Normal"/>
    <w:next w:val="Normal"/>
    <w:autoRedefine/>
    <w:uiPriority w:val="99"/>
    <w:semiHidden/>
    <w:unhideWhenUsed/>
    <w:pPr>
      <w:spacing w:after="0" w:line="240" w:lineRule="auto"/>
      <w:ind w:left="1320" w:hanging="220"/>
    </w:pPr>
  </w:style>
  <w:style w:type="paragraph" w:styleId="Index7">
    <w:name w:val="index 7"/>
    <w:basedOn w:val="Normal"/>
    <w:next w:val="Normal"/>
    <w:autoRedefine/>
    <w:uiPriority w:val="99"/>
    <w:semiHidden/>
    <w:unhideWhenUsed/>
    <w:pPr>
      <w:spacing w:after="0" w:line="240" w:lineRule="auto"/>
      <w:ind w:left="1540" w:hanging="220"/>
    </w:pPr>
  </w:style>
  <w:style w:type="paragraph" w:styleId="Index8">
    <w:name w:val="index 8"/>
    <w:basedOn w:val="Normal"/>
    <w:next w:val="Normal"/>
    <w:autoRedefine/>
    <w:uiPriority w:val="99"/>
    <w:semiHidden/>
    <w:unhideWhenUsed/>
    <w:pPr>
      <w:spacing w:after="0" w:line="240" w:lineRule="auto"/>
      <w:ind w:left="1760" w:hanging="220"/>
    </w:pPr>
  </w:style>
  <w:style w:type="paragraph" w:styleId="Index9">
    <w:name w:val="index 9"/>
    <w:basedOn w:val="Normal"/>
    <w:next w:val="Normal"/>
    <w:autoRedefine/>
    <w:uiPriority w:val="99"/>
    <w:semiHidden/>
    <w:unhideWhenUsed/>
    <w:pPr>
      <w:spacing w:after="0" w:line="240" w:lineRule="auto"/>
      <w:ind w:left="1980" w:hanging="22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Pr>
      <w:b/>
      <w:bCs/>
      <w:i/>
      <w:iCs/>
      <w:color w:val="6750A0" w:themeColor="accent1"/>
    </w:rPr>
  </w:style>
  <w:style w:type="paragraph" w:styleId="IntenseQuote">
    <w:name w:val="Intense Quote"/>
    <w:basedOn w:val="Normal"/>
    <w:next w:val="Normal"/>
    <w:link w:val="IntenseQuoteChar"/>
    <w:uiPriority w:val="30"/>
    <w:semiHidden/>
    <w:unhideWhenUsed/>
    <w:pPr>
      <w:pBdr>
        <w:bottom w:val="single" w:sz="4" w:space="4" w:color="6750A0" w:themeColor="accent1"/>
      </w:pBdr>
      <w:spacing w:before="200" w:after="280"/>
      <w:ind w:left="936" w:right="936"/>
    </w:pPr>
    <w:rPr>
      <w:b/>
      <w:bCs/>
      <w:i/>
      <w:iCs/>
      <w:color w:val="6750A0" w:themeColor="accent1"/>
    </w:rPr>
  </w:style>
  <w:style w:type="character" w:customStyle="1" w:styleId="IntenseQuoteChar">
    <w:name w:val="Intense Quote Char"/>
    <w:basedOn w:val="DefaultParagraphFont"/>
    <w:link w:val="IntenseQuote"/>
    <w:uiPriority w:val="30"/>
    <w:semiHidden/>
    <w:rPr>
      <w:b/>
      <w:bCs/>
      <w:i/>
      <w:iCs/>
      <w:color w:val="6750A0" w:themeColor="accent1"/>
    </w:rPr>
  </w:style>
  <w:style w:type="character" w:styleId="IntenseReference">
    <w:name w:val="Intense Reference"/>
    <w:basedOn w:val="DefaultParagraphFont"/>
    <w:uiPriority w:val="32"/>
    <w:semiHidden/>
    <w:unhideWhenUsed/>
    <w:rPr>
      <w:b/>
      <w:bCs/>
      <w:smallCaps/>
      <w:color w:val="6750A0" w:themeColor="accent2"/>
      <w:spacing w:val="5"/>
      <w:u w:val="single"/>
    </w:rPr>
  </w:style>
  <w:style w:type="table" w:styleId="LightGrid">
    <w:name w:val="Light Grid"/>
    <w:basedOn w:val="TableNormal"/>
    <w:uiPriority w:val="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pPr>
      <w:spacing w:after="0" w:line="240" w:lineRule="auto"/>
    </w:pPr>
    <w:tblPr>
      <w:tblStyleRowBandSize w:val="1"/>
      <w:tblStyleColBandSize w:val="1"/>
      <w:tblBorders>
        <w:top w:val="single" w:sz="8" w:space="0" w:color="6750A0" w:themeColor="accent1"/>
        <w:left w:val="single" w:sz="8" w:space="0" w:color="6750A0" w:themeColor="accent1"/>
        <w:bottom w:val="single" w:sz="8" w:space="0" w:color="6750A0" w:themeColor="accent1"/>
        <w:right w:val="single" w:sz="8" w:space="0" w:color="6750A0" w:themeColor="accent1"/>
        <w:insideH w:val="single" w:sz="8" w:space="0" w:color="6750A0" w:themeColor="accent1"/>
        <w:insideV w:val="single" w:sz="8" w:space="0" w:color="6750A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750A0" w:themeColor="accent1"/>
          <w:left w:val="single" w:sz="8" w:space="0" w:color="6750A0" w:themeColor="accent1"/>
          <w:bottom w:val="single" w:sz="18" w:space="0" w:color="6750A0" w:themeColor="accent1"/>
          <w:right w:val="single" w:sz="8" w:space="0" w:color="6750A0" w:themeColor="accent1"/>
          <w:insideH w:val="nil"/>
          <w:insideV w:val="single" w:sz="8" w:space="0" w:color="6750A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50A0" w:themeColor="accent1"/>
          <w:left w:val="single" w:sz="8" w:space="0" w:color="6750A0" w:themeColor="accent1"/>
          <w:bottom w:val="single" w:sz="8" w:space="0" w:color="6750A0" w:themeColor="accent1"/>
          <w:right w:val="single" w:sz="8" w:space="0" w:color="6750A0" w:themeColor="accent1"/>
          <w:insideH w:val="nil"/>
          <w:insideV w:val="single" w:sz="8" w:space="0" w:color="6750A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50A0" w:themeColor="accent1"/>
          <w:left w:val="single" w:sz="8" w:space="0" w:color="6750A0" w:themeColor="accent1"/>
          <w:bottom w:val="single" w:sz="8" w:space="0" w:color="6750A0" w:themeColor="accent1"/>
          <w:right w:val="single" w:sz="8" w:space="0" w:color="6750A0" w:themeColor="accent1"/>
        </w:tcBorders>
      </w:tcPr>
    </w:tblStylePr>
    <w:tblStylePr w:type="band1Vert">
      <w:tblPr/>
      <w:tcPr>
        <w:tcBorders>
          <w:top w:val="single" w:sz="8" w:space="0" w:color="6750A0" w:themeColor="accent1"/>
          <w:left w:val="single" w:sz="8" w:space="0" w:color="6750A0" w:themeColor="accent1"/>
          <w:bottom w:val="single" w:sz="8" w:space="0" w:color="6750A0" w:themeColor="accent1"/>
          <w:right w:val="single" w:sz="8" w:space="0" w:color="6750A0" w:themeColor="accent1"/>
        </w:tcBorders>
        <w:shd w:val="clear" w:color="auto" w:fill="D8D2E8" w:themeFill="accent1" w:themeFillTint="3F"/>
      </w:tcPr>
    </w:tblStylePr>
    <w:tblStylePr w:type="band1Horz">
      <w:tblPr/>
      <w:tcPr>
        <w:tcBorders>
          <w:top w:val="single" w:sz="8" w:space="0" w:color="6750A0" w:themeColor="accent1"/>
          <w:left w:val="single" w:sz="8" w:space="0" w:color="6750A0" w:themeColor="accent1"/>
          <w:bottom w:val="single" w:sz="8" w:space="0" w:color="6750A0" w:themeColor="accent1"/>
          <w:right w:val="single" w:sz="8" w:space="0" w:color="6750A0" w:themeColor="accent1"/>
          <w:insideV w:val="single" w:sz="8" w:space="0" w:color="6750A0" w:themeColor="accent1"/>
        </w:tcBorders>
        <w:shd w:val="clear" w:color="auto" w:fill="D8D2E8" w:themeFill="accent1" w:themeFillTint="3F"/>
      </w:tcPr>
    </w:tblStylePr>
    <w:tblStylePr w:type="band2Horz">
      <w:tblPr/>
      <w:tcPr>
        <w:tcBorders>
          <w:top w:val="single" w:sz="8" w:space="0" w:color="6750A0" w:themeColor="accent1"/>
          <w:left w:val="single" w:sz="8" w:space="0" w:color="6750A0" w:themeColor="accent1"/>
          <w:bottom w:val="single" w:sz="8" w:space="0" w:color="6750A0" w:themeColor="accent1"/>
          <w:right w:val="single" w:sz="8" w:space="0" w:color="6750A0" w:themeColor="accent1"/>
          <w:insideV w:val="single" w:sz="8" w:space="0" w:color="6750A0" w:themeColor="accent1"/>
        </w:tcBorders>
      </w:tcPr>
    </w:tblStylePr>
  </w:style>
  <w:style w:type="table" w:styleId="LightGrid-Accent2">
    <w:name w:val="Light Grid Accent 2"/>
    <w:basedOn w:val="TableNormal"/>
    <w:uiPriority w:val="62"/>
    <w:pPr>
      <w:spacing w:after="0" w:line="240" w:lineRule="auto"/>
    </w:pPr>
    <w:tblPr>
      <w:tblStyleRowBandSize w:val="1"/>
      <w:tblStyleColBandSize w:val="1"/>
      <w:tblBorders>
        <w:top w:val="single" w:sz="8" w:space="0" w:color="6750A0" w:themeColor="accent2"/>
        <w:left w:val="single" w:sz="8" w:space="0" w:color="6750A0" w:themeColor="accent2"/>
        <w:bottom w:val="single" w:sz="8" w:space="0" w:color="6750A0" w:themeColor="accent2"/>
        <w:right w:val="single" w:sz="8" w:space="0" w:color="6750A0" w:themeColor="accent2"/>
        <w:insideH w:val="single" w:sz="8" w:space="0" w:color="6750A0" w:themeColor="accent2"/>
        <w:insideV w:val="single" w:sz="8" w:space="0" w:color="6750A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750A0" w:themeColor="accent2"/>
          <w:left w:val="single" w:sz="8" w:space="0" w:color="6750A0" w:themeColor="accent2"/>
          <w:bottom w:val="single" w:sz="18" w:space="0" w:color="6750A0" w:themeColor="accent2"/>
          <w:right w:val="single" w:sz="8" w:space="0" w:color="6750A0" w:themeColor="accent2"/>
          <w:insideH w:val="nil"/>
          <w:insideV w:val="single" w:sz="8" w:space="0" w:color="6750A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50A0" w:themeColor="accent2"/>
          <w:left w:val="single" w:sz="8" w:space="0" w:color="6750A0" w:themeColor="accent2"/>
          <w:bottom w:val="single" w:sz="8" w:space="0" w:color="6750A0" w:themeColor="accent2"/>
          <w:right w:val="single" w:sz="8" w:space="0" w:color="6750A0" w:themeColor="accent2"/>
          <w:insideH w:val="nil"/>
          <w:insideV w:val="single" w:sz="8" w:space="0" w:color="6750A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50A0" w:themeColor="accent2"/>
          <w:left w:val="single" w:sz="8" w:space="0" w:color="6750A0" w:themeColor="accent2"/>
          <w:bottom w:val="single" w:sz="8" w:space="0" w:color="6750A0" w:themeColor="accent2"/>
          <w:right w:val="single" w:sz="8" w:space="0" w:color="6750A0" w:themeColor="accent2"/>
        </w:tcBorders>
      </w:tcPr>
    </w:tblStylePr>
    <w:tblStylePr w:type="band1Vert">
      <w:tblPr/>
      <w:tcPr>
        <w:tcBorders>
          <w:top w:val="single" w:sz="8" w:space="0" w:color="6750A0" w:themeColor="accent2"/>
          <w:left w:val="single" w:sz="8" w:space="0" w:color="6750A0" w:themeColor="accent2"/>
          <w:bottom w:val="single" w:sz="8" w:space="0" w:color="6750A0" w:themeColor="accent2"/>
          <w:right w:val="single" w:sz="8" w:space="0" w:color="6750A0" w:themeColor="accent2"/>
        </w:tcBorders>
        <w:shd w:val="clear" w:color="auto" w:fill="D8D2E8" w:themeFill="accent2" w:themeFillTint="3F"/>
      </w:tcPr>
    </w:tblStylePr>
    <w:tblStylePr w:type="band1Horz">
      <w:tblPr/>
      <w:tcPr>
        <w:tcBorders>
          <w:top w:val="single" w:sz="8" w:space="0" w:color="6750A0" w:themeColor="accent2"/>
          <w:left w:val="single" w:sz="8" w:space="0" w:color="6750A0" w:themeColor="accent2"/>
          <w:bottom w:val="single" w:sz="8" w:space="0" w:color="6750A0" w:themeColor="accent2"/>
          <w:right w:val="single" w:sz="8" w:space="0" w:color="6750A0" w:themeColor="accent2"/>
          <w:insideV w:val="single" w:sz="8" w:space="0" w:color="6750A0" w:themeColor="accent2"/>
        </w:tcBorders>
        <w:shd w:val="clear" w:color="auto" w:fill="D8D2E8" w:themeFill="accent2" w:themeFillTint="3F"/>
      </w:tcPr>
    </w:tblStylePr>
    <w:tblStylePr w:type="band2Horz">
      <w:tblPr/>
      <w:tcPr>
        <w:tcBorders>
          <w:top w:val="single" w:sz="8" w:space="0" w:color="6750A0" w:themeColor="accent2"/>
          <w:left w:val="single" w:sz="8" w:space="0" w:color="6750A0" w:themeColor="accent2"/>
          <w:bottom w:val="single" w:sz="8" w:space="0" w:color="6750A0" w:themeColor="accent2"/>
          <w:right w:val="single" w:sz="8" w:space="0" w:color="6750A0" w:themeColor="accent2"/>
          <w:insideV w:val="single" w:sz="8" w:space="0" w:color="6750A0" w:themeColor="accent2"/>
        </w:tcBorders>
      </w:tcPr>
    </w:tblStylePr>
  </w:style>
  <w:style w:type="table" w:styleId="LightGrid-Accent3">
    <w:name w:val="Light Grid Accent 3"/>
    <w:basedOn w:val="TableNormal"/>
    <w:uiPriority w:val="62"/>
    <w:pPr>
      <w:spacing w:after="0" w:line="240" w:lineRule="auto"/>
    </w:pPr>
    <w:tblPr>
      <w:tblStyleRowBandSize w:val="1"/>
      <w:tblStyleColBandSize w:val="1"/>
      <w:tblBorders>
        <w:top w:val="single" w:sz="8" w:space="0" w:color="6750A0" w:themeColor="accent3"/>
        <w:left w:val="single" w:sz="8" w:space="0" w:color="6750A0" w:themeColor="accent3"/>
        <w:bottom w:val="single" w:sz="8" w:space="0" w:color="6750A0" w:themeColor="accent3"/>
        <w:right w:val="single" w:sz="8" w:space="0" w:color="6750A0" w:themeColor="accent3"/>
        <w:insideH w:val="single" w:sz="8" w:space="0" w:color="6750A0" w:themeColor="accent3"/>
        <w:insideV w:val="single" w:sz="8" w:space="0" w:color="6750A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750A0" w:themeColor="accent3"/>
          <w:left w:val="single" w:sz="8" w:space="0" w:color="6750A0" w:themeColor="accent3"/>
          <w:bottom w:val="single" w:sz="18" w:space="0" w:color="6750A0" w:themeColor="accent3"/>
          <w:right w:val="single" w:sz="8" w:space="0" w:color="6750A0" w:themeColor="accent3"/>
          <w:insideH w:val="nil"/>
          <w:insideV w:val="single" w:sz="8" w:space="0" w:color="6750A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50A0" w:themeColor="accent3"/>
          <w:left w:val="single" w:sz="8" w:space="0" w:color="6750A0" w:themeColor="accent3"/>
          <w:bottom w:val="single" w:sz="8" w:space="0" w:color="6750A0" w:themeColor="accent3"/>
          <w:right w:val="single" w:sz="8" w:space="0" w:color="6750A0" w:themeColor="accent3"/>
          <w:insideH w:val="nil"/>
          <w:insideV w:val="single" w:sz="8" w:space="0" w:color="6750A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50A0" w:themeColor="accent3"/>
          <w:left w:val="single" w:sz="8" w:space="0" w:color="6750A0" w:themeColor="accent3"/>
          <w:bottom w:val="single" w:sz="8" w:space="0" w:color="6750A0" w:themeColor="accent3"/>
          <w:right w:val="single" w:sz="8" w:space="0" w:color="6750A0" w:themeColor="accent3"/>
        </w:tcBorders>
      </w:tcPr>
    </w:tblStylePr>
    <w:tblStylePr w:type="band1Vert">
      <w:tblPr/>
      <w:tcPr>
        <w:tcBorders>
          <w:top w:val="single" w:sz="8" w:space="0" w:color="6750A0" w:themeColor="accent3"/>
          <w:left w:val="single" w:sz="8" w:space="0" w:color="6750A0" w:themeColor="accent3"/>
          <w:bottom w:val="single" w:sz="8" w:space="0" w:color="6750A0" w:themeColor="accent3"/>
          <w:right w:val="single" w:sz="8" w:space="0" w:color="6750A0" w:themeColor="accent3"/>
        </w:tcBorders>
        <w:shd w:val="clear" w:color="auto" w:fill="D8D2E8" w:themeFill="accent3" w:themeFillTint="3F"/>
      </w:tcPr>
    </w:tblStylePr>
    <w:tblStylePr w:type="band1Horz">
      <w:tblPr/>
      <w:tcPr>
        <w:tcBorders>
          <w:top w:val="single" w:sz="8" w:space="0" w:color="6750A0" w:themeColor="accent3"/>
          <w:left w:val="single" w:sz="8" w:space="0" w:color="6750A0" w:themeColor="accent3"/>
          <w:bottom w:val="single" w:sz="8" w:space="0" w:color="6750A0" w:themeColor="accent3"/>
          <w:right w:val="single" w:sz="8" w:space="0" w:color="6750A0" w:themeColor="accent3"/>
          <w:insideV w:val="single" w:sz="8" w:space="0" w:color="6750A0" w:themeColor="accent3"/>
        </w:tcBorders>
        <w:shd w:val="clear" w:color="auto" w:fill="D8D2E8" w:themeFill="accent3" w:themeFillTint="3F"/>
      </w:tcPr>
    </w:tblStylePr>
    <w:tblStylePr w:type="band2Horz">
      <w:tblPr/>
      <w:tcPr>
        <w:tcBorders>
          <w:top w:val="single" w:sz="8" w:space="0" w:color="6750A0" w:themeColor="accent3"/>
          <w:left w:val="single" w:sz="8" w:space="0" w:color="6750A0" w:themeColor="accent3"/>
          <w:bottom w:val="single" w:sz="8" w:space="0" w:color="6750A0" w:themeColor="accent3"/>
          <w:right w:val="single" w:sz="8" w:space="0" w:color="6750A0" w:themeColor="accent3"/>
          <w:insideV w:val="single" w:sz="8" w:space="0" w:color="6750A0" w:themeColor="accent3"/>
        </w:tcBorders>
      </w:tcPr>
    </w:tblStylePr>
  </w:style>
  <w:style w:type="table" w:styleId="LightGrid-Accent4">
    <w:name w:val="Light Grid Accent 4"/>
    <w:basedOn w:val="TableNormal"/>
    <w:uiPriority w:val="62"/>
    <w:pPr>
      <w:spacing w:after="0" w:line="240" w:lineRule="auto"/>
    </w:pPr>
    <w:tblPr>
      <w:tblStyleRowBandSize w:val="1"/>
      <w:tblStyleColBandSize w:val="1"/>
      <w:tblBorders>
        <w:top w:val="single" w:sz="8" w:space="0" w:color="6750A0" w:themeColor="accent4"/>
        <w:left w:val="single" w:sz="8" w:space="0" w:color="6750A0" w:themeColor="accent4"/>
        <w:bottom w:val="single" w:sz="8" w:space="0" w:color="6750A0" w:themeColor="accent4"/>
        <w:right w:val="single" w:sz="8" w:space="0" w:color="6750A0" w:themeColor="accent4"/>
        <w:insideH w:val="single" w:sz="8" w:space="0" w:color="6750A0" w:themeColor="accent4"/>
        <w:insideV w:val="single" w:sz="8" w:space="0" w:color="6750A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750A0" w:themeColor="accent4"/>
          <w:left w:val="single" w:sz="8" w:space="0" w:color="6750A0" w:themeColor="accent4"/>
          <w:bottom w:val="single" w:sz="18" w:space="0" w:color="6750A0" w:themeColor="accent4"/>
          <w:right w:val="single" w:sz="8" w:space="0" w:color="6750A0" w:themeColor="accent4"/>
          <w:insideH w:val="nil"/>
          <w:insideV w:val="single" w:sz="8" w:space="0" w:color="6750A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50A0" w:themeColor="accent4"/>
          <w:left w:val="single" w:sz="8" w:space="0" w:color="6750A0" w:themeColor="accent4"/>
          <w:bottom w:val="single" w:sz="8" w:space="0" w:color="6750A0" w:themeColor="accent4"/>
          <w:right w:val="single" w:sz="8" w:space="0" w:color="6750A0" w:themeColor="accent4"/>
          <w:insideH w:val="nil"/>
          <w:insideV w:val="single" w:sz="8" w:space="0" w:color="6750A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50A0" w:themeColor="accent4"/>
          <w:left w:val="single" w:sz="8" w:space="0" w:color="6750A0" w:themeColor="accent4"/>
          <w:bottom w:val="single" w:sz="8" w:space="0" w:color="6750A0" w:themeColor="accent4"/>
          <w:right w:val="single" w:sz="8" w:space="0" w:color="6750A0" w:themeColor="accent4"/>
        </w:tcBorders>
      </w:tcPr>
    </w:tblStylePr>
    <w:tblStylePr w:type="band1Vert">
      <w:tblPr/>
      <w:tcPr>
        <w:tcBorders>
          <w:top w:val="single" w:sz="8" w:space="0" w:color="6750A0" w:themeColor="accent4"/>
          <w:left w:val="single" w:sz="8" w:space="0" w:color="6750A0" w:themeColor="accent4"/>
          <w:bottom w:val="single" w:sz="8" w:space="0" w:color="6750A0" w:themeColor="accent4"/>
          <w:right w:val="single" w:sz="8" w:space="0" w:color="6750A0" w:themeColor="accent4"/>
        </w:tcBorders>
        <w:shd w:val="clear" w:color="auto" w:fill="D8D2E8" w:themeFill="accent4" w:themeFillTint="3F"/>
      </w:tcPr>
    </w:tblStylePr>
    <w:tblStylePr w:type="band1Horz">
      <w:tblPr/>
      <w:tcPr>
        <w:tcBorders>
          <w:top w:val="single" w:sz="8" w:space="0" w:color="6750A0" w:themeColor="accent4"/>
          <w:left w:val="single" w:sz="8" w:space="0" w:color="6750A0" w:themeColor="accent4"/>
          <w:bottom w:val="single" w:sz="8" w:space="0" w:color="6750A0" w:themeColor="accent4"/>
          <w:right w:val="single" w:sz="8" w:space="0" w:color="6750A0" w:themeColor="accent4"/>
          <w:insideV w:val="single" w:sz="8" w:space="0" w:color="6750A0" w:themeColor="accent4"/>
        </w:tcBorders>
        <w:shd w:val="clear" w:color="auto" w:fill="D8D2E8" w:themeFill="accent4" w:themeFillTint="3F"/>
      </w:tcPr>
    </w:tblStylePr>
    <w:tblStylePr w:type="band2Horz">
      <w:tblPr/>
      <w:tcPr>
        <w:tcBorders>
          <w:top w:val="single" w:sz="8" w:space="0" w:color="6750A0" w:themeColor="accent4"/>
          <w:left w:val="single" w:sz="8" w:space="0" w:color="6750A0" w:themeColor="accent4"/>
          <w:bottom w:val="single" w:sz="8" w:space="0" w:color="6750A0" w:themeColor="accent4"/>
          <w:right w:val="single" w:sz="8" w:space="0" w:color="6750A0" w:themeColor="accent4"/>
          <w:insideV w:val="single" w:sz="8" w:space="0" w:color="6750A0" w:themeColor="accent4"/>
        </w:tcBorders>
      </w:tcPr>
    </w:tblStylePr>
  </w:style>
  <w:style w:type="table" w:styleId="LightGrid-Accent5">
    <w:name w:val="Light Grid Accent 5"/>
    <w:basedOn w:val="TableNormal"/>
    <w:uiPriority w:val="62"/>
    <w:pPr>
      <w:spacing w:after="0" w:line="240" w:lineRule="auto"/>
    </w:pPr>
    <w:tblPr>
      <w:tblStyleRowBandSize w:val="1"/>
      <w:tblStyleColBandSize w:val="1"/>
      <w:tblBorders>
        <w:top w:val="single" w:sz="8" w:space="0" w:color="6750A0" w:themeColor="accent5"/>
        <w:left w:val="single" w:sz="8" w:space="0" w:color="6750A0" w:themeColor="accent5"/>
        <w:bottom w:val="single" w:sz="8" w:space="0" w:color="6750A0" w:themeColor="accent5"/>
        <w:right w:val="single" w:sz="8" w:space="0" w:color="6750A0" w:themeColor="accent5"/>
        <w:insideH w:val="single" w:sz="8" w:space="0" w:color="6750A0" w:themeColor="accent5"/>
        <w:insideV w:val="single" w:sz="8" w:space="0" w:color="6750A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750A0" w:themeColor="accent5"/>
          <w:left w:val="single" w:sz="8" w:space="0" w:color="6750A0" w:themeColor="accent5"/>
          <w:bottom w:val="single" w:sz="18" w:space="0" w:color="6750A0" w:themeColor="accent5"/>
          <w:right w:val="single" w:sz="8" w:space="0" w:color="6750A0" w:themeColor="accent5"/>
          <w:insideH w:val="nil"/>
          <w:insideV w:val="single" w:sz="8" w:space="0" w:color="6750A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50A0" w:themeColor="accent5"/>
          <w:left w:val="single" w:sz="8" w:space="0" w:color="6750A0" w:themeColor="accent5"/>
          <w:bottom w:val="single" w:sz="8" w:space="0" w:color="6750A0" w:themeColor="accent5"/>
          <w:right w:val="single" w:sz="8" w:space="0" w:color="6750A0" w:themeColor="accent5"/>
          <w:insideH w:val="nil"/>
          <w:insideV w:val="single" w:sz="8" w:space="0" w:color="6750A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50A0" w:themeColor="accent5"/>
          <w:left w:val="single" w:sz="8" w:space="0" w:color="6750A0" w:themeColor="accent5"/>
          <w:bottom w:val="single" w:sz="8" w:space="0" w:color="6750A0" w:themeColor="accent5"/>
          <w:right w:val="single" w:sz="8" w:space="0" w:color="6750A0" w:themeColor="accent5"/>
        </w:tcBorders>
      </w:tcPr>
    </w:tblStylePr>
    <w:tblStylePr w:type="band1Vert">
      <w:tblPr/>
      <w:tcPr>
        <w:tcBorders>
          <w:top w:val="single" w:sz="8" w:space="0" w:color="6750A0" w:themeColor="accent5"/>
          <w:left w:val="single" w:sz="8" w:space="0" w:color="6750A0" w:themeColor="accent5"/>
          <w:bottom w:val="single" w:sz="8" w:space="0" w:color="6750A0" w:themeColor="accent5"/>
          <w:right w:val="single" w:sz="8" w:space="0" w:color="6750A0" w:themeColor="accent5"/>
        </w:tcBorders>
        <w:shd w:val="clear" w:color="auto" w:fill="D8D2E8" w:themeFill="accent5" w:themeFillTint="3F"/>
      </w:tcPr>
    </w:tblStylePr>
    <w:tblStylePr w:type="band1Horz">
      <w:tblPr/>
      <w:tcPr>
        <w:tcBorders>
          <w:top w:val="single" w:sz="8" w:space="0" w:color="6750A0" w:themeColor="accent5"/>
          <w:left w:val="single" w:sz="8" w:space="0" w:color="6750A0" w:themeColor="accent5"/>
          <w:bottom w:val="single" w:sz="8" w:space="0" w:color="6750A0" w:themeColor="accent5"/>
          <w:right w:val="single" w:sz="8" w:space="0" w:color="6750A0" w:themeColor="accent5"/>
          <w:insideV w:val="single" w:sz="8" w:space="0" w:color="6750A0" w:themeColor="accent5"/>
        </w:tcBorders>
        <w:shd w:val="clear" w:color="auto" w:fill="D8D2E8" w:themeFill="accent5" w:themeFillTint="3F"/>
      </w:tcPr>
    </w:tblStylePr>
    <w:tblStylePr w:type="band2Horz">
      <w:tblPr/>
      <w:tcPr>
        <w:tcBorders>
          <w:top w:val="single" w:sz="8" w:space="0" w:color="6750A0" w:themeColor="accent5"/>
          <w:left w:val="single" w:sz="8" w:space="0" w:color="6750A0" w:themeColor="accent5"/>
          <w:bottom w:val="single" w:sz="8" w:space="0" w:color="6750A0" w:themeColor="accent5"/>
          <w:right w:val="single" w:sz="8" w:space="0" w:color="6750A0" w:themeColor="accent5"/>
          <w:insideV w:val="single" w:sz="8" w:space="0" w:color="6750A0" w:themeColor="accent5"/>
        </w:tcBorders>
      </w:tcPr>
    </w:tblStylePr>
  </w:style>
  <w:style w:type="table" w:styleId="LightGrid-Accent6">
    <w:name w:val="Light Grid Accent 6"/>
    <w:basedOn w:val="TableNormal"/>
    <w:uiPriority w:val="62"/>
    <w:pPr>
      <w:spacing w:after="0" w:line="240" w:lineRule="auto"/>
    </w:pPr>
    <w:tblPr>
      <w:tblStyleRowBandSize w:val="1"/>
      <w:tblStyleColBandSize w:val="1"/>
      <w:tblBorders>
        <w:top w:val="single" w:sz="8" w:space="0" w:color="AC2986" w:themeColor="accent6"/>
        <w:left w:val="single" w:sz="8" w:space="0" w:color="AC2986" w:themeColor="accent6"/>
        <w:bottom w:val="single" w:sz="8" w:space="0" w:color="AC2986" w:themeColor="accent6"/>
        <w:right w:val="single" w:sz="8" w:space="0" w:color="AC2986" w:themeColor="accent6"/>
        <w:insideH w:val="single" w:sz="8" w:space="0" w:color="AC2986" w:themeColor="accent6"/>
        <w:insideV w:val="single" w:sz="8" w:space="0" w:color="AC298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C2986" w:themeColor="accent6"/>
          <w:left w:val="single" w:sz="8" w:space="0" w:color="AC2986" w:themeColor="accent6"/>
          <w:bottom w:val="single" w:sz="18" w:space="0" w:color="AC2986" w:themeColor="accent6"/>
          <w:right w:val="single" w:sz="8" w:space="0" w:color="AC2986" w:themeColor="accent6"/>
          <w:insideH w:val="nil"/>
          <w:insideV w:val="single" w:sz="8" w:space="0" w:color="AC298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C2986" w:themeColor="accent6"/>
          <w:left w:val="single" w:sz="8" w:space="0" w:color="AC2986" w:themeColor="accent6"/>
          <w:bottom w:val="single" w:sz="8" w:space="0" w:color="AC2986" w:themeColor="accent6"/>
          <w:right w:val="single" w:sz="8" w:space="0" w:color="AC2986" w:themeColor="accent6"/>
          <w:insideH w:val="nil"/>
          <w:insideV w:val="single" w:sz="8" w:space="0" w:color="AC298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C2986" w:themeColor="accent6"/>
          <w:left w:val="single" w:sz="8" w:space="0" w:color="AC2986" w:themeColor="accent6"/>
          <w:bottom w:val="single" w:sz="8" w:space="0" w:color="AC2986" w:themeColor="accent6"/>
          <w:right w:val="single" w:sz="8" w:space="0" w:color="AC2986" w:themeColor="accent6"/>
        </w:tcBorders>
      </w:tcPr>
    </w:tblStylePr>
    <w:tblStylePr w:type="band1Vert">
      <w:tblPr/>
      <w:tcPr>
        <w:tcBorders>
          <w:top w:val="single" w:sz="8" w:space="0" w:color="AC2986" w:themeColor="accent6"/>
          <w:left w:val="single" w:sz="8" w:space="0" w:color="AC2986" w:themeColor="accent6"/>
          <w:bottom w:val="single" w:sz="8" w:space="0" w:color="AC2986" w:themeColor="accent6"/>
          <w:right w:val="single" w:sz="8" w:space="0" w:color="AC2986" w:themeColor="accent6"/>
        </w:tcBorders>
        <w:shd w:val="clear" w:color="auto" w:fill="F0C3E3" w:themeFill="accent6" w:themeFillTint="3F"/>
      </w:tcPr>
    </w:tblStylePr>
    <w:tblStylePr w:type="band1Horz">
      <w:tblPr/>
      <w:tcPr>
        <w:tcBorders>
          <w:top w:val="single" w:sz="8" w:space="0" w:color="AC2986" w:themeColor="accent6"/>
          <w:left w:val="single" w:sz="8" w:space="0" w:color="AC2986" w:themeColor="accent6"/>
          <w:bottom w:val="single" w:sz="8" w:space="0" w:color="AC2986" w:themeColor="accent6"/>
          <w:right w:val="single" w:sz="8" w:space="0" w:color="AC2986" w:themeColor="accent6"/>
          <w:insideV w:val="single" w:sz="8" w:space="0" w:color="AC2986" w:themeColor="accent6"/>
        </w:tcBorders>
        <w:shd w:val="clear" w:color="auto" w:fill="F0C3E3" w:themeFill="accent6" w:themeFillTint="3F"/>
      </w:tcPr>
    </w:tblStylePr>
    <w:tblStylePr w:type="band2Horz">
      <w:tblPr/>
      <w:tcPr>
        <w:tcBorders>
          <w:top w:val="single" w:sz="8" w:space="0" w:color="AC2986" w:themeColor="accent6"/>
          <w:left w:val="single" w:sz="8" w:space="0" w:color="AC2986" w:themeColor="accent6"/>
          <w:bottom w:val="single" w:sz="8" w:space="0" w:color="AC2986" w:themeColor="accent6"/>
          <w:right w:val="single" w:sz="8" w:space="0" w:color="AC2986" w:themeColor="accent6"/>
          <w:insideV w:val="single" w:sz="8" w:space="0" w:color="AC2986" w:themeColor="accent6"/>
        </w:tcBorders>
      </w:tcPr>
    </w:tblStylePr>
  </w:style>
  <w:style w:type="table" w:styleId="LightList">
    <w:name w:val="Light List"/>
    <w:basedOn w:val="TableNormal"/>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6750A0" w:themeColor="accent1"/>
        <w:left w:val="single" w:sz="8" w:space="0" w:color="6750A0" w:themeColor="accent1"/>
        <w:bottom w:val="single" w:sz="8" w:space="0" w:color="6750A0" w:themeColor="accent1"/>
        <w:right w:val="single" w:sz="8" w:space="0" w:color="6750A0" w:themeColor="accent1"/>
      </w:tblBorders>
    </w:tblPr>
    <w:tblStylePr w:type="firstRow">
      <w:pPr>
        <w:spacing w:before="0" w:after="0" w:line="240" w:lineRule="auto"/>
      </w:pPr>
      <w:rPr>
        <w:b/>
        <w:bCs/>
        <w:color w:val="FFFFFF" w:themeColor="background1"/>
      </w:rPr>
      <w:tblPr/>
      <w:tcPr>
        <w:shd w:val="clear" w:color="auto" w:fill="6750A0" w:themeFill="accent1"/>
      </w:tcPr>
    </w:tblStylePr>
    <w:tblStylePr w:type="lastRow">
      <w:pPr>
        <w:spacing w:before="0" w:after="0" w:line="240" w:lineRule="auto"/>
      </w:pPr>
      <w:rPr>
        <w:b/>
        <w:bCs/>
      </w:rPr>
      <w:tblPr/>
      <w:tcPr>
        <w:tcBorders>
          <w:top w:val="double" w:sz="6" w:space="0" w:color="6750A0" w:themeColor="accent1"/>
          <w:left w:val="single" w:sz="8" w:space="0" w:color="6750A0" w:themeColor="accent1"/>
          <w:bottom w:val="single" w:sz="8" w:space="0" w:color="6750A0" w:themeColor="accent1"/>
          <w:right w:val="single" w:sz="8" w:space="0" w:color="6750A0" w:themeColor="accent1"/>
        </w:tcBorders>
      </w:tcPr>
    </w:tblStylePr>
    <w:tblStylePr w:type="firstCol">
      <w:rPr>
        <w:b/>
        <w:bCs/>
      </w:rPr>
    </w:tblStylePr>
    <w:tblStylePr w:type="lastCol">
      <w:rPr>
        <w:b/>
        <w:bCs/>
      </w:rPr>
    </w:tblStylePr>
    <w:tblStylePr w:type="band1Vert">
      <w:tblPr/>
      <w:tcPr>
        <w:tcBorders>
          <w:top w:val="single" w:sz="8" w:space="0" w:color="6750A0" w:themeColor="accent1"/>
          <w:left w:val="single" w:sz="8" w:space="0" w:color="6750A0" w:themeColor="accent1"/>
          <w:bottom w:val="single" w:sz="8" w:space="0" w:color="6750A0" w:themeColor="accent1"/>
          <w:right w:val="single" w:sz="8" w:space="0" w:color="6750A0" w:themeColor="accent1"/>
        </w:tcBorders>
      </w:tcPr>
    </w:tblStylePr>
    <w:tblStylePr w:type="band1Horz">
      <w:tblPr/>
      <w:tcPr>
        <w:tcBorders>
          <w:top w:val="single" w:sz="8" w:space="0" w:color="6750A0" w:themeColor="accent1"/>
          <w:left w:val="single" w:sz="8" w:space="0" w:color="6750A0" w:themeColor="accent1"/>
          <w:bottom w:val="single" w:sz="8" w:space="0" w:color="6750A0" w:themeColor="accent1"/>
          <w:right w:val="single" w:sz="8" w:space="0" w:color="6750A0" w:themeColor="accent1"/>
        </w:tcBorders>
      </w:tcPr>
    </w:tblStylePr>
  </w:style>
  <w:style w:type="table" w:styleId="LightList-Accent2">
    <w:name w:val="Light List Accent 2"/>
    <w:basedOn w:val="TableNormal"/>
    <w:uiPriority w:val="61"/>
    <w:pPr>
      <w:spacing w:after="0" w:line="240" w:lineRule="auto"/>
    </w:pPr>
    <w:tblPr>
      <w:tblStyleRowBandSize w:val="1"/>
      <w:tblStyleColBandSize w:val="1"/>
      <w:tblBorders>
        <w:top w:val="single" w:sz="8" w:space="0" w:color="6750A0" w:themeColor="accent2"/>
        <w:left w:val="single" w:sz="8" w:space="0" w:color="6750A0" w:themeColor="accent2"/>
        <w:bottom w:val="single" w:sz="8" w:space="0" w:color="6750A0" w:themeColor="accent2"/>
        <w:right w:val="single" w:sz="8" w:space="0" w:color="6750A0" w:themeColor="accent2"/>
      </w:tblBorders>
    </w:tblPr>
    <w:tblStylePr w:type="firstRow">
      <w:pPr>
        <w:spacing w:before="0" w:after="0" w:line="240" w:lineRule="auto"/>
      </w:pPr>
      <w:rPr>
        <w:b/>
        <w:bCs/>
        <w:color w:val="FFFFFF" w:themeColor="background1"/>
      </w:rPr>
      <w:tblPr/>
      <w:tcPr>
        <w:shd w:val="clear" w:color="auto" w:fill="6750A0" w:themeFill="accent2"/>
      </w:tcPr>
    </w:tblStylePr>
    <w:tblStylePr w:type="lastRow">
      <w:pPr>
        <w:spacing w:before="0" w:after="0" w:line="240" w:lineRule="auto"/>
      </w:pPr>
      <w:rPr>
        <w:b/>
        <w:bCs/>
      </w:rPr>
      <w:tblPr/>
      <w:tcPr>
        <w:tcBorders>
          <w:top w:val="double" w:sz="6" w:space="0" w:color="6750A0" w:themeColor="accent2"/>
          <w:left w:val="single" w:sz="8" w:space="0" w:color="6750A0" w:themeColor="accent2"/>
          <w:bottom w:val="single" w:sz="8" w:space="0" w:color="6750A0" w:themeColor="accent2"/>
          <w:right w:val="single" w:sz="8" w:space="0" w:color="6750A0" w:themeColor="accent2"/>
        </w:tcBorders>
      </w:tcPr>
    </w:tblStylePr>
    <w:tblStylePr w:type="firstCol">
      <w:rPr>
        <w:b/>
        <w:bCs/>
      </w:rPr>
    </w:tblStylePr>
    <w:tblStylePr w:type="lastCol">
      <w:rPr>
        <w:b/>
        <w:bCs/>
      </w:rPr>
    </w:tblStylePr>
    <w:tblStylePr w:type="band1Vert">
      <w:tblPr/>
      <w:tcPr>
        <w:tcBorders>
          <w:top w:val="single" w:sz="8" w:space="0" w:color="6750A0" w:themeColor="accent2"/>
          <w:left w:val="single" w:sz="8" w:space="0" w:color="6750A0" w:themeColor="accent2"/>
          <w:bottom w:val="single" w:sz="8" w:space="0" w:color="6750A0" w:themeColor="accent2"/>
          <w:right w:val="single" w:sz="8" w:space="0" w:color="6750A0" w:themeColor="accent2"/>
        </w:tcBorders>
      </w:tcPr>
    </w:tblStylePr>
    <w:tblStylePr w:type="band1Horz">
      <w:tblPr/>
      <w:tcPr>
        <w:tcBorders>
          <w:top w:val="single" w:sz="8" w:space="0" w:color="6750A0" w:themeColor="accent2"/>
          <w:left w:val="single" w:sz="8" w:space="0" w:color="6750A0" w:themeColor="accent2"/>
          <w:bottom w:val="single" w:sz="8" w:space="0" w:color="6750A0" w:themeColor="accent2"/>
          <w:right w:val="single" w:sz="8" w:space="0" w:color="6750A0" w:themeColor="accent2"/>
        </w:tcBorders>
      </w:tcPr>
    </w:tblStylePr>
  </w:style>
  <w:style w:type="table" w:styleId="LightList-Accent3">
    <w:name w:val="Light List Accent 3"/>
    <w:basedOn w:val="TableNormal"/>
    <w:uiPriority w:val="61"/>
    <w:pPr>
      <w:spacing w:after="0" w:line="240" w:lineRule="auto"/>
    </w:pPr>
    <w:tblPr>
      <w:tblStyleRowBandSize w:val="1"/>
      <w:tblStyleColBandSize w:val="1"/>
      <w:tblBorders>
        <w:top w:val="single" w:sz="8" w:space="0" w:color="6750A0" w:themeColor="accent3"/>
        <w:left w:val="single" w:sz="8" w:space="0" w:color="6750A0" w:themeColor="accent3"/>
        <w:bottom w:val="single" w:sz="8" w:space="0" w:color="6750A0" w:themeColor="accent3"/>
        <w:right w:val="single" w:sz="8" w:space="0" w:color="6750A0" w:themeColor="accent3"/>
      </w:tblBorders>
    </w:tblPr>
    <w:tblStylePr w:type="firstRow">
      <w:pPr>
        <w:spacing w:before="0" w:after="0" w:line="240" w:lineRule="auto"/>
      </w:pPr>
      <w:rPr>
        <w:b/>
        <w:bCs/>
        <w:color w:val="FFFFFF" w:themeColor="background1"/>
      </w:rPr>
      <w:tblPr/>
      <w:tcPr>
        <w:shd w:val="clear" w:color="auto" w:fill="6750A0" w:themeFill="accent3"/>
      </w:tcPr>
    </w:tblStylePr>
    <w:tblStylePr w:type="lastRow">
      <w:pPr>
        <w:spacing w:before="0" w:after="0" w:line="240" w:lineRule="auto"/>
      </w:pPr>
      <w:rPr>
        <w:b/>
        <w:bCs/>
      </w:rPr>
      <w:tblPr/>
      <w:tcPr>
        <w:tcBorders>
          <w:top w:val="double" w:sz="6" w:space="0" w:color="6750A0" w:themeColor="accent3"/>
          <w:left w:val="single" w:sz="8" w:space="0" w:color="6750A0" w:themeColor="accent3"/>
          <w:bottom w:val="single" w:sz="8" w:space="0" w:color="6750A0" w:themeColor="accent3"/>
          <w:right w:val="single" w:sz="8" w:space="0" w:color="6750A0" w:themeColor="accent3"/>
        </w:tcBorders>
      </w:tcPr>
    </w:tblStylePr>
    <w:tblStylePr w:type="firstCol">
      <w:rPr>
        <w:b/>
        <w:bCs/>
      </w:rPr>
    </w:tblStylePr>
    <w:tblStylePr w:type="lastCol">
      <w:rPr>
        <w:b/>
        <w:bCs/>
      </w:rPr>
    </w:tblStylePr>
    <w:tblStylePr w:type="band1Vert">
      <w:tblPr/>
      <w:tcPr>
        <w:tcBorders>
          <w:top w:val="single" w:sz="8" w:space="0" w:color="6750A0" w:themeColor="accent3"/>
          <w:left w:val="single" w:sz="8" w:space="0" w:color="6750A0" w:themeColor="accent3"/>
          <w:bottom w:val="single" w:sz="8" w:space="0" w:color="6750A0" w:themeColor="accent3"/>
          <w:right w:val="single" w:sz="8" w:space="0" w:color="6750A0" w:themeColor="accent3"/>
        </w:tcBorders>
      </w:tcPr>
    </w:tblStylePr>
    <w:tblStylePr w:type="band1Horz">
      <w:tblPr/>
      <w:tcPr>
        <w:tcBorders>
          <w:top w:val="single" w:sz="8" w:space="0" w:color="6750A0" w:themeColor="accent3"/>
          <w:left w:val="single" w:sz="8" w:space="0" w:color="6750A0" w:themeColor="accent3"/>
          <w:bottom w:val="single" w:sz="8" w:space="0" w:color="6750A0" w:themeColor="accent3"/>
          <w:right w:val="single" w:sz="8" w:space="0" w:color="6750A0" w:themeColor="accent3"/>
        </w:tcBorders>
      </w:tcPr>
    </w:tblStylePr>
  </w:style>
  <w:style w:type="table" w:styleId="LightList-Accent4">
    <w:name w:val="Light List Accent 4"/>
    <w:basedOn w:val="TableNormal"/>
    <w:uiPriority w:val="61"/>
    <w:pPr>
      <w:spacing w:after="0" w:line="240" w:lineRule="auto"/>
    </w:pPr>
    <w:tblPr>
      <w:tblStyleRowBandSize w:val="1"/>
      <w:tblStyleColBandSize w:val="1"/>
      <w:tblBorders>
        <w:top w:val="single" w:sz="8" w:space="0" w:color="6750A0" w:themeColor="accent4"/>
        <w:left w:val="single" w:sz="8" w:space="0" w:color="6750A0" w:themeColor="accent4"/>
        <w:bottom w:val="single" w:sz="8" w:space="0" w:color="6750A0" w:themeColor="accent4"/>
        <w:right w:val="single" w:sz="8" w:space="0" w:color="6750A0" w:themeColor="accent4"/>
      </w:tblBorders>
    </w:tblPr>
    <w:tblStylePr w:type="firstRow">
      <w:pPr>
        <w:spacing w:before="0" w:after="0" w:line="240" w:lineRule="auto"/>
      </w:pPr>
      <w:rPr>
        <w:b/>
        <w:bCs/>
        <w:color w:val="FFFFFF" w:themeColor="background1"/>
      </w:rPr>
      <w:tblPr/>
      <w:tcPr>
        <w:shd w:val="clear" w:color="auto" w:fill="6750A0" w:themeFill="accent4"/>
      </w:tcPr>
    </w:tblStylePr>
    <w:tblStylePr w:type="lastRow">
      <w:pPr>
        <w:spacing w:before="0" w:after="0" w:line="240" w:lineRule="auto"/>
      </w:pPr>
      <w:rPr>
        <w:b/>
        <w:bCs/>
      </w:rPr>
      <w:tblPr/>
      <w:tcPr>
        <w:tcBorders>
          <w:top w:val="double" w:sz="6" w:space="0" w:color="6750A0" w:themeColor="accent4"/>
          <w:left w:val="single" w:sz="8" w:space="0" w:color="6750A0" w:themeColor="accent4"/>
          <w:bottom w:val="single" w:sz="8" w:space="0" w:color="6750A0" w:themeColor="accent4"/>
          <w:right w:val="single" w:sz="8" w:space="0" w:color="6750A0" w:themeColor="accent4"/>
        </w:tcBorders>
      </w:tcPr>
    </w:tblStylePr>
    <w:tblStylePr w:type="firstCol">
      <w:rPr>
        <w:b/>
        <w:bCs/>
      </w:rPr>
    </w:tblStylePr>
    <w:tblStylePr w:type="lastCol">
      <w:rPr>
        <w:b/>
        <w:bCs/>
      </w:rPr>
    </w:tblStylePr>
    <w:tblStylePr w:type="band1Vert">
      <w:tblPr/>
      <w:tcPr>
        <w:tcBorders>
          <w:top w:val="single" w:sz="8" w:space="0" w:color="6750A0" w:themeColor="accent4"/>
          <w:left w:val="single" w:sz="8" w:space="0" w:color="6750A0" w:themeColor="accent4"/>
          <w:bottom w:val="single" w:sz="8" w:space="0" w:color="6750A0" w:themeColor="accent4"/>
          <w:right w:val="single" w:sz="8" w:space="0" w:color="6750A0" w:themeColor="accent4"/>
        </w:tcBorders>
      </w:tcPr>
    </w:tblStylePr>
    <w:tblStylePr w:type="band1Horz">
      <w:tblPr/>
      <w:tcPr>
        <w:tcBorders>
          <w:top w:val="single" w:sz="8" w:space="0" w:color="6750A0" w:themeColor="accent4"/>
          <w:left w:val="single" w:sz="8" w:space="0" w:color="6750A0" w:themeColor="accent4"/>
          <w:bottom w:val="single" w:sz="8" w:space="0" w:color="6750A0" w:themeColor="accent4"/>
          <w:right w:val="single" w:sz="8" w:space="0" w:color="6750A0" w:themeColor="accent4"/>
        </w:tcBorders>
      </w:tcPr>
    </w:tblStylePr>
  </w:style>
  <w:style w:type="table" w:styleId="LightList-Accent5">
    <w:name w:val="Light List Accent 5"/>
    <w:basedOn w:val="TableNormal"/>
    <w:uiPriority w:val="61"/>
    <w:pPr>
      <w:spacing w:after="0" w:line="240" w:lineRule="auto"/>
    </w:pPr>
    <w:tblPr>
      <w:tblStyleRowBandSize w:val="1"/>
      <w:tblStyleColBandSize w:val="1"/>
      <w:tblBorders>
        <w:top w:val="single" w:sz="8" w:space="0" w:color="6750A0" w:themeColor="accent5"/>
        <w:left w:val="single" w:sz="8" w:space="0" w:color="6750A0" w:themeColor="accent5"/>
        <w:bottom w:val="single" w:sz="8" w:space="0" w:color="6750A0" w:themeColor="accent5"/>
        <w:right w:val="single" w:sz="8" w:space="0" w:color="6750A0" w:themeColor="accent5"/>
      </w:tblBorders>
    </w:tblPr>
    <w:tblStylePr w:type="firstRow">
      <w:pPr>
        <w:spacing w:before="0" w:after="0" w:line="240" w:lineRule="auto"/>
      </w:pPr>
      <w:rPr>
        <w:b/>
        <w:bCs/>
        <w:color w:val="FFFFFF" w:themeColor="background1"/>
      </w:rPr>
      <w:tblPr/>
      <w:tcPr>
        <w:shd w:val="clear" w:color="auto" w:fill="6750A0" w:themeFill="accent5"/>
      </w:tcPr>
    </w:tblStylePr>
    <w:tblStylePr w:type="lastRow">
      <w:pPr>
        <w:spacing w:before="0" w:after="0" w:line="240" w:lineRule="auto"/>
      </w:pPr>
      <w:rPr>
        <w:b/>
        <w:bCs/>
      </w:rPr>
      <w:tblPr/>
      <w:tcPr>
        <w:tcBorders>
          <w:top w:val="double" w:sz="6" w:space="0" w:color="6750A0" w:themeColor="accent5"/>
          <w:left w:val="single" w:sz="8" w:space="0" w:color="6750A0" w:themeColor="accent5"/>
          <w:bottom w:val="single" w:sz="8" w:space="0" w:color="6750A0" w:themeColor="accent5"/>
          <w:right w:val="single" w:sz="8" w:space="0" w:color="6750A0" w:themeColor="accent5"/>
        </w:tcBorders>
      </w:tcPr>
    </w:tblStylePr>
    <w:tblStylePr w:type="firstCol">
      <w:rPr>
        <w:b/>
        <w:bCs/>
      </w:rPr>
    </w:tblStylePr>
    <w:tblStylePr w:type="lastCol">
      <w:rPr>
        <w:b/>
        <w:bCs/>
      </w:rPr>
    </w:tblStylePr>
    <w:tblStylePr w:type="band1Vert">
      <w:tblPr/>
      <w:tcPr>
        <w:tcBorders>
          <w:top w:val="single" w:sz="8" w:space="0" w:color="6750A0" w:themeColor="accent5"/>
          <w:left w:val="single" w:sz="8" w:space="0" w:color="6750A0" w:themeColor="accent5"/>
          <w:bottom w:val="single" w:sz="8" w:space="0" w:color="6750A0" w:themeColor="accent5"/>
          <w:right w:val="single" w:sz="8" w:space="0" w:color="6750A0" w:themeColor="accent5"/>
        </w:tcBorders>
      </w:tcPr>
    </w:tblStylePr>
    <w:tblStylePr w:type="band1Horz">
      <w:tblPr/>
      <w:tcPr>
        <w:tcBorders>
          <w:top w:val="single" w:sz="8" w:space="0" w:color="6750A0" w:themeColor="accent5"/>
          <w:left w:val="single" w:sz="8" w:space="0" w:color="6750A0" w:themeColor="accent5"/>
          <w:bottom w:val="single" w:sz="8" w:space="0" w:color="6750A0" w:themeColor="accent5"/>
          <w:right w:val="single" w:sz="8" w:space="0" w:color="6750A0" w:themeColor="accent5"/>
        </w:tcBorders>
      </w:tcPr>
    </w:tblStylePr>
  </w:style>
  <w:style w:type="table" w:styleId="LightList-Accent6">
    <w:name w:val="Light List Accent 6"/>
    <w:basedOn w:val="TableNormal"/>
    <w:uiPriority w:val="61"/>
    <w:pPr>
      <w:spacing w:after="0" w:line="240" w:lineRule="auto"/>
    </w:pPr>
    <w:tblPr>
      <w:tblStyleRowBandSize w:val="1"/>
      <w:tblStyleColBandSize w:val="1"/>
      <w:tblBorders>
        <w:top w:val="single" w:sz="8" w:space="0" w:color="AC2986" w:themeColor="accent6"/>
        <w:left w:val="single" w:sz="8" w:space="0" w:color="AC2986" w:themeColor="accent6"/>
        <w:bottom w:val="single" w:sz="8" w:space="0" w:color="AC2986" w:themeColor="accent6"/>
        <w:right w:val="single" w:sz="8" w:space="0" w:color="AC2986" w:themeColor="accent6"/>
      </w:tblBorders>
    </w:tblPr>
    <w:tblStylePr w:type="firstRow">
      <w:pPr>
        <w:spacing w:before="0" w:after="0" w:line="240" w:lineRule="auto"/>
      </w:pPr>
      <w:rPr>
        <w:b/>
        <w:bCs/>
        <w:color w:val="FFFFFF" w:themeColor="background1"/>
      </w:rPr>
      <w:tblPr/>
      <w:tcPr>
        <w:shd w:val="clear" w:color="auto" w:fill="AC2986" w:themeFill="accent6"/>
      </w:tcPr>
    </w:tblStylePr>
    <w:tblStylePr w:type="lastRow">
      <w:pPr>
        <w:spacing w:before="0" w:after="0" w:line="240" w:lineRule="auto"/>
      </w:pPr>
      <w:rPr>
        <w:b/>
        <w:bCs/>
      </w:rPr>
      <w:tblPr/>
      <w:tcPr>
        <w:tcBorders>
          <w:top w:val="double" w:sz="6" w:space="0" w:color="AC2986" w:themeColor="accent6"/>
          <w:left w:val="single" w:sz="8" w:space="0" w:color="AC2986" w:themeColor="accent6"/>
          <w:bottom w:val="single" w:sz="8" w:space="0" w:color="AC2986" w:themeColor="accent6"/>
          <w:right w:val="single" w:sz="8" w:space="0" w:color="AC2986" w:themeColor="accent6"/>
        </w:tcBorders>
      </w:tcPr>
    </w:tblStylePr>
    <w:tblStylePr w:type="firstCol">
      <w:rPr>
        <w:b/>
        <w:bCs/>
      </w:rPr>
    </w:tblStylePr>
    <w:tblStylePr w:type="lastCol">
      <w:rPr>
        <w:b/>
        <w:bCs/>
      </w:rPr>
    </w:tblStylePr>
    <w:tblStylePr w:type="band1Vert">
      <w:tblPr/>
      <w:tcPr>
        <w:tcBorders>
          <w:top w:val="single" w:sz="8" w:space="0" w:color="AC2986" w:themeColor="accent6"/>
          <w:left w:val="single" w:sz="8" w:space="0" w:color="AC2986" w:themeColor="accent6"/>
          <w:bottom w:val="single" w:sz="8" w:space="0" w:color="AC2986" w:themeColor="accent6"/>
          <w:right w:val="single" w:sz="8" w:space="0" w:color="AC2986" w:themeColor="accent6"/>
        </w:tcBorders>
      </w:tcPr>
    </w:tblStylePr>
    <w:tblStylePr w:type="band1Horz">
      <w:tblPr/>
      <w:tcPr>
        <w:tcBorders>
          <w:top w:val="single" w:sz="8" w:space="0" w:color="AC2986" w:themeColor="accent6"/>
          <w:left w:val="single" w:sz="8" w:space="0" w:color="AC2986" w:themeColor="accent6"/>
          <w:bottom w:val="single" w:sz="8" w:space="0" w:color="AC2986" w:themeColor="accent6"/>
          <w:right w:val="single" w:sz="8" w:space="0" w:color="AC2986" w:themeColor="accent6"/>
        </w:tcBorders>
      </w:tcPr>
    </w:tblStyle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pPr>
      <w:spacing w:after="0" w:line="240" w:lineRule="auto"/>
    </w:pPr>
    <w:rPr>
      <w:color w:val="4D3C77" w:themeColor="accent1" w:themeShade="BF"/>
    </w:rPr>
    <w:tblPr>
      <w:tblStyleRowBandSize w:val="1"/>
      <w:tblStyleColBandSize w:val="1"/>
      <w:tblBorders>
        <w:top w:val="single" w:sz="8" w:space="0" w:color="6750A0" w:themeColor="accent1"/>
        <w:bottom w:val="single" w:sz="8" w:space="0" w:color="6750A0" w:themeColor="accent1"/>
      </w:tblBorders>
    </w:tblPr>
    <w:tblStylePr w:type="firstRow">
      <w:pPr>
        <w:spacing w:before="0" w:after="0" w:line="240" w:lineRule="auto"/>
      </w:pPr>
      <w:rPr>
        <w:b/>
        <w:bCs/>
      </w:rPr>
      <w:tblPr/>
      <w:tcPr>
        <w:tcBorders>
          <w:top w:val="single" w:sz="8" w:space="0" w:color="6750A0" w:themeColor="accent1"/>
          <w:left w:val="nil"/>
          <w:bottom w:val="single" w:sz="8" w:space="0" w:color="6750A0" w:themeColor="accent1"/>
          <w:right w:val="nil"/>
          <w:insideH w:val="nil"/>
          <w:insideV w:val="nil"/>
        </w:tcBorders>
      </w:tcPr>
    </w:tblStylePr>
    <w:tblStylePr w:type="lastRow">
      <w:pPr>
        <w:spacing w:before="0" w:after="0" w:line="240" w:lineRule="auto"/>
      </w:pPr>
      <w:rPr>
        <w:b/>
        <w:bCs/>
      </w:rPr>
      <w:tblPr/>
      <w:tcPr>
        <w:tcBorders>
          <w:top w:val="single" w:sz="8" w:space="0" w:color="6750A0" w:themeColor="accent1"/>
          <w:left w:val="nil"/>
          <w:bottom w:val="single" w:sz="8" w:space="0" w:color="6750A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2E8" w:themeFill="accent1" w:themeFillTint="3F"/>
      </w:tcPr>
    </w:tblStylePr>
    <w:tblStylePr w:type="band1Horz">
      <w:tblPr/>
      <w:tcPr>
        <w:tcBorders>
          <w:left w:val="nil"/>
          <w:right w:val="nil"/>
          <w:insideH w:val="nil"/>
          <w:insideV w:val="nil"/>
        </w:tcBorders>
        <w:shd w:val="clear" w:color="auto" w:fill="D8D2E8" w:themeFill="accent1" w:themeFillTint="3F"/>
      </w:tcPr>
    </w:tblStylePr>
  </w:style>
  <w:style w:type="table" w:styleId="LightShading-Accent2">
    <w:name w:val="Light Shading Accent 2"/>
    <w:basedOn w:val="TableNormal"/>
    <w:uiPriority w:val="60"/>
    <w:pPr>
      <w:spacing w:after="0" w:line="240" w:lineRule="auto"/>
    </w:pPr>
    <w:rPr>
      <w:color w:val="4D3C77" w:themeColor="accent2" w:themeShade="BF"/>
    </w:rPr>
    <w:tblPr>
      <w:tblStyleRowBandSize w:val="1"/>
      <w:tblStyleColBandSize w:val="1"/>
      <w:tblBorders>
        <w:top w:val="single" w:sz="8" w:space="0" w:color="6750A0" w:themeColor="accent2"/>
        <w:bottom w:val="single" w:sz="8" w:space="0" w:color="6750A0" w:themeColor="accent2"/>
      </w:tblBorders>
    </w:tblPr>
    <w:tblStylePr w:type="firstRow">
      <w:pPr>
        <w:spacing w:before="0" w:after="0" w:line="240" w:lineRule="auto"/>
      </w:pPr>
      <w:rPr>
        <w:b/>
        <w:bCs/>
      </w:rPr>
      <w:tblPr/>
      <w:tcPr>
        <w:tcBorders>
          <w:top w:val="single" w:sz="8" w:space="0" w:color="6750A0" w:themeColor="accent2"/>
          <w:left w:val="nil"/>
          <w:bottom w:val="single" w:sz="8" w:space="0" w:color="6750A0" w:themeColor="accent2"/>
          <w:right w:val="nil"/>
          <w:insideH w:val="nil"/>
          <w:insideV w:val="nil"/>
        </w:tcBorders>
      </w:tcPr>
    </w:tblStylePr>
    <w:tblStylePr w:type="lastRow">
      <w:pPr>
        <w:spacing w:before="0" w:after="0" w:line="240" w:lineRule="auto"/>
      </w:pPr>
      <w:rPr>
        <w:b/>
        <w:bCs/>
      </w:rPr>
      <w:tblPr/>
      <w:tcPr>
        <w:tcBorders>
          <w:top w:val="single" w:sz="8" w:space="0" w:color="6750A0" w:themeColor="accent2"/>
          <w:left w:val="nil"/>
          <w:bottom w:val="single" w:sz="8" w:space="0" w:color="6750A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2E8" w:themeFill="accent2" w:themeFillTint="3F"/>
      </w:tcPr>
    </w:tblStylePr>
    <w:tblStylePr w:type="band1Horz">
      <w:tblPr/>
      <w:tcPr>
        <w:tcBorders>
          <w:left w:val="nil"/>
          <w:right w:val="nil"/>
          <w:insideH w:val="nil"/>
          <w:insideV w:val="nil"/>
        </w:tcBorders>
        <w:shd w:val="clear" w:color="auto" w:fill="D8D2E8" w:themeFill="accent2" w:themeFillTint="3F"/>
      </w:tcPr>
    </w:tblStylePr>
  </w:style>
  <w:style w:type="table" w:styleId="LightShading-Accent3">
    <w:name w:val="Light Shading Accent 3"/>
    <w:basedOn w:val="TableNormal"/>
    <w:uiPriority w:val="60"/>
    <w:pPr>
      <w:spacing w:after="0" w:line="240" w:lineRule="auto"/>
    </w:pPr>
    <w:rPr>
      <w:color w:val="4D3C77" w:themeColor="accent3" w:themeShade="BF"/>
    </w:rPr>
    <w:tblPr>
      <w:tblStyleRowBandSize w:val="1"/>
      <w:tblStyleColBandSize w:val="1"/>
      <w:tblBorders>
        <w:top w:val="single" w:sz="8" w:space="0" w:color="6750A0" w:themeColor="accent3"/>
        <w:bottom w:val="single" w:sz="8" w:space="0" w:color="6750A0" w:themeColor="accent3"/>
      </w:tblBorders>
    </w:tblPr>
    <w:tblStylePr w:type="firstRow">
      <w:pPr>
        <w:spacing w:before="0" w:after="0" w:line="240" w:lineRule="auto"/>
      </w:pPr>
      <w:rPr>
        <w:b/>
        <w:bCs/>
      </w:rPr>
      <w:tblPr/>
      <w:tcPr>
        <w:tcBorders>
          <w:top w:val="single" w:sz="8" w:space="0" w:color="6750A0" w:themeColor="accent3"/>
          <w:left w:val="nil"/>
          <w:bottom w:val="single" w:sz="8" w:space="0" w:color="6750A0" w:themeColor="accent3"/>
          <w:right w:val="nil"/>
          <w:insideH w:val="nil"/>
          <w:insideV w:val="nil"/>
        </w:tcBorders>
      </w:tcPr>
    </w:tblStylePr>
    <w:tblStylePr w:type="lastRow">
      <w:pPr>
        <w:spacing w:before="0" w:after="0" w:line="240" w:lineRule="auto"/>
      </w:pPr>
      <w:rPr>
        <w:b/>
        <w:bCs/>
      </w:rPr>
      <w:tblPr/>
      <w:tcPr>
        <w:tcBorders>
          <w:top w:val="single" w:sz="8" w:space="0" w:color="6750A0" w:themeColor="accent3"/>
          <w:left w:val="nil"/>
          <w:bottom w:val="single" w:sz="8" w:space="0" w:color="6750A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2E8" w:themeFill="accent3" w:themeFillTint="3F"/>
      </w:tcPr>
    </w:tblStylePr>
    <w:tblStylePr w:type="band1Horz">
      <w:tblPr/>
      <w:tcPr>
        <w:tcBorders>
          <w:left w:val="nil"/>
          <w:right w:val="nil"/>
          <w:insideH w:val="nil"/>
          <w:insideV w:val="nil"/>
        </w:tcBorders>
        <w:shd w:val="clear" w:color="auto" w:fill="D8D2E8" w:themeFill="accent3" w:themeFillTint="3F"/>
      </w:tcPr>
    </w:tblStylePr>
  </w:style>
  <w:style w:type="table" w:styleId="LightShading-Accent4">
    <w:name w:val="Light Shading Accent 4"/>
    <w:basedOn w:val="TableNormal"/>
    <w:uiPriority w:val="60"/>
    <w:pPr>
      <w:spacing w:after="0" w:line="240" w:lineRule="auto"/>
    </w:pPr>
    <w:rPr>
      <w:color w:val="4D3C77" w:themeColor="accent4" w:themeShade="BF"/>
    </w:rPr>
    <w:tblPr>
      <w:tblStyleRowBandSize w:val="1"/>
      <w:tblStyleColBandSize w:val="1"/>
      <w:tblBorders>
        <w:top w:val="single" w:sz="8" w:space="0" w:color="6750A0" w:themeColor="accent4"/>
        <w:bottom w:val="single" w:sz="8" w:space="0" w:color="6750A0" w:themeColor="accent4"/>
      </w:tblBorders>
    </w:tblPr>
    <w:tblStylePr w:type="firstRow">
      <w:pPr>
        <w:spacing w:before="0" w:after="0" w:line="240" w:lineRule="auto"/>
      </w:pPr>
      <w:rPr>
        <w:b/>
        <w:bCs/>
      </w:rPr>
      <w:tblPr/>
      <w:tcPr>
        <w:tcBorders>
          <w:top w:val="single" w:sz="8" w:space="0" w:color="6750A0" w:themeColor="accent4"/>
          <w:left w:val="nil"/>
          <w:bottom w:val="single" w:sz="8" w:space="0" w:color="6750A0" w:themeColor="accent4"/>
          <w:right w:val="nil"/>
          <w:insideH w:val="nil"/>
          <w:insideV w:val="nil"/>
        </w:tcBorders>
      </w:tcPr>
    </w:tblStylePr>
    <w:tblStylePr w:type="lastRow">
      <w:pPr>
        <w:spacing w:before="0" w:after="0" w:line="240" w:lineRule="auto"/>
      </w:pPr>
      <w:rPr>
        <w:b/>
        <w:bCs/>
      </w:rPr>
      <w:tblPr/>
      <w:tcPr>
        <w:tcBorders>
          <w:top w:val="single" w:sz="8" w:space="0" w:color="6750A0" w:themeColor="accent4"/>
          <w:left w:val="nil"/>
          <w:bottom w:val="single" w:sz="8" w:space="0" w:color="6750A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2E8" w:themeFill="accent4" w:themeFillTint="3F"/>
      </w:tcPr>
    </w:tblStylePr>
    <w:tblStylePr w:type="band1Horz">
      <w:tblPr/>
      <w:tcPr>
        <w:tcBorders>
          <w:left w:val="nil"/>
          <w:right w:val="nil"/>
          <w:insideH w:val="nil"/>
          <w:insideV w:val="nil"/>
        </w:tcBorders>
        <w:shd w:val="clear" w:color="auto" w:fill="D8D2E8" w:themeFill="accent4" w:themeFillTint="3F"/>
      </w:tcPr>
    </w:tblStylePr>
  </w:style>
  <w:style w:type="table" w:styleId="LightShading-Accent5">
    <w:name w:val="Light Shading Accent 5"/>
    <w:basedOn w:val="TableNormal"/>
    <w:uiPriority w:val="60"/>
    <w:pPr>
      <w:spacing w:after="0" w:line="240" w:lineRule="auto"/>
    </w:pPr>
    <w:rPr>
      <w:color w:val="4D3C77" w:themeColor="accent5" w:themeShade="BF"/>
    </w:rPr>
    <w:tblPr>
      <w:tblStyleRowBandSize w:val="1"/>
      <w:tblStyleColBandSize w:val="1"/>
      <w:tblBorders>
        <w:top w:val="single" w:sz="8" w:space="0" w:color="6750A0" w:themeColor="accent5"/>
        <w:bottom w:val="single" w:sz="8" w:space="0" w:color="6750A0" w:themeColor="accent5"/>
      </w:tblBorders>
    </w:tblPr>
    <w:tblStylePr w:type="firstRow">
      <w:pPr>
        <w:spacing w:before="0" w:after="0" w:line="240" w:lineRule="auto"/>
      </w:pPr>
      <w:rPr>
        <w:b/>
        <w:bCs/>
      </w:rPr>
      <w:tblPr/>
      <w:tcPr>
        <w:tcBorders>
          <w:top w:val="single" w:sz="8" w:space="0" w:color="6750A0" w:themeColor="accent5"/>
          <w:left w:val="nil"/>
          <w:bottom w:val="single" w:sz="8" w:space="0" w:color="6750A0" w:themeColor="accent5"/>
          <w:right w:val="nil"/>
          <w:insideH w:val="nil"/>
          <w:insideV w:val="nil"/>
        </w:tcBorders>
      </w:tcPr>
    </w:tblStylePr>
    <w:tblStylePr w:type="lastRow">
      <w:pPr>
        <w:spacing w:before="0" w:after="0" w:line="240" w:lineRule="auto"/>
      </w:pPr>
      <w:rPr>
        <w:b/>
        <w:bCs/>
      </w:rPr>
      <w:tblPr/>
      <w:tcPr>
        <w:tcBorders>
          <w:top w:val="single" w:sz="8" w:space="0" w:color="6750A0" w:themeColor="accent5"/>
          <w:left w:val="nil"/>
          <w:bottom w:val="single" w:sz="8" w:space="0" w:color="6750A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2E8" w:themeFill="accent5" w:themeFillTint="3F"/>
      </w:tcPr>
    </w:tblStylePr>
    <w:tblStylePr w:type="band1Horz">
      <w:tblPr/>
      <w:tcPr>
        <w:tcBorders>
          <w:left w:val="nil"/>
          <w:right w:val="nil"/>
          <w:insideH w:val="nil"/>
          <w:insideV w:val="nil"/>
        </w:tcBorders>
        <w:shd w:val="clear" w:color="auto" w:fill="D8D2E8" w:themeFill="accent5" w:themeFillTint="3F"/>
      </w:tcPr>
    </w:tblStylePr>
  </w:style>
  <w:style w:type="table" w:styleId="LightShading-Accent6">
    <w:name w:val="Light Shading Accent 6"/>
    <w:basedOn w:val="TableNormal"/>
    <w:uiPriority w:val="60"/>
    <w:pPr>
      <w:spacing w:after="0" w:line="240" w:lineRule="auto"/>
    </w:pPr>
    <w:rPr>
      <w:color w:val="801E64" w:themeColor="accent6" w:themeShade="BF"/>
    </w:rPr>
    <w:tblPr>
      <w:tblStyleRowBandSize w:val="1"/>
      <w:tblStyleColBandSize w:val="1"/>
      <w:tblBorders>
        <w:top w:val="single" w:sz="8" w:space="0" w:color="AC2986" w:themeColor="accent6"/>
        <w:bottom w:val="single" w:sz="8" w:space="0" w:color="AC2986" w:themeColor="accent6"/>
      </w:tblBorders>
    </w:tblPr>
    <w:tblStylePr w:type="firstRow">
      <w:pPr>
        <w:spacing w:before="0" w:after="0" w:line="240" w:lineRule="auto"/>
      </w:pPr>
      <w:rPr>
        <w:b/>
        <w:bCs/>
      </w:rPr>
      <w:tblPr/>
      <w:tcPr>
        <w:tcBorders>
          <w:top w:val="single" w:sz="8" w:space="0" w:color="AC2986" w:themeColor="accent6"/>
          <w:left w:val="nil"/>
          <w:bottom w:val="single" w:sz="8" w:space="0" w:color="AC2986" w:themeColor="accent6"/>
          <w:right w:val="nil"/>
          <w:insideH w:val="nil"/>
          <w:insideV w:val="nil"/>
        </w:tcBorders>
      </w:tcPr>
    </w:tblStylePr>
    <w:tblStylePr w:type="lastRow">
      <w:pPr>
        <w:spacing w:before="0" w:after="0" w:line="240" w:lineRule="auto"/>
      </w:pPr>
      <w:rPr>
        <w:b/>
        <w:bCs/>
      </w:rPr>
      <w:tblPr/>
      <w:tcPr>
        <w:tcBorders>
          <w:top w:val="single" w:sz="8" w:space="0" w:color="AC2986" w:themeColor="accent6"/>
          <w:left w:val="nil"/>
          <w:bottom w:val="single" w:sz="8" w:space="0" w:color="AC298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C3E3" w:themeFill="accent6" w:themeFillTint="3F"/>
      </w:tcPr>
    </w:tblStylePr>
    <w:tblStylePr w:type="band1Horz">
      <w:tblPr/>
      <w:tcPr>
        <w:tcBorders>
          <w:left w:val="nil"/>
          <w:right w:val="nil"/>
          <w:insideH w:val="nil"/>
          <w:insideV w:val="nil"/>
        </w:tcBorders>
        <w:shd w:val="clear" w:color="auto" w:fill="F0C3E3" w:themeFill="accent6" w:themeFillTint="3F"/>
      </w:tcPr>
    </w:tblStylePr>
  </w:style>
  <w:style w:type="character" w:styleId="LineNumber">
    <w:name w:val="line number"/>
    <w:basedOn w:val="DefaultParagraphFont"/>
    <w:uiPriority w:val="99"/>
    <w:semiHidden/>
    <w:unhideWhenUsed/>
  </w:style>
  <w:style w:type="paragraph" w:styleId="List">
    <w:name w:val="List"/>
    <w:basedOn w:val="Normal"/>
    <w:uiPriority w:val="99"/>
    <w:semiHidden/>
    <w:unhideWhenUsed/>
    <w:pPr>
      <w:ind w:left="360" w:hanging="360"/>
      <w:contextualSpacing/>
    </w:pPr>
  </w:style>
  <w:style w:type="paragraph" w:styleId="List2">
    <w:name w:val="List 2"/>
    <w:basedOn w:val="Normal"/>
    <w:uiPriority w:val="99"/>
    <w:semiHidden/>
    <w:unhideWhenUsed/>
    <w:pPr>
      <w:ind w:left="720" w:hanging="360"/>
      <w:contextualSpacing/>
    </w:pPr>
  </w:style>
  <w:style w:type="paragraph" w:styleId="List3">
    <w:name w:val="List 3"/>
    <w:basedOn w:val="Normal"/>
    <w:uiPriority w:val="99"/>
    <w:semiHidden/>
    <w:unhideWhenUsed/>
    <w:pPr>
      <w:ind w:left="1080" w:hanging="360"/>
      <w:contextualSpacing/>
    </w:pPr>
  </w:style>
  <w:style w:type="paragraph" w:styleId="List4">
    <w:name w:val="List 4"/>
    <w:basedOn w:val="Normal"/>
    <w:uiPriority w:val="99"/>
    <w:semiHidden/>
    <w:unhideWhenUsed/>
    <w:pPr>
      <w:ind w:left="1440" w:hanging="360"/>
      <w:contextualSpacing/>
    </w:pPr>
  </w:style>
  <w:style w:type="paragraph" w:styleId="List5">
    <w:name w:val="List 5"/>
    <w:basedOn w:val="Normal"/>
    <w:uiPriority w:val="99"/>
    <w:semiHidden/>
    <w:unhideWhenUsed/>
    <w:pPr>
      <w:ind w:left="1800" w:hanging="360"/>
      <w:contextualSpacing/>
    </w:pPr>
  </w:style>
  <w:style w:type="paragraph" w:styleId="ListBullet">
    <w:name w:val="List Bullet"/>
    <w:basedOn w:val="Normal"/>
    <w:uiPriority w:val="1"/>
    <w:unhideWhenUsed/>
    <w:qFormat/>
    <w:pPr>
      <w:numPr>
        <w:numId w:val="1"/>
      </w:numPr>
      <w:spacing w:after="40"/>
    </w:p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ListBullet5">
    <w:name w:val="List Bullet 5"/>
    <w:basedOn w:val="Normal"/>
    <w:uiPriority w:val="99"/>
    <w:semiHidden/>
    <w:unhideWhenUsed/>
    <w:pPr>
      <w:numPr>
        <w:numId w:val="5"/>
      </w:numPr>
      <w:contextualSpacing/>
    </w:pPr>
  </w:style>
  <w:style w:type="paragraph" w:styleId="ListContinue">
    <w:name w:val="List Continue"/>
    <w:basedOn w:val="Normal"/>
    <w:uiPriority w:val="99"/>
    <w:semiHidden/>
    <w:unhideWhenUsed/>
    <w:pPr>
      <w:spacing w:after="120"/>
      <w:ind w:left="360"/>
      <w:contextualSpacing/>
    </w:pPr>
  </w:style>
  <w:style w:type="paragraph" w:styleId="ListContinue2">
    <w:name w:val="List Continue 2"/>
    <w:basedOn w:val="Normal"/>
    <w:uiPriority w:val="99"/>
    <w:semiHidden/>
    <w:unhideWhenUsed/>
    <w:pPr>
      <w:spacing w:after="120"/>
      <w:ind w:left="720"/>
      <w:contextualSpacing/>
    </w:pPr>
  </w:style>
  <w:style w:type="paragraph" w:styleId="ListContinue3">
    <w:name w:val="List Continue 3"/>
    <w:basedOn w:val="Normal"/>
    <w:uiPriority w:val="99"/>
    <w:semiHidden/>
    <w:unhideWhenUsed/>
    <w:pPr>
      <w:spacing w:after="120"/>
      <w:ind w:left="1080"/>
      <w:contextualSpacing/>
    </w:pPr>
  </w:style>
  <w:style w:type="paragraph" w:styleId="ListContinue4">
    <w:name w:val="List Continue 4"/>
    <w:basedOn w:val="Normal"/>
    <w:uiPriority w:val="99"/>
    <w:semiHidden/>
    <w:unhideWhenUsed/>
    <w:pPr>
      <w:spacing w:after="120"/>
      <w:ind w:left="1440"/>
      <w:contextualSpacing/>
    </w:pPr>
  </w:style>
  <w:style w:type="paragraph" w:styleId="ListContinue5">
    <w:name w:val="List Continue 5"/>
    <w:basedOn w:val="Normal"/>
    <w:uiPriority w:val="99"/>
    <w:semiHidden/>
    <w:unhideWhenUsed/>
    <w:pPr>
      <w:spacing w:after="120"/>
      <w:ind w:left="1800"/>
      <w:contextualSpacing/>
    </w:pPr>
  </w:style>
  <w:style w:type="paragraph" w:styleId="ListNumber">
    <w:name w:val="List Number"/>
    <w:basedOn w:val="Normal"/>
    <w:uiPriority w:val="1"/>
    <w:unhideWhenUsed/>
    <w:qFormat/>
    <w:pPr>
      <w:numPr>
        <w:numId w:val="7"/>
      </w:numPr>
      <w:contextualSpacing/>
    </w:pPr>
  </w:style>
  <w:style w:type="paragraph" w:styleId="ListNumber2">
    <w:name w:val="List Number 2"/>
    <w:basedOn w:val="Normal"/>
    <w:uiPriority w:val="1"/>
    <w:unhideWhenUsed/>
    <w:qFormat/>
    <w:pPr>
      <w:numPr>
        <w:ilvl w:val="1"/>
        <w:numId w:val="7"/>
      </w:numPr>
      <w:contextualSpacing/>
    </w:pPr>
  </w:style>
  <w:style w:type="paragraph" w:styleId="ListNumber3">
    <w:name w:val="List Number 3"/>
    <w:basedOn w:val="Normal"/>
    <w:uiPriority w:val="18"/>
    <w:unhideWhenUsed/>
    <w:qFormat/>
    <w:pPr>
      <w:numPr>
        <w:ilvl w:val="2"/>
        <w:numId w:val="7"/>
      </w:numPr>
      <w:contextualSpacing/>
    </w:pPr>
  </w:style>
  <w:style w:type="paragraph" w:styleId="ListNumber4">
    <w:name w:val="List Number 4"/>
    <w:basedOn w:val="Normal"/>
    <w:uiPriority w:val="18"/>
    <w:semiHidden/>
    <w:unhideWhenUsed/>
    <w:pPr>
      <w:numPr>
        <w:ilvl w:val="3"/>
        <w:numId w:val="7"/>
      </w:numPr>
      <w:contextualSpacing/>
    </w:pPr>
  </w:style>
  <w:style w:type="paragraph" w:styleId="ListNumber5">
    <w:name w:val="List Number 5"/>
    <w:basedOn w:val="Normal"/>
    <w:uiPriority w:val="18"/>
    <w:semiHidden/>
    <w:unhideWhenUsed/>
    <w:pPr>
      <w:numPr>
        <w:ilvl w:val="4"/>
        <w:numId w:val="7"/>
      </w:numPr>
      <w:contextualSpacing/>
    </w:pPr>
  </w:style>
  <w:style w:type="paragraph" w:styleId="ListParagraph">
    <w:name w:val="List Paragraph"/>
    <w:basedOn w:val="Normal"/>
    <w:uiPriority w:val="34"/>
    <w:unhideWhenUsed/>
    <w:qFormat/>
    <w:pPr>
      <w:ind w:left="72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croTextChar">
    <w:name w:val="Macro Text Char"/>
    <w:basedOn w:val="DefaultParagraphFont"/>
    <w:link w:val="MacroText"/>
    <w:uiPriority w:val="99"/>
    <w:semiHidden/>
    <w:rPr>
      <w:rFonts w:ascii="Consolas" w:hAnsi="Consolas" w:cs="Consolas"/>
      <w:sz w:val="20"/>
    </w:rPr>
  </w:style>
  <w:style w:type="table" w:styleId="MediumGrid1">
    <w:name w:val="Medium Grid 1"/>
    <w:basedOn w:val="TableNormal"/>
    <w:uiPriority w:val="6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pPr>
      <w:spacing w:after="0" w:line="240" w:lineRule="auto"/>
    </w:pPr>
    <w:tblPr>
      <w:tblStyleRowBandSize w:val="1"/>
      <w:tblStyleColBandSize w:val="1"/>
      <w:tblBorders>
        <w:top w:val="single" w:sz="8" w:space="0" w:color="8B78BB" w:themeColor="accent1" w:themeTint="BF"/>
        <w:left w:val="single" w:sz="8" w:space="0" w:color="8B78BB" w:themeColor="accent1" w:themeTint="BF"/>
        <w:bottom w:val="single" w:sz="8" w:space="0" w:color="8B78BB" w:themeColor="accent1" w:themeTint="BF"/>
        <w:right w:val="single" w:sz="8" w:space="0" w:color="8B78BB" w:themeColor="accent1" w:themeTint="BF"/>
        <w:insideH w:val="single" w:sz="8" w:space="0" w:color="8B78BB" w:themeColor="accent1" w:themeTint="BF"/>
        <w:insideV w:val="single" w:sz="8" w:space="0" w:color="8B78BB" w:themeColor="accent1" w:themeTint="BF"/>
      </w:tblBorders>
    </w:tblPr>
    <w:tcPr>
      <w:shd w:val="clear" w:color="auto" w:fill="D8D2E8" w:themeFill="accent1" w:themeFillTint="3F"/>
    </w:tcPr>
    <w:tblStylePr w:type="firstRow">
      <w:rPr>
        <w:b/>
        <w:bCs/>
      </w:rPr>
    </w:tblStylePr>
    <w:tblStylePr w:type="lastRow">
      <w:rPr>
        <w:b/>
        <w:bCs/>
      </w:rPr>
      <w:tblPr/>
      <w:tcPr>
        <w:tcBorders>
          <w:top w:val="single" w:sz="18" w:space="0" w:color="8B78BB" w:themeColor="accent1" w:themeTint="BF"/>
        </w:tcBorders>
      </w:tcPr>
    </w:tblStylePr>
    <w:tblStylePr w:type="firstCol">
      <w:rPr>
        <w:b/>
        <w:bCs/>
      </w:rPr>
    </w:tblStylePr>
    <w:tblStylePr w:type="lastCol">
      <w:rPr>
        <w:b/>
        <w:bCs/>
      </w:rPr>
    </w:tblStylePr>
    <w:tblStylePr w:type="band1Vert">
      <w:tblPr/>
      <w:tcPr>
        <w:shd w:val="clear" w:color="auto" w:fill="B2A5D2" w:themeFill="accent1" w:themeFillTint="7F"/>
      </w:tcPr>
    </w:tblStylePr>
    <w:tblStylePr w:type="band1Horz">
      <w:tblPr/>
      <w:tcPr>
        <w:shd w:val="clear" w:color="auto" w:fill="B2A5D2" w:themeFill="accent1" w:themeFillTint="7F"/>
      </w:tcPr>
    </w:tblStylePr>
  </w:style>
  <w:style w:type="table" w:styleId="MediumGrid1-Accent2">
    <w:name w:val="Medium Grid 1 Accent 2"/>
    <w:basedOn w:val="TableNormal"/>
    <w:uiPriority w:val="67"/>
    <w:pPr>
      <w:spacing w:after="0" w:line="240" w:lineRule="auto"/>
    </w:pPr>
    <w:tblPr>
      <w:tblStyleRowBandSize w:val="1"/>
      <w:tblStyleColBandSize w:val="1"/>
      <w:tblBorders>
        <w:top w:val="single" w:sz="8" w:space="0" w:color="8B78BB" w:themeColor="accent2" w:themeTint="BF"/>
        <w:left w:val="single" w:sz="8" w:space="0" w:color="8B78BB" w:themeColor="accent2" w:themeTint="BF"/>
        <w:bottom w:val="single" w:sz="8" w:space="0" w:color="8B78BB" w:themeColor="accent2" w:themeTint="BF"/>
        <w:right w:val="single" w:sz="8" w:space="0" w:color="8B78BB" w:themeColor="accent2" w:themeTint="BF"/>
        <w:insideH w:val="single" w:sz="8" w:space="0" w:color="8B78BB" w:themeColor="accent2" w:themeTint="BF"/>
        <w:insideV w:val="single" w:sz="8" w:space="0" w:color="8B78BB" w:themeColor="accent2" w:themeTint="BF"/>
      </w:tblBorders>
    </w:tblPr>
    <w:tcPr>
      <w:shd w:val="clear" w:color="auto" w:fill="D8D2E8" w:themeFill="accent2" w:themeFillTint="3F"/>
    </w:tcPr>
    <w:tblStylePr w:type="firstRow">
      <w:rPr>
        <w:b/>
        <w:bCs/>
      </w:rPr>
    </w:tblStylePr>
    <w:tblStylePr w:type="lastRow">
      <w:rPr>
        <w:b/>
        <w:bCs/>
      </w:rPr>
      <w:tblPr/>
      <w:tcPr>
        <w:tcBorders>
          <w:top w:val="single" w:sz="18" w:space="0" w:color="8B78BB" w:themeColor="accent2" w:themeTint="BF"/>
        </w:tcBorders>
      </w:tcPr>
    </w:tblStylePr>
    <w:tblStylePr w:type="firstCol">
      <w:rPr>
        <w:b/>
        <w:bCs/>
      </w:rPr>
    </w:tblStylePr>
    <w:tblStylePr w:type="lastCol">
      <w:rPr>
        <w:b/>
        <w:bCs/>
      </w:rPr>
    </w:tblStylePr>
    <w:tblStylePr w:type="band1Vert">
      <w:tblPr/>
      <w:tcPr>
        <w:shd w:val="clear" w:color="auto" w:fill="B2A5D2" w:themeFill="accent2" w:themeFillTint="7F"/>
      </w:tcPr>
    </w:tblStylePr>
    <w:tblStylePr w:type="band1Horz">
      <w:tblPr/>
      <w:tcPr>
        <w:shd w:val="clear" w:color="auto" w:fill="B2A5D2" w:themeFill="accent2" w:themeFillTint="7F"/>
      </w:tcPr>
    </w:tblStylePr>
  </w:style>
  <w:style w:type="table" w:styleId="MediumGrid1-Accent3">
    <w:name w:val="Medium Grid 1 Accent 3"/>
    <w:basedOn w:val="TableNormal"/>
    <w:uiPriority w:val="67"/>
    <w:pPr>
      <w:spacing w:after="0" w:line="240" w:lineRule="auto"/>
    </w:pPr>
    <w:tblPr>
      <w:tblStyleRowBandSize w:val="1"/>
      <w:tblStyleColBandSize w:val="1"/>
      <w:tblBorders>
        <w:top w:val="single" w:sz="8" w:space="0" w:color="8B78BB" w:themeColor="accent3" w:themeTint="BF"/>
        <w:left w:val="single" w:sz="8" w:space="0" w:color="8B78BB" w:themeColor="accent3" w:themeTint="BF"/>
        <w:bottom w:val="single" w:sz="8" w:space="0" w:color="8B78BB" w:themeColor="accent3" w:themeTint="BF"/>
        <w:right w:val="single" w:sz="8" w:space="0" w:color="8B78BB" w:themeColor="accent3" w:themeTint="BF"/>
        <w:insideH w:val="single" w:sz="8" w:space="0" w:color="8B78BB" w:themeColor="accent3" w:themeTint="BF"/>
        <w:insideV w:val="single" w:sz="8" w:space="0" w:color="8B78BB" w:themeColor="accent3" w:themeTint="BF"/>
      </w:tblBorders>
    </w:tblPr>
    <w:tcPr>
      <w:shd w:val="clear" w:color="auto" w:fill="D8D2E8" w:themeFill="accent3" w:themeFillTint="3F"/>
    </w:tcPr>
    <w:tblStylePr w:type="firstRow">
      <w:rPr>
        <w:b/>
        <w:bCs/>
      </w:rPr>
    </w:tblStylePr>
    <w:tblStylePr w:type="lastRow">
      <w:rPr>
        <w:b/>
        <w:bCs/>
      </w:rPr>
      <w:tblPr/>
      <w:tcPr>
        <w:tcBorders>
          <w:top w:val="single" w:sz="18" w:space="0" w:color="8B78BB" w:themeColor="accent3" w:themeTint="BF"/>
        </w:tcBorders>
      </w:tcPr>
    </w:tblStylePr>
    <w:tblStylePr w:type="firstCol">
      <w:rPr>
        <w:b/>
        <w:bCs/>
      </w:rPr>
    </w:tblStylePr>
    <w:tblStylePr w:type="lastCol">
      <w:rPr>
        <w:b/>
        <w:bCs/>
      </w:rPr>
    </w:tblStylePr>
    <w:tblStylePr w:type="band1Vert">
      <w:tblPr/>
      <w:tcPr>
        <w:shd w:val="clear" w:color="auto" w:fill="B2A5D2" w:themeFill="accent3" w:themeFillTint="7F"/>
      </w:tcPr>
    </w:tblStylePr>
    <w:tblStylePr w:type="band1Horz">
      <w:tblPr/>
      <w:tcPr>
        <w:shd w:val="clear" w:color="auto" w:fill="B2A5D2" w:themeFill="accent3" w:themeFillTint="7F"/>
      </w:tcPr>
    </w:tblStylePr>
  </w:style>
  <w:style w:type="table" w:styleId="MediumGrid1-Accent4">
    <w:name w:val="Medium Grid 1 Accent 4"/>
    <w:basedOn w:val="TableNormal"/>
    <w:uiPriority w:val="67"/>
    <w:pPr>
      <w:spacing w:after="0" w:line="240" w:lineRule="auto"/>
    </w:pPr>
    <w:tblPr>
      <w:tblStyleRowBandSize w:val="1"/>
      <w:tblStyleColBandSize w:val="1"/>
      <w:tblBorders>
        <w:top w:val="single" w:sz="8" w:space="0" w:color="8B78BB" w:themeColor="accent4" w:themeTint="BF"/>
        <w:left w:val="single" w:sz="8" w:space="0" w:color="8B78BB" w:themeColor="accent4" w:themeTint="BF"/>
        <w:bottom w:val="single" w:sz="8" w:space="0" w:color="8B78BB" w:themeColor="accent4" w:themeTint="BF"/>
        <w:right w:val="single" w:sz="8" w:space="0" w:color="8B78BB" w:themeColor="accent4" w:themeTint="BF"/>
        <w:insideH w:val="single" w:sz="8" w:space="0" w:color="8B78BB" w:themeColor="accent4" w:themeTint="BF"/>
        <w:insideV w:val="single" w:sz="8" w:space="0" w:color="8B78BB" w:themeColor="accent4" w:themeTint="BF"/>
      </w:tblBorders>
    </w:tblPr>
    <w:tcPr>
      <w:shd w:val="clear" w:color="auto" w:fill="D8D2E8" w:themeFill="accent4" w:themeFillTint="3F"/>
    </w:tcPr>
    <w:tblStylePr w:type="firstRow">
      <w:rPr>
        <w:b/>
        <w:bCs/>
      </w:rPr>
    </w:tblStylePr>
    <w:tblStylePr w:type="lastRow">
      <w:rPr>
        <w:b/>
        <w:bCs/>
      </w:rPr>
      <w:tblPr/>
      <w:tcPr>
        <w:tcBorders>
          <w:top w:val="single" w:sz="18" w:space="0" w:color="8B78BB" w:themeColor="accent4" w:themeTint="BF"/>
        </w:tcBorders>
      </w:tcPr>
    </w:tblStylePr>
    <w:tblStylePr w:type="firstCol">
      <w:rPr>
        <w:b/>
        <w:bCs/>
      </w:rPr>
    </w:tblStylePr>
    <w:tblStylePr w:type="lastCol">
      <w:rPr>
        <w:b/>
        <w:bCs/>
      </w:rPr>
    </w:tblStylePr>
    <w:tblStylePr w:type="band1Vert">
      <w:tblPr/>
      <w:tcPr>
        <w:shd w:val="clear" w:color="auto" w:fill="B2A5D2" w:themeFill="accent4" w:themeFillTint="7F"/>
      </w:tcPr>
    </w:tblStylePr>
    <w:tblStylePr w:type="band1Horz">
      <w:tblPr/>
      <w:tcPr>
        <w:shd w:val="clear" w:color="auto" w:fill="B2A5D2" w:themeFill="accent4" w:themeFillTint="7F"/>
      </w:tcPr>
    </w:tblStylePr>
  </w:style>
  <w:style w:type="table" w:styleId="MediumGrid1-Accent5">
    <w:name w:val="Medium Grid 1 Accent 5"/>
    <w:basedOn w:val="TableNormal"/>
    <w:uiPriority w:val="67"/>
    <w:pPr>
      <w:spacing w:after="0" w:line="240" w:lineRule="auto"/>
    </w:pPr>
    <w:tblPr>
      <w:tblStyleRowBandSize w:val="1"/>
      <w:tblStyleColBandSize w:val="1"/>
      <w:tblBorders>
        <w:top w:val="single" w:sz="8" w:space="0" w:color="8B78BB" w:themeColor="accent5" w:themeTint="BF"/>
        <w:left w:val="single" w:sz="8" w:space="0" w:color="8B78BB" w:themeColor="accent5" w:themeTint="BF"/>
        <w:bottom w:val="single" w:sz="8" w:space="0" w:color="8B78BB" w:themeColor="accent5" w:themeTint="BF"/>
        <w:right w:val="single" w:sz="8" w:space="0" w:color="8B78BB" w:themeColor="accent5" w:themeTint="BF"/>
        <w:insideH w:val="single" w:sz="8" w:space="0" w:color="8B78BB" w:themeColor="accent5" w:themeTint="BF"/>
        <w:insideV w:val="single" w:sz="8" w:space="0" w:color="8B78BB" w:themeColor="accent5" w:themeTint="BF"/>
      </w:tblBorders>
    </w:tblPr>
    <w:tcPr>
      <w:shd w:val="clear" w:color="auto" w:fill="D8D2E8" w:themeFill="accent5" w:themeFillTint="3F"/>
    </w:tcPr>
    <w:tblStylePr w:type="firstRow">
      <w:rPr>
        <w:b/>
        <w:bCs/>
      </w:rPr>
    </w:tblStylePr>
    <w:tblStylePr w:type="lastRow">
      <w:rPr>
        <w:b/>
        <w:bCs/>
      </w:rPr>
      <w:tblPr/>
      <w:tcPr>
        <w:tcBorders>
          <w:top w:val="single" w:sz="18" w:space="0" w:color="8B78BB" w:themeColor="accent5" w:themeTint="BF"/>
        </w:tcBorders>
      </w:tcPr>
    </w:tblStylePr>
    <w:tblStylePr w:type="firstCol">
      <w:rPr>
        <w:b/>
        <w:bCs/>
      </w:rPr>
    </w:tblStylePr>
    <w:tblStylePr w:type="lastCol">
      <w:rPr>
        <w:b/>
        <w:bCs/>
      </w:rPr>
    </w:tblStylePr>
    <w:tblStylePr w:type="band1Vert">
      <w:tblPr/>
      <w:tcPr>
        <w:shd w:val="clear" w:color="auto" w:fill="B2A5D2" w:themeFill="accent5" w:themeFillTint="7F"/>
      </w:tcPr>
    </w:tblStylePr>
    <w:tblStylePr w:type="band1Horz">
      <w:tblPr/>
      <w:tcPr>
        <w:shd w:val="clear" w:color="auto" w:fill="B2A5D2" w:themeFill="accent5" w:themeFillTint="7F"/>
      </w:tcPr>
    </w:tblStylePr>
  </w:style>
  <w:style w:type="table" w:styleId="MediumGrid1-Accent6">
    <w:name w:val="Medium Grid 1 Accent 6"/>
    <w:basedOn w:val="TableNormal"/>
    <w:uiPriority w:val="67"/>
    <w:pPr>
      <w:spacing w:after="0" w:line="240" w:lineRule="auto"/>
    </w:pPr>
    <w:tblPr>
      <w:tblStyleRowBandSize w:val="1"/>
      <w:tblStyleColBandSize w:val="1"/>
      <w:tblBorders>
        <w:top w:val="single" w:sz="8" w:space="0" w:color="D44BAC" w:themeColor="accent6" w:themeTint="BF"/>
        <w:left w:val="single" w:sz="8" w:space="0" w:color="D44BAC" w:themeColor="accent6" w:themeTint="BF"/>
        <w:bottom w:val="single" w:sz="8" w:space="0" w:color="D44BAC" w:themeColor="accent6" w:themeTint="BF"/>
        <w:right w:val="single" w:sz="8" w:space="0" w:color="D44BAC" w:themeColor="accent6" w:themeTint="BF"/>
        <w:insideH w:val="single" w:sz="8" w:space="0" w:color="D44BAC" w:themeColor="accent6" w:themeTint="BF"/>
        <w:insideV w:val="single" w:sz="8" w:space="0" w:color="D44BAC" w:themeColor="accent6" w:themeTint="BF"/>
      </w:tblBorders>
    </w:tblPr>
    <w:tcPr>
      <w:shd w:val="clear" w:color="auto" w:fill="F0C3E3" w:themeFill="accent6" w:themeFillTint="3F"/>
    </w:tcPr>
    <w:tblStylePr w:type="firstRow">
      <w:rPr>
        <w:b/>
        <w:bCs/>
      </w:rPr>
    </w:tblStylePr>
    <w:tblStylePr w:type="lastRow">
      <w:rPr>
        <w:b/>
        <w:bCs/>
      </w:rPr>
      <w:tblPr/>
      <w:tcPr>
        <w:tcBorders>
          <w:top w:val="single" w:sz="18" w:space="0" w:color="D44BAC" w:themeColor="accent6" w:themeTint="BF"/>
        </w:tcBorders>
      </w:tcPr>
    </w:tblStylePr>
    <w:tblStylePr w:type="firstCol">
      <w:rPr>
        <w:b/>
        <w:bCs/>
      </w:rPr>
    </w:tblStylePr>
    <w:tblStylePr w:type="lastCol">
      <w:rPr>
        <w:b/>
        <w:bCs/>
      </w:rPr>
    </w:tblStylePr>
    <w:tblStylePr w:type="band1Vert">
      <w:tblPr/>
      <w:tcPr>
        <w:shd w:val="clear" w:color="auto" w:fill="E287C8" w:themeFill="accent6" w:themeFillTint="7F"/>
      </w:tcPr>
    </w:tblStylePr>
    <w:tblStylePr w:type="band1Horz">
      <w:tblPr/>
      <w:tcPr>
        <w:shd w:val="clear" w:color="auto" w:fill="E287C8" w:themeFill="accent6" w:themeFillTint="7F"/>
      </w:tcPr>
    </w:tblStylePr>
  </w:style>
  <w:style w:type="table" w:styleId="MediumGrid2">
    <w:name w:val="Medium Grid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50A0" w:themeColor="accent1"/>
        <w:left w:val="single" w:sz="8" w:space="0" w:color="6750A0" w:themeColor="accent1"/>
        <w:bottom w:val="single" w:sz="8" w:space="0" w:color="6750A0" w:themeColor="accent1"/>
        <w:right w:val="single" w:sz="8" w:space="0" w:color="6750A0" w:themeColor="accent1"/>
        <w:insideH w:val="single" w:sz="8" w:space="0" w:color="6750A0" w:themeColor="accent1"/>
        <w:insideV w:val="single" w:sz="8" w:space="0" w:color="6750A0" w:themeColor="accent1"/>
      </w:tblBorders>
    </w:tblPr>
    <w:tcPr>
      <w:shd w:val="clear" w:color="auto" w:fill="D8D2E8" w:themeFill="accent1" w:themeFillTint="3F"/>
    </w:tcPr>
    <w:tblStylePr w:type="firstRow">
      <w:rPr>
        <w:b/>
        <w:bCs/>
        <w:color w:val="000000" w:themeColor="text1"/>
      </w:rPr>
      <w:tblPr/>
      <w:tcPr>
        <w:shd w:val="clear" w:color="auto" w:fill="EFED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DBED" w:themeFill="accent1" w:themeFillTint="33"/>
      </w:tcPr>
    </w:tblStylePr>
    <w:tblStylePr w:type="band1Vert">
      <w:tblPr/>
      <w:tcPr>
        <w:shd w:val="clear" w:color="auto" w:fill="B2A5D2" w:themeFill="accent1" w:themeFillTint="7F"/>
      </w:tcPr>
    </w:tblStylePr>
    <w:tblStylePr w:type="band1Horz">
      <w:tblPr/>
      <w:tcPr>
        <w:tcBorders>
          <w:insideH w:val="single" w:sz="6" w:space="0" w:color="6750A0" w:themeColor="accent1"/>
          <w:insideV w:val="single" w:sz="6" w:space="0" w:color="6750A0" w:themeColor="accent1"/>
        </w:tcBorders>
        <w:shd w:val="clear" w:color="auto" w:fill="B2A5D2"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50A0" w:themeColor="accent2"/>
        <w:left w:val="single" w:sz="8" w:space="0" w:color="6750A0" w:themeColor="accent2"/>
        <w:bottom w:val="single" w:sz="8" w:space="0" w:color="6750A0" w:themeColor="accent2"/>
        <w:right w:val="single" w:sz="8" w:space="0" w:color="6750A0" w:themeColor="accent2"/>
        <w:insideH w:val="single" w:sz="8" w:space="0" w:color="6750A0" w:themeColor="accent2"/>
        <w:insideV w:val="single" w:sz="8" w:space="0" w:color="6750A0" w:themeColor="accent2"/>
      </w:tblBorders>
    </w:tblPr>
    <w:tcPr>
      <w:shd w:val="clear" w:color="auto" w:fill="D8D2E8" w:themeFill="accent2" w:themeFillTint="3F"/>
    </w:tcPr>
    <w:tblStylePr w:type="firstRow">
      <w:rPr>
        <w:b/>
        <w:bCs/>
        <w:color w:val="000000" w:themeColor="text1"/>
      </w:rPr>
      <w:tblPr/>
      <w:tcPr>
        <w:shd w:val="clear" w:color="auto" w:fill="EFEDF6"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DBED" w:themeFill="accent2" w:themeFillTint="33"/>
      </w:tcPr>
    </w:tblStylePr>
    <w:tblStylePr w:type="band1Vert">
      <w:tblPr/>
      <w:tcPr>
        <w:shd w:val="clear" w:color="auto" w:fill="B2A5D2" w:themeFill="accent2" w:themeFillTint="7F"/>
      </w:tcPr>
    </w:tblStylePr>
    <w:tblStylePr w:type="band1Horz">
      <w:tblPr/>
      <w:tcPr>
        <w:tcBorders>
          <w:insideH w:val="single" w:sz="6" w:space="0" w:color="6750A0" w:themeColor="accent2"/>
          <w:insideV w:val="single" w:sz="6" w:space="0" w:color="6750A0" w:themeColor="accent2"/>
        </w:tcBorders>
        <w:shd w:val="clear" w:color="auto" w:fill="B2A5D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50A0" w:themeColor="accent3"/>
        <w:left w:val="single" w:sz="8" w:space="0" w:color="6750A0" w:themeColor="accent3"/>
        <w:bottom w:val="single" w:sz="8" w:space="0" w:color="6750A0" w:themeColor="accent3"/>
        <w:right w:val="single" w:sz="8" w:space="0" w:color="6750A0" w:themeColor="accent3"/>
        <w:insideH w:val="single" w:sz="8" w:space="0" w:color="6750A0" w:themeColor="accent3"/>
        <w:insideV w:val="single" w:sz="8" w:space="0" w:color="6750A0" w:themeColor="accent3"/>
      </w:tblBorders>
    </w:tblPr>
    <w:tcPr>
      <w:shd w:val="clear" w:color="auto" w:fill="D8D2E8" w:themeFill="accent3" w:themeFillTint="3F"/>
    </w:tcPr>
    <w:tblStylePr w:type="firstRow">
      <w:rPr>
        <w:b/>
        <w:bCs/>
        <w:color w:val="000000" w:themeColor="text1"/>
      </w:rPr>
      <w:tblPr/>
      <w:tcPr>
        <w:shd w:val="clear" w:color="auto" w:fill="EFED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DBED" w:themeFill="accent3" w:themeFillTint="33"/>
      </w:tcPr>
    </w:tblStylePr>
    <w:tblStylePr w:type="band1Vert">
      <w:tblPr/>
      <w:tcPr>
        <w:shd w:val="clear" w:color="auto" w:fill="B2A5D2" w:themeFill="accent3" w:themeFillTint="7F"/>
      </w:tcPr>
    </w:tblStylePr>
    <w:tblStylePr w:type="band1Horz">
      <w:tblPr/>
      <w:tcPr>
        <w:tcBorders>
          <w:insideH w:val="single" w:sz="6" w:space="0" w:color="6750A0" w:themeColor="accent3"/>
          <w:insideV w:val="single" w:sz="6" w:space="0" w:color="6750A0" w:themeColor="accent3"/>
        </w:tcBorders>
        <w:shd w:val="clear" w:color="auto" w:fill="B2A5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50A0" w:themeColor="accent4"/>
        <w:left w:val="single" w:sz="8" w:space="0" w:color="6750A0" w:themeColor="accent4"/>
        <w:bottom w:val="single" w:sz="8" w:space="0" w:color="6750A0" w:themeColor="accent4"/>
        <w:right w:val="single" w:sz="8" w:space="0" w:color="6750A0" w:themeColor="accent4"/>
        <w:insideH w:val="single" w:sz="8" w:space="0" w:color="6750A0" w:themeColor="accent4"/>
        <w:insideV w:val="single" w:sz="8" w:space="0" w:color="6750A0" w:themeColor="accent4"/>
      </w:tblBorders>
    </w:tblPr>
    <w:tcPr>
      <w:shd w:val="clear" w:color="auto" w:fill="D8D2E8" w:themeFill="accent4" w:themeFillTint="3F"/>
    </w:tcPr>
    <w:tblStylePr w:type="firstRow">
      <w:rPr>
        <w:b/>
        <w:bCs/>
        <w:color w:val="000000" w:themeColor="text1"/>
      </w:rPr>
      <w:tblPr/>
      <w:tcPr>
        <w:shd w:val="clear" w:color="auto" w:fill="EFED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DBED" w:themeFill="accent4" w:themeFillTint="33"/>
      </w:tcPr>
    </w:tblStylePr>
    <w:tblStylePr w:type="band1Vert">
      <w:tblPr/>
      <w:tcPr>
        <w:shd w:val="clear" w:color="auto" w:fill="B2A5D2" w:themeFill="accent4" w:themeFillTint="7F"/>
      </w:tcPr>
    </w:tblStylePr>
    <w:tblStylePr w:type="band1Horz">
      <w:tblPr/>
      <w:tcPr>
        <w:tcBorders>
          <w:insideH w:val="single" w:sz="6" w:space="0" w:color="6750A0" w:themeColor="accent4"/>
          <w:insideV w:val="single" w:sz="6" w:space="0" w:color="6750A0" w:themeColor="accent4"/>
        </w:tcBorders>
        <w:shd w:val="clear" w:color="auto" w:fill="B2A5D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50A0" w:themeColor="accent5"/>
        <w:left w:val="single" w:sz="8" w:space="0" w:color="6750A0" w:themeColor="accent5"/>
        <w:bottom w:val="single" w:sz="8" w:space="0" w:color="6750A0" w:themeColor="accent5"/>
        <w:right w:val="single" w:sz="8" w:space="0" w:color="6750A0" w:themeColor="accent5"/>
        <w:insideH w:val="single" w:sz="8" w:space="0" w:color="6750A0" w:themeColor="accent5"/>
        <w:insideV w:val="single" w:sz="8" w:space="0" w:color="6750A0" w:themeColor="accent5"/>
      </w:tblBorders>
    </w:tblPr>
    <w:tcPr>
      <w:shd w:val="clear" w:color="auto" w:fill="D8D2E8" w:themeFill="accent5" w:themeFillTint="3F"/>
    </w:tcPr>
    <w:tblStylePr w:type="firstRow">
      <w:rPr>
        <w:b/>
        <w:bCs/>
        <w:color w:val="000000" w:themeColor="text1"/>
      </w:rPr>
      <w:tblPr/>
      <w:tcPr>
        <w:shd w:val="clear" w:color="auto" w:fill="EFED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DBED" w:themeFill="accent5" w:themeFillTint="33"/>
      </w:tcPr>
    </w:tblStylePr>
    <w:tblStylePr w:type="band1Vert">
      <w:tblPr/>
      <w:tcPr>
        <w:shd w:val="clear" w:color="auto" w:fill="B2A5D2" w:themeFill="accent5" w:themeFillTint="7F"/>
      </w:tcPr>
    </w:tblStylePr>
    <w:tblStylePr w:type="band1Horz">
      <w:tblPr/>
      <w:tcPr>
        <w:tcBorders>
          <w:insideH w:val="single" w:sz="6" w:space="0" w:color="6750A0" w:themeColor="accent5"/>
          <w:insideV w:val="single" w:sz="6" w:space="0" w:color="6750A0" w:themeColor="accent5"/>
        </w:tcBorders>
        <w:shd w:val="clear" w:color="auto" w:fill="B2A5D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C2986" w:themeColor="accent6"/>
        <w:left w:val="single" w:sz="8" w:space="0" w:color="AC2986" w:themeColor="accent6"/>
        <w:bottom w:val="single" w:sz="8" w:space="0" w:color="AC2986" w:themeColor="accent6"/>
        <w:right w:val="single" w:sz="8" w:space="0" w:color="AC2986" w:themeColor="accent6"/>
        <w:insideH w:val="single" w:sz="8" w:space="0" w:color="AC2986" w:themeColor="accent6"/>
        <w:insideV w:val="single" w:sz="8" w:space="0" w:color="AC2986" w:themeColor="accent6"/>
      </w:tblBorders>
    </w:tblPr>
    <w:tcPr>
      <w:shd w:val="clear" w:color="auto" w:fill="F0C3E3" w:themeFill="accent6" w:themeFillTint="3F"/>
    </w:tcPr>
    <w:tblStylePr w:type="firstRow">
      <w:rPr>
        <w:b/>
        <w:bCs/>
        <w:color w:val="000000" w:themeColor="text1"/>
      </w:rPr>
      <w:tblPr/>
      <w:tcPr>
        <w:shd w:val="clear" w:color="auto" w:fill="F9E7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CEE8" w:themeFill="accent6" w:themeFillTint="33"/>
      </w:tcPr>
    </w:tblStylePr>
    <w:tblStylePr w:type="band1Vert">
      <w:tblPr/>
      <w:tcPr>
        <w:shd w:val="clear" w:color="auto" w:fill="E287C8" w:themeFill="accent6" w:themeFillTint="7F"/>
      </w:tcPr>
    </w:tblStylePr>
    <w:tblStylePr w:type="band1Horz">
      <w:tblPr/>
      <w:tcPr>
        <w:tcBorders>
          <w:insideH w:val="single" w:sz="6" w:space="0" w:color="AC2986" w:themeColor="accent6"/>
          <w:insideV w:val="single" w:sz="6" w:space="0" w:color="AC2986" w:themeColor="accent6"/>
        </w:tcBorders>
        <w:shd w:val="clear" w:color="auto" w:fill="E287C8"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2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50A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50A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50A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50A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A5D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A5D2" w:themeFill="accent1" w:themeFillTint="7F"/>
      </w:tcPr>
    </w:tblStylePr>
  </w:style>
  <w:style w:type="table" w:styleId="MediumGrid3-Accent2">
    <w:name w:val="Medium Grid 3 Accent 2"/>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2E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50A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50A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50A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50A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A5D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A5D2" w:themeFill="accent2" w:themeFillTint="7F"/>
      </w:tcPr>
    </w:tblStylePr>
  </w:style>
  <w:style w:type="table" w:styleId="MediumGrid3-Accent3">
    <w:name w:val="Medium Grid 3 Accent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2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50A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50A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50A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50A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A5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A5D2" w:themeFill="accent3" w:themeFillTint="7F"/>
      </w:tcPr>
    </w:tblStylePr>
  </w:style>
  <w:style w:type="table" w:styleId="MediumGrid3-Accent4">
    <w:name w:val="Medium Grid 3 Accent 4"/>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2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50A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50A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50A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50A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A5D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A5D2" w:themeFill="accent4" w:themeFillTint="7F"/>
      </w:tcPr>
    </w:tblStylePr>
  </w:style>
  <w:style w:type="table" w:styleId="MediumGrid3-Accent5">
    <w:name w:val="Medium Grid 3 Accent 5"/>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2E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50A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50A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50A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50A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A5D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A5D2" w:themeFill="accent5" w:themeFillTint="7F"/>
      </w:tcPr>
    </w:tblStylePr>
  </w:style>
  <w:style w:type="table" w:styleId="MediumGrid3-Accent6">
    <w:name w:val="Medium Grid 3 Accent 6"/>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C3E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C298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C298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C298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C298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287C8"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287C8" w:themeFill="accent6" w:themeFillTint="7F"/>
      </w:tcPr>
    </w:tblStylePr>
  </w:style>
  <w:style w:type="table" w:styleId="MediumList1">
    <w:name w:val="Medium List 1"/>
    <w:basedOn w:val="TableNormal"/>
    <w:uiPriority w:val="6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632E6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pPr>
      <w:spacing w:after="0" w:line="240" w:lineRule="auto"/>
    </w:pPr>
    <w:rPr>
      <w:color w:val="000000" w:themeColor="text1"/>
    </w:rPr>
    <w:tblPr>
      <w:tblStyleRowBandSize w:val="1"/>
      <w:tblStyleColBandSize w:val="1"/>
      <w:tblBorders>
        <w:top w:val="single" w:sz="8" w:space="0" w:color="6750A0" w:themeColor="accent1"/>
        <w:bottom w:val="single" w:sz="8" w:space="0" w:color="6750A0" w:themeColor="accent1"/>
      </w:tblBorders>
    </w:tblPr>
    <w:tblStylePr w:type="firstRow">
      <w:rPr>
        <w:rFonts w:asciiTheme="majorHAnsi" w:eastAsiaTheme="majorEastAsia" w:hAnsiTheme="majorHAnsi" w:cstheme="majorBidi"/>
      </w:rPr>
      <w:tblPr/>
      <w:tcPr>
        <w:tcBorders>
          <w:top w:val="nil"/>
          <w:bottom w:val="single" w:sz="8" w:space="0" w:color="6750A0" w:themeColor="accent1"/>
        </w:tcBorders>
      </w:tcPr>
    </w:tblStylePr>
    <w:tblStylePr w:type="lastRow">
      <w:rPr>
        <w:b/>
        <w:bCs/>
        <w:color w:val="632E62" w:themeColor="text2"/>
      </w:rPr>
      <w:tblPr/>
      <w:tcPr>
        <w:tcBorders>
          <w:top w:val="single" w:sz="8" w:space="0" w:color="6750A0" w:themeColor="accent1"/>
          <w:bottom w:val="single" w:sz="8" w:space="0" w:color="6750A0" w:themeColor="accent1"/>
        </w:tcBorders>
      </w:tcPr>
    </w:tblStylePr>
    <w:tblStylePr w:type="firstCol">
      <w:rPr>
        <w:b/>
        <w:bCs/>
      </w:rPr>
    </w:tblStylePr>
    <w:tblStylePr w:type="lastCol">
      <w:rPr>
        <w:b/>
        <w:bCs/>
      </w:rPr>
      <w:tblPr/>
      <w:tcPr>
        <w:tcBorders>
          <w:top w:val="single" w:sz="8" w:space="0" w:color="6750A0" w:themeColor="accent1"/>
          <w:bottom w:val="single" w:sz="8" w:space="0" w:color="6750A0" w:themeColor="accent1"/>
        </w:tcBorders>
      </w:tcPr>
    </w:tblStylePr>
    <w:tblStylePr w:type="band1Vert">
      <w:tblPr/>
      <w:tcPr>
        <w:shd w:val="clear" w:color="auto" w:fill="D8D2E8" w:themeFill="accent1" w:themeFillTint="3F"/>
      </w:tcPr>
    </w:tblStylePr>
    <w:tblStylePr w:type="band1Horz">
      <w:tblPr/>
      <w:tcPr>
        <w:shd w:val="clear" w:color="auto" w:fill="D8D2E8" w:themeFill="accent1" w:themeFillTint="3F"/>
      </w:tcPr>
    </w:tblStylePr>
  </w:style>
  <w:style w:type="table" w:styleId="MediumList1-Accent2">
    <w:name w:val="Medium List 1 Accent 2"/>
    <w:basedOn w:val="TableNormal"/>
    <w:uiPriority w:val="65"/>
    <w:pPr>
      <w:spacing w:after="0" w:line="240" w:lineRule="auto"/>
    </w:pPr>
    <w:rPr>
      <w:color w:val="000000" w:themeColor="text1"/>
    </w:rPr>
    <w:tblPr>
      <w:tblStyleRowBandSize w:val="1"/>
      <w:tblStyleColBandSize w:val="1"/>
      <w:tblBorders>
        <w:top w:val="single" w:sz="8" w:space="0" w:color="6750A0" w:themeColor="accent2"/>
        <w:bottom w:val="single" w:sz="8" w:space="0" w:color="6750A0" w:themeColor="accent2"/>
      </w:tblBorders>
    </w:tblPr>
    <w:tblStylePr w:type="firstRow">
      <w:rPr>
        <w:rFonts w:asciiTheme="majorHAnsi" w:eastAsiaTheme="majorEastAsia" w:hAnsiTheme="majorHAnsi" w:cstheme="majorBidi"/>
      </w:rPr>
      <w:tblPr/>
      <w:tcPr>
        <w:tcBorders>
          <w:top w:val="nil"/>
          <w:bottom w:val="single" w:sz="8" w:space="0" w:color="6750A0" w:themeColor="accent2"/>
        </w:tcBorders>
      </w:tcPr>
    </w:tblStylePr>
    <w:tblStylePr w:type="lastRow">
      <w:rPr>
        <w:b/>
        <w:bCs/>
        <w:color w:val="632E62" w:themeColor="text2"/>
      </w:rPr>
      <w:tblPr/>
      <w:tcPr>
        <w:tcBorders>
          <w:top w:val="single" w:sz="8" w:space="0" w:color="6750A0" w:themeColor="accent2"/>
          <w:bottom w:val="single" w:sz="8" w:space="0" w:color="6750A0" w:themeColor="accent2"/>
        </w:tcBorders>
      </w:tcPr>
    </w:tblStylePr>
    <w:tblStylePr w:type="firstCol">
      <w:rPr>
        <w:b/>
        <w:bCs/>
      </w:rPr>
    </w:tblStylePr>
    <w:tblStylePr w:type="lastCol">
      <w:rPr>
        <w:b/>
        <w:bCs/>
      </w:rPr>
      <w:tblPr/>
      <w:tcPr>
        <w:tcBorders>
          <w:top w:val="single" w:sz="8" w:space="0" w:color="6750A0" w:themeColor="accent2"/>
          <w:bottom w:val="single" w:sz="8" w:space="0" w:color="6750A0" w:themeColor="accent2"/>
        </w:tcBorders>
      </w:tcPr>
    </w:tblStylePr>
    <w:tblStylePr w:type="band1Vert">
      <w:tblPr/>
      <w:tcPr>
        <w:shd w:val="clear" w:color="auto" w:fill="D8D2E8" w:themeFill="accent2" w:themeFillTint="3F"/>
      </w:tcPr>
    </w:tblStylePr>
    <w:tblStylePr w:type="band1Horz">
      <w:tblPr/>
      <w:tcPr>
        <w:shd w:val="clear" w:color="auto" w:fill="D8D2E8" w:themeFill="accent2" w:themeFillTint="3F"/>
      </w:tcPr>
    </w:tblStylePr>
  </w:style>
  <w:style w:type="table" w:styleId="MediumList1-Accent3">
    <w:name w:val="Medium List 1 Accent 3"/>
    <w:basedOn w:val="TableNormal"/>
    <w:uiPriority w:val="65"/>
    <w:pPr>
      <w:spacing w:after="0" w:line="240" w:lineRule="auto"/>
    </w:pPr>
    <w:rPr>
      <w:color w:val="000000" w:themeColor="text1"/>
    </w:rPr>
    <w:tblPr>
      <w:tblStyleRowBandSize w:val="1"/>
      <w:tblStyleColBandSize w:val="1"/>
      <w:tblBorders>
        <w:top w:val="single" w:sz="8" w:space="0" w:color="6750A0" w:themeColor="accent3"/>
        <w:bottom w:val="single" w:sz="8" w:space="0" w:color="6750A0" w:themeColor="accent3"/>
      </w:tblBorders>
    </w:tblPr>
    <w:tblStylePr w:type="firstRow">
      <w:rPr>
        <w:rFonts w:asciiTheme="majorHAnsi" w:eastAsiaTheme="majorEastAsia" w:hAnsiTheme="majorHAnsi" w:cstheme="majorBidi"/>
      </w:rPr>
      <w:tblPr/>
      <w:tcPr>
        <w:tcBorders>
          <w:top w:val="nil"/>
          <w:bottom w:val="single" w:sz="8" w:space="0" w:color="6750A0" w:themeColor="accent3"/>
        </w:tcBorders>
      </w:tcPr>
    </w:tblStylePr>
    <w:tblStylePr w:type="lastRow">
      <w:rPr>
        <w:b/>
        <w:bCs/>
        <w:color w:val="632E62" w:themeColor="text2"/>
      </w:rPr>
      <w:tblPr/>
      <w:tcPr>
        <w:tcBorders>
          <w:top w:val="single" w:sz="8" w:space="0" w:color="6750A0" w:themeColor="accent3"/>
          <w:bottom w:val="single" w:sz="8" w:space="0" w:color="6750A0" w:themeColor="accent3"/>
        </w:tcBorders>
      </w:tcPr>
    </w:tblStylePr>
    <w:tblStylePr w:type="firstCol">
      <w:rPr>
        <w:b/>
        <w:bCs/>
      </w:rPr>
    </w:tblStylePr>
    <w:tblStylePr w:type="lastCol">
      <w:rPr>
        <w:b/>
        <w:bCs/>
      </w:rPr>
      <w:tblPr/>
      <w:tcPr>
        <w:tcBorders>
          <w:top w:val="single" w:sz="8" w:space="0" w:color="6750A0" w:themeColor="accent3"/>
          <w:bottom w:val="single" w:sz="8" w:space="0" w:color="6750A0" w:themeColor="accent3"/>
        </w:tcBorders>
      </w:tcPr>
    </w:tblStylePr>
    <w:tblStylePr w:type="band1Vert">
      <w:tblPr/>
      <w:tcPr>
        <w:shd w:val="clear" w:color="auto" w:fill="D8D2E8" w:themeFill="accent3" w:themeFillTint="3F"/>
      </w:tcPr>
    </w:tblStylePr>
    <w:tblStylePr w:type="band1Horz">
      <w:tblPr/>
      <w:tcPr>
        <w:shd w:val="clear" w:color="auto" w:fill="D8D2E8" w:themeFill="accent3" w:themeFillTint="3F"/>
      </w:tcPr>
    </w:tblStylePr>
  </w:style>
  <w:style w:type="table" w:styleId="MediumList1-Accent4">
    <w:name w:val="Medium List 1 Accent 4"/>
    <w:basedOn w:val="TableNormal"/>
    <w:uiPriority w:val="65"/>
    <w:pPr>
      <w:spacing w:after="0" w:line="240" w:lineRule="auto"/>
    </w:pPr>
    <w:rPr>
      <w:color w:val="000000" w:themeColor="text1"/>
    </w:rPr>
    <w:tblPr>
      <w:tblStyleRowBandSize w:val="1"/>
      <w:tblStyleColBandSize w:val="1"/>
      <w:tblBorders>
        <w:top w:val="single" w:sz="8" w:space="0" w:color="6750A0" w:themeColor="accent4"/>
        <w:bottom w:val="single" w:sz="8" w:space="0" w:color="6750A0" w:themeColor="accent4"/>
      </w:tblBorders>
    </w:tblPr>
    <w:tblStylePr w:type="firstRow">
      <w:rPr>
        <w:rFonts w:asciiTheme="majorHAnsi" w:eastAsiaTheme="majorEastAsia" w:hAnsiTheme="majorHAnsi" w:cstheme="majorBidi"/>
      </w:rPr>
      <w:tblPr/>
      <w:tcPr>
        <w:tcBorders>
          <w:top w:val="nil"/>
          <w:bottom w:val="single" w:sz="8" w:space="0" w:color="6750A0" w:themeColor="accent4"/>
        </w:tcBorders>
      </w:tcPr>
    </w:tblStylePr>
    <w:tblStylePr w:type="lastRow">
      <w:rPr>
        <w:b/>
        <w:bCs/>
        <w:color w:val="632E62" w:themeColor="text2"/>
      </w:rPr>
      <w:tblPr/>
      <w:tcPr>
        <w:tcBorders>
          <w:top w:val="single" w:sz="8" w:space="0" w:color="6750A0" w:themeColor="accent4"/>
          <w:bottom w:val="single" w:sz="8" w:space="0" w:color="6750A0" w:themeColor="accent4"/>
        </w:tcBorders>
      </w:tcPr>
    </w:tblStylePr>
    <w:tblStylePr w:type="firstCol">
      <w:rPr>
        <w:b/>
        <w:bCs/>
      </w:rPr>
    </w:tblStylePr>
    <w:tblStylePr w:type="lastCol">
      <w:rPr>
        <w:b/>
        <w:bCs/>
      </w:rPr>
      <w:tblPr/>
      <w:tcPr>
        <w:tcBorders>
          <w:top w:val="single" w:sz="8" w:space="0" w:color="6750A0" w:themeColor="accent4"/>
          <w:bottom w:val="single" w:sz="8" w:space="0" w:color="6750A0" w:themeColor="accent4"/>
        </w:tcBorders>
      </w:tcPr>
    </w:tblStylePr>
    <w:tblStylePr w:type="band1Vert">
      <w:tblPr/>
      <w:tcPr>
        <w:shd w:val="clear" w:color="auto" w:fill="D8D2E8" w:themeFill="accent4" w:themeFillTint="3F"/>
      </w:tcPr>
    </w:tblStylePr>
    <w:tblStylePr w:type="band1Horz">
      <w:tblPr/>
      <w:tcPr>
        <w:shd w:val="clear" w:color="auto" w:fill="D8D2E8" w:themeFill="accent4" w:themeFillTint="3F"/>
      </w:tcPr>
    </w:tblStylePr>
  </w:style>
  <w:style w:type="table" w:styleId="MediumList1-Accent5">
    <w:name w:val="Medium List 1 Accent 5"/>
    <w:basedOn w:val="TableNormal"/>
    <w:uiPriority w:val="65"/>
    <w:pPr>
      <w:spacing w:after="0" w:line="240" w:lineRule="auto"/>
    </w:pPr>
    <w:rPr>
      <w:color w:val="000000" w:themeColor="text1"/>
    </w:rPr>
    <w:tblPr>
      <w:tblStyleRowBandSize w:val="1"/>
      <w:tblStyleColBandSize w:val="1"/>
      <w:tblBorders>
        <w:top w:val="single" w:sz="8" w:space="0" w:color="6750A0" w:themeColor="accent5"/>
        <w:bottom w:val="single" w:sz="8" w:space="0" w:color="6750A0" w:themeColor="accent5"/>
      </w:tblBorders>
    </w:tblPr>
    <w:tblStylePr w:type="firstRow">
      <w:rPr>
        <w:rFonts w:asciiTheme="majorHAnsi" w:eastAsiaTheme="majorEastAsia" w:hAnsiTheme="majorHAnsi" w:cstheme="majorBidi"/>
      </w:rPr>
      <w:tblPr/>
      <w:tcPr>
        <w:tcBorders>
          <w:top w:val="nil"/>
          <w:bottom w:val="single" w:sz="8" w:space="0" w:color="6750A0" w:themeColor="accent5"/>
        </w:tcBorders>
      </w:tcPr>
    </w:tblStylePr>
    <w:tblStylePr w:type="lastRow">
      <w:rPr>
        <w:b/>
        <w:bCs/>
        <w:color w:val="632E62" w:themeColor="text2"/>
      </w:rPr>
      <w:tblPr/>
      <w:tcPr>
        <w:tcBorders>
          <w:top w:val="single" w:sz="8" w:space="0" w:color="6750A0" w:themeColor="accent5"/>
          <w:bottom w:val="single" w:sz="8" w:space="0" w:color="6750A0" w:themeColor="accent5"/>
        </w:tcBorders>
      </w:tcPr>
    </w:tblStylePr>
    <w:tblStylePr w:type="firstCol">
      <w:rPr>
        <w:b/>
        <w:bCs/>
      </w:rPr>
    </w:tblStylePr>
    <w:tblStylePr w:type="lastCol">
      <w:rPr>
        <w:b/>
        <w:bCs/>
      </w:rPr>
      <w:tblPr/>
      <w:tcPr>
        <w:tcBorders>
          <w:top w:val="single" w:sz="8" w:space="0" w:color="6750A0" w:themeColor="accent5"/>
          <w:bottom w:val="single" w:sz="8" w:space="0" w:color="6750A0" w:themeColor="accent5"/>
        </w:tcBorders>
      </w:tcPr>
    </w:tblStylePr>
    <w:tblStylePr w:type="band1Vert">
      <w:tblPr/>
      <w:tcPr>
        <w:shd w:val="clear" w:color="auto" w:fill="D8D2E8" w:themeFill="accent5" w:themeFillTint="3F"/>
      </w:tcPr>
    </w:tblStylePr>
    <w:tblStylePr w:type="band1Horz">
      <w:tblPr/>
      <w:tcPr>
        <w:shd w:val="clear" w:color="auto" w:fill="D8D2E8" w:themeFill="accent5" w:themeFillTint="3F"/>
      </w:tcPr>
    </w:tblStylePr>
  </w:style>
  <w:style w:type="table" w:styleId="MediumList1-Accent6">
    <w:name w:val="Medium List 1 Accent 6"/>
    <w:basedOn w:val="TableNormal"/>
    <w:uiPriority w:val="65"/>
    <w:pPr>
      <w:spacing w:after="0" w:line="240" w:lineRule="auto"/>
    </w:pPr>
    <w:rPr>
      <w:color w:val="000000" w:themeColor="text1"/>
    </w:rPr>
    <w:tblPr>
      <w:tblStyleRowBandSize w:val="1"/>
      <w:tblStyleColBandSize w:val="1"/>
      <w:tblBorders>
        <w:top w:val="single" w:sz="8" w:space="0" w:color="AC2986" w:themeColor="accent6"/>
        <w:bottom w:val="single" w:sz="8" w:space="0" w:color="AC2986" w:themeColor="accent6"/>
      </w:tblBorders>
    </w:tblPr>
    <w:tblStylePr w:type="firstRow">
      <w:rPr>
        <w:rFonts w:asciiTheme="majorHAnsi" w:eastAsiaTheme="majorEastAsia" w:hAnsiTheme="majorHAnsi" w:cstheme="majorBidi"/>
      </w:rPr>
      <w:tblPr/>
      <w:tcPr>
        <w:tcBorders>
          <w:top w:val="nil"/>
          <w:bottom w:val="single" w:sz="8" w:space="0" w:color="AC2986" w:themeColor="accent6"/>
        </w:tcBorders>
      </w:tcPr>
    </w:tblStylePr>
    <w:tblStylePr w:type="lastRow">
      <w:rPr>
        <w:b/>
        <w:bCs/>
        <w:color w:val="632E62" w:themeColor="text2"/>
      </w:rPr>
      <w:tblPr/>
      <w:tcPr>
        <w:tcBorders>
          <w:top w:val="single" w:sz="8" w:space="0" w:color="AC2986" w:themeColor="accent6"/>
          <w:bottom w:val="single" w:sz="8" w:space="0" w:color="AC2986" w:themeColor="accent6"/>
        </w:tcBorders>
      </w:tcPr>
    </w:tblStylePr>
    <w:tblStylePr w:type="firstCol">
      <w:rPr>
        <w:b/>
        <w:bCs/>
      </w:rPr>
    </w:tblStylePr>
    <w:tblStylePr w:type="lastCol">
      <w:rPr>
        <w:b/>
        <w:bCs/>
      </w:rPr>
      <w:tblPr/>
      <w:tcPr>
        <w:tcBorders>
          <w:top w:val="single" w:sz="8" w:space="0" w:color="AC2986" w:themeColor="accent6"/>
          <w:bottom w:val="single" w:sz="8" w:space="0" w:color="AC2986" w:themeColor="accent6"/>
        </w:tcBorders>
      </w:tcPr>
    </w:tblStylePr>
    <w:tblStylePr w:type="band1Vert">
      <w:tblPr/>
      <w:tcPr>
        <w:shd w:val="clear" w:color="auto" w:fill="F0C3E3" w:themeFill="accent6" w:themeFillTint="3F"/>
      </w:tcPr>
    </w:tblStylePr>
    <w:tblStylePr w:type="band1Horz">
      <w:tblPr/>
      <w:tcPr>
        <w:shd w:val="clear" w:color="auto" w:fill="F0C3E3" w:themeFill="accent6" w:themeFillTint="3F"/>
      </w:tcPr>
    </w:tblStylePr>
  </w:style>
  <w:style w:type="table" w:styleId="MediumList2">
    <w:name w:val="Medium Lis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50A0" w:themeColor="accent1"/>
        <w:left w:val="single" w:sz="8" w:space="0" w:color="6750A0" w:themeColor="accent1"/>
        <w:bottom w:val="single" w:sz="8" w:space="0" w:color="6750A0" w:themeColor="accent1"/>
        <w:right w:val="single" w:sz="8" w:space="0" w:color="6750A0" w:themeColor="accent1"/>
      </w:tblBorders>
    </w:tblPr>
    <w:tblStylePr w:type="firstRow">
      <w:rPr>
        <w:sz w:val="24"/>
        <w:szCs w:val="24"/>
      </w:rPr>
      <w:tblPr/>
      <w:tcPr>
        <w:tcBorders>
          <w:top w:val="nil"/>
          <w:left w:val="nil"/>
          <w:bottom w:val="single" w:sz="24" w:space="0" w:color="6750A0" w:themeColor="accent1"/>
          <w:right w:val="nil"/>
          <w:insideH w:val="nil"/>
          <w:insideV w:val="nil"/>
        </w:tcBorders>
        <w:shd w:val="clear" w:color="auto" w:fill="FFFFFF" w:themeFill="background1"/>
      </w:tcPr>
    </w:tblStylePr>
    <w:tblStylePr w:type="lastRow">
      <w:tblPr/>
      <w:tcPr>
        <w:tcBorders>
          <w:top w:val="single" w:sz="8" w:space="0" w:color="6750A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50A0" w:themeColor="accent1"/>
          <w:insideH w:val="nil"/>
          <w:insideV w:val="nil"/>
        </w:tcBorders>
        <w:shd w:val="clear" w:color="auto" w:fill="FFFFFF" w:themeFill="background1"/>
      </w:tcPr>
    </w:tblStylePr>
    <w:tblStylePr w:type="lastCol">
      <w:tblPr/>
      <w:tcPr>
        <w:tcBorders>
          <w:top w:val="nil"/>
          <w:left w:val="single" w:sz="8" w:space="0" w:color="6750A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2E8" w:themeFill="accent1" w:themeFillTint="3F"/>
      </w:tcPr>
    </w:tblStylePr>
    <w:tblStylePr w:type="band1Horz">
      <w:tblPr/>
      <w:tcPr>
        <w:tcBorders>
          <w:top w:val="nil"/>
          <w:bottom w:val="nil"/>
          <w:insideH w:val="nil"/>
          <w:insideV w:val="nil"/>
        </w:tcBorders>
        <w:shd w:val="clear" w:color="auto" w:fill="D8D2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50A0" w:themeColor="accent2"/>
        <w:left w:val="single" w:sz="8" w:space="0" w:color="6750A0" w:themeColor="accent2"/>
        <w:bottom w:val="single" w:sz="8" w:space="0" w:color="6750A0" w:themeColor="accent2"/>
        <w:right w:val="single" w:sz="8" w:space="0" w:color="6750A0" w:themeColor="accent2"/>
      </w:tblBorders>
    </w:tblPr>
    <w:tblStylePr w:type="firstRow">
      <w:rPr>
        <w:sz w:val="24"/>
        <w:szCs w:val="24"/>
      </w:rPr>
      <w:tblPr/>
      <w:tcPr>
        <w:tcBorders>
          <w:top w:val="nil"/>
          <w:left w:val="nil"/>
          <w:bottom w:val="single" w:sz="24" w:space="0" w:color="6750A0" w:themeColor="accent2"/>
          <w:right w:val="nil"/>
          <w:insideH w:val="nil"/>
          <w:insideV w:val="nil"/>
        </w:tcBorders>
        <w:shd w:val="clear" w:color="auto" w:fill="FFFFFF" w:themeFill="background1"/>
      </w:tcPr>
    </w:tblStylePr>
    <w:tblStylePr w:type="lastRow">
      <w:tblPr/>
      <w:tcPr>
        <w:tcBorders>
          <w:top w:val="single" w:sz="8" w:space="0" w:color="6750A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50A0" w:themeColor="accent2"/>
          <w:insideH w:val="nil"/>
          <w:insideV w:val="nil"/>
        </w:tcBorders>
        <w:shd w:val="clear" w:color="auto" w:fill="FFFFFF" w:themeFill="background1"/>
      </w:tcPr>
    </w:tblStylePr>
    <w:tblStylePr w:type="lastCol">
      <w:tblPr/>
      <w:tcPr>
        <w:tcBorders>
          <w:top w:val="nil"/>
          <w:left w:val="single" w:sz="8" w:space="0" w:color="6750A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2E8" w:themeFill="accent2" w:themeFillTint="3F"/>
      </w:tcPr>
    </w:tblStylePr>
    <w:tblStylePr w:type="band1Horz">
      <w:tblPr/>
      <w:tcPr>
        <w:tcBorders>
          <w:top w:val="nil"/>
          <w:bottom w:val="nil"/>
          <w:insideH w:val="nil"/>
          <w:insideV w:val="nil"/>
        </w:tcBorders>
        <w:shd w:val="clear" w:color="auto" w:fill="D8D2E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50A0" w:themeColor="accent3"/>
        <w:left w:val="single" w:sz="8" w:space="0" w:color="6750A0" w:themeColor="accent3"/>
        <w:bottom w:val="single" w:sz="8" w:space="0" w:color="6750A0" w:themeColor="accent3"/>
        <w:right w:val="single" w:sz="8" w:space="0" w:color="6750A0" w:themeColor="accent3"/>
      </w:tblBorders>
    </w:tblPr>
    <w:tblStylePr w:type="firstRow">
      <w:rPr>
        <w:sz w:val="24"/>
        <w:szCs w:val="24"/>
      </w:rPr>
      <w:tblPr/>
      <w:tcPr>
        <w:tcBorders>
          <w:top w:val="nil"/>
          <w:left w:val="nil"/>
          <w:bottom w:val="single" w:sz="24" w:space="0" w:color="6750A0" w:themeColor="accent3"/>
          <w:right w:val="nil"/>
          <w:insideH w:val="nil"/>
          <w:insideV w:val="nil"/>
        </w:tcBorders>
        <w:shd w:val="clear" w:color="auto" w:fill="FFFFFF" w:themeFill="background1"/>
      </w:tcPr>
    </w:tblStylePr>
    <w:tblStylePr w:type="lastRow">
      <w:tblPr/>
      <w:tcPr>
        <w:tcBorders>
          <w:top w:val="single" w:sz="8" w:space="0" w:color="6750A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50A0" w:themeColor="accent3"/>
          <w:insideH w:val="nil"/>
          <w:insideV w:val="nil"/>
        </w:tcBorders>
        <w:shd w:val="clear" w:color="auto" w:fill="FFFFFF" w:themeFill="background1"/>
      </w:tcPr>
    </w:tblStylePr>
    <w:tblStylePr w:type="lastCol">
      <w:tblPr/>
      <w:tcPr>
        <w:tcBorders>
          <w:top w:val="nil"/>
          <w:left w:val="single" w:sz="8" w:space="0" w:color="6750A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2E8" w:themeFill="accent3" w:themeFillTint="3F"/>
      </w:tcPr>
    </w:tblStylePr>
    <w:tblStylePr w:type="band1Horz">
      <w:tblPr/>
      <w:tcPr>
        <w:tcBorders>
          <w:top w:val="nil"/>
          <w:bottom w:val="nil"/>
          <w:insideH w:val="nil"/>
          <w:insideV w:val="nil"/>
        </w:tcBorders>
        <w:shd w:val="clear" w:color="auto" w:fill="D8D2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50A0" w:themeColor="accent4"/>
        <w:left w:val="single" w:sz="8" w:space="0" w:color="6750A0" w:themeColor="accent4"/>
        <w:bottom w:val="single" w:sz="8" w:space="0" w:color="6750A0" w:themeColor="accent4"/>
        <w:right w:val="single" w:sz="8" w:space="0" w:color="6750A0" w:themeColor="accent4"/>
      </w:tblBorders>
    </w:tblPr>
    <w:tblStylePr w:type="firstRow">
      <w:rPr>
        <w:sz w:val="24"/>
        <w:szCs w:val="24"/>
      </w:rPr>
      <w:tblPr/>
      <w:tcPr>
        <w:tcBorders>
          <w:top w:val="nil"/>
          <w:left w:val="nil"/>
          <w:bottom w:val="single" w:sz="24" w:space="0" w:color="6750A0" w:themeColor="accent4"/>
          <w:right w:val="nil"/>
          <w:insideH w:val="nil"/>
          <w:insideV w:val="nil"/>
        </w:tcBorders>
        <w:shd w:val="clear" w:color="auto" w:fill="FFFFFF" w:themeFill="background1"/>
      </w:tcPr>
    </w:tblStylePr>
    <w:tblStylePr w:type="lastRow">
      <w:tblPr/>
      <w:tcPr>
        <w:tcBorders>
          <w:top w:val="single" w:sz="8" w:space="0" w:color="6750A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50A0" w:themeColor="accent4"/>
          <w:insideH w:val="nil"/>
          <w:insideV w:val="nil"/>
        </w:tcBorders>
        <w:shd w:val="clear" w:color="auto" w:fill="FFFFFF" w:themeFill="background1"/>
      </w:tcPr>
    </w:tblStylePr>
    <w:tblStylePr w:type="lastCol">
      <w:tblPr/>
      <w:tcPr>
        <w:tcBorders>
          <w:top w:val="nil"/>
          <w:left w:val="single" w:sz="8" w:space="0" w:color="6750A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2E8" w:themeFill="accent4" w:themeFillTint="3F"/>
      </w:tcPr>
    </w:tblStylePr>
    <w:tblStylePr w:type="band1Horz">
      <w:tblPr/>
      <w:tcPr>
        <w:tcBorders>
          <w:top w:val="nil"/>
          <w:bottom w:val="nil"/>
          <w:insideH w:val="nil"/>
          <w:insideV w:val="nil"/>
        </w:tcBorders>
        <w:shd w:val="clear" w:color="auto" w:fill="D8D2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50A0" w:themeColor="accent5"/>
        <w:left w:val="single" w:sz="8" w:space="0" w:color="6750A0" w:themeColor="accent5"/>
        <w:bottom w:val="single" w:sz="8" w:space="0" w:color="6750A0" w:themeColor="accent5"/>
        <w:right w:val="single" w:sz="8" w:space="0" w:color="6750A0" w:themeColor="accent5"/>
      </w:tblBorders>
    </w:tblPr>
    <w:tblStylePr w:type="firstRow">
      <w:rPr>
        <w:sz w:val="24"/>
        <w:szCs w:val="24"/>
      </w:rPr>
      <w:tblPr/>
      <w:tcPr>
        <w:tcBorders>
          <w:top w:val="nil"/>
          <w:left w:val="nil"/>
          <w:bottom w:val="single" w:sz="24" w:space="0" w:color="6750A0" w:themeColor="accent5"/>
          <w:right w:val="nil"/>
          <w:insideH w:val="nil"/>
          <w:insideV w:val="nil"/>
        </w:tcBorders>
        <w:shd w:val="clear" w:color="auto" w:fill="FFFFFF" w:themeFill="background1"/>
      </w:tcPr>
    </w:tblStylePr>
    <w:tblStylePr w:type="lastRow">
      <w:tblPr/>
      <w:tcPr>
        <w:tcBorders>
          <w:top w:val="single" w:sz="8" w:space="0" w:color="6750A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50A0" w:themeColor="accent5"/>
          <w:insideH w:val="nil"/>
          <w:insideV w:val="nil"/>
        </w:tcBorders>
        <w:shd w:val="clear" w:color="auto" w:fill="FFFFFF" w:themeFill="background1"/>
      </w:tcPr>
    </w:tblStylePr>
    <w:tblStylePr w:type="lastCol">
      <w:tblPr/>
      <w:tcPr>
        <w:tcBorders>
          <w:top w:val="nil"/>
          <w:left w:val="single" w:sz="8" w:space="0" w:color="6750A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2E8" w:themeFill="accent5" w:themeFillTint="3F"/>
      </w:tcPr>
    </w:tblStylePr>
    <w:tblStylePr w:type="band1Horz">
      <w:tblPr/>
      <w:tcPr>
        <w:tcBorders>
          <w:top w:val="nil"/>
          <w:bottom w:val="nil"/>
          <w:insideH w:val="nil"/>
          <w:insideV w:val="nil"/>
        </w:tcBorders>
        <w:shd w:val="clear" w:color="auto" w:fill="D8D2E8"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C2986" w:themeColor="accent6"/>
        <w:left w:val="single" w:sz="8" w:space="0" w:color="AC2986" w:themeColor="accent6"/>
        <w:bottom w:val="single" w:sz="8" w:space="0" w:color="AC2986" w:themeColor="accent6"/>
        <w:right w:val="single" w:sz="8" w:space="0" w:color="AC2986" w:themeColor="accent6"/>
      </w:tblBorders>
    </w:tblPr>
    <w:tblStylePr w:type="firstRow">
      <w:rPr>
        <w:sz w:val="24"/>
        <w:szCs w:val="24"/>
      </w:rPr>
      <w:tblPr/>
      <w:tcPr>
        <w:tcBorders>
          <w:top w:val="nil"/>
          <w:left w:val="nil"/>
          <w:bottom w:val="single" w:sz="24" w:space="0" w:color="AC2986" w:themeColor="accent6"/>
          <w:right w:val="nil"/>
          <w:insideH w:val="nil"/>
          <w:insideV w:val="nil"/>
        </w:tcBorders>
        <w:shd w:val="clear" w:color="auto" w:fill="FFFFFF" w:themeFill="background1"/>
      </w:tcPr>
    </w:tblStylePr>
    <w:tblStylePr w:type="lastRow">
      <w:tblPr/>
      <w:tcPr>
        <w:tcBorders>
          <w:top w:val="single" w:sz="8" w:space="0" w:color="AC298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C2986" w:themeColor="accent6"/>
          <w:insideH w:val="nil"/>
          <w:insideV w:val="nil"/>
        </w:tcBorders>
        <w:shd w:val="clear" w:color="auto" w:fill="FFFFFF" w:themeFill="background1"/>
      </w:tcPr>
    </w:tblStylePr>
    <w:tblStylePr w:type="lastCol">
      <w:tblPr/>
      <w:tcPr>
        <w:tcBorders>
          <w:top w:val="nil"/>
          <w:left w:val="single" w:sz="8" w:space="0" w:color="AC298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0C3E3" w:themeFill="accent6" w:themeFillTint="3F"/>
      </w:tcPr>
    </w:tblStylePr>
    <w:tblStylePr w:type="band1Horz">
      <w:tblPr/>
      <w:tcPr>
        <w:tcBorders>
          <w:top w:val="nil"/>
          <w:bottom w:val="nil"/>
          <w:insideH w:val="nil"/>
          <w:insideV w:val="nil"/>
        </w:tcBorders>
        <w:shd w:val="clear" w:color="auto" w:fill="F0C3E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pPr>
      <w:spacing w:after="0" w:line="240" w:lineRule="auto"/>
    </w:pPr>
    <w:tblPr>
      <w:tblStyleRowBandSize w:val="1"/>
      <w:tblStyleColBandSize w:val="1"/>
      <w:tblBorders>
        <w:top w:val="single" w:sz="8" w:space="0" w:color="8B78BB" w:themeColor="accent1" w:themeTint="BF"/>
        <w:left w:val="single" w:sz="8" w:space="0" w:color="8B78BB" w:themeColor="accent1" w:themeTint="BF"/>
        <w:bottom w:val="single" w:sz="8" w:space="0" w:color="8B78BB" w:themeColor="accent1" w:themeTint="BF"/>
        <w:right w:val="single" w:sz="8" w:space="0" w:color="8B78BB" w:themeColor="accent1" w:themeTint="BF"/>
        <w:insideH w:val="single" w:sz="8" w:space="0" w:color="8B78BB" w:themeColor="accent1" w:themeTint="BF"/>
      </w:tblBorders>
    </w:tblPr>
    <w:tblStylePr w:type="firstRow">
      <w:pPr>
        <w:spacing w:before="0" w:after="0" w:line="240" w:lineRule="auto"/>
      </w:pPr>
      <w:rPr>
        <w:b/>
        <w:bCs/>
        <w:color w:val="FFFFFF" w:themeColor="background1"/>
      </w:rPr>
      <w:tblPr/>
      <w:tcPr>
        <w:tcBorders>
          <w:top w:val="single" w:sz="8" w:space="0" w:color="8B78BB" w:themeColor="accent1" w:themeTint="BF"/>
          <w:left w:val="single" w:sz="8" w:space="0" w:color="8B78BB" w:themeColor="accent1" w:themeTint="BF"/>
          <w:bottom w:val="single" w:sz="8" w:space="0" w:color="8B78BB" w:themeColor="accent1" w:themeTint="BF"/>
          <w:right w:val="single" w:sz="8" w:space="0" w:color="8B78BB" w:themeColor="accent1" w:themeTint="BF"/>
          <w:insideH w:val="nil"/>
          <w:insideV w:val="nil"/>
        </w:tcBorders>
        <w:shd w:val="clear" w:color="auto" w:fill="6750A0" w:themeFill="accent1"/>
      </w:tcPr>
    </w:tblStylePr>
    <w:tblStylePr w:type="lastRow">
      <w:pPr>
        <w:spacing w:before="0" w:after="0" w:line="240" w:lineRule="auto"/>
      </w:pPr>
      <w:rPr>
        <w:b/>
        <w:bCs/>
      </w:rPr>
      <w:tblPr/>
      <w:tcPr>
        <w:tcBorders>
          <w:top w:val="double" w:sz="6" w:space="0" w:color="8B78BB" w:themeColor="accent1" w:themeTint="BF"/>
          <w:left w:val="single" w:sz="8" w:space="0" w:color="8B78BB" w:themeColor="accent1" w:themeTint="BF"/>
          <w:bottom w:val="single" w:sz="8" w:space="0" w:color="8B78BB" w:themeColor="accent1" w:themeTint="BF"/>
          <w:right w:val="single" w:sz="8" w:space="0" w:color="8B78BB" w:themeColor="accent1" w:themeTint="BF"/>
          <w:insideH w:val="nil"/>
          <w:insideV w:val="nil"/>
        </w:tcBorders>
      </w:tcPr>
    </w:tblStylePr>
    <w:tblStylePr w:type="firstCol">
      <w:rPr>
        <w:b/>
        <w:bCs/>
      </w:rPr>
    </w:tblStylePr>
    <w:tblStylePr w:type="lastCol">
      <w:rPr>
        <w:b/>
        <w:bCs/>
      </w:rPr>
    </w:tblStylePr>
    <w:tblStylePr w:type="band1Vert">
      <w:tblPr/>
      <w:tcPr>
        <w:shd w:val="clear" w:color="auto" w:fill="D8D2E8" w:themeFill="accent1" w:themeFillTint="3F"/>
      </w:tcPr>
    </w:tblStylePr>
    <w:tblStylePr w:type="band1Horz">
      <w:tblPr/>
      <w:tcPr>
        <w:tcBorders>
          <w:insideH w:val="nil"/>
          <w:insideV w:val="nil"/>
        </w:tcBorders>
        <w:shd w:val="clear" w:color="auto" w:fill="D8D2E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pPr>
      <w:spacing w:after="0" w:line="240" w:lineRule="auto"/>
    </w:pPr>
    <w:tblPr>
      <w:tblStyleRowBandSize w:val="1"/>
      <w:tblStyleColBandSize w:val="1"/>
      <w:tblBorders>
        <w:top w:val="single" w:sz="8" w:space="0" w:color="8B78BB" w:themeColor="accent2" w:themeTint="BF"/>
        <w:left w:val="single" w:sz="8" w:space="0" w:color="8B78BB" w:themeColor="accent2" w:themeTint="BF"/>
        <w:bottom w:val="single" w:sz="8" w:space="0" w:color="8B78BB" w:themeColor="accent2" w:themeTint="BF"/>
        <w:right w:val="single" w:sz="8" w:space="0" w:color="8B78BB" w:themeColor="accent2" w:themeTint="BF"/>
        <w:insideH w:val="single" w:sz="8" w:space="0" w:color="8B78BB" w:themeColor="accent2" w:themeTint="BF"/>
      </w:tblBorders>
    </w:tblPr>
    <w:tblStylePr w:type="firstRow">
      <w:pPr>
        <w:spacing w:before="0" w:after="0" w:line="240" w:lineRule="auto"/>
      </w:pPr>
      <w:rPr>
        <w:b/>
        <w:bCs/>
        <w:color w:val="FFFFFF" w:themeColor="background1"/>
      </w:rPr>
      <w:tblPr/>
      <w:tcPr>
        <w:tcBorders>
          <w:top w:val="single" w:sz="8" w:space="0" w:color="8B78BB" w:themeColor="accent2" w:themeTint="BF"/>
          <w:left w:val="single" w:sz="8" w:space="0" w:color="8B78BB" w:themeColor="accent2" w:themeTint="BF"/>
          <w:bottom w:val="single" w:sz="8" w:space="0" w:color="8B78BB" w:themeColor="accent2" w:themeTint="BF"/>
          <w:right w:val="single" w:sz="8" w:space="0" w:color="8B78BB" w:themeColor="accent2" w:themeTint="BF"/>
          <w:insideH w:val="nil"/>
          <w:insideV w:val="nil"/>
        </w:tcBorders>
        <w:shd w:val="clear" w:color="auto" w:fill="6750A0" w:themeFill="accent2"/>
      </w:tcPr>
    </w:tblStylePr>
    <w:tblStylePr w:type="lastRow">
      <w:pPr>
        <w:spacing w:before="0" w:after="0" w:line="240" w:lineRule="auto"/>
      </w:pPr>
      <w:rPr>
        <w:b/>
        <w:bCs/>
      </w:rPr>
      <w:tblPr/>
      <w:tcPr>
        <w:tcBorders>
          <w:top w:val="double" w:sz="6" w:space="0" w:color="8B78BB" w:themeColor="accent2" w:themeTint="BF"/>
          <w:left w:val="single" w:sz="8" w:space="0" w:color="8B78BB" w:themeColor="accent2" w:themeTint="BF"/>
          <w:bottom w:val="single" w:sz="8" w:space="0" w:color="8B78BB" w:themeColor="accent2" w:themeTint="BF"/>
          <w:right w:val="single" w:sz="8" w:space="0" w:color="8B78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8D2E8" w:themeFill="accent2" w:themeFillTint="3F"/>
      </w:tcPr>
    </w:tblStylePr>
    <w:tblStylePr w:type="band1Horz">
      <w:tblPr/>
      <w:tcPr>
        <w:tcBorders>
          <w:insideH w:val="nil"/>
          <w:insideV w:val="nil"/>
        </w:tcBorders>
        <w:shd w:val="clear" w:color="auto" w:fill="D8D2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pPr>
      <w:spacing w:after="0" w:line="240" w:lineRule="auto"/>
    </w:pPr>
    <w:tblPr>
      <w:tblStyleRowBandSize w:val="1"/>
      <w:tblStyleColBandSize w:val="1"/>
      <w:tblBorders>
        <w:top w:val="single" w:sz="8" w:space="0" w:color="8B78BB" w:themeColor="accent3" w:themeTint="BF"/>
        <w:left w:val="single" w:sz="8" w:space="0" w:color="8B78BB" w:themeColor="accent3" w:themeTint="BF"/>
        <w:bottom w:val="single" w:sz="8" w:space="0" w:color="8B78BB" w:themeColor="accent3" w:themeTint="BF"/>
        <w:right w:val="single" w:sz="8" w:space="0" w:color="8B78BB" w:themeColor="accent3" w:themeTint="BF"/>
        <w:insideH w:val="single" w:sz="8" w:space="0" w:color="8B78BB" w:themeColor="accent3" w:themeTint="BF"/>
      </w:tblBorders>
    </w:tblPr>
    <w:tblStylePr w:type="firstRow">
      <w:pPr>
        <w:spacing w:before="0" w:after="0" w:line="240" w:lineRule="auto"/>
      </w:pPr>
      <w:rPr>
        <w:b/>
        <w:bCs/>
        <w:color w:val="FFFFFF" w:themeColor="background1"/>
      </w:rPr>
      <w:tblPr/>
      <w:tcPr>
        <w:tcBorders>
          <w:top w:val="single" w:sz="8" w:space="0" w:color="8B78BB" w:themeColor="accent3" w:themeTint="BF"/>
          <w:left w:val="single" w:sz="8" w:space="0" w:color="8B78BB" w:themeColor="accent3" w:themeTint="BF"/>
          <w:bottom w:val="single" w:sz="8" w:space="0" w:color="8B78BB" w:themeColor="accent3" w:themeTint="BF"/>
          <w:right w:val="single" w:sz="8" w:space="0" w:color="8B78BB" w:themeColor="accent3" w:themeTint="BF"/>
          <w:insideH w:val="nil"/>
          <w:insideV w:val="nil"/>
        </w:tcBorders>
        <w:shd w:val="clear" w:color="auto" w:fill="6750A0" w:themeFill="accent3"/>
      </w:tcPr>
    </w:tblStylePr>
    <w:tblStylePr w:type="lastRow">
      <w:pPr>
        <w:spacing w:before="0" w:after="0" w:line="240" w:lineRule="auto"/>
      </w:pPr>
      <w:rPr>
        <w:b/>
        <w:bCs/>
      </w:rPr>
      <w:tblPr/>
      <w:tcPr>
        <w:tcBorders>
          <w:top w:val="double" w:sz="6" w:space="0" w:color="8B78BB" w:themeColor="accent3" w:themeTint="BF"/>
          <w:left w:val="single" w:sz="8" w:space="0" w:color="8B78BB" w:themeColor="accent3" w:themeTint="BF"/>
          <w:bottom w:val="single" w:sz="8" w:space="0" w:color="8B78BB" w:themeColor="accent3" w:themeTint="BF"/>
          <w:right w:val="single" w:sz="8" w:space="0" w:color="8B78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D8D2E8" w:themeFill="accent3" w:themeFillTint="3F"/>
      </w:tcPr>
    </w:tblStylePr>
    <w:tblStylePr w:type="band1Horz">
      <w:tblPr/>
      <w:tcPr>
        <w:tcBorders>
          <w:insideH w:val="nil"/>
          <w:insideV w:val="nil"/>
        </w:tcBorders>
        <w:shd w:val="clear" w:color="auto" w:fill="D8D2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pPr>
      <w:spacing w:after="0" w:line="240" w:lineRule="auto"/>
    </w:pPr>
    <w:tblPr>
      <w:tblStyleRowBandSize w:val="1"/>
      <w:tblStyleColBandSize w:val="1"/>
      <w:tblBorders>
        <w:top w:val="single" w:sz="8" w:space="0" w:color="8B78BB" w:themeColor="accent4" w:themeTint="BF"/>
        <w:left w:val="single" w:sz="8" w:space="0" w:color="8B78BB" w:themeColor="accent4" w:themeTint="BF"/>
        <w:bottom w:val="single" w:sz="8" w:space="0" w:color="8B78BB" w:themeColor="accent4" w:themeTint="BF"/>
        <w:right w:val="single" w:sz="8" w:space="0" w:color="8B78BB" w:themeColor="accent4" w:themeTint="BF"/>
        <w:insideH w:val="single" w:sz="8" w:space="0" w:color="8B78BB" w:themeColor="accent4" w:themeTint="BF"/>
      </w:tblBorders>
    </w:tblPr>
    <w:tblStylePr w:type="firstRow">
      <w:pPr>
        <w:spacing w:before="0" w:after="0" w:line="240" w:lineRule="auto"/>
      </w:pPr>
      <w:rPr>
        <w:b/>
        <w:bCs/>
        <w:color w:val="FFFFFF" w:themeColor="background1"/>
      </w:rPr>
      <w:tblPr/>
      <w:tcPr>
        <w:tcBorders>
          <w:top w:val="single" w:sz="8" w:space="0" w:color="8B78BB" w:themeColor="accent4" w:themeTint="BF"/>
          <w:left w:val="single" w:sz="8" w:space="0" w:color="8B78BB" w:themeColor="accent4" w:themeTint="BF"/>
          <w:bottom w:val="single" w:sz="8" w:space="0" w:color="8B78BB" w:themeColor="accent4" w:themeTint="BF"/>
          <w:right w:val="single" w:sz="8" w:space="0" w:color="8B78BB" w:themeColor="accent4" w:themeTint="BF"/>
          <w:insideH w:val="nil"/>
          <w:insideV w:val="nil"/>
        </w:tcBorders>
        <w:shd w:val="clear" w:color="auto" w:fill="6750A0" w:themeFill="accent4"/>
      </w:tcPr>
    </w:tblStylePr>
    <w:tblStylePr w:type="lastRow">
      <w:pPr>
        <w:spacing w:before="0" w:after="0" w:line="240" w:lineRule="auto"/>
      </w:pPr>
      <w:rPr>
        <w:b/>
        <w:bCs/>
      </w:rPr>
      <w:tblPr/>
      <w:tcPr>
        <w:tcBorders>
          <w:top w:val="double" w:sz="6" w:space="0" w:color="8B78BB" w:themeColor="accent4" w:themeTint="BF"/>
          <w:left w:val="single" w:sz="8" w:space="0" w:color="8B78BB" w:themeColor="accent4" w:themeTint="BF"/>
          <w:bottom w:val="single" w:sz="8" w:space="0" w:color="8B78BB" w:themeColor="accent4" w:themeTint="BF"/>
          <w:right w:val="single" w:sz="8" w:space="0" w:color="8B78BB" w:themeColor="accent4" w:themeTint="BF"/>
          <w:insideH w:val="nil"/>
          <w:insideV w:val="nil"/>
        </w:tcBorders>
      </w:tcPr>
    </w:tblStylePr>
    <w:tblStylePr w:type="firstCol">
      <w:rPr>
        <w:b/>
        <w:bCs/>
      </w:rPr>
    </w:tblStylePr>
    <w:tblStylePr w:type="lastCol">
      <w:rPr>
        <w:b/>
        <w:bCs/>
      </w:rPr>
    </w:tblStylePr>
    <w:tblStylePr w:type="band1Vert">
      <w:tblPr/>
      <w:tcPr>
        <w:shd w:val="clear" w:color="auto" w:fill="D8D2E8" w:themeFill="accent4" w:themeFillTint="3F"/>
      </w:tcPr>
    </w:tblStylePr>
    <w:tblStylePr w:type="band1Horz">
      <w:tblPr/>
      <w:tcPr>
        <w:tcBorders>
          <w:insideH w:val="nil"/>
          <w:insideV w:val="nil"/>
        </w:tcBorders>
        <w:shd w:val="clear" w:color="auto" w:fill="D8D2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pPr>
      <w:spacing w:after="0" w:line="240" w:lineRule="auto"/>
    </w:pPr>
    <w:tblPr>
      <w:tblStyleRowBandSize w:val="1"/>
      <w:tblStyleColBandSize w:val="1"/>
      <w:tblBorders>
        <w:top w:val="single" w:sz="8" w:space="0" w:color="8B78BB" w:themeColor="accent5" w:themeTint="BF"/>
        <w:left w:val="single" w:sz="8" w:space="0" w:color="8B78BB" w:themeColor="accent5" w:themeTint="BF"/>
        <w:bottom w:val="single" w:sz="8" w:space="0" w:color="8B78BB" w:themeColor="accent5" w:themeTint="BF"/>
        <w:right w:val="single" w:sz="8" w:space="0" w:color="8B78BB" w:themeColor="accent5" w:themeTint="BF"/>
        <w:insideH w:val="single" w:sz="8" w:space="0" w:color="8B78BB" w:themeColor="accent5" w:themeTint="BF"/>
      </w:tblBorders>
    </w:tblPr>
    <w:tblStylePr w:type="firstRow">
      <w:pPr>
        <w:spacing w:before="0" w:after="0" w:line="240" w:lineRule="auto"/>
      </w:pPr>
      <w:rPr>
        <w:b/>
        <w:bCs/>
        <w:color w:val="FFFFFF" w:themeColor="background1"/>
      </w:rPr>
      <w:tblPr/>
      <w:tcPr>
        <w:tcBorders>
          <w:top w:val="single" w:sz="8" w:space="0" w:color="8B78BB" w:themeColor="accent5" w:themeTint="BF"/>
          <w:left w:val="single" w:sz="8" w:space="0" w:color="8B78BB" w:themeColor="accent5" w:themeTint="BF"/>
          <w:bottom w:val="single" w:sz="8" w:space="0" w:color="8B78BB" w:themeColor="accent5" w:themeTint="BF"/>
          <w:right w:val="single" w:sz="8" w:space="0" w:color="8B78BB" w:themeColor="accent5" w:themeTint="BF"/>
          <w:insideH w:val="nil"/>
          <w:insideV w:val="nil"/>
        </w:tcBorders>
        <w:shd w:val="clear" w:color="auto" w:fill="6750A0" w:themeFill="accent5"/>
      </w:tcPr>
    </w:tblStylePr>
    <w:tblStylePr w:type="lastRow">
      <w:pPr>
        <w:spacing w:before="0" w:after="0" w:line="240" w:lineRule="auto"/>
      </w:pPr>
      <w:rPr>
        <w:b/>
        <w:bCs/>
      </w:rPr>
      <w:tblPr/>
      <w:tcPr>
        <w:tcBorders>
          <w:top w:val="double" w:sz="6" w:space="0" w:color="8B78BB" w:themeColor="accent5" w:themeTint="BF"/>
          <w:left w:val="single" w:sz="8" w:space="0" w:color="8B78BB" w:themeColor="accent5" w:themeTint="BF"/>
          <w:bottom w:val="single" w:sz="8" w:space="0" w:color="8B78BB" w:themeColor="accent5" w:themeTint="BF"/>
          <w:right w:val="single" w:sz="8" w:space="0" w:color="8B78BB"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2E8" w:themeFill="accent5" w:themeFillTint="3F"/>
      </w:tcPr>
    </w:tblStylePr>
    <w:tblStylePr w:type="band1Horz">
      <w:tblPr/>
      <w:tcPr>
        <w:tcBorders>
          <w:insideH w:val="nil"/>
          <w:insideV w:val="nil"/>
        </w:tcBorders>
        <w:shd w:val="clear" w:color="auto" w:fill="D8D2E8"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pPr>
      <w:spacing w:after="0" w:line="240" w:lineRule="auto"/>
    </w:pPr>
    <w:tblPr>
      <w:tblStyleRowBandSize w:val="1"/>
      <w:tblStyleColBandSize w:val="1"/>
      <w:tblBorders>
        <w:top w:val="single" w:sz="8" w:space="0" w:color="D44BAC" w:themeColor="accent6" w:themeTint="BF"/>
        <w:left w:val="single" w:sz="8" w:space="0" w:color="D44BAC" w:themeColor="accent6" w:themeTint="BF"/>
        <w:bottom w:val="single" w:sz="8" w:space="0" w:color="D44BAC" w:themeColor="accent6" w:themeTint="BF"/>
        <w:right w:val="single" w:sz="8" w:space="0" w:color="D44BAC" w:themeColor="accent6" w:themeTint="BF"/>
        <w:insideH w:val="single" w:sz="8" w:space="0" w:color="D44BAC" w:themeColor="accent6" w:themeTint="BF"/>
      </w:tblBorders>
    </w:tblPr>
    <w:tblStylePr w:type="firstRow">
      <w:pPr>
        <w:spacing w:before="0" w:after="0" w:line="240" w:lineRule="auto"/>
      </w:pPr>
      <w:rPr>
        <w:b/>
        <w:bCs/>
        <w:color w:val="FFFFFF" w:themeColor="background1"/>
      </w:rPr>
      <w:tblPr/>
      <w:tcPr>
        <w:tcBorders>
          <w:top w:val="single" w:sz="8" w:space="0" w:color="D44BAC" w:themeColor="accent6" w:themeTint="BF"/>
          <w:left w:val="single" w:sz="8" w:space="0" w:color="D44BAC" w:themeColor="accent6" w:themeTint="BF"/>
          <w:bottom w:val="single" w:sz="8" w:space="0" w:color="D44BAC" w:themeColor="accent6" w:themeTint="BF"/>
          <w:right w:val="single" w:sz="8" w:space="0" w:color="D44BAC" w:themeColor="accent6" w:themeTint="BF"/>
          <w:insideH w:val="nil"/>
          <w:insideV w:val="nil"/>
        </w:tcBorders>
        <w:shd w:val="clear" w:color="auto" w:fill="AC2986" w:themeFill="accent6"/>
      </w:tcPr>
    </w:tblStylePr>
    <w:tblStylePr w:type="lastRow">
      <w:pPr>
        <w:spacing w:before="0" w:after="0" w:line="240" w:lineRule="auto"/>
      </w:pPr>
      <w:rPr>
        <w:b/>
        <w:bCs/>
      </w:rPr>
      <w:tblPr/>
      <w:tcPr>
        <w:tcBorders>
          <w:top w:val="double" w:sz="6" w:space="0" w:color="D44BAC" w:themeColor="accent6" w:themeTint="BF"/>
          <w:left w:val="single" w:sz="8" w:space="0" w:color="D44BAC" w:themeColor="accent6" w:themeTint="BF"/>
          <w:bottom w:val="single" w:sz="8" w:space="0" w:color="D44BAC" w:themeColor="accent6" w:themeTint="BF"/>
          <w:right w:val="single" w:sz="8" w:space="0" w:color="D44BAC" w:themeColor="accent6" w:themeTint="BF"/>
          <w:insideH w:val="nil"/>
          <w:insideV w:val="nil"/>
        </w:tcBorders>
      </w:tcPr>
    </w:tblStylePr>
    <w:tblStylePr w:type="firstCol">
      <w:rPr>
        <w:b/>
        <w:bCs/>
      </w:rPr>
    </w:tblStylePr>
    <w:tblStylePr w:type="lastCol">
      <w:rPr>
        <w:b/>
        <w:bCs/>
      </w:rPr>
    </w:tblStylePr>
    <w:tblStylePr w:type="band1Vert">
      <w:tblPr/>
      <w:tcPr>
        <w:shd w:val="clear" w:color="auto" w:fill="F0C3E3" w:themeFill="accent6" w:themeFillTint="3F"/>
      </w:tcPr>
    </w:tblStylePr>
    <w:tblStylePr w:type="band1Horz">
      <w:tblPr/>
      <w:tcPr>
        <w:tcBorders>
          <w:insideH w:val="nil"/>
          <w:insideV w:val="nil"/>
        </w:tcBorders>
        <w:shd w:val="clear" w:color="auto" w:fill="F0C3E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50A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50A0" w:themeFill="accent1"/>
      </w:tcPr>
    </w:tblStylePr>
    <w:tblStylePr w:type="lastCol">
      <w:rPr>
        <w:b/>
        <w:bCs/>
        <w:color w:val="FFFFFF" w:themeColor="background1"/>
      </w:rPr>
      <w:tblPr/>
      <w:tcPr>
        <w:tcBorders>
          <w:left w:val="nil"/>
          <w:right w:val="nil"/>
          <w:insideH w:val="nil"/>
          <w:insideV w:val="nil"/>
        </w:tcBorders>
        <w:shd w:val="clear" w:color="auto" w:fill="6750A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50A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50A0" w:themeFill="accent2"/>
      </w:tcPr>
    </w:tblStylePr>
    <w:tblStylePr w:type="lastCol">
      <w:rPr>
        <w:b/>
        <w:bCs/>
        <w:color w:val="FFFFFF" w:themeColor="background1"/>
      </w:rPr>
      <w:tblPr/>
      <w:tcPr>
        <w:tcBorders>
          <w:left w:val="nil"/>
          <w:right w:val="nil"/>
          <w:insideH w:val="nil"/>
          <w:insideV w:val="nil"/>
        </w:tcBorders>
        <w:shd w:val="clear" w:color="auto" w:fill="6750A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50A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50A0" w:themeFill="accent3"/>
      </w:tcPr>
    </w:tblStylePr>
    <w:tblStylePr w:type="lastCol">
      <w:rPr>
        <w:b/>
        <w:bCs/>
        <w:color w:val="FFFFFF" w:themeColor="background1"/>
      </w:rPr>
      <w:tblPr/>
      <w:tcPr>
        <w:tcBorders>
          <w:left w:val="nil"/>
          <w:right w:val="nil"/>
          <w:insideH w:val="nil"/>
          <w:insideV w:val="nil"/>
        </w:tcBorders>
        <w:shd w:val="clear" w:color="auto" w:fill="6750A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50A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50A0" w:themeFill="accent4"/>
      </w:tcPr>
    </w:tblStylePr>
    <w:tblStylePr w:type="lastCol">
      <w:rPr>
        <w:b/>
        <w:bCs/>
        <w:color w:val="FFFFFF" w:themeColor="background1"/>
      </w:rPr>
      <w:tblPr/>
      <w:tcPr>
        <w:tcBorders>
          <w:left w:val="nil"/>
          <w:right w:val="nil"/>
          <w:insideH w:val="nil"/>
          <w:insideV w:val="nil"/>
        </w:tcBorders>
        <w:shd w:val="clear" w:color="auto" w:fill="6750A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50A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50A0" w:themeFill="accent5"/>
      </w:tcPr>
    </w:tblStylePr>
    <w:tblStylePr w:type="lastCol">
      <w:rPr>
        <w:b/>
        <w:bCs/>
        <w:color w:val="FFFFFF" w:themeColor="background1"/>
      </w:rPr>
      <w:tblPr/>
      <w:tcPr>
        <w:tcBorders>
          <w:left w:val="nil"/>
          <w:right w:val="nil"/>
          <w:insideH w:val="nil"/>
          <w:insideV w:val="nil"/>
        </w:tcBorders>
        <w:shd w:val="clear" w:color="auto" w:fill="6750A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C298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C2986" w:themeFill="accent6"/>
      </w:tcPr>
    </w:tblStylePr>
    <w:tblStylePr w:type="lastCol">
      <w:rPr>
        <w:b/>
        <w:bCs/>
        <w:color w:val="FFFFFF" w:themeColor="background1"/>
      </w:rPr>
      <w:tblPr/>
      <w:tcPr>
        <w:tcBorders>
          <w:left w:val="nil"/>
          <w:right w:val="nil"/>
          <w:insideH w:val="nil"/>
          <w:insideV w:val="nil"/>
        </w:tcBorders>
        <w:shd w:val="clear" w:color="auto" w:fill="AC298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hd w:val="pct20" w:color="auto" w:fill="auto"/>
    </w:rPr>
  </w:style>
  <w:style w:type="paragraph" w:styleId="NormalWeb">
    <w:name w:val="Normal (Web)"/>
    <w:basedOn w:val="Normal"/>
    <w:uiPriority w:val="99"/>
    <w:semiHidden/>
    <w:unhideWhenUsed/>
    <w:rPr>
      <w:rFonts w:ascii="Times New Roman" w:hAnsi="Times New Roman" w:cs="Times New Roman"/>
      <w:sz w:val="24"/>
    </w:r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after="0" w:line="240" w:lineRule="auto"/>
    </w:pPr>
  </w:style>
  <w:style w:type="character" w:customStyle="1" w:styleId="NoteHeadingChar">
    <w:name w:val="Note Heading Char"/>
    <w:basedOn w:val="DefaultParagraphFont"/>
    <w:link w:val="NoteHeading"/>
    <w:uiPriority w:val="99"/>
    <w:semiHidden/>
  </w:style>
  <w:style w:type="character" w:styleId="PageNumber">
    <w:name w:val="page number"/>
    <w:basedOn w:val="DefaultParagraphFont"/>
    <w:uiPriority w:val="99"/>
    <w:semiHidden/>
    <w:unhideWhenUsed/>
  </w:style>
  <w:style w:type="paragraph" w:styleId="PlainText">
    <w:name w:val="Plain Text"/>
    <w:basedOn w:val="Normal"/>
    <w:link w:val="PlainTextChar"/>
    <w:uiPriority w:val="99"/>
    <w:semiHidden/>
    <w:unhideWhenUsed/>
    <w:pPr>
      <w:spacing w:after="0" w:line="240" w:lineRule="auto"/>
    </w:pPr>
    <w:rPr>
      <w:rFonts w:ascii="Consolas" w:hAnsi="Consolas" w:cs="Consolas"/>
      <w:sz w:val="21"/>
    </w:rPr>
  </w:style>
  <w:style w:type="character" w:customStyle="1" w:styleId="PlainTextChar">
    <w:name w:val="Plain Text Char"/>
    <w:basedOn w:val="DefaultParagraphFont"/>
    <w:link w:val="PlainText"/>
    <w:uiPriority w:val="99"/>
    <w:semiHidden/>
    <w:rPr>
      <w:rFonts w:ascii="Consolas" w:hAnsi="Consolas" w:cs="Consolas"/>
      <w:sz w:val="21"/>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20"/>
    <w:unhideWhenUsed/>
    <w:qFormat/>
    <w:pPr>
      <w:spacing w:before="720" w:after="0" w:line="312" w:lineRule="auto"/>
      <w:contextualSpacing/>
    </w:pPr>
  </w:style>
  <w:style w:type="character" w:customStyle="1" w:styleId="SignatureChar">
    <w:name w:val="Signature Char"/>
    <w:basedOn w:val="DefaultParagraphFont"/>
    <w:link w:val="Signature"/>
    <w:uiPriority w:val="20"/>
    <w:rPr>
      <w:kern w:val="20"/>
    </w:rPr>
  </w:style>
  <w:style w:type="character" w:styleId="Strong">
    <w:name w:val="Strong"/>
    <w:basedOn w:val="DefaultParagraphFont"/>
    <w:uiPriority w:val="1"/>
    <w:unhideWhenUsed/>
    <w:qFormat/>
    <w:rPr>
      <w:b/>
      <w:bCs/>
    </w:rPr>
  </w:style>
  <w:style w:type="paragraph" w:styleId="Subtitle">
    <w:name w:val="Subtitle"/>
    <w:basedOn w:val="Normal"/>
    <w:next w:val="Normal"/>
    <w:link w:val="SubtitleChar"/>
    <w:uiPriority w:val="19"/>
    <w:unhideWhenUsed/>
    <w:qFormat/>
    <w:pPr>
      <w:numPr>
        <w:ilvl w:val="1"/>
      </w:numPr>
      <w:ind w:left="432" w:right="1080"/>
    </w:pPr>
    <w:rPr>
      <w:rFonts w:asciiTheme="majorHAnsi" w:eastAsiaTheme="majorEastAsia" w:hAnsiTheme="majorHAnsi" w:cstheme="majorBidi"/>
      <w:caps/>
      <w:color w:val="6750A0" w:themeColor="accent1"/>
      <w:sz w:val="56"/>
    </w:rPr>
  </w:style>
  <w:style w:type="character" w:customStyle="1" w:styleId="SubtitleChar">
    <w:name w:val="Subtitle Char"/>
    <w:basedOn w:val="DefaultParagraphFont"/>
    <w:link w:val="Subtitle"/>
    <w:uiPriority w:val="19"/>
    <w:rPr>
      <w:rFonts w:asciiTheme="majorHAnsi" w:eastAsiaTheme="majorEastAsia" w:hAnsiTheme="majorHAnsi" w:cstheme="majorBidi"/>
      <w:caps/>
      <w:color w:val="6750A0" w:themeColor="accent1"/>
      <w:kern w:val="20"/>
      <w:sz w:val="56"/>
    </w:rPr>
  </w:style>
  <w:style w:type="character" w:styleId="SubtleEmphasis">
    <w:name w:val="Subtle Emphasis"/>
    <w:basedOn w:val="DefaultParagraphFont"/>
    <w:uiPriority w:val="19"/>
    <w:semiHidden/>
    <w:unhideWhenUsed/>
    <w:rPr>
      <w:i/>
      <w:iCs/>
      <w:color w:val="808080" w:themeColor="text1" w:themeTint="7F"/>
    </w:rPr>
  </w:style>
  <w:style w:type="character" w:styleId="SubtleReference">
    <w:name w:val="Subtle Reference"/>
    <w:basedOn w:val="DefaultParagraphFont"/>
    <w:uiPriority w:val="31"/>
    <w:semiHidden/>
    <w:unhideWhenUsed/>
    <w:rPr>
      <w:smallCaps/>
      <w:color w:val="6750A0" w:themeColor="accent2"/>
      <w:u w:val="single"/>
    </w:rPr>
  </w:style>
  <w:style w:type="table" w:styleId="Table3Deffects1">
    <w:name w:val="Table 3D effects 1"/>
    <w:basedOn w:val="TableNormal"/>
    <w:uiPriority w:val="99"/>
    <w:semiHidden/>
    <w:unhideWhenUsed/>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pPr>
      <w:spacing w:after="0"/>
      <w:ind w:left="220" w:hanging="220"/>
    </w:pPr>
  </w:style>
  <w:style w:type="paragraph" w:styleId="TableofFigures">
    <w:name w:val="table of figures"/>
    <w:basedOn w:val="Normal"/>
    <w:next w:val="Normal"/>
    <w:uiPriority w:val="99"/>
    <w:semiHidden/>
    <w:unhideWhenUsed/>
    <w:pPr>
      <w:spacing w:after="0"/>
    </w:pPr>
  </w:style>
  <w:style w:type="table" w:styleId="TableProfessional">
    <w:name w:val="Table Professional"/>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9"/>
    <w:unhideWhenUsed/>
    <w:qFormat/>
    <w:pPr>
      <w:pBdr>
        <w:top w:val="single" w:sz="4" w:space="16" w:color="6750A0" w:themeColor="accent1"/>
        <w:left w:val="single" w:sz="4" w:space="20" w:color="6750A0" w:themeColor="accent1"/>
        <w:bottom w:val="single" w:sz="4" w:space="16" w:color="6750A0" w:themeColor="accent1"/>
        <w:right w:val="single" w:sz="4" w:space="20" w:color="6750A0" w:themeColor="accent1"/>
      </w:pBdr>
      <w:shd w:val="clear" w:color="auto" w:fill="6750A0" w:themeFill="accent1"/>
      <w:spacing w:before="0" w:after="240" w:line="204" w:lineRule="auto"/>
      <w:ind w:left="432" w:right="432"/>
    </w:pPr>
    <w:rPr>
      <w:rFonts w:asciiTheme="majorHAnsi" w:eastAsiaTheme="majorEastAsia" w:hAnsiTheme="majorHAnsi" w:cstheme="majorBidi"/>
      <w:caps/>
      <w:color w:val="FFFFFF" w:themeColor="background1"/>
      <w:kern w:val="28"/>
      <w:sz w:val="72"/>
      <w14:ligatures w14:val="standardContextual"/>
    </w:rPr>
  </w:style>
  <w:style w:type="character" w:customStyle="1" w:styleId="TitleChar">
    <w:name w:val="Title Char"/>
    <w:basedOn w:val="DefaultParagraphFont"/>
    <w:link w:val="Title"/>
    <w:uiPriority w:val="19"/>
    <w:rPr>
      <w:rFonts w:asciiTheme="majorHAnsi" w:eastAsiaTheme="majorEastAsia" w:hAnsiTheme="majorHAnsi" w:cstheme="majorBidi"/>
      <w:caps/>
      <w:color w:val="FFFFFF" w:themeColor="background1"/>
      <w:kern w:val="28"/>
      <w:sz w:val="72"/>
      <w:shd w:val="clear" w:color="auto" w:fill="6750A0" w:themeFill="accent1"/>
      <w14:ligatures w14:val="standardContextual"/>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unhideWhenUsed/>
    <w:pPr>
      <w:tabs>
        <w:tab w:val="right" w:leader="underscore" w:pos="9090"/>
      </w:tabs>
      <w:spacing w:after="100"/>
    </w:pPr>
    <w:rPr>
      <w:noProof/>
      <w:color w:val="7F7F7F" w:themeColor="text1" w:themeTint="80"/>
      <w:sz w:val="22"/>
    </w:r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semiHidden/>
    <w:unhideWhenUsed/>
    <w:pPr>
      <w:spacing w:after="100"/>
      <w:ind w:left="440"/>
    </w:pPr>
  </w:style>
  <w:style w:type="paragraph" w:styleId="TOC4">
    <w:name w:val="toc 4"/>
    <w:basedOn w:val="Normal"/>
    <w:next w:val="Normal"/>
    <w:autoRedefine/>
    <w:uiPriority w:val="39"/>
    <w:semiHidden/>
    <w:unhideWhenUsed/>
    <w:pPr>
      <w:spacing w:after="100"/>
      <w:ind w:left="660"/>
    </w:pPr>
  </w:style>
  <w:style w:type="paragraph" w:styleId="TOC5">
    <w:name w:val="toc 5"/>
    <w:basedOn w:val="Normal"/>
    <w:next w:val="Normal"/>
    <w:autoRedefine/>
    <w:uiPriority w:val="39"/>
    <w:semiHidden/>
    <w:unhideWhenUsed/>
    <w:pPr>
      <w:spacing w:after="100"/>
      <w:ind w:left="880"/>
    </w:pPr>
  </w:style>
  <w:style w:type="paragraph" w:styleId="TOC6">
    <w:name w:val="toc 6"/>
    <w:basedOn w:val="Normal"/>
    <w:next w:val="Normal"/>
    <w:autoRedefine/>
    <w:uiPriority w:val="39"/>
    <w:semiHidden/>
    <w:unhideWhenUsed/>
    <w:pPr>
      <w:spacing w:after="100"/>
      <w:ind w:left="1100"/>
    </w:pPr>
  </w:style>
  <w:style w:type="paragraph" w:styleId="TOC7">
    <w:name w:val="toc 7"/>
    <w:basedOn w:val="Normal"/>
    <w:next w:val="Normal"/>
    <w:autoRedefine/>
    <w:uiPriority w:val="39"/>
    <w:semiHidden/>
    <w:unhideWhenUsed/>
    <w:pPr>
      <w:spacing w:after="100"/>
      <w:ind w:left="1320"/>
    </w:pPr>
  </w:style>
  <w:style w:type="paragraph" w:styleId="TOC8">
    <w:name w:val="toc 8"/>
    <w:basedOn w:val="Normal"/>
    <w:next w:val="Normal"/>
    <w:autoRedefine/>
    <w:uiPriority w:val="39"/>
    <w:semiHidden/>
    <w:unhideWhenUsed/>
    <w:pPr>
      <w:spacing w:after="100"/>
      <w:ind w:left="1540"/>
    </w:pPr>
  </w:style>
  <w:style w:type="paragraph" w:styleId="TOC9">
    <w:name w:val="toc 9"/>
    <w:basedOn w:val="Normal"/>
    <w:next w:val="Normal"/>
    <w:autoRedefine/>
    <w:uiPriority w:val="39"/>
    <w:semiHidden/>
    <w:unhideWhenUsed/>
    <w:pPr>
      <w:spacing w:after="100"/>
      <w:ind w:left="1760"/>
    </w:pPr>
  </w:style>
  <w:style w:type="paragraph" w:styleId="TOCHeading">
    <w:name w:val="TOC Heading"/>
    <w:basedOn w:val="Heading1"/>
    <w:next w:val="Normal"/>
    <w:uiPriority w:val="39"/>
    <w:unhideWhenUsed/>
    <w:qFormat/>
    <w:pPr>
      <w:outlineLvl w:val="9"/>
    </w:pPr>
  </w:style>
  <w:style w:type="character" w:customStyle="1" w:styleId="NoSpacingChar">
    <w:name w:val="No Spacing Char"/>
    <w:basedOn w:val="DefaultParagraphFont"/>
    <w:link w:val="NoSpacing"/>
    <w:uiPriority w:val="1"/>
  </w:style>
  <w:style w:type="paragraph" w:customStyle="1" w:styleId="TableHeading">
    <w:name w:val="Table Heading"/>
    <w:basedOn w:val="Normal"/>
    <w:uiPriority w:val="10"/>
    <w:qFormat/>
    <w:pPr>
      <w:keepNext/>
      <w:pBdr>
        <w:top w:val="single" w:sz="4" w:space="1" w:color="6750A0" w:themeColor="accent1"/>
        <w:left w:val="single" w:sz="4" w:space="6" w:color="6750A0" w:themeColor="accent1"/>
        <w:bottom w:val="single" w:sz="4" w:space="2" w:color="6750A0" w:themeColor="accent1"/>
        <w:right w:val="single" w:sz="4" w:space="6" w:color="6750A0" w:themeColor="accent1"/>
      </w:pBdr>
      <w:shd w:val="clear" w:color="auto" w:fill="6750A0" w:themeFill="accent1"/>
      <w:spacing w:before="160" w:line="240" w:lineRule="auto"/>
      <w:ind w:left="144" w:right="144"/>
    </w:pPr>
    <w:rPr>
      <w:rFonts w:asciiTheme="majorHAnsi" w:eastAsiaTheme="majorEastAsia" w:hAnsiTheme="majorHAnsi" w:cstheme="majorBidi"/>
      <w:caps/>
      <w:color w:val="FFFFFF" w:themeColor="background1"/>
      <w:sz w:val="24"/>
    </w:rPr>
  </w:style>
  <w:style w:type="paragraph" w:customStyle="1" w:styleId="CompanyInfo">
    <w:name w:val="Company Info"/>
    <w:basedOn w:val="Normal"/>
    <w:uiPriority w:val="2"/>
    <w:qFormat/>
    <w:pPr>
      <w:spacing w:after="40"/>
    </w:pPr>
  </w:style>
  <w:style w:type="table" w:customStyle="1" w:styleId="FinancialTable">
    <w:name w:val="Financial Table"/>
    <w:basedOn w:val="TableNormal"/>
    <w:uiPriority w:val="99"/>
    <w:pPr>
      <w:spacing w:after="0" w:line="240" w:lineRule="auto"/>
      <w:ind w:left="144" w:right="144"/>
      <w:jc w:val="right"/>
    </w:pPr>
    <w:tblPr>
      <w:tblBorders>
        <w:insideH w:val="single" w:sz="4" w:space="0" w:color="D9D9D9" w:themeColor="background1" w:themeShade="D9"/>
      </w:tblBorders>
      <w:tblCellMar>
        <w:left w:w="0" w:type="dxa"/>
        <w:right w:w="0" w:type="dxa"/>
      </w:tblCellMar>
    </w:tblPr>
    <w:tcPr>
      <w:vAlign w:val="center"/>
    </w:tcPr>
    <w:tblStylePr w:type="firstRow">
      <w:pPr>
        <w:wordWrap/>
        <w:jc w:val="right"/>
      </w:pPr>
      <w:rPr>
        <w:rFonts w:asciiTheme="majorHAnsi" w:hAnsiTheme="majorHAnsi"/>
        <w:b w:val="0"/>
        <w:caps/>
        <w:smallCaps w:val="0"/>
        <w:color w:val="6750A0" w:themeColor="accent1"/>
        <w:sz w:val="22"/>
      </w:rPr>
      <w:tblPr/>
      <w:tcPr>
        <w:vAlign w:val="bottom"/>
      </w:tcPr>
    </w:tblStylePr>
    <w:tblStylePr w:type="firstCol">
      <w:pPr>
        <w:wordWrap/>
        <w:jc w:val="left"/>
      </w:pPr>
      <w:rPr>
        <w:b/>
      </w:rPr>
    </w:tblStylePr>
  </w:style>
  <w:style w:type="numbering" w:customStyle="1" w:styleId="AnnualReport">
    <w:name w:val="Annual Report"/>
    <w:uiPriority w:val="99"/>
    <w:pPr>
      <w:numPr>
        <w:numId w:val="6"/>
      </w:numPr>
    </w:pPr>
  </w:style>
  <w:style w:type="paragraph" w:customStyle="1" w:styleId="Abstract">
    <w:name w:val="Abstract"/>
    <w:basedOn w:val="Normal"/>
    <w:uiPriority w:val="20"/>
    <w:qFormat/>
    <w:pPr>
      <w:spacing w:before="360" w:after="0" w:line="240" w:lineRule="auto"/>
      <w:ind w:left="432" w:right="1080"/>
    </w:pPr>
    <w:rPr>
      <w:i/>
      <w:iCs/>
      <w:color w:val="7F7F7F" w:themeColor="text1" w:themeTint="80"/>
      <w:sz w:val="28"/>
    </w:rPr>
  </w:style>
  <w:style w:type="paragraph" w:customStyle="1" w:styleId="TableText">
    <w:name w:val="Table Text"/>
    <w:basedOn w:val="Normal"/>
    <w:uiPriority w:val="10"/>
    <w:qFormat/>
    <w:pPr>
      <w:spacing w:before="60" w:after="60" w:line="240" w:lineRule="auto"/>
      <w:ind w:left="144" w:right="144"/>
    </w:pPr>
  </w:style>
  <w:style w:type="paragraph" w:customStyle="1" w:styleId="TableReverseHeading">
    <w:name w:val="Table Reverse Heading"/>
    <w:basedOn w:val="Normal"/>
    <w:uiPriority w:val="10"/>
    <w:qFormat/>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HeaderShaded">
    <w:name w:val="Header Shaded"/>
    <w:basedOn w:val="Normal"/>
    <w:uiPriority w:val="99"/>
    <w:qFormat/>
    <w:pPr>
      <w:pBdr>
        <w:top w:val="single" w:sz="2" w:space="6" w:color="6750A0" w:themeColor="accent1"/>
        <w:left w:val="single" w:sz="2" w:space="20" w:color="6750A0" w:themeColor="accent1"/>
        <w:bottom w:val="single" w:sz="2" w:space="6" w:color="6750A0" w:themeColor="accent1"/>
        <w:right w:val="single" w:sz="2" w:space="20" w:color="6750A0" w:themeColor="accent1"/>
      </w:pBdr>
      <w:shd w:val="clear" w:color="auto" w:fill="6750A0" w:themeFill="accent1"/>
      <w:spacing w:after="0" w:line="240" w:lineRule="auto"/>
    </w:pPr>
    <w:rPr>
      <w:rFonts w:asciiTheme="majorHAnsi" w:eastAsiaTheme="majorEastAsia" w:hAnsiTheme="majorHAnsi" w:cstheme="majorBidi"/>
      <w:caps/>
      <w:color w:val="FFFFFF" w:themeColor="background1"/>
      <w:sz w:val="40"/>
    </w:rPr>
  </w:style>
  <w:style w:type="table" w:styleId="GridTable2-Accent1">
    <w:name w:val="Grid Table 2 Accent 1"/>
    <w:basedOn w:val="TableNormal"/>
    <w:uiPriority w:val="47"/>
    <w:rsid w:val="005264D9"/>
    <w:pPr>
      <w:spacing w:after="0" w:line="240" w:lineRule="auto"/>
    </w:pPr>
    <w:tblPr>
      <w:tblStyleRowBandSize w:val="1"/>
      <w:tblStyleColBandSize w:val="1"/>
      <w:tblBorders>
        <w:top w:val="single" w:sz="2" w:space="0" w:color="A293C9" w:themeColor="accent1" w:themeTint="99"/>
        <w:bottom w:val="single" w:sz="2" w:space="0" w:color="A293C9" w:themeColor="accent1" w:themeTint="99"/>
        <w:insideH w:val="single" w:sz="2" w:space="0" w:color="A293C9" w:themeColor="accent1" w:themeTint="99"/>
        <w:insideV w:val="single" w:sz="2" w:space="0" w:color="A293C9" w:themeColor="accent1" w:themeTint="99"/>
      </w:tblBorders>
    </w:tblPr>
    <w:tblStylePr w:type="firstRow">
      <w:rPr>
        <w:b/>
        <w:bCs/>
      </w:rPr>
      <w:tblPr/>
      <w:tcPr>
        <w:tcBorders>
          <w:top w:val="nil"/>
          <w:bottom w:val="single" w:sz="12" w:space="0" w:color="A293C9" w:themeColor="accent1" w:themeTint="99"/>
          <w:insideH w:val="nil"/>
          <w:insideV w:val="nil"/>
        </w:tcBorders>
        <w:shd w:val="clear" w:color="auto" w:fill="FFFFFF" w:themeFill="background1"/>
      </w:tcPr>
    </w:tblStylePr>
    <w:tblStylePr w:type="lastRow">
      <w:rPr>
        <w:b/>
        <w:bCs/>
      </w:rPr>
      <w:tblPr/>
      <w:tcPr>
        <w:tcBorders>
          <w:top w:val="double" w:sz="2" w:space="0" w:color="A293C9"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DBED" w:themeFill="accent1" w:themeFillTint="33"/>
      </w:tcPr>
    </w:tblStylePr>
    <w:tblStylePr w:type="band1Horz">
      <w:tblPr/>
      <w:tcPr>
        <w:shd w:val="clear" w:color="auto" w:fill="E0DBED" w:themeFill="accent1" w:themeFillTint="33"/>
      </w:tcPr>
    </w:tblStylePr>
  </w:style>
  <w:style w:type="table" w:styleId="GridTable4-Accent2">
    <w:name w:val="Grid Table 4 Accent 2"/>
    <w:basedOn w:val="TableNormal"/>
    <w:uiPriority w:val="49"/>
    <w:rsid w:val="005264D9"/>
    <w:pPr>
      <w:spacing w:after="0" w:line="240" w:lineRule="auto"/>
    </w:pPr>
    <w:tblPr>
      <w:tblStyleRowBandSize w:val="1"/>
      <w:tblStyleColBandSize w:val="1"/>
      <w:tblBorders>
        <w:top w:val="single" w:sz="4" w:space="0" w:color="A293C9" w:themeColor="accent2" w:themeTint="99"/>
        <w:left w:val="single" w:sz="4" w:space="0" w:color="A293C9" w:themeColor="accent2" w:themeTint="99"/>
        <w:bottom w:val="single" w:sz="4" w:space="0" w:color="A293C9" w:themeColor="accent2" w:themeTint="99"/>
        <w:right w:val="single" w:sz="4" w:space="0" w:color="A293C9" w:themeColor="accent2" w:themeTint="99"/>
        <w:insideH w:val="single" w:sz="4" w:space="0" w:color="A293C9" w:themeColor="accent2" w:themeTint="99"/>
        <w:insideV w:val="single" w:sz="4" w:space="0" w:color="A293C9" w:themeColor="accent2" w:themeTint="99"/>
      </w:tblBorders>
    </w:tblPr>
    <w:tblStylePr w:type="firstRow">
      <w:rPr>
        <w:b/>
        <w:bCs/>
        <w:color w:val="FFFFFF" w:themeColor="background1"/>
      </w:rPr>
      <w:tblPr/>
      <w:tcPr>
        <w:tcBorders>
          <w:top w:val="single" w:sz="4" w:space="0" w:color="6750A0" w:themeColor="accent2"/>
          <w:left w:val="single" w:sz="4" w:space="0" w:color="6750A0" w:themeColor="accent2"/>
          <w:bottom w:val="single" w:sz="4" w:space="0" w:color="6750A0" w:themeColor="accent2"/>
          <w:right w:val="single" w:sz="4" w:space="0" w:color="6750A0" w:themeColor="accent2"/>
          <w:insideH w:val="nil"/>
          <w:insideV w:val="nil"/>
        </w:tcBorders>
        <w:shd w:val="clear" w:color="auto" w:fill="6750A0" w:themeFill="accent2"/>
      </w:tcPr>
    </w:tblStylePr>
    <w:tblStylePr w:type="lastRow">
      <w:rPr>
        <w:b/>
        <w:bCs/>
      </w:rPr>
      <w:tblPr/>
      <w:tcPr>
        <w:tcBorders>
          <w:top w:val="double" w:sz="4" w:space="0" w:color="6750A0" w:themeColor="accent2"/>
        </w:tcBorders>
      </w:tcPr>
    </w:tblStylePr>
    <w:tblStylePr w:type="firstCol">
      <w:rPr>
        <w:b/>
        <w:bCs/>
      </w:rPr>
    </w:tblStylePr>
    <w:tblStylePr w:type="lastCol">
      <w:rPr>
        <w:b/>
        <w:bCs/>
      </w:rPr>
    </w:tblStylePr>
    <w:tblStylePr w:type="band1Vert">
      <w:tblPr/>
      <w:tcPr>
        <w:shd w:val="clear" w:color="auto" w:fill="E0DBED" w:themeFill="accent2" w:themeFillTint="33"/>
      </w:tcPr>
    </w:tblStylePr>
    <w:tblStylePr w:type="band1Horz">
      <w:tblPr/>
      <w:tcPr>
        <w:shd w:val="clear" w:color="auto" w:fill="E0DBED" w:themeFill="accent2" w:themeFillTint="33"/>
      </w:tcPr>
    </w:tblStylePr>
  </w:style>
  <w:style w:type="table" w:styleId="GridTable1Light-Accent1">
    <w:name w:val="Grid Table 1 Light Accent 1"/>
    <w:basedOn w:val="TableNormal"/>
    <w:uiPriority w:val="46"/>
    <w:rsid w:val="005264D9"/>
    <w:pPr>
      <w:spacing w:after="0" w:line="240" w:lineRule="auto"/>
    </w:pPr>
    <w:tblPr>
      <w:tblStyleRowBandSize w:val="1"/>
      <w:tblStyleColBandSize w:val="1"/>
      <w:tblBorders>
        <w:top w:val="single" w:sz="4" w:space="0" w:color="C1B7DB" w:themeColor="accent1" w:themeTint="66"/>
        <w:left w:val="single" w:sz="4" w:space="0" w:color="C1B7DB" w:themeColor="accent1" w:themeTint="66"/>
        <w:bottom w:val="single" w:sz="4" w:space="0" w:color="C1B7DB" w:themeColor="accent1" w:themeTint="66"/>
        <w:right w:val="single" w:sz="4" w:space="0" w:color="C1B7DB" w:themeColor="accent1" w:themeTint="66"/>
        <w:insideH w:val="single" w:sz="4" w:space="0" w:color="C1B7DB" w:themeColor="accent1" w:themeTint="66"/>
        <w:insideV w:val="single" w:sz="4" w:space="0" w:color="C1B7DB" w:themeColor="accent1" w:themeTint="66"/>
      </w:tblBorders>
    </w:tblPr>
    <w:tblStylePr w:type="firstRow">
      <w:rPr>
        <w:b/>
        <w:bCs/>
      </w:rPr>
      <w:tblPr/>
      <w:tcPr>
        <w:tcBorders>
          <w:bottom w:val="single" w:sz="12" w:space="0" w:color="A293C9" w:themeColor="accent1" w:themeTint="99"/>
        </w:tcBorders>
      </w:tcPr>
    </w:tblStylePr>
    <w:tblStylePr w:type="lastRow">
      <w:rPr>
        <w:b/>
        <w:bCs/>
      </w:rPr>
      <w:tblPr/>
      <w:tcPr>
        <w:tcBorders>
          <w:top w:val="double" w:sz="2" w:space="0" w:color="A293C9" w:themeColor="accent1" w:themeTint="99"/>
        </w:tcBorders>
      </w:tcPr>
    </w:tblStylePr>
    <w:tblStylePr w:type="firstCol">
      <w:rPr>
        <w:b/>
        <w:bCs/>
      </w:rPr>
    </w:tblStylePr>
    <w:tblStylePr w:type="lastCol">
      <w:rPr>
        <w:b/>
        <w:bCs/>
      </w:rPr>
    </w:tblStylePr>
  </w:style>
  <w:style w:type="table" w:customStyle="1" w:styleId="TableGrid0">
    <w:name w:val="TableGrid"/>
    <w:rsid w:val="00F952A4"/>
    <w:pPr>
      <w:spacing w:before="0" w:after="0" w:line="240" w:lineRule="auto"/>
    </w:pPr>
    <w:rPr>
      <w:rFonts w:eastAsia="Times New Roman"/>
      <w:color w:val="auto"/>
      <w:sz w:val="22"/>
      <w:szCs w:val="22"/>
      <w:lang w:val="en-AU" w:eastAsia="en-AU"/>
    </w:rPr>
    <w:tblPr>
      <w:tblCellMar>
        <w:top w:w="0" w:type="dxa"/>
        <w:left w:w="0" w:type="dxa"/>
        <w:bottom w:w="0" w:type="dxa"/>
        <w:right w:w="0" w:type="dxa"/>
      </w:tblCellMar>
    </w:tblPr>
  </w:style>
  <w:style w:type="table" w:styleId="GridTable2-Accent2">
    <w:name w:val="Grid Table 2 Accent 2"/>
    <w:basedOn w:val="TableNormal"/>
    <w:uiPriority w:val="47"/>
    <w:rsid w:val="003100BE"/>
    <w:pPr>
      <w:spacing w:after="0" w:line="240" w:lineRule="auto"/>
    </w:pPr>
    <w:tblPr>
      <w:tblStyleRowBandSize w:val="1"/>
      <w:tblStyleColBandSize w:val="1"/>
      <w:tblBorders>
        <w:top w:val="single" w:sz="2" w:space="0" w:color="A293C9" w:themeColor="accent2" w:themeTint="99"/>
        <w:bottom w:val="single" w:sz="2" w:space="0" w:color="A293C9" w:themeColor="accent2" w:themeTint="99"/>
        <w:insideH w:val="single" w:sz="2" w:space="0" w:color="A293C9" w:themeColor="accent2" w:themeTint="99"/>
        <w:insideV w:val="single" w:sz="2" w:space="0" w:color="A293C9" w:themeColor="accent2" w:themeTint="99"/>
      </w:tblBorders>
    </w:tblPr>
    <w:tblStylePr w:type="firstRow">
      <w:rPr>
        <w:b/>
        <w:bCs/>
      </w:rPr>
      <w:tblPr/>
      <w:tcPr>
        <w:tcBorders>
          <w:top w:val="nil"/>
          <w:bottom w:val="single" w:sz="12" w:space="0" w:color="A293C9" w:themeColor="accent2" w:themeTint="99"/>
          <w:insideH w:val="nil"/>
          <w:insideV w:val="nil"/>
        </w:tcBorders>
        <w:shd w:val="clear" w:color="auto" w:fill="FFFFFF" w:themeFill="background1"/>
      </w:tcPr>
    </w:tblStylePr>
    <w:tblStylePr w:type="lastRow">
      <w:rPr>
        <w:b/>
        <w:bCs/>
      </w:rPr>
      <w:tblPr/>
      <w:tcPr>
        <w:tcBorders>
          <w:top w:val="double" w:sz="2" w:space="0" w:color="A293C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DBED" w:themeFill="accent2" w:themeFillTint="33"/>
      </w:tcPr>
    </w:tblStylePr>
    <w:tblStylePr w:type="band1Horz">
      <w:tblPr/>
      <w:tcPr>
        <w:shd w:val="clear" w:color="auto" w:fill="E0DBED" w:themeFill="accent2" w:themeFillTint="33"/>
      </w:tcPr>
    </w:tblStylePr>
  </w:style>
  <w:style w:type="table" w:styleId="GridTable2-Accent3">
    <w:name w:val="Grid Table 2 Accent 3"/>
    <w:basedOn w:val="TableNormal"/>
    <w:uiPriority w:val="47"/>
    <w:rsid w:val="003100BE"/>
    <w:pPr>
      <w:spacing w:after="0" w:line="240" w:lineRule="auto"/>
    </w:pPr>
    <w:tblPr>
      <w:tblStyleRowBandSize w:val="1"/>
      <w:tblStyleColBandSize w:val="1"/>
      <w:tblBorders>
        <w:top w:val="single" w:sz="2" w:space="0" w:color="A293C9" w:themeColor="accent3" w:themeTint="99"/>
        <w:bottom w:val="single" w:sz="2" w:space="0" w:color="A293C9" w:themeColor="accent3" w:themeTint="99"/>
        <w:insideH w:val="single" w:sz="2" w:space="0" w:color="A293C9" w:themeColor="accent3" w:themeTint="99"/>
        <w:insideV w:val="single" w:sz="2" w:space="0" w:color="A293C9" w:themeColor="accent3" w:themeTint="99"/>
      </w:tblBorders>
    </w:tblPr>
    <w:tblStylePr w:type="firstRow">
      <w:rPr>
        <w:b/>
        <w:bCs/>
      </w:rPr>
      <w:tblPr/>
      <w:tcPr>
        <w:tcBorders>
          <w:top w:val="nil"/>
          <w:bottom w:val="single" w:sz="12" w:space="0" w:color="A293C9" w:themeColor="accent3" w:themeTint="99"/>
          <w:insideH w:val="nil"/>
          <w:insideV w:val="nil"/>
        </w:tcBorders>
        <w:shd w:val="clear" w:color="auto" w:fill="FFFFFF" w:themeFill="background1"/>
      </w:tcPr>
    </w:tblStylePr>
    <w:tblStylePr w:type="lastRow">
      <w:rPr>
        <w:b/>
        <w:bCs/>
      </w:rPr>
      <w:tblPr/>
      <w:tcPr>
        <w:tcBorders>
          <w:top w:val="double" w:sz="2" w:space="0" w:color="A293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DBED" w:themeFill="accent3" w:themeFillTint="33"/>
      </w:tcPr>
    </w:tblStylePr>
    <w:tblStylePr w:type="band1Horz">
      <w:tblPr/>
      <w:tcPr>
        <w:shd w:val="clear" w:color="auto" w:fill="E0DBED" w:themeFill="accent3" w:themeFillTint="33"/>
      </w:tcPr>
    </w:tblStylePr>
  </w:style>
  <w:style w:type="table" w:styleId="GridTable2-Accent4">
    <w:name w:val="Grid Table 2 Accent 4"/>
    <w:basedOn w:val="TableNormal"/>
    <w:uiPriority w:val="47"/>
    <w:rsid w:val="003100BE"/>
    <w:pPr>
      <w:spacing w:after="0" w:line="240" w:lineRule="auto"/>
    </w:pPr>
    <w:tblPr>
      <w:tblStyleRowBandSize w:val="1"/>
      <w:tblStyleColBandSize w:val="1"/>
      <w:tblBorders>
        <w:top w:val="single" w:sz="2" w:space="0" w:color="A293C9" w:themeColor="accent4" w:themeTint="99"/>
        <w:bottom w:val="single" w:sz="2" w:space="0" w:color="A293C9" w:themeColor="accent4" w:themeTint="99"/>
        <w:insideH w:val="single" w:sz="2" w:space="0" w:color="A293C9" w:themeColor="accent4" w:themeTint="99"/>
        <w:insideV w:val="single" w:sz="2" w:space="0" w:color="A293C9" w:themeColor="accent4" w:themeTint="99"/>
      </w:tblBorders>
    </w:tblPr>
    <w:tblStylePr w:type="firstRow">
      <w:rPr>
        <w:b/>
        <w:bCs/>
      </w:rPr>
      <w:tblPr/>
      <w:tcPr>
        <w:tcBorders>
          <w:top w:val="nil"/>
          <w:bottom w:val="single" w:sz="12" w:space="0" w:color="A293C9" w:themeColor="accent4" w:themeTint="99"/>
          <w:insideH w:val="nil"/>
          <w:insideV w:val="nil"/>
        </w:tcBorders>
        <w:shd w:val="clear" w:color="auto" w:fill="FFFFFF" w:themeFill="background1"/>
      </w:tcPr>
    </w:tblStylePr>
    <w:tblStylePr w:type="lastRow">
      <w:rPr>
        <w:b/>
        <w:bCs/>
      </w:rPr>
      <w:tblPr/>
      <w:tcPr>
        <w:tcBorders>
          <w:top w:val="double" w:sz="2" w:space="0" w:color="A293C9"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DBED" w:themeFill="accent4" w:themeFillTint="33"/>
      </w:tcPr>
    </w:tblStylePr>
    <w:tblStylePr w:type="band1Horz">
      <w:tblPr/>
      <w:tcPr>
        <w:shd w:val="clear" w:color="auto" w:fill="E0DBED" w:themeFill="accent4" w:themeFillTint="33"/>
      </w:tcPr>
    </w:tblStylePr>
  </w:style>
  <w:style w:type="table" w:styleId="GridTable5Dark-Accent1">
    <w:name w:val="Grid Table 5 Dark Accent 1"/>
    <w:basedOn w:val="TableNormal"/>
    <w:uiPriority w:val="50"/>
    <w:rsid w:val="003100B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DBE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750A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750A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750A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750A0" w:themeFill="accent1"/>
      </w:tcPr>
    </w:tblStylePr>
    <w:tblStylePr w:type="band1Vert">
      <w:tblPr/>
      <w:tcPr>
        <w:shd w:val="clear" w:color="auto" w:fill="C1B7DB" w:themeFill="accent1" w:themeFillTint="66"/>
      </w:tcPr>
    </w:tblStylePr>
    <w:tblStylePr w:type="band1Horz">
      <w:tblPr/>
      <w:tcPr>
        <w:shd w:val="clear" w:color="auto" w:fill="C1B7DB" w:themeFill="accent1" w:themeFillTint="66"/>
      </w:tcPr>
    </w:tblStylePr>
  </w:style>
  <w:style w:type="table" w:styleId="ListTable1Light-Accent1">
    <w:name w:val="List Table 1 Light Accent 1"/>
    <w:basedOn w:val="TableNormal"/>
    <w:uiPriority w:val="46"/>
    <w:rsid w:val="003100BE"/>
    <w:pPr>
      <w:spacing w:after="0" w:line="240" w:lineRule="auto"/>
    </w:pPr>
    <w:tblPr>
      <w:tblStyleRowBandSize w:val="1"/>
      <w:tblStyleColBandSize w:val="1"/>
    </w:tblPr>
    <w:tblStylePr w:type="firstRow">
      <w:rPr>
        <w:b/>
        <w:bCs/>
      </w:rPr>
      <w:tblPr/>
      <w:tcPr>
        <w:tcBorders>
          <w:bottom w:val="single" w:sz="4" w:space="0" w:color="A293C9" w:themeColor="accent1" w:themeTint="99"/>
        </w:tcBorders>
      </w:tcPr>
    </w:tblStylePr>
    <w:tblStylePr w:type="lastRow">
      <w:rPr>
        <w:b/>
        <w:bCs/>
      </w:rPr>
      <w:tblPr/>
      <w:tcPr>
        <w:tcBorders>
          <w:top w:val="single" w:sz="4" w:space="0" w:color="A293C9" w:themeColor="accent1" w:themeTint="99"/>
        </w:tcBorders>
      </w:tcPr>
    </w:tblStylePr>
    <w:tblStylePr w:type="firstCol">
      <w:rPr>
        <w:b/>
        <w:bCs/>
      </w:rPr>
    </w:tblStylePr>
    <w:tblStylePr w:type="lastCol">
      <w:rPr>
        <w:b/>
        <w:bCs/>
      </w:rPr>
    </w:tblStylePr>
    <w:tblStylePr w:type="band1Vert">
      <w:tblPr/>
      <w:tcPr>
        <w:shd w:val="clear" w:color="auto" w:fill="E0DBED" w:themeFill="accent1" w:themeFillTint="33"/>
      </w:tcPr>
    </w:tblStylePr>
    <w:tblStylePr w:type="band1Horz">
      <w:tblPr/>
      <w:tcPr>
        <w:shd w:val="clear" w:color="auto" w:fill="E0DBED" w:themeFill="accent1" w:themeFillTint="33"/>
      </w:tcPr>
    </w:tblStylePr>
  </w:style>
  <w:style w:type="table" w:styleId="ListTable1Light-Accent2">
    <w:name w:val="List Table 1 Light Accent 2"/>
    <w:basedOn w:val="TableNormal"/>
    <w:uiPriority w:val="46"/>
    <w:rsid w:val="003100BE"/>
    <w:pPr>
      <w:spacing w:after="0" w:line="240" w:lineRule="auto"/>
    </w:pPr>
    <w:tblPr>
      <w:tblStyleRowBandSize w:val="1"/>
      <w:tblStyleColBandSize w:val="1"/>
    </w:tblPr>
    <w:tblStylePr w:type="firstRow">
      <w:rPr>
        <w:b/>
        <w:bCs/>
      </w:rPr>
      <w:tblPr/>
      <w:tcPr>
        <w:tcBorders>
          <w:bottom w:val="single" w:sz="4" w:space="0" w:color="A293C9" w:themeColor="accent2" w:themeTint="99"/>
        </w:tcBorders>
      </w:tcPr>
    </w:tblStylePr>
    <w:tblStylePr w:type="lastRow">
      <w:rPr>
        <w:b/>
        <w:bCs/>
      </w:rPr>
      <w:tblPr/>
      <w:tcPr>
        <w:tcBorders>
          <w:top w:val="single" w:sz="4" w:space="0" w:color="A293C9" w:themeColor="accent2" w:themeTint="99"/>
        </w:tcBorders>
      </w:tcPr>
    </w:tblStylePr>
    <w:tblStylePr w:type="firstCol">
      <w:rPr>
        <w:b/>
        <w:bCs/>
      </w:rPr>
    </w:tblStylePr>
    <w:tblStylePr w:type="lastCol">
      <w:rPr>
        <w:b/>
        <w:bCs/>
      </w:rPr>
    </w:tblStylePr>
    <w:tblStylePr w:type="band1Vert">
      <w:tblPr/>
      <w:tcPr>
        <w:shd w:val="clear" w:color="auto" w:fill="E0DBED" w:themeFill="accent2" w:themeFillTint="33"/>
      </w:tcPr>
    </w:tblStylePr>
    <w:tblStylePr w:type="band1Horz">
      <w:tblPr/>
      <w:tcPr>
        <w:shd w:val="clear" w:color="auto" w:fill="E0DBED" w:themeFill="accent2" w:themeFillTint="33"/>
      </w:tcPr>
    </w:tblStylePr>
  </w:style>
  <w:style w:type="table" w:styleId="GridTable7Colorful-Accent1">
    <w:name w:val="Grid Table 7 Colorful Accent 1"/>
    <w:basedOn w:val="TableNormal"/>
    <w:uiPriority w:val="52"/>
    <w:rsid w:val="003100BE"/>
    <w:pPr>
      <w:spacing w:after="0" w:line="240" w:lineRule="auto"/>
    </w:pPr>
    <w:rPr>
      <w:color w:val="4D3C77" w:themeColor="accent1" w:themeShade="BF"/>
    </w:rPr>
    <w:tblPr>
      <w:tblStyleRowBandSize w:val="1"/>
      <w:tblStyleColBandSize w:val="1"/>
      <w:tblBorders>
        <w:top w:val="single" w:sz="4" w:space="0" w:color="A293C9" w:themeColor="accent1" w:themeTint="99"/>
        <w:left w:val="single" w:sz="4" w:space="0" w:color="A293C9" w:themeColor="accent1" w:themeTint="99"/>
        <w:bottom w:val="single" w:sz="4" w:space="0" w:color="A293C9" w:themeColor="accent1" w:themeTint="99"/>
        <w:right w:val="single" w:sz="4" w:space="0" w:color="A293C9" w:themeColor="accent1" w:themeTint="99"/>
        <w:insideH w:val="single" w:sz="4" w:space="0" w:color="A293C9" w:themeColor="accent1" w:themeTint="99"/>
        <w:insideV w:val="single" w:sz="4" w:space="0" w:color="A293C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DBED" w:themeFill="accent1" w:themeFillTint="33"/>
      </w:tcPr>
    </w:tblStylePr>
    <w:tblStylePr w:type="band1Horz">
      <w:tblPr/>
      <w:tcPr>
        <w:shd w:val="clear" w:color="auto" w:fill="E0DBED" w:themeFill="accent1" w:themeFillTint="33"/>
      </w:tcPr>
    </w:tblStylePr>
    <w:tblStylePr w:type="neCell">
      <w:tblPr/>
      <w:tcPr>
        <w:tcBorders>
          <w:bottom w:val="single" w:sz="4" w:space="0" w:color="A293C9" w:themeColor="accent1" w:themeTint="99"/>
        </w:tcBorders>
      </w:tcPr>
    </w:tblStylePr>
    <w:tblStylePr w:type="nwCell">
      <w:tblPr/>
      <w:tcPr>
        <w:tcBorders>
          <w:bottom w:val="single" w:sz="4" w:space="0" w:color="A293C9" w:themeColor="accent1" w:themeTint="99"/>
        </w:tcBorders>
      </w:tcPr>
    </w:tblStylePr>
    <w:tblStylePr w:type="seCell">
      <w:tblPr/>
      <w:tcPr>
        <w:tcBorders>
          <w:top w:val="single" w:sz="4" w:space="0" w:color="A293C9" w:themeColor="accent1" w:themeTint="99"/>
        </w:tcBorders>
      </w:tcPr>
    </w:tblStylePr>
    <w:tblStylePr w:type="swCell">
      <w:tblPr/>
      <w:tcPr>
        <w:tcBorders>
          <w:top w:val="single" w:sz="4" w:space="0" w:color="A293C9" w:themeColor="accent1" w:themeTint="99"/>
        </w:tcBorders>
      </w:tcPr>
    </w:tblStylePr>
  </w:style>
  <w:style w:type="table" w:styleId="GridTable3-Accent1">
    <w:name w:val="Grid Table 3 Accent 1"/>
    <w:basedOn w:val="TableNormal"/>
    <w:uiPriority w:val="48"/>
    <w:rsid w:val="001B31B6"/>
    <w:pPr>
      <w:spacing w:after="0" w:line="240" w:lineRule="auto"/>
    </w:pPr>
    <w:tblPr>
      <w:tblStyleRowBandSize w:val="1"/>
      <w:tblStyleColBandSize w:val="1"/>
      <w:tblBorders>
        <w:top w:val="single" w:sz="4" w:space="0" w:color="A293C9" w:themeColor="accent1" w:themeTint="99"/>
        <w:left w:val="single" w:sz="4" w:space="0" w:color="A293C9" w:themeColor="accent1" w:themeTint="99"/>
        <w:bottom w:val="single" w:sz="4" w:space="0" w:color="A293C9" w:themeColor="accent1" w:themeTint="99"/>
        <w:right w:val="single" w:sz="4" w:space="0" w:color="A293C9" w:themeColor="accent1" w:themeTint="99"/>
        <w:insideH w:val="single" w:sz="4" w:space="0" w:color="A293C9" w:themeColor="accent1" w:themeTint="99"/>
        <w:insideV w:val="single" w:sz="4" w:space="0" w:color="A293C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DBED" w:themeFill="accent1" w:themeFillTint="33"/>
      </w:tcPr>
    </w:tblStylePr>
    <w:tblStylePr w:type="band1Horz">
      <w:tblPr/>
      <w:tcPr>
        <w:shd w:val="clear" w:color="auto" w:fill="E0DBED" w:themeFill="accent1" w:themeFillTint="33"/>
      </w:tcPr>
    </w:tblStylePr>
    <w:tblStylePr w:type="neCell">
      <w:tblPr/>
      <w:tcPr>
        <w:tcBorders>
          <w:bottom w:val="single" w:sz="4" w:space="0" w:color="A293C9" w:themeColor="accent1" w:themeTint="99"/>
        </w:tcBorders>
      </w:tcPr>
    </w:tblStylePr>
    <w:tblStylePr w:type="nwCell">
      <w:tblPr/>
      <w:tcPr>
        <w:tcBorders>
          <w:bottom w:val="single" w:sz="4" w:space="0" w:color="A293C9" w:themeColor="accent1" w:themeTint="99"/>
        </w:tcBorders>
      </w:tcPr>
    </w:tblStylePr>
    <w:tblStylePr w:type="seCell">
      <w:tblPr/>
      <w:tcPr>
        <w:tcBorders>
          <w:top w:val="single" w:sz="4" w:space="0" w:color="A293C9" w:themeColor="accent1" w:themeTint="99"/>
        </w:tcBorders>
      </w:tcPr>
    </w:tblStylePr>
    <w:tblStylePr w:type="swCell">
      <w:tblPr/>
      <w:tcPr>
        <w:tcBorders>
          <w:top w:val="single" w:sz="4" w:space="0" w:color="A293C9" w:themeColor="accent1" w:themeTint="99"/>
        </w:tcBorders>
      </w:tcPr>
    </w:tblStylePr>
  </w:style>
  <w:style w:type="table" w:styleId="PlainTable2">
    <w:name w:val="Plain Table 2"/>
    <w:basedOn w:val="TableNormal"/>
    <w:uiPriority w:val="41"/>
    <w:rsid w:val="001B31B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Mention">
    <w:name w:val="Mention"/>
    <w:basedOn w:val="DefaultParagraphFont"/>
    <w:uiPriority w:val="99"/>
    <w:semiHidden/>
    <w:unhideWhenUsed/>
    <w:rsid w:val="001C251E"/>
    <w:rPr>
      <w:color w:val="2B579A"/>
      <w:shd w:val="clear" w:color="auto" w:fill="E6E6E6"/>
    </w:rPr>
  </w:style>
  <w:style w:type="character" w:customStyle="1" w:styleId="UnresolvedMention">
    <w:name w:val="Unresolved Mention"/>
    <w:basedOn w:val="DefaultParagraphFont"/>
    <w:uiPriority w:val="99"/>
    <w:semiHidden/>
    <w:unhideWhenUsed/>
    <w:rsid w:val="00825ABC"/>
    <w:rPr>
      <w:color w:val="808080"/>
      <w:shd w:val="clear" w:color="auto" w:fill="E6E6E6"/>
    </w:rPr>
  </w:style>
  <w:style w:type="paragraph" w:customStyle="1" w:styleId="Default">
    <w:name w:val="Default"/>
    <w:rsid w:val="00767C0A"/>
    <w:pPr>
      <w:autoSpaceDE w:val="0"/>
      <w:autoSpaceDN w:val="0"/>
      <w:adjustRightInd w:val="0"/>
      <w:spacing w:before="0" w:after="0" w:line="240" w:lineRule="auto"/>
    </w:pPr>
    <w:rPr>
      <w:rFonts w:ascii="Calibri" w:eastAsia="SimSun" w:hAnsi="Calibri" w:cs="Calibri"/>
      <w:color w:val="000000"/>
      <w:sz w:val="24"/>
      <w:szCs w:val="24"/>
      <w:lang w:val="en-AU" w:eastAsia="en-GB"/>
    </w:rPr>
  </w:style>
  <w:style w:type="table" w:customStyle="1" w:styleId="PlainTable21">
    <w:name w:val="Plain Table 21"/>
    <w:basedOn w:val="TableNormal"/>
    <w:uiPriority w:val="42"/>
    <w:rsid w:val="004A4F50"/>
    <w:pPr>
      <w:spacing w:before="0" w:after="0" w:line="240" w:lineRule="auto"/>
    </w:pPr>
    <w:rPr>
      <w:color w:val="auto"/>
      <w:sz w:val="22"/>
      <w:szCs w:val="22"/>
      <w:lang w:val="en-AU"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msoorganizationname2">
    <w:name w:val="msoorganizationname2"/>
    <w:rsid w:val="006C3496"/>
    <w:pPr>
      <w:spacing w:before="0" w:after="0" w:line="240" w:lineRule="auto"/>
      <w:jc w:val="right"/>
    </w:pPr>
    <w:rPr>
      <w:rFonts w:ascii="Lucida Sans" w:eastAsia="Times New Roman" w:hAnsi="Lucida Sans" w:cs="Times New Roman"/>
      <w:b/>
      <w:bCs/>
      <w:color w:val="FFFFFF"/>
      <w:kern w:val="28"/>
      <w:lang w:eastAsia="en-US"/>
    </w:rPr>
  </w:style>
  <w:style w:type="table" w:styleId="GridTable1Light-Accent3">
    <w:name w:val="Grid Table 1 Light Accent 3"/>
    <w:basedOn w:val="TableNormal"/>
    <w:uiPriority w:val="46"/>
    <w:rsid w:val="00DF4F0C"/>
    <w:pPr>
      <w:spacing w:after="0" w:line="240" w:lineRule="auto"/>
    </w:pPr>
    <w:tblPr>
      <w:tblStyleRowBandSize w:val="1"/>
      <w:tblStyleColBandSize w:val="1"/>
      <w:tblBorders>
        <w:top w:val="single" w:sz="4" w:space="0" w:color="C1B7DB" w:themeColor="accent3" w:themeTint="66"/>
        <w:left w:val="single" w:sz="4" w:space="0" w:color="C1B7DB" w:themeColor="accent3" w:themeTint="66"/>
        <w:bottom w:val="single" w:sz="4" w:space="0" w:color="C1B7DB" w:themeColor="accent3" w:themeTint="66"/>
        <w:right w:val="single" w:sz="4" w:space="0" w:color="C1B7DB" w:themeColor="accent3" w:themeTint="66"/>
        <w:insideH w:val="single" w:sz="4" w:space="0" w:color="C1B7DB" w:themeColor="accent3" w:themeTint="66"/>
        <w:insideV w:val="single" w:sz="4" w:space="0" w:color="C1B7DB" w:themeColor="accent3" w:themeTint="66"/>
      </w:tblBorders>
    </w:tblPr>
    <w:tblStylePr w:type="firstRow">
      <w:rPr>
        <w:b/>
        <w:bCs/>
      </w:rPr>
      <w:tblPr/>
      <w:tcPr>
        <w:tcBorders>
          <w:bottom w:val="single" w:sz="12" w:space="0" w:color="A293C9" w:themeColor="accent3" w:themeTint="99"/>
        </w:tcBorders>
      </w:tcPr>
    </w:tblStylePr>
    <w:tblStylePr w:type="lastRow">
      <w:rPr>
        <w:b/>
        <w:bCs/>
      </w:rPr>
      <w:tblPr/>
      <w:tcPr>
        <w:tcBorders>
          <w:top w:val="double" w:sz="2" w:space="0" w:color="A293C9"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901295">
      <w:bodyDiv w:val="1"/>
      <w:marLeft w:val="0"/>
      <w:marRight w:val="0"/>
      <w:marTop w:val="0"/>
      <w:marBottom w:val="0"/>
      <w:divBdr>
        <w:top w:val="none" w:sz="0" w:space="0" w:color="auto"/>
        <w:left w:val="none" w:sz="0" w:space="0" w:color="auto"/>
        <w:bottom w:val="none" w:sz="0" w:space="0" w:color="auto"/>
        <w:right w:val="none" w:sz="0" w:space="0" w:color="auto"/>
      </w:divBdr>
    </w:div>
    <w:div w:id="188372712">
      <w:bodyDiv w:val="1"/>
      <w:marLeft w:val="0"/>
      <w:marRight w:val="0"/>
      <w:marTop w:val="0"/>
      <w:marBottom w:val="0"/>
      <w:divBdr>
        <w:top w:val="none" w:sz="0" w:space="0" w:color="auto"/>
        <w:left w:val="none" w:sz="0" w:space="0" w:color="auto"/>
        <w:bottom w:val="none" w:sz="0" w:space="0" w:color="auto"/>
        <w:right w:val="none" w:sz="0" w:space="0" w:color="auto"/>
      </w:divBdr>
    </w:div>
    <w:div w:id="240532933">
      <w:bodyDiv w:val="1"/>
      <w:marLeft w:val="0"/>
      <w:marRight w:val="0"/>
      <w:marTop w:val="0"/>
      <w:marBottom w:val="0"/>
      <w:divBdr>
        <w:top w:val="none" w:sz="0" w:space="0" w:color="auto"/>
        <w:left w:val="none" w:sz="0" w:space="0" w:color="auto"/>
        <w:bottom w:val="none" w:sz="0" w:space="0" w:color="auto"/>
        <w:right w:val="none" w:sz="0" w:space="0" w:color="auto"/>
      </w:divBdr>
    </w:div>
    <w:div w:id="273169213">
      <w:bodyDiv w:val="1"/>
      <w:marLeft w:val="0"/>
      <w:marRight w:val="0"/>
      <w:marTop w:val="0"/>
      <w:marBottom w:val="0"/>
      <w:divBdr>
        <w:top w:val="none" w:sz="0" w:space="0" w:color="auto"/>
        <w:left w:val="none" w:sz="0" w:space="0" w:color="auto"/>
        <w:bottom w:val="none" w:sz="0" w:space="0" w:color="auto"/>
        <w:right w:val="none" w:sz="0" w:space="0" w:color="auto"/>
      </w:divBdr>
    </w:div>
    <w:div w:id="347021898">
      <w:bodyDiv w:val="1"/>
      <w:marLeft w:val="0"/>
      <w:marRight w:val="0"/>
      <w:marTop w:val="0"/>
      <w:marBottom w:val="0"/>
      <w:divBdr>
        <w:top w:val="none" w:sz="0" w:space="0" w:color="auto"/>
        <w:left w:val="none" w:sz="0" w:space="0" w:color="auto"/>
        <w:bottom w:val="none" w:sz="0" w:space="0" w:color="auto"/>
        <w:right w:val="none" w:sz="0" w:space="0" w:color="auto"/>
      </w:divBdr>
    </w:div>
    <w:div w:id="426462641">
      <w:bodyDiv w:val="1"/>
      <w:marLeft w:val="0"/>
      <w:marRight w:val="0"/>
      <w:marTop w:val="0"/>
      <w:marBottom w:val="0"/>
      <w:divBdr>
        <w:top w:val="none" w:sz="0" w:space="0" w:color="auto"/>
        <w:left w:val="none" w:sz="0" w:space="0" w:color="auto"/>
        <w:bottom w:val="none" w:sz="0" w:space="0" w:color="auto"/>
        <w:right w:val="none" w:sz="0" w:space="0" w:color="auto"/>
      </w:divBdr>
      <w:divsChild>
        <w:div w:id="1017271077">
          <w:marLeft w:val="0"/>
          <w:marRight w:val="0"/>
          <w:marTop w:val="0"/>
          <w:marBottom w:val="0"/>
          <w:divBdr>
            <w:top w:val="none" w:sz="0" w:space="0" w:color="auto"/>
            <w:left w:val="none" w:sz="0" w:space="0" w:color="auto"/>
            <w:bottom w:val="none" w:sz="0" w:space="0" w:color="auto"/>
            <w:right w:val="none" w:sz="0" w:space="0" w:color="auto"/>
          </w:divBdr>
          <w:divsChild>
            <w:div w:id="1839926921">
              <w:marLeft w:val="0"/>
              <w:marRight w:val="0"/>
              <w:marTop w:val="0"/>
              <w:marBottom w:val="0"/>
              <w:divBdr>
                <w:top w:val="none" w:sz="0" w:space="0" w:color="auto"/>
                <w:left w:val="none" w:sz="0" w:space="0" w:color="auto"/>
                <w:bottom w:val="none" w:sz="0" w:space="0" w:color="auto"/>
                <w:right w:val="none" w:sz="0" w:space="0" w:color="auto"/>
              </w:divBdr>
              <w:divsChild>
                <w:div w:id="1803889406">
                  <w:marLeft w:val="0"/>
                  <w:marRight w:val="0"/>
                  <w:marTop w:val="0"/>
                  <w:marBottom w:val="0"/>
                  <w:divBdr>
                    <w:top w:val="none" w:sz="0" w:space="0" w:color="auto"/>
                    <w:left w:val="none" w:sz="0" w:space="0" w:color="auto"/>
                    <w:bottom w:val="none" w:sz="0" w:space="0" w:color="auto"/>
                    <w:right w:val="none" w:sz="0" w:space="0" w:color="auto"/>
                  </w:divBdr>
                  <w:divsChild>
                    <w:div w:id="54063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697444">
          <w:marLeft w:val="0"/>
          <w:marRight w:val="0"/>
          <w:marTop w:val="0"/>
          <w:marBottom w:val="0"/>
          <w:divBdr>
            <w:top w:val="none" w:sz="0" w:space="0" w:color="auto"/>
            <w:left w:val="none" w:sz="0" w:space="0" w:color="auto"/>
            <w:bottom w:val="none" w:sz="0" w:space="0" w:color="auto"/>
            <w:right w:val="none" w:sz="0" w:space="0" w:color="auto"/>
          </w:divBdr>
          <w:divsChild>
            <w:div w:id="421410734">
              <w:marLeft w:val="0"/>
              <w:marRight w:val="0"/>
              <w:marTop w:val="0"/>
              <w:marBottom w:val="0"/>
              <w:divBdr>
                <w:top w:val="none" w:sz="0" w:space="0" w:color="auto"/>
                <w:left w:val="none" w:sz="0" w:space="0" w:color="auto"/>
                <w:bottom w:val="none" w:sz="0" w:space="0" w:color="auto"/>
                <w:right w:val="none" w:sz="0" w:space="0" w:color="auto"/>
              </w:divBdr>
              <w:divsChild>
                <w:div w:id="2032489955">
                  <w:marLeft w:val="0"/>
                  <w:marRight w:val="0"/>
                  <w:marTop w:val="0"/>
                  <w:marBottom w:val="0"/>
                  <w:divBdr>
                    <w:top w:val="none" w:sz="0" w:space="0" w:color="auto"/>
                    <w:left w:val="none" w:sz="0" w:space="0" w:color="auto"/>
                    <w:bottom w:val="none" w:sz="0" w:space="0" w:color="auto"/>
                    <w:right w:val="none" w:sz="0" w:space="0" w:color="auto"/>
                  </w:divBdr>
                  <w:divsChild>
                    <w:div w:id="12137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311624">
          <w:marLeft w:val="0"/>
          <w:marRight w:val="0"/>
          <w:marTop w:val="0"/>
          <w:marBottom w:val="0"/>
          <w:divBdr>
            <w:top w:val="none" w:sz="0" w:space="0" w:color="auto"/>
            <w:left w:val="none" w:sz="0" w:space="0" w:color="auto"/>
            <w:bottom w:val="none" w:sz="0" w:space="0" w:color="auto"/>
            <w:right w:val="none" w:sz="0" w:space="0" w:color="auto"/>
          </w:divBdr>
          <w:divsChild>
            <w:div w:id="1132556849">
              <w:marLeft w:val="0"/>
              <w:marRight w:val="0"/>
              <w:marTop w:val="0"/>
              <w:marBottom w:val="0"/>
              <w:divBdr>
                <w:top w:val="none" w:sz="0" w:space="0" w:color="auto"/>
                <w:left w:val="none" w:sz="0" w:space="0" w:color="auto"/>
                <w:bottom w:val="none" w:sz="0" w:space="0" w:color="auto"/>
                <w:right w:val="none" w:sz="0" w:space="0" w:color="auto"/>
              </w:divBdr>
              <w:divsChild>
                <w:div w:id="1004211926">
                  <w:marLeft w:val="0"/>
                  <w:marRight w:val="0"/>
                  <w:marTop w:val="0"/>
                  <w:marBottom w:val="0"/>
                  <w:divBdr>
                    <w:top w:val="none" w:sz="0" w:space="0" w:color="auto"/>
                    <w:left w:val="none" w:sz="0" w:space="0" w:color="auto"/>
                    <w:bottom w:val="none" w:sz="0" w:space="0" w:color="auto"/>
                    <w:right w:val="none" w:sz="0" w:space="0" w:color="auto"/>
                  </w:divBdr>
                  <w:divsChild>
                    <w:div w:id="110488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724747">
      <w:bodyDiv w:val="1"/>
      <w:marLeft w:val="0"/>
      <w:marRight w:val="0"/>
      <w:marTop w:val="0"/>
      <w:marBottom w:val="0"/>
      <w:divBdr>
        <w:top w:val="none" w:sz="0" w:space="0" w:color="auto"/>
        <w:left w:val="none" w:sz="0" w:space="0" w:color="auto"/>
        <w:bottom w:val="none" w:sz="0" w:space="0" w:color="auto"/>
        <w:right w:val="none" w:sz="0" w:space="0" w:color="auto"/>
      </w:divBdr>
    </w:div>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1075663524">
      <w:bodyDiv w:val="1"/>
      <w:marLeft w:val="0"/>
      <w:marRight w:val="0"/>
      <w:marTop w:val="0"/>
      <w:marBottom w:val="0"/>
      <w:divBdr>
        <w:top w:val="none" w:sz="0" w:space="0" w:color="auto"/>
        <w:left w:val="none" w:sz="0" w:space="0" w:color="auto"/>
        <w:bottom w:val="none" w:sz="0" w:space="0" w:color="auto"/>
        <w:right w:val="none" w:sz="0" w:space="0" w:color="auto"/>
      </w:divBdr>
    </w:div>
    <w:div w:id="1191453148">
      <w:bodyDiv w:val="1"/>
      <w:marLeft w:val="0"/>
      <w:marRight w:val="0"/>
      <w:marTop w:val="0"/>
      <w:marBottom w:val="0"/>
      <w:divBdr>
        <w:top w:val="none" w:sz="0" w:space="0" w:color="auto"/>
        <w:left w:val="none" w:sz="0" w:space="0" w:color="auto"/>
        <w:bottom w:val="none" w:sz="0" w:space="0" w:color="auto"/>
        <w:right w:val="none" w:sz="0" w:space="0" w:color="auto"/>
      </w:divBdr>
    </w:div>
    <w:div w:id="1267425560">
      <w:bodyDiv w:val="1"/>
      <w:marLeft w:val="0"/>
      <w:marRight w:val="0"/>
      <w:marTop w:val="0"/>
      <w:marBottom w:val="0"/>
      <w:divBdr>
        <w:top w:val="none" w:sz="0" w:space="0" w:color="auto"/>
        <w:left w:val="none" w:sz="0" w:space="0" w:color="auto"/>
        <w:bottom w:val="none" w:sz="0" w:space="0" w:color="auto"/>
        <w:right w:val="none" w:sz="0" w:space="0" w:color="auto"/>
      </w:divBdr>
    </w:div>
    <w:div w:id="1306550871">
      <w:bodyDiv w:val="1"/>
      <w:marLeft w:val="0"/>
      <w:marRight w:val="0"/>
      <w:marTop w:val="0"/>
      <w:marBottom w:val="0"/>
      <w:divBdr>
        <w:top w:val="none" w:sz="0" w:space="0" w:color="auto"/>
        <w:left w:val="none" w:sz="0" w:space="0" w:color="auto"/>
        <w:bottom w:val="none" w:sz="0" w:space="0" w:color="auto"/>
        <w:right w:val="none" w:sz="0" w:space="0" w:color="auto"/>
      </w:divBdr>
    </w:div>
    <w:div w:id="1403523902">
      <w:bodyDiv w:val="1"/>
      <w:marLeft w:val="0"/>
      <w:marRight w:val="0"/>
      <w:marTop w:val="0"/>
      <w:marBottom w:val="0"/>
      <w:divBdr>
        <w:top w:val="none" w:sz="0" w:space="0" w:color="auto"/>
        <w:left w:val="none" w:sz="0" w:space="0" w:color="auto"/>
        <w:bottom w:val="none" w:sz="0" w:space="0" w:color="auto"/>
        <w:right w:val="none" w:sz="0" w:space="0" w:color="auto"/>
      </w:divBdr>
      <w:divsChild>
        <w:div w:id="1412921461">
          <w:marLeft w:val="432"/>
          <w:marRight w:val="0"/>
          <w:marTop w:val="130"/>
          <w:marBottom w:val="0"/>
          <w:divBdr>
            <w:top w:val="none" w:sz="0" w:space="0" w:color="auto"/>
            <w:left w:val="none" w:sz="0" w:space="0" w:color="auto"/>
            <w:bottom w:val="none" w:sz="0" w:space="0" w:color="auto"/>
            <w:right w:val="none" w:sz="0" w:space="0" w:color="auto"/>
          </w:divBdr>
        </w:div>
        <w:div w:id="958610669">
          <w:marLeft w:val="432"/>
          <w:marRight w:val="0"/>
          <w:marTop w:val="130"/>
          <w:marBottom w:val="0"/>
          <w:divBdr>
            <w:top w:val="none" w:sz="0" w:space="0" w:color="auto"/>
            <w:left w:val="none" w:sz="0" w:space="0" w:color="auto"/>
            <w:bottom w:val="none" w:sz="0" w:space="0" w:color="auto"/>
            <w:right w:val="none" w:sz="0" w:space="0" w:color="auto"/>
          </w:divBdr>
        </w:div>
        <w:div w:id="1848865825">
          <w:marLeft w:val="432"/>
          <w:marRight w:val="0"/>
          <w:marTop w:val="130"/>
          <w:marBottom w:val="0"/>
          <w:divBdr>
            <w:top w:val="none" w:sz="0" w:space="0" w:color="auto"/>
            <w:left w:val="none" w:sz="0" w:space="0" w:color="auto"/>
            <w:bottom w:val="none" w:sz="0" w:space="0" w:color="auto"/>
            <w:right w:val="none" w:sz="0" w:space="0" w:color="auto"/>
          </w:divBdr>
        </w:div>
      </w:divsChild>
    </w:div>
    <w:div w:id="1582064811">
      <w:bodyDiv w:val="1"/>
      <w:marLeft w:val="0"/>
      <w:marRight w:val="0"/>
      <w:marTop w:val="0"/>
      <w:marBottom w:val="0"/>
      <w:divBdr>
        <w:top w:val="none" w:sz="0" w:space="0" w:color="auto"/>
        <w:left w:val="none" w:sz="0" w:space="0" w:color="auto"/>
        <w:bottom w:val="none" w:sz="0" w:space="0" w:color="auto"/>
        <w:right w:val="none" w:sz="0" w:space="0" w:color="auto"/>
      </w:divBdr>
      <w:divsChild>
        <w:div w:id="1996716518">
          <w:marLeft w:val="0"/>
          <w:marRight w:val="0"/>
          <w:marTop w:val="0"/>
          <w:marBottom w:val="0"/>
          <w:divBdr>
            <w:top w:val="none" w:sz="0" w:space="0" w:color="auto"/>
            <w:left w:val="none" w:sz="0" w:space="0" w:color="auto"/>
            <w:bottom w:val="none" w:sz="0" w:space="0" w:color="auto"/>
            <w:right w:val="none" w:sz="0" w:space="0" w:color="auto"/>
          </w:divBdr>
        </w:div>
        <w:div w:id="682587300">
          <w:marLeft w:val="0"/>
          <w:marRight w:val="0"/>
          <w:marTop w:val="0"/>
          <w:marBottom w:val="0"/>
          <w:divBdr>
            <w:top w:val="none" w:sz="0" w:space="0" w:color="auto"/>
            <w:left w:val="none" w:sz="0" w:space="0" w:color="auto"/>
            <w:bottom w:val="none" w:sz="0" w:space="0" w:color="auto"/>
            <w:right w:val="none" w:sz="0" w:space="0" w:color="auto"/>
          </w:divBdr>
        </w:div>
      </w:divsChild>
    </w:div>
    <w:div w:id="1636523608">
      <w:bodyDiv w:val="1"/>
      <w:marLeft w:val="0"/>
      <w:marRight w:val="0"/>
      <w:marTop w:val="0"/>
      <w:marBottom w:val="0"/>
      <w:divBdr>
        <w:top w:val="none" w:sz="0" w:space="0" w:color="auto"/>
        <w:left w:val="none" w:sz="0" w:space="0" w:color="auto"/>
        <w:bottom w:val="none" w:sz="0" w:space="0" w:color="auto"/>
        <w:right w:val="none" w:sz="0" w:space="0" w:color="auto"/>
      </w:divBdr>
    </w:div>
    <w:div w:id="1662196417">
      <w:bodyDiv w:val="1"/>
      <w:marLeft w:val="0"/>
      <w:marRight w:val="0"/>
      <w:marTop w:val="0"/>
      <w:marBottom w:val="0"/>
      <w:divBdr>
        <w:top w:val="none" w:sz="0" w:space="0" w:color="auto"/>
        <w:left w:val="none" w:sz="0" w:space="0" w:color="auto"/>
        <w:bottom w:val="none" w:sz="0" w:space="0" w:color="auto"/>
        <w:right w:val="none" w:sz="0" w:space="0" w:color="auto"/>
      </w:divBdr>
    </w:div>
    <w:div w:id="1675111111">
      <w:bodyDiv w:val="1"/>
      <w:marLeft w:val="0"/>
      <w:marRight w:val="0"/>
      <w:marTop w:val="0"/>
      <w:marBottom w:val="0"/>
      <w:divBdr>
        <w:top w:val="none" w:sz="0" w:space="0" w:color="auto"/>
        <w:left w:val="none" w:sz="0" w:space="0" w:color="auto"/>
        <w:bottom w:val="none" w:sz="0" w:space="0" w:color="auto"/>
        <w:right w:val="none" w:sz="0" w:space="0" w:color="auto"/>
      </w:divBdr>
    </w:div>
    <w:div w:id="1711223216">
      <w:bodyDiv w:val="1"/>
      <w:marLeft w:val="0"/>
      <w:marRight w:val="0"/>
      <w:marTop w:val="0"/>
      <w:marBottom w:val="0"/>
      <w:divBdr>
        <w:top w:val="none" w:sz="0" w:space="0" w:color="auto"/>
        <w:left w:val="none" w:sz="0" w:space="0" w:color="auto"/>
        <w:bottom w:val="none" w:sz="0" w:space="0" w:color="auto"/>
        <w:right w:val="none" w:sz="0" w:space="0" w:color="auto"/>
      </w:divBdr>
    </w:div>
    <w:div w:id="1717657899">
      <w:bodyDiv w:val="1"/>
      <w:marLeft w:val="0"/>
      <w:marRight w:val="0"/>
      <w:marTop w:val="0"/>
      <w:marBottom w:val="0"/>
      <w:divBdr>
        <w:top w:val="none" w:sz="0" w:space="0" w:color="auto"/>
        <w:left w:val="none" w:sz="0" w:space="0" w:color="auto"/>
        <w:bottom w:val="none" w:sz="0" w:space="0" w:color="auto"/>
        <w:right w:val="none" w:sz="0" w:space="0" w:color="auto"/>
      </w:divBdr>
    </w:div>
    <w:div w:id="1735011012">
      <w:bodyDiv w:val="1"/>
      <w:marLeft w:val="0"/>
      <w:marRight w:val="0"/>
      <w:marTop w:val="0"/>
      <w:marBottom w:val="0"/>
      <w:divBdr>
        <w:top w:val="none" w:sz="0" w:space="0" w:color="auto"/>
        <w:left w:val="none" w:sz="0" w:space="0" w:color="auto"/>
        <w:bottom w:val="none" w:sz="0" w:space="0" w:color="auto"/>
        <w:right w:val="none" w:sz="0" w:space="0" w:color="auto"/>
      </w:divBdr>
    </w:div>
    <w:div w:id="1800798405">
      <w:bodyDiv w:val="1"/>
      <w:marLeft w:val="0"/>
      <w:marRight w:val="0"/>
      <w:marTop w:val="0"/>
      <w:marBottom w:val="0"/>
      <w:divBdr>
        <w:top w:val="none" w:sz="0" w:space="0" w:color="auto"/>
        <w:left w:val="none" w:sz="0" w:space="0" w:color="auto"/>
        <w:bottom w:val="none" w:sz="0" w:space="0" w:color="auto"/>
        <w:right w:val="none" w:sz="0" w:space="0" w:color="auto"/>
      </w:divBdr>
    </w:div>
    <w:div w:id="1815634588">
      <w:bodyDiv w:val="1"/>
      <w:marLeft w:val="0"/>
      <w:marRight w:val="0"/>
      <w:marTop w:val="0"/>
      <w:marBottom w:val="0"/>
      <w:divBdr>
        <w:top w:val="none" w:sz="0" w:space="0" w:color="auto"/>
        <w:left w:val="none" w:sz="0" w:space="0" w:color="auto"/>
        <w:bottom w:val="none" w:sz="0" w:space="0" w:color="auto"/>
        <w:right w:val="none" w:sz="0" w:space="0" w:color="auto"/>
      </w:divBdr>
    </w:div>
    <w:div w:id="1966620691">
      <w:bodyDiv w:val="1"/>
      <w:marLeft w:val="0"/>
      <w:marRight w:val="0"/>
      <w:marTop w:val="0"/>
      <w:marBottom w:val="0"/>
      <w:divBdr>
        <w:top w:val="none" w:sz="0" w:space="0" w:color="auto"/>
        <w:left w:val="none" w:sz="0" w:space="0" w:color="auto"/>
        <w:bottom w:val="none" w:sz="0" w:space="0" w:color="auto"/>
        <w:right w:val="none" w:sz="0" w:space="0" w:color="auto"/>
      </w:divBdr>
    </w:div>
    <w:div w:id="2033408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webSettings" Target="webSettings.xml"/><Relationship Id="rId18" Type="http://schemas.openxmlformats.org/officeDocument/2006/relationships/image" Target="media/image3.png"/><Relationship Id="rId26" Type="http://schemas.openxmlformats.org/officeDocument/2006/relationships/hyperlink" Target="https://www.instagram.com/ausee_inc/" TargetMode="External"/><Relationship Id="rId3" Type="http://schemas.openxmlformats.org/officeDocument/2006/relationships/customXml" Target="../customXml/item3.xml"/><Relationship Id="rId21" Type="http://schemas.openxmlformats.org/officeDocument/2006/relationships/hyperlink" Target="mailto:admin@ausee.org" TargetMode="External"/><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image" Target="media/image2.png"/><Relationship Id="rId25" Type="http://schemas.openxmlformats.org/officeDocument/2006/relationships/hyperlink" Target="https://twitter.com/auseeorg" TargetMode="External"/><Relationship Id="rId2" Type="http://schemas.openxmlformats.org/officeDocument/2006/relationships/customXml" Target="../customXml/item2.xml"/><Relationship Id="rId16" Type="http://schemas.openxmlformats.org/officeDocument/2006/relationships/image" Target="media/image1.gif"/><Relationship Id="rId20" Type="http://schemas.openxmlformats.org/officeDocument/2006/relationships/footer" Target="footer1.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24" Type="http://schemas.openxmlformats.org/officeDocument/2006/relationships/hyperlink" Target="https://www.facebook.com/ausEEInc" TargetMode="External"/><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hyperlink" Target="http://www.eosaware.com" TargetMode="External"/><Relationship Id="rId28" Type="http://schemas.openxmlformats.org/officeDocument/2006/relationships/header" Target="header2.xml"/><Relationship Id="rId10" Type="http://schemas.openxmlformats.org/officeDocument/2006/relationships/numbering" Target="numbering.xml"/><Relationship Id="rId19" Type="http://schemas.openxmlformats.org/officeDocument/2006/relationships/header" Target="header1.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footnotes" Target="footnotes.xml"/><Relationship Id="rId22" Type="http://schemas.openxmlformats.org/officeDocument/2006/relationships/hyperlink" Target="http://www.ausee.org" TargetMode="External"/><Relationship Id="rId27" Type="http://schemas.openxmlformats.org/officeDocument/2006/relationships/hyperlink" Target="https://www.linkedin.com/company/ausee-inc/" TargetMode="Externa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gastrojournal.org/article/S0016-5085(18)34763-2/fulltext" TargetMode="External"/><Relationship Id="rId7" Type="http://schemas.openxmlformats.org/officeDocument/2006/relationships/hyperlink" Target="https://www.ausee.org/survey-results" TargetMode="External"/><Relationship Id="rId2" Type="http://schemas.openxmlformats.org/officeDocument/2006/relationships/hyperlink" Target="https://www.ausee.org/survey-results" TargetMode="External"/><Relationship Id="rId1" Type="http://schemas.openxmlformats.org/officeDocument/2006/relationships/hyperlink" Target="https://www.ausee.org/whatisegid.htm" TargetMode="External"/><Relationship Id="rId6" Type="http://schemas.openxmlformats.org/officeDocument/2006/relationships/hyperlink" Target="https://www.ausee.org/medicaladvisoryboard.htm" TargetMode="External"/><Relationship Id="rId5" Type="http://schemas.openxmlformats.org/officeDocument/2006/relationships/hyperlink" Target="https://www.ausee.org/survey-results" TargetMode="External"/><Relationship Id="rId4" Type="http://schemas.openxmlformats.org/officeDocument/2006/relationships/hyperlink" Target="https://www.cghjournal.org/article/S1542-3565(18)30804-8/fulltex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vid\AppData\Roaming\Microsoft\Templates\Annual%20report%20with%20cover%20photo%20(Timeless%20design).dotx" TargetMode="External"/></Relationships>
</file>

<file path=word/theme/theme1.xml><?xml version="1.0" encoding="utf-8"?>
<a:theme xmlns:a="http://schemas.openxmlformats.org/drawingml/2006/main" name="Annual Report">
  <a:themeElements>
    <a:clrScheme name="Custom 7">
      <a:dk1>
        <a:sysClr val="windowText" lastClr="000000"/>
      </a:dk1>
      <a:lt1>
        <a:sysClr val="window" lastClr="FFFFFF"/>
      </a:lt1>
      <a:dk2>
        <a:srgbClr val="632E62"/>
      </a:dk2>
      <a:lt2>
        <a:srgbClr val="EAE5EB"/>
      </a:lt2>
      <a:accent1>
        <a:srgbClr val="6750A0"/>
      </a:accent1>
      <a:accent2>
        <a:srgbClr val="6750A0"/>
      </a:accent2>
      <a:accent3>
        <a:srgbClr val="6750A0"/>
      </a:accent3>
      <a:accent4>
        <a:srgbClr val="6750A0"/>
      </a:accent4>
      <a:accent5>
        <a:srgbClr val="6750A0"/>
      </a:accent5>
      <a:accent6>
        <a:srgbClr val="AC2986"/>
      </a:accent6>
      <a:hlink>
        <a:srgbClr val="6750A0"/>
      </a:hlink>
      <a:folHlink>
        <a:srgbClr val="AC298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overPageProperties xmlns="http://schemas.microsoft.com/office/2006/coverPageProps">
  <PublishDate>2016-06-30T00:00:00</PublishDate>
  <Abstract>a charity dedicated to improving lives affected by eosinophilic disorders</Abstract>
  <CompanyAddress/>
  <CompanyPhone/>
  <CompanyFax/>
  <CompanyEmail/>
</CoverPageProperties>
</file>

<file path=customXml/item2.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3.xml><?xml version="1.0" encoding="utf-8"?>
<ct:contentTypeSchema xmlns:ct="http://schemas.microsoft.com/office/2006/metadata/contentType" xmlns:ma="http://schemas.microsoft.com/office/2006/metadata/properties/metaAttributes" ct:_="" ma:_="" ma:contentTypeName="Treasury Document" ma:contentTypeID="0x010100348D01E61E107C4DA4B97E380EA20D470058EB9BF65DAD8C42B8B4A94A1D11A674" ma:contentTypeVersion="32371" ma:contentTypeDescription=" " ma:contentTypeScope="" ma:versionID="70c56e58a7efa92f8b1a56e2e4587d53">
  <xsd:schema xmlns:xsd="http://www.w3.org/2001/XMLSchema" xmlns:xs="http://www.w3.org/2001/XMLSchema" xmlns:p="http://schemas.microsoft.com/office/2006/metadata/properties" xmlns:ns1="http://schemas.microsoft.com/sharepoint/v3" xmlns:ns2="0f563589-9cf9-4143-b1eb-fb0534803d38" xmlns:ns3="e544e5cc-ab70-42e1-849e-1a0f8bb1f4ef" xmlns:ns5="http://schemas.microsoft.com/sharepoint/v4" targetNamespace="http://schemas.microsoft.com/office/2006/metadata/properties" ma:root="true" ma:fieldsID="917efd5f203f4d53a891ba4a2dd250dc" ns1:_="" ns2:_="" ns3:_="" ns5:_="">
    <xsd:import namespace="http://schemas.microsoft.com/sharepoint/v3"/>
    <xsd:import namespace="0f563589-9cf9-4143-b1eb-fb0534803d38"/>
    <xsd:import namespace="e544e5cc-ab70-42e1-849e-1a0f8bb1f4ef"/>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1:_dlc_Exempt" minOccurs="0"/>
                <xsd:element ref="ns3:lb508a4dc5e84436a0fe496b536466aa" minOccurs="0"/>
                <xsd:element ref="ns2:TaxCatchAll" minOccurs="0"/>
                <xsd:element ref="ns2:TaxCatchAllLabel" minOccurs="0"/>
                <xsd:element ref="ns5:IconOverlay" minOccurs="0"/>
                <xsd:element ref="ns1:RoutingTargetPath"/>
                <xsd:element ref="ns1:RoutingTargetFolder"/>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1" nillable="true" ma:displayName="Exempt from Policy" ma:hidden="true" ma:internalName="_dlc_Exempt" ma:readOnly="true">
      <xsd:simpleType>
        <xsd:restriction base="dms:Unknown"/>
      </xsd:simpleType>
    </xsd:element>
    <xsd:element name="RoutingTargetPath" ma:index="18" ma:displayName="Target Path" ma:description="" ma:internalName="RoutingTargetPath">
      <xsd:simpleType>
        <xsd:restriction base="dms:Text">
          <xsd:maxLength value="255"/>
        </xsd:restriction>
      </xsd:simpleType>
    </xsd:element>
    <xsd:element name="RoutingTargetFolder" ma:index="19" ma:displayName="Target Folder" ma:internalName="RoutingTargetFold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9ae0e000-2bfe-436e-bf3a-a243a28c1c18}" ma:internalName="TaxCatchAll" ma:showField="CatchAllData" ma:web="e544e5cc-ab70-42e1-849e-1a0f8bb1f4ef">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9ae0e000-2bfe-436e-bf3a-a243a28c1c18}" ma:internalName="TaxCatchAllLabel" ma:readOnly="true" ma:showField="CatchAllDataLabel" ma:web="e544e5cc-ab70-42e1-849e-1a0f8bb1f4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44e5cc-ab70-42e1-849e-1a0f8bb1f4ef" elementFormDefault="qualified">
    <xsd:import namespace="http://schemas.microsoft.com/office/2006/documentManagement/types"/>
    <xsd:import namespace="http://schemas.microsoft.com/office/infopath/2007/PartnerControls"/>
    <xsd:element name="lb508a4dc5e84436a0fe496b536466aa" ma:index="12" nillable="true" ma:taxonomy="true" ma:internalName="lb508a4dc5e84436a0fe496b536466aa" ma:taxonomyFieldName="TSYRecordClass" ma:displayName="Record Class" ma:readOnly="false" ma:default="7;#TSY RA-8730 - Retain as national archives|77f958b9-774b-411f-8853-551bb899336c"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bb330c83-4366-417f-afba-a14519698ff5" ContentTypeId="0x010100E726210826AA43828690450C811EB923009CA11FFD1E014DF4B1FA162D0F61129800536EFC5E36A043E99FB960C1AA37427A"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Policy Auditing</Name>
    <Synchronization>Synchronous</Synchronization>
    <Type>10001</Type>
    <SequenceNumber>1100</SequenceNumber>
    <Assembly>Microsoft.Office.Policy, Version=14.0.0.0, Culture=neutral, PublicKeyToken=71e9bce111e9429c</Assembly>
    <Class>Microsoft.Office.RecordsManagement.Internal.AuditHandler</Class>
    <Data/>
    <Filter/>
  </Receiver>
  <Receiver>
    <Name>Policy Auditing</Name>
    <Synchronization>Synchronous</Synchronization>
    <Type>10002</Type>
    <SequenceNumber>1101</SequenceNumber>
    <Assembly>Microsoft.Office.Policy, Version=14.0.0.0, Culture=neutral, PublicKeyToken=71e9bce111e9429c</Assembly>
    <Class>Microsoft.Office.RecordsManagement.Internal.AuditHandler</Class>
    <Data/>
    <Filter/>
  </Receiver>
  <Receiver>
    <Name>Policy Auditing</Name>
    <Synchronization>Synchronous</Synchronization>
    <Type>10004</Type>
    <SequenceNumber>1102</SequenceNumber>
    <Assembly>Microsoft.Office.Policy, Version=14.0.0.0, Culture=neutral, PublicKeyToken=71e9bce111e9429c</Assembly>
    <Class>Microsoft.Office.RecordsManagement.Internal.AuditHandler</Class>
    <Data/>
    <Filter/>
  </Receiver>
  <Receiver>
    <Name>Policy Auditing</Name>
    <Synchronization>Synchronous</Synchronization>
    <Type>10006</Type>
    <SequenceNumber>1103</SequenceNumber>
    <Assembly>Microsoft.Office.Policy, Version=14.0.0.0, Culture=neutral, PublicKeyToken=71e9bce111e9429c</Assembly>
    <Class>Microsoft.Office.RecordsManagement.Internal.AuditHandler</Class>
    <Data/>
    <Filter/>
  </Receiver>
</spe:Receivers>
</file>

<file path=customXml/item6.xml><?xml version="1.0" encoding="utf-8"?>
<?mso-contentType ?>
<p:Policy xmlns:p="office.server.policy" id="" local="true">
  <p:Name>Treasury Document</p:Name>
  <p:Description/>
  <p:Statement/>
  <p:PolicyItems>
    <p:PolicyItem featureId="Microsoft.Office.RecordsManagement.PolicyFeatures.PolicyAudit" staticId="0x010100348D01E61E107C4DA4B97E380EA20D47|1757814118" UniqueId="2079b4ee-6208-4500-a6e7-1bf5637d01b9">
      <p:Name>Auditing</p:Name>
      <p:Description>Audits user actions on documents and list items to the Audit Log.</p:Description>
      <p:CustomData>
        <Audit>
          <Update/>
          <DeleteRestore/>
        </Audit>
      </p:CustomData>
    </p:PolicyItem>
  </p:PolicyItems>
</p:Policy>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TaxCatchAll xmlns="0f563589-9cf9-4143-b1eb-fb0534803d38">
      <Value>7</Value>
    </TaxCatchAll>
    <lb508a4dc5e84436a0fe496b536466aa xmlns="e544e5cc-ab70-42e1-849e-1a0f8bb1f4ef">
      <Terms xmlns="http://schemas.microsoft.com/office/infopath/2007/PartnerControls">
        <TermInfo xmlns="http://schemas.microsoft.com/office/infopath/2007/PartnerControls">
          <TermName xmlns="http://schemas.microsoft.com/office/infopath/2007/PartnerControls">TSY RA-8730 - Retain as national archives</TermName>
          <TermId xmlns="http://schemas.microsoft.com/office/infopath/2007/PartnerControls">77f958b9-774b-411f-8853-551bb899336c</TermId>
        </TermInfo>
      </Terms>
    </lb508a4dc5e84436a0fe496b536466aa>
    <_dlc_DocId xmlns="0f563589-9cf9-4143-b1eb-fb0534803d38">2020FG-108-8541</_dlc_DocId>
    <_dlc_DocIdUrl xmlns="0f563589-9cf9-4143-b1eb-fb0534803d38">
      <Url>http://tweb/sites/fg/bpd/_layouts/15/DocIdRedir.aspx?ID=2020FG-108-8541</Url>
      <Description>2020FG-108-8541</Description>
    </_dlc_DocIdUrl>
    <RoutingTargetPath xmlns="http://schemas.microsoft.com/sharepoint/v3"/>
    <RoutingTargetFolder xmlns="http://schemas.microsoft.com/sharepoint/v3"/>
  </documentManagement>
</p:properties>
</file>

<file path=customXml/item9.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79E4D8-73D9-412D-B716-777944E71373}">
  <ds:schemaRefs>
    <ds:schemaRef ds:uri="http://schemas.microsoft.com/pics"/>
  </ds:schemaRefs>
</ds:datastoreItem>
</file>

<file path=customXml/itemProps3.xml><?xml version="1.0" encoding="utf-8"?>
<ds:datastoreItem xmlns:ds="http://schemas.openxmlformats.org/officeDocument/2006/customXml" ds:itemID="{538141D6-7718-40E8-A81E-E3D8CBEC4537}"/>
</file>

<file path=customXml/itemProps4.xml><?xml version="1.0" encoding="utf-8"?>
<ds:datastoreItem xmlns:ds="http://schemas.openxmlformats.org/officeDocument/2006/customXml" ds:itemID="{C8A42F31-F7C2-4BA3-9436-53D1E8C8BB63}">
  <ds:schemaRefs>
    <ds:schemaRef ds:uri="Microsoft.SharePoint.Taxonomy.ContentTypeSync"/>
  </ds:schemaRefs>
</ds:datastoreItem>
</file>

<file path=customXml/itemProps5.xml><?xml version="1.0" encoding="utf-8"?>
<ds:datastoreItem xmlns:ds="http://schemas.openxmlformats.org/officeDocument/2006/customXml" ds:itemID="{7DBB6DCF-4623-49C1-AF1A-2CAC5B46DBD4}">
  <ds:schemaRefs>
    <ds:schemaRef ds:uri="http://schemas.microsoft.com/sharepoint/events"/>
  </ds:schemaRefs>
</ds:datastoreItem>
</file>

<file path=customXml/itemProps6.xml><?xml version="1.0" encoding="utf-8"?>
<ds:datastoreItem xmlns:ds="http://schemas.openxmlformats.org/officeDocument/2006/customXml" ds:itemID="{1A7021DB-7369-4B06-A4DC-773AD70D340E}">
  <ds:schemaRefs>
    <ds:schemaRef ds:uri="office.server.policy"/>
  </ds:schemaRefs>
</ds:datastoreItem>
</file>

<file path=customXml/itemProps7.xml><?xml version="1.0" encoding="utf-8"?>
<ds:datastoreItem xmlns:ds="http://schemas.openxmlformats.org/officeDocument/2006/customXml" ds:itemID="{8AE45625-2466-4E2A-A3D2-6633DF7262CC}">
  <ds:schemaRefs>
    <ds:schemaRef ds:uri="http://schemas.microsoft.com/sharepoint/v3/contenttype/forms"/>
  </ds:schemaRefs>
</ds:datastoreItem>
</file>

<file path=customXml/itemProps8.xml><?xml version="1.0" encoding="utf-8"?>
<ds:datastoreItem xmlns:ds="http://schemas.openxmlformats.org/officeDocument/2006/customXml" ds:itemID="{A0C4BEBC-0936-46CC-8EF4-D478615AC4A9}">
  <ds:schemaRefs>
    <ds:schemaRef ds:uri="http://purl.org/dc/terms/"/>
    <ds:schemaRef ds:uri="http://schemas.openxmlformats.org/package/2006/metadata/core-properties"/>
    <ds:schemaRef ds:uri="http://schemas.microsoft.com/office/2006/documentManagement/types"/>
    <ds:schemaRef ds:uri="e544e5cc-ab70-42e1-849e-1a0f8bb1f4ef"/>
    <ds:schemaRef ds:uri="0f563589-9cf9-4143-b1eb-fb0534803d38"/>
    <ds:schemaRef ds:uri="http://purl.org/dc/elements/1.1/"/>
    <ds:schemaRef ds:uri="http://schemas.microsoft.com/office/2006/metadata/properties"/>
    <ds:schemaRef ds:uri="http://schemas.microsoft.com/sharepoint/v3"/>
    <ds:schemaRef ds:uri="http://schemas.microsoft.com/sharepoint/v4"/>
    <ds:schemaRef ds:uri="http://schemas.microsoft.com/office/infopath/2007/PartnerControls"/>
    <ds:schemaRef ds:uri="http://www.w3.org/XML/1998/namespace"/>
    <ds:schemaRef ds:uri="http://purl.org/dc/dcmitype/"/>
  </ds:schemaRefs>
</ds:datastoreItem>
</file>

<file path=customXml/itemProps9.xml><?xml version="1.0" encoding="utf-8"?>
<ds:datastoreItem xmlns:ds="http://schemas.openxmlformats.org/officeDocument/2006/customXml" ds:itemID="{CDBB5F01-CA1A-44E7-B195-70442D40E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Annual report with cover photo (Timeless design).dotx</Template>
  <TotalTime>0</TotalTime>
  <Pages>16</Pages>
  <Words>3195</Words>
  <Characters>18215</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Hinchcliff</dc:creator>
  <cp:keywords/>
  <cp:lastModifiedBy>McAvoy, Emma</cp:lastModifiedBy>
  <cp:revision>2</cp:revision>
  <cp:lastPrinted>2020-01-29T21:33:00Z</cp:lastPrinted>
  <dcterms:created xsi:type="dcterms:W3CDTF">2020-02-23T22:49:00Z</dcterms:created>
  <dcterms:modified xsi:type="dcterms:W3CDTF">2020-02-23T22:49:00Z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TC028965939991</vt:lpwstr>
  </property>
  <property fmtid="{D5CDD505-2E9C-101B-9397-08002B2CF9AE}" pid="3" name="ContentTypeId">
    <vt:lpwstr>0x010100348D01E61E107C4DA4B97E380EA20D470058EB9BF65DAD8C42B8B4A94A1D11A674</vt:lpwstr>
  </property>
  <property fmtid="{D5CDD505-2E9C-101B-9397-08002B2CF9AE}" pid="4" name="TSYRecordClass">
    <vt:lpwstr>7;#TSY RA-8730 - Retain as national archives|77f958b9-774b-411f-8853-551bb899336c</vt:lpwstr>
  </property>
  <property fmtid="{D5CDD505-2E9C-101B-9397-08002B2CF9AE}" pid="5" name="_dlc_DocIdItemGuid">
    <vt:lpwstr>85f6a088-b6eb-4da5-922b-d436b9fdb4e7</vt:lpwstr>
  </property>
  <property fmtid="{D5CDD505-2E9C-101B-9397-08002B2CF9AE}" pid="6" name="RecordPoint_WorkflowType">
    <vt:lpwstr>ActiveSubmitStub</vt:lpwstr>
  </property>
  <property fmtid="{D5CDD505-2E9C-101B-9397-08002B2CF9AE}" pid="7" name="RecordPoint_ActiveItemSiteId">
    <vt:lpwstr>{a3a280d1-e8f1-4ce7-94f0-aaa2322da0dd}</vt:lpwstr>
  </property>
  <property fmtid="{D5CDD505-2E9C-101B-9397-08002B2CF9AE}" pid="8" name="RecordPoint_ActiveItemListId">
    <vt:lpwstr>{11a07c86-5882-407a-83c1-3607840816f8}</vt:lpwstr>
  </property>
  <property fmtid="{D5CDD505-2E9C-101B-9397-08002B2CF9AE}" pid="9" name="RecordPoint_ActiveItemUniqueId">
    <vt:lpwstr>{85f6a088-b6eb-4da5-922b-d436b9fdb4e7}</vt:lpwstr>
  </property>
  <property fmtid="{D5CDD505-2E9C-101B-9397-08002B2CF9AE}" pid="10" name="RecordPoint_ActiveItemWebId">
    <vt:lpwstr>{2af1fd9f-9360-4de3-abf2-ccd65f89a90c}</vt:lpwstr>
  </property>
  <property fmtid="{D5CDD505-2E9C-101B-9397-08002B2CF9AE}" pid="11" name="RecordPoint_RecordNumberSubmitted">
    <vt:lpwstr>R0002225564</vt:lpwstr>
  </property>
  <property fmtid="{D5CDD505-2E9C-101B-9397-08002B2CF9AE}" pid="12" name="RecordPoint_SubmissionCompleted">
    <vt:lpwstr>2020-02-24T10:07:24.7568241+11:00</vt:lpwstr>
  </property>
</Properties>
</file>