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w Cen MT" w:hAnsi="Tw Cen MT"/>
          <w:sz w:val="24"/>
          <w:szCs w:val="24"/>
        </w:rPr>
        <w:id w:val="118114523"/>
        <w:docPartObj>
          <w:docPartGallery w:val="Cover Pages"/>
          <w:docPartUnique/>
        </w:docPartObj>
      </w:sdtPr>
      <w:sdtEndPr>
        <w:rPr>
          <w:color w:val="2F5496" w:themeColor="accent1" w:themeShade="BF"/>
        </w:rPr>
      </w:sdtEndPr>
      <w:sdtContent>
        <w:p w14:paraId="1A3A72CF" w14:textId="7EAE65D2" w:rsidR="00BE11AE" w:rsidRPr="003C7E3B" w:rsidRDefault="00BE11AE">
          <w:pPr>
            <w:rPr>
              <w:rFonts w:ascii="Tw Cen MT" w:hAnsi="Tw Cen MT"/>
              <w:sz w:val="24"/>
              <w:szCs w:val="24"/>
            </w:rPr>
          </w:pPr>
        </w:p>
        <w:p w14:paraId="130D160A" w14:textId="76949967" w:rsidR="00465263" w:rsidRPr="003C7E3B" w:rsidRDefault="00465263">
          <w:pPr>
            <w:rPr>
              <w:rFonts w:ascii="Tw Cen MT" w:hAnsi="Tw Cen MT"/>
              <w:color w:val="2F5496" w:themeColor="accent1" w:themeShade="BF"/>
              <w:sz w:val="24"/>
              <w:szCs w:val="24"/>
            </w:rPr>
          </w:pPr>
        </w:p>
        <w:p w14:paraId="162CCFDE" w14:textId="77777777" w:rsidR="00465263" w:rsidRPr="003C7E3B" w:rsidRDefault="00465263">
          <w:pPr>
            <w:rPr>
              <w:rFonts w:ascii="Tw Cen MT" w:hAnsi="Tw Cen MT"/>
              <w:color w:val="2F5496" w:themeColor="accent1" w:themeShade="BF"/>
              <w:sz w:val="24"/>
              <w:szCs w:val="24"/>
            </w:rPr>
          </w:pPr>
        </w:p>
        <w:p w14:paraId="4005D4B9" w14:textId="77777777" w:rsidR="00465263" w:rsidRPr="003C7E3B" w:rsidRDefault="00465263">
          <w:pPr>
            <w:rPr>
              <w:rFonts w:ascii="Tw Cen MT" w:hAnsi="Tw Cen MT"/>
              <w:color w:val="2F5496" w:themeColor="accent1" w:themeShade="BF"/>
              <w:sz w:val="24"/>
              <w:szCs w:val="24"/>
            </w:rPr>
          </w:pPr>
        </w:p>
        <w:p w14:paraId="3D61F146" w14:textId="77777777" w:rsidR="00465263" w:rsidRPr="003C7E3B" w:rsidRDefault="00465263">
          <w:pPr>
            <w:rPr>
              <w:rFonts w:ascii="Tw Cen MT" w:hAnsi="Tw Cen MT"/>
              <w:color w:val="2F5496" w:themeColor="accent1" w:themeShade="BF"/>
              <w:sz w:val="24"/>
              <w:szCs w:val="24"/>
            </w:rPr>
          </w:pPr>
        </w:p>
        <w:p w14:paraId="36AE5B00" w14:textId="3DCE0957" w:rsidR="00465263" w:rsidRPr="003C7E3B" w:rsidRDefault="00465263">
          <w:pPr>
            <w:rPr>
              <w:rFonts w:ascii="Tw Cen MT" w:hAnsi="Tw Cen MT"/>
              <w:color w:val="2F5496" w:themeColor="accent1" w:themeShade="BF"/>
              <w:sz w:val="24"/>
              <w:szCs w:val="24"/>
            </w:rPr>
          </w:pPr>
          <w:r w:rsidRPr="003C7E3B">
            <w:rPr>
              <w:rFonts w:ascii="Tw Cen MT" w:hAnsi="Tw Cen MT"/>
              <w:noProof/>
              <w:color w:val="2F5496" w:themeColor="accent1" w:themeShade="BF"/>
              <w:sz w:val="24"/>
              <w:szCs w:val="24"/>
              <w:lang w:eastAsia="en-AU"/>
            </w:rPr>
            <w:drawing>
              <wp:anchor distT="0" distB="0" distL="114300" distR="114300" simplePos="0" relativeHeight="251658240" behindDoc="0" locked="0" layoutInCell="1" allowOverlap="1" wp14:anchorId="76D7F603" wp14:editId="24493170">
                <wp:simplePos x="0" y="0"/>
                <wp:positionH relativeFrom="margin">
                  <wp:align>center</wp:align>
                </wp:positionH>
                <wp:positionV relativeFrom="paragraph">
                  <wp:posOffset>5398</wp:posOffset>
                </wp:positionV>
                <wp:extent cx="2858770" cy="31616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8770" cy="3161665"/>
                        </a:xfrm>
                        <a:prstGeom prst="rect">
                          <a:avLst/>
                        </a:prstGeom>
                      </pic:spPr>
                    </pic:pic>
                  </a:graphicData>
                </a:graphic>
                <wp14:sizeRelH relativeFrom="margin">
                  <wp14:pctWidth>0</wp14:pctWidth>
                </wp14:sizeRelH>
                <wp14:sizeRelV relativeFrom="margin">
                  <wp14:pctHeight>0</wp14:pctHeight>
                </wp14:sizeRelV>
              </wp:anchor>
            </w:drawing>
          </w:r>
        </w:p>
        <w:p w14:paraId="64DA4980" w14:textId="77777777" w:rsidR="00465263" w:rsidRPr="003C7E3B" w:rsidRDefault="00465263">
          <w:pPr>
            <w:rPr>
              <w:rFonts w:ascii="Tw Cen MT" w:hAnsi="Tw Cen MT"/>
              <w:color w:val="2F5496" w:themeColor="accent1" w:themeShade="BF"/>
              <w:sz w:val="24"/>
              <w:szCs w:val="24"/>
            </w:rPr>
          </w:pPr>
        </w:p>
        <w:p w14:paraId="05DBCCC8" w14:textId="77777777" w:rsidR="00465263" w:rsidRPr="003C7E3B" w:rsidRDefault="00465263">
          <w:pPr>
            <w:rPr>
              <w:rFonts w:ascii="Tw Cen MT" w:hAnsi="Tw Cen MT"/>
              <w:color w:val="2F5496" w:themeColor="accent1" w:themeShade="BF"/>
              <w:sz w:val="24"/>
              <w:szCs w:val="24"/>
            </w:rPr>
          </w:pPr>
        </w:p>
        <w:p w14:paraId="60E5220F" w14:textId="77777777" w:rsidR="00465263" w:rsidRPr="003C7E3B" w:rsidRDefault="00465263">
          <w:pPr>
            <w:rPr>
              <w:rFonts w:ascii="Tw Cen MT" w:hAnsi="Tw Cen MT"/>
              <w:color w:val="2F5496" w:themeColor="accent1" w:themeShade="BF"/>
              <w:sz w:val="24"/>
              <w:szCs w:val="24"/>
            </w:rPr>
          </w:pPr>
        </w:p>
        <w:p w14:paraId="4B11DB1F" w14:textId="77777777" w:rsidR="00465263" w:rsidRPr="003C7E3B" w:rsidRDefault="00465263">
          <w:pPr>
            <w:rPr>
              <w:rFonts w:ascii="Tw Cen MT" w:hAnsi="Tw Cen MT"/>
              <w:color w:val="2F5496" w:themeColor="accent1" w:themeShade="BF"/>
              <w:sz w:val="24"/>
              <w:szCs w:val="24"/>
            </w:rPr>
          </w:pPr>
        </w:p>
        <w:p w14:paraId="0E10CC16" w14:textId="77777777" w:rsidR="00465263" w:rsidRPr="003C7E3B" w:rsidRDefault="00465263">
          <w:pPr>
            <w:rPr>
              <w:rFonts w:ascii="Tw Cen MT" w:hAnsi="Tw Cen MT"/>
              <w:color w:val="2F5496" w:themeColor="accent1" w:themeShade="BF"/>
              <w:sz w:val="24"/>
              <w:szCs w:val="24"/>
            </w:rPr>
          </w:pPr>
        </w:p>
        <w:p w14:paraId="765253BA" w14:textId="77777777" w:rsidR="00465263" w:rsidRPr="003C7E3B" w:rsidRDefault="00465263">
          <w:pPr>
            <w:rPr>
              <w:rFonts w:ascii="Tw Cen MT" w:hAnsi="Tw Cen MT"/>
              <w:color w:val="2F5496" w:themeColor="accent1" w:themeShade="BF"/>
              <w:sz w:val="24"/>
              <w:szCs w:val="24"/>
            </w:rPr>
          </w:pPr>
        </w:p>
        <w:p w14:paraId="24723267" w14:textId="77777777" w:rsidR="00465263" w:rsidRPr="003C7E3B" w:rsidRDefault="00465263">
          <w:pPr>
            <w:rPr>
              <w:rFonts w:ascii="Tw Cen MT" w:hAnsi="Tw Cen MT"/>
              <w:color w:val="2F5496" w:themeColor="accent1" w:themeShade="BF"/>
              <w:sz w:val="24"/>
              <w:szCs w:val="24"/>
            </w:rPr>
          </w:pPr>
        </w:p>
        <w:p w14:paraId="605F2CD0" w14:textId="77777777" w:rsidR="00465263" w:rsidRPr="003C7E3B" w:rsidRDefault="00465263">
          <w:pPr>
            <w:rPr>
              <w:rFonts w:ascii="Tw Cen MT" w:hAnsi="Tw Cen MT"/>
              <w:color w:val="2F5496" w:themeColor="accent1" w:themeShade="BF"/>
              <w:sz w:val="24"/>
              <w:szCs w:val="24"/>
            </w:rPr>
          </w:pPr>
        </w:p>
        <w:p w14:paraId="4771E28B" w14:textId="77777777" w:rsidR="00465263" w:rsidRPr="003C7E3B" w:rsidRDefault="00465263">
          <w:pPr>
            <w:rPr>
              <w:rFonts w:ascii="Tw Cen MT" w:hAnsi="Tw Cen MT"/>
              <w:color w:val="2F5496" w:themeColor="accent1" w:themeShade="BF"/>
              <w:sz w:val="24"/>
              <w:szCs w:val="24"/>
            </w:rPr>
          </w:pPr>
        </w:p>
        <w:p w14:paraId="410C75CD" w14:textId="77777777" w:rsidR="00465263" w:rsidRPr="003C7E3B" w:rsidRDefault="00465263">
          <w:pPr>
            <w:rPr>
              <w:rFonts w:ascii="Tw Cen MT" w:hAnsi="Tw Cen MT"/>
              <w:color w:val="2F5496" w:themeColor="accent1" w:themeShade="BF"/>
              <w:sz w:val="24"/>
              <w:szCs w:val="24"/>
            </w:rPr>
          </w:pPr>
        </w:p>
        <w:p w14:paraId="023A704F" w14:textId="5011B5BE" w:rsidR="00465263" w:rsidRPr="003C7E3B" w:rsidRDefault="00465263">
          <w:pPr>
            <w:rPr>
              <w:rFonts w:ascii="Tw Cen MT" w:hAnsi="Tw Cen MT"/>
              <w:color w:val="2F5496" w:themeColor="accent1" w:themeShade="BF"/>
              <w:sz w:val="24"/>
              <w:szCs w:val="24"/>
            </w:rPr>
          </w:pPr>
        </w:p>
        <w:p w14:paraId="090944AF" w14:textId="52762A0A" w:rsidR="00465263" w:rsidRPr="003C7E3B" w:rsidRDefault="00465263">
          <w:pPr>
            <w:rPr>
              <w:rFonts w:ascii="Tw Cen MT" w:hAnsi="Tw Cen MT"/>
              <w:color w:val="2F5496" w:themeColor="accent1" w:themeShade="BF"/>
              <w:sz w:val="24"/>
              <w:szCs w:val="24"/>
            </w:rPr>
          </w:pPr>
          <w:r w:rsidRPr="003C7E3B">
            <w:rPr>
              <w:rFonts w:ascii="Tw Cen MT" w:hAnsi="Tw Cen MT"/>
              <w:noProof/>
              <w:color w:val="2F5496" w:themeColor="accent1" w:themeShade="BF"/>
              <w:sz w:val="24"/>
              <w:szCs w:val="24"/>
              <w:lang w:eastAsia="en-AU"/>
            </w:rPr>
            <mc:AlternateContent>
              <mc:Choice Requires="wps">
                <w:drawing>
                  <wp:anchor distT="45720" distB="45720" distL="114300" distR="114300" simplePos="0" relativeHeight="251658241" behindDoc="0" locked="0" layoutInCell="1" allowOverlap="1" wp14:anchorId="518CB4F5" wp14:editId="21B2B5A8">
                    <wp:simplePos x="0" y="0"/>
                    <wp:positionH relativeFrom="margin">
                      <wp:align>center</wp:align>
                    </wp:positionH>
                    <wp:positionV relativeFrom="paragraph">
                      <wp:posOffset>6350</wp:posOffset>
                    </wp:positionV>
                    <wp:extent cx="4671695" cy="21570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2157095"/>
                            </a:xfrm>
                            <a:prstGeom prst="rect">
                              <a:avLst/>
                            </a:prstGeom>
                            <a:solidFill>
                              <a:srgbClr val="FFFFFF"/>
                            </a:solidFill>
                            <a:ln w="9525">
                              <a:noFill/>
                              <a:miter lim="800000"/>
                              <a:headEnd/>
                              <a:tailEnd/>
                            </a:ln>
                          </wps:spPr>
                          <wps:txbx>
                            <w:txbxContent>
                              <w:p w14:paraId="27C22D76" w14:textId="11B34304" w:rsidR="008D62C0" w:rsidRPr="000D45FF" w:rsidRDefault="008D62C0" w:rsidP="00465263">
                                <w:pPr>
                                  <w:pStyle w:val="NoSpacing"/>
                                  <w:jc w:val="center"/>
                                  <w:rPr>
                                    <w:rFonts w:ascii="Tw Cen MT" w:hAnsi="Tw Cen MT" w:cstheme="minorHAnsi"/>
                                    <w:b/>
                                    <w:bCs/>
                                    <w:sz w:val="72"/>
                                    <w:szCs w:val="72"/>
                                  </w:rPr>
                                </w:pPr>
                                <w:r w:rsidRPr="000D45FF">
                                  <w:rPr>
                                    <w:rFonts w:ascii="Tw Cen MT" w:hAnsi="Tw Cen MT" w:cstheme="minorHAnsi"/>
                                    <w:b/>
                                    <w:bCs/>
                                    <w:sz w:val="72"/>
                                    <w:szCs w:val="72"/>
                                  </w:rPr>
                                  <w:t xml:space="preserve">Pre-Budget Submission </w:t>
                                </w:r>
                              </w:p>
                              <w:p w14:paraId="34CB8DC9" w14:textId="2F032C2B" w:rsidR="008D62C0" w:rsidRPr="000D45FF" w:rsidRDefault="008D62C0" w:rsidP="00465263">
                                <w:pPr>
                                  <w:pStyle w:val="NoSpacing"/>
                                  <w:jc w:val="center"/>
                                  <w:rPr>
                                    <w:rFonts w:ascii="Tw Cen MT" w:hAnsi="Tw Cen MT" w:cstheme="minorHAnsi"/>
                                    <w:b/>
                                    <w:bCs/>
                                    <w:sz w:val="72"/>
                                    <w:szCs w:val="72"/>
                                  </w:rPr>
                                </w:pPr>
                                <w:r w:rsidRPr="000D45FF">
                                  <w:rPr>
                                    <w:rFonts w:ascii="Tw Cen MT" w:hAnsi="Tw Cen MT" w:cstheme="minorHAnsi"/>
                                    <w:b/>
                                    <w:bCs/>
                                    <w:sz w:val="72"/>
                                    <w:szCs w:val="72"/>
                                  </w:rPr>
                                  <w:t>2021-22</w:t>
                                </w:r>
                              </w:p>
                              <w:p w14:paraId="098269DB" w14:textId="41F9260C" w:rsidR="008D62C0" w:rsidRPr="00465263" w:rsidRDefault="008D62C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CB4F5" id="_x0000_t202" coordsize="21600,21600" o:spt="202" path="m,l,21600r21600,l21600,xe">
                    <v:stroke joinstyle="miter"/>
                    <v:path gradientshapeok="t" o:connecttype="rect"/>
                  </v:shapetype>
                  <v:shape id="Text Box 2" o:spid="_x0000_s1026" type="#_x0000_t202" style="position:absolute;margin-left:0;margin-top:.5pt;width:367.85pt;height:169.8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" stroked="f">
                    <v:textbox>
                      <w:txbxContent>
                        <w:p w14:paraId="27C22D76" w14:textId="11B34304" w:rsidR="008D62C0" w:rsidRPr="000D45FF" w:rsidRDefault="008D62C0" w:rsidP="00465263">
                          <w:pPr>
                            <w:pStyle w:val="NoSpacing"/>
                            <w:jc w:val="center"/>
                            <w:rPr>
                              <w:rFonts w:ascii="Tw Cen MT" w:hAnsi="Tw Cen MT" w:cstheme="minorHAnsi"/>
                              <w:b/>
                              <w:bCs/>
                              <w:sz w:val="72"/>
                              <w:szCs w:val="72"/>
                            </w:rPr>
                          </w:pPr>
                          <w:r w:rsidRPr="000D45FF">
                            <w:rPr>
                              <w:rFonts w:ascii="Tw Cen MT" w:hAnsi="Tw Cen MT" w:cstheme="minorHAnsi"/>
                              <w:b/>
                              <w:bCs/>
                              <w:sz w:val="72"/>
                              <w:szCs w:val="72"/>
                            </w:rPr>
                            <w:t xml:space="preserve">Pre-Budget Submission </w:t>
                          </w:r>
                        </w:p>
                        <w:p w14:paraId="34CB8DC9" w14:textId="2F032C2B" w:rsidR="008D62C0" w:rsidRPr="000D45FF" w:rsidRDefault="008D62C0" w:rsidP="00465263">
                          <w:pPr>
                            <w:pStyle w:val="NoSpacing"/>
                            <w:jc w:val="center"/>
                            <w:rPr>
                              <w:rFonts w:ascii="Tw Cen MT" w:hAnsi="Tw Cen MT" w:cstheme="minorHAnsi"/>
                              <w:b/>
                              <w:bCs/>
                              <w:sz w:val="72"/>
                              <w:szCs w:val="72"/>
                            </w:rPr>
                          </w:pPr>
                          <w:r w:rsidRPr="000D45FF">
                            <w:rPr>
                              <w:rFonts w:ascii="Tw Cen MT" w:hAnsi="Tw Cen MT" w:cstheme="minorHAnsi"/>
                              <w:b/>
                              <w:bCs/>
                              <w:sz w:val="72"/>
                              <w:szCs w:val="72"/>
                            </w:rPr>
                            <w:t>2021-22</w:t>
                          </w:r>
                        </w:p>
                        <w:p w14:paraId="098269DB" w14:textId="41F9260C" w:rsidR="008D62C0" w:rsidRPr="00465263" w:rsidRDefault="008D62C0">
                          <w:pPr>
                            <w:rPr>
                              <w:sz w:val="28"/>
                              <w:szCs w:val="28"/>
                            </w:rPr>
                          </w:pPr>
                        </w:p>
                      </w:txbxContent>
                    </v:textbox>
                    <w10:wrap type="square" anchorx="margin"/>
                  </v:shape>
                </w:pict>
              </mc:Fallback>
            </mc:AlternateContent>
          </w:r>
        </w:p>
        <w:p w14:paraId="6D06086F" w14:textId="77777777" w:rsidR="00465263" w:rsidRPr="003C7E3B" w:rsidRDefault="00465263">
          <w:pPr>
            <w:rPr>
              <w:rFonts w:ascii="Tw Cen MT" w:hAnsi="Tw Cen MT"/>
              <w:color w:val="2F5496" w:themeColor="accent1" w:themeShade="BF"/>
              <w:sz w:val="24"/>
              <w:szCs w:val="24"/>
            </w:rPr>
          </w:pPr>
        </w:p>
        <w:p w14:paraId="5C4E0023" w14:textId="77777777" w:rsidR="00465263" w:rsidRPr="003C7E3B" w:rsidRDefault="00465263">
          <w:pPr>
            <w:rPr>
              <w:rFonts w:ascii="Tw Cen MT" w:hAnsi="Tw Cen MT"/>
              <w:color w:val="2F5496" w:themeColor="accent1" w:themeShade="BF"/>
              <w:sz w:val="24"/>
              <w:szCs w:val="24"/>
            </w:rPr>
          </w:pPr>
        </w:p>
        <w:p w14:paraId="311DDEC4" w14:textId="77777777" w:rsidR="00465263" w:rsidRPr="003C7E3B" w:rsidRDefault="00465263">
          <w:pPr>
            <w:rPr>
              <w:rFonts w:ascii="Tw Cen MT" w:hAnsi="Tw Cen MT"/>
              <w:color w:val="2F5496" w:themeColor="accent1" w:themeShade="BF"/>
              <w:sz w:val="24"/>
              <w:szCs w:val="24"/>
            </w:rPr>
          </w:pPr>
        </w:p>
        <w:p w14:paraId="7B0F735E" w14:textId="77777777" w:rsidR="00465263" w:rsidRPr="003C7E3B" w:rsidRDefault="00465263">
          <w:pPr>
            <w:rPr>
              <w:rFonts w:ascii="Tw Cen MT" w:hAnsi="Tw Cen MT"/>
              <w:color w:val="2F5496" w:themeColor="accent1" w:themeShade="BF"/>
              <w:sz w:val="24"/>
              <w:szCs w:val="24"/>
            </w:rPr>
          </w:pPr>
        </w:p>
        <w:p w14:paraId="4A66583C" w14:textId="3003F597" w:rsidR="00465263" w:rsidRPr="003C7E3B" w:rsidRDefault="00465263">
          <w:pPr>
            <w:rPr>
              <w:rFonts w:ascii="Tw Cen MT" w:hAnsi="Tw Cen MT"/>
              <w:color w:val="2F5496" w:themeColor="accent1" w:themeShade="BF"/>
              <w:sz w:val="24"/>
              <w:szCs w:val="24"/>
            </w:rPr>
          </w:pPr>
        </w:p>
        <w:p w14:paraId="545C6ED7" w14:textId="22F1661E" w:rsidR="00465263" w:rsidRPr="003C7E3B" w:rsidRDefault="002E202C">
          <w:pPr>
            <w:rPr>
              <w:rFonts w:ascii="Tw Cen MT" w:hAnsi="Tw Cen MT"/>
              <w:color w:val="2F5496" w:themeColor="accent1" w:themeShade="BF"/>
              <w:sz w:val="24"/>
              <w:szCs w:val="24"/>
            </w:rPr>
          </w:pPr>
          <w:r w:rsidRPr="000055C1">
            <w:rPr>
              <w:noProof/>
              <w:lang w:eastAsia="en-AU"/>
            </w:rPr>
            <w:drawing>
              <wp:anchor distT="0" distB="0" distL="114300" distR="114300" simplePos="0" relativeHeight="251660301" behindDoc="0" locked="0" layoutInCell="1" allowOverlap="1" wp14:anchorId="52BA309B" wp14:editId="25CFA617">
                <wp:simplePos x="0" y="0"/>
                <wp:positionH relativeFrom="column">
                  <wp:posOffset>2914650</wp:posOffset>
                </wp:positionH>
                <wp:positionV relativeFrom="paragraph">
                  <wp:posOffset>67310</wp:posOffset>
                </wp:positionV>
                <wp:extent cx="1908587" cy="17640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30" t="9649" r="27778" b="14401"/>
                        <a:stretch/>
                      </pic:blipFill>
                      <pic:spPr bwMode="auto">
                        <a:xfrm>
                          <a:off x="0" y="0"/>
                          <a:ext cx="1908587"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988BC" w14:textId="396A367D" w:rsidR="00465263" w:rsidRPr="003C7E3B" w:rsidRDefault="00A859D9">
          <w:pPr>
            <w:rPr>
              <w:rFonts w:ascii="Tw Cen MT" w:hAnsi="Tw Cen MT"/>
              <w:color w:val="2F5496" w:themeColor="accent1" w:themeShade="BF"/>
              <w:sz w:val="24"/>
              <w:szCs w:val="24"/>
            </w:rPr>
          </w:pPr>
          <w:r>
            <w:rPr>
              <w:rFonts w:ascii="Tw Cen MT" w:hAnsi="Tw Cen MT"/>
              <w:noProof/>
              <w:color w:val="2F5496" w:themeColor="accent1" w:themeShade="BF"/>
              <w:sz w:val="24"/>
              <w:szCs w:val="24"/>
              <w:lang w:eastAsia="en-AU"/>
            </w:rPr>
            <w:drawing>
              <wp:anchor distT="0" distB="0" distL="114300" distR="114300" simplePos="0" relativeHeight="251658253" behindDoc="0" locked="0" layoutInCell="1" allowOverlap="1" wp14:anchorId="2642A045" wp14:editId="4D3B2AD2">
                <wp:simplePos x="0" y="0"/>
                <wp:positionH relativeFrom="page">
                  <wp:posOffset>2024380</wp:posOffset>
                </wp:positionH>
                <wp:positionV relativeFrom="paragraph">
                  <wp:posOffset>5080</wp:posOffset>
                </wp:positionV>
                <wp:extent cx="1368000" cy="136800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page">
                  <wp14:pctWidth>0</wp14:pctWidth>
                </wp14:sizeRelH>
                <wp14:sizeRelV relativeFrom="page">
                  <wp14:pctHeight>0</wp14:pctHeight>
                </wp14:sizeRelV>
              </wp:anchor>
            </w:drawing>
          </w:r>
        </w:p>
        <w:p w14:paraId="14F441FE" w14:textId="5F8C237F" w:rsidR="00B34147" w:rsidRPr="003C7E3B" w:rsidRDefault="00EC25AB" w:rsidP="00465263">
          <w:pPr>
            <w:rPr>
              <w:rFonts w:ascii="Tw Cen MT" w:hAnsi="Tw Cen MT"/>
              <w:color w:val="2F5496" w:themeColor="accent1" w:themeShade="BF"/>
              <w:sz w:val="24"/>
              <w:szCs w:val="24"/>
            </w:rPr>
          </w:pPr>
        </w:p>
      </w:sdtContent>
    </w:sdt>
    <w:p w14:paraId="0304B95B" w14:textId="4E5E8866" w:rsidR="001B0E34" w:rsidRDefault="001B0E34" w:rsidP="00B34147">
      <w:pPr>
        <w:pStyle w:val="NoSpacing"/>
        <w:rPr>
          <w:rFonts w:ascii="Tw Cen MT" w:hAnsi="Tw Cen MT" w:cstheme="minorHAnsi"/>
          <w:b/>
          <w:bCs/>
          <w:color w:val="C45911" w:themeColor="accent2" w:themeShade="BF"/>
          <w:sz w:val="24"/>
          <w:szCs w:val="24"/>
        </w:rPr>
      </w:pPr>
    </w:p>
    <w:p w14:paraId="3F57C1A8" w14:textId="77777777" w:rsidR="001B0E34" w:rsidRDefault="001B0E34" w:rsidP="00B34147">
      <w:pPr>
        <w:pStyle w:val="NoSpacing"/>
        <w:rPr>
          <w:rFonts w:ascii="Tw Cen MT" w:hAnsi="Tw Cen MT" w:cstheme="minorHAnsi"/>
          <w:b/>
          <w:bCs/>
          <w:color w:val="C45911" w:themeColor="accent2" w:themeShade="BF"/>
          <w:sz w:val="24"/>
          <w:szCs w:val="24"/>
        </w:rPr>
      </w:pPr>
    </w:p>
    <w:p w14:paraId="1E187849" w14:textId="77777777" w:rsidR="001B0E34" w:rsidRDefault="001B0E34" w:rsidP="00B34147">
      <w:pPr>
        <w:pStyle w:val="NoSpacing"/>
        <w:rPr>
          <w:rFonts w:ascii="Tw Cen MT" w:hAnsi="Tw Cen MT" w:cstheme="minorHAnsi"/>
          <w:b/>
          <w:bCs/>
          <w:color w:val="C45911" w:themeColor="accent2" w:themeShade="BF"/>
          <w:sz w:val="24"/>
          <w:szCs w:val="24"/>
        </w:rPr>
      </w:pPr>
    </w:p>
    <w:p w14:paraId="051D077E" w14:textId="77777777" w:rsidR="000D45FF" w:rsidRDefault="000D45FF" w:rsidP="00B34147">
      <w:pPr>
        <w:pStyle w:val="NoSpacing"/>
        <w:rPr>
          <w:rFonts w:ascii="Tw Cen MT" w:hAnsi="Tw Cen MT" w:cstheme="minorHAnsi"/>
          <w:b/>
          <w:bCs/>
          <w:color w:val="C45911" w:themeColor="accent2" w:themeShade="BF"/>
          <w:sz w:val="24"/>
          <w:szCs w:val="24"/>
        </w:rPr>
      </w:pPr>
    </w:p>
    <w:p w14:paraId="4F051B8B" w14:textId="77777777" w:rsidR="000D45FF" w:rsidRDefault="000D45FF" w:rsidP="00B34147">
      <w:pPr>
        <w:pStyle w:val="NoSpacing"/>
        <w:rPr>
          <w:rFonts w:ascii="Tw Cen MT" w:hAnsi="Tw Cen MT" w:cstheme="minorHAnsi"/>
          <w:b/>
          <w:bCs/>
          <w:color w:val="C45911" w:themeColor="accent2" w:themeShade="BF"/>
          <w:sz w:val="24"/>
          <w:szCs w:val="24"/>
        </w:rPr>
      </w:pPr>
    </w:p>
    <w:p w14:paraId="6DBBBFA6" w14:textId="77777777" w:rsidR="000D45FF" w:rsidRDefault="000D45FF" w:rsidP="00B34147">
      <w:pPr>
        <w:pStyle w:val="NoSpacing"/>
        <w:rPr>
          <w:rFonts w:ascii="Tw Cen MT" w:hAnsi="Tw Cen MT" w:cstheme="minorHAnsi"/>
          <w:b/>
          <w:bCs/>
          <w:color w:val="C45911" w:themeColor="accent2" w:themeShade="BF"/>
          <w:sz w:val="24"/>
          <w:szCs w:val="24"/>
        </w:rPr>
      </w:pPr>
    </w:p>
    <w:p w14:paraId="5BB42DCD" w14:textId="77777777" w:rsidR="000D45FF" w:rsidRDefault="000D45FF" w:rsidP="00B34147">
      <w:pPr>
        <w:pStyle w:val="NoSpacing"/>
        <w:rPr>
          <w:rFonts w:ascii="Tw Cen MT" w:hAnsi="Tw Cen MT" w:cstheme="minorHAnsi"/>
          <w:b/>
          <w:bCs/>
          <w:color w:val="C45911" w:themeColor="accent2" w:themeShade="BF"/>
          <w:sz w:val="24"/>
          <w:szCs w:val="24"/>
        </w:rPr>
      </w:pPr>
    </w:p>
    <w:p w14:paraId="0C34B7A0" w14:textId="77777777" w:rsidR="000D45FF" w:rsidRDefault="000D45FF" w:rsidP="00B34147">
      <w:pPr>
        <w:pStyle w:val="NoSpacing"/>
        <w:rPr>
          <w:rFonts w:ascii="Tw Cen MT" w:hAnsi="Tw Cen MT" w:cstheme="minorHAnsi"/>
          <w:b/>
          <w:bCs/>
          <w:color w:val="C45911" w:themeColor="accent2" w:themeShade="BF"/>
          <w:sz w:val="24"/>
          <w:szCs w:val="24"/>
        </w:rPr>
      </w:pPr>
    </w:p>
    <w:p w14:paraId="7072E6D5" w14:textId="77777777" w:rsidR="000D45FF" w:rsidRDefault="000D45FF" w:rsidP="00B34147">
      <w:pPr>
        <w:pStyle w:val="NoSpacing"/>
        <w:rPr>
          <w:rFonts w:ascii="Tw Cen MT" w:hAnsi="Tw Cen MT" w:cstheme="minorHAnsi"/>
          <w:b/>
          <w:bCs/>
          <w:color w:val="C45911" w:themeColor="accent2" w:themeShade="BF"/>
          <w:sz w:val="24"/>
          <w:szCs w:val="24"/>
        </w:rPr>
      </w:pPr>
    </w:p>
    <w:p w14:paraId="5CFC3F38" w14:textId="77777777" w:rsidR="000D45FF" w:rsidRDefault="000D45FF" w:rsidP="00B34147">
      <w:pPr>
        <w:pStyle w:val="NoSpacing"/>
        <w:rPr>
          <w:rFonts w:ascii="Tw Cen MT" w:hAnsi="Tw Cen MT" w:cstheme="minorHAnsi"/>
          <w:b/>
          <w:bCs/>
          <w:color w:val="C45911" w:themeColor="accent2" w:themeShade="BF"/>
          <w:sz w:val="24"/>
          <w:szCs w:val="24"/>
        </w:rPr>
      </w:pPr>
    </w:p>
    <w:p w14:paraId="55F7979A" w14:textId="77777777" w:rsidR="000D45FF" w:rsidRDefault="000D45FF" w:rsidP="00B34147">
      <w:pPr>
        <w:pStyle w:val="NoSpacing"/>
        <w:rPr>
          <w:rFonts w:ascii="Tw Cen MT" w:hAnsi="Tw Cen MT" w:cstheme="minorHAnsi"/>
          <w:b/>
          <w:bCs/>
          <w:color w:val="C45911" w:themeColor="accent2" w:themeShade="BF"/>
          <w:sz w:val="24"/>
          <w:szCs w:val="24"/>
        </w:rPr>
      </w:pPr>
    </w:p>
    <w:p w14:paraId="45218D2E" w14:textId="6D2F8B20" w:rsidR="00AD47FE" w:rsidRPr="003C7E3B" w:rsidRDefault="001B0E34" w:rsidP="00B34147">
      <w:pPr>
        <w:pStyle w:val="NoSpacing"/>
        <w:rPr>
          <w:rFonts w:ascii="Tw Cen MT" w:hAnsi="Tw Cen MT" w:cstheme="minorHAnsi"/>
          <w:color w:val="C45911" w:themeColor="accent2" w:themeShade="BF"/>
          <w:sz w:val="24"/>
          <w:szCs w:val="24"/>
        </w:rPr>
      </w:pPr>
      <w:r>
        <w:rPr>
          <w:rFonts w:ascii="Tw Cen MT" w:hAnsi="Tw Cen MT" w:cstheme="minorHAnsi"/>
          <w:b/>
          <w:bCs/>
          <w:color w:val="C45911" w:themeColor="accent2" w:themeShade="BF"/>
          <w:sz w:val="24"/>
          <w:szCs w:val="24"/>
        </w:rPr>
        <w:t>EXECUTIVE SUMMARY</w:t>
      </w:r>
    </w:p>
    <w:p w14:paraId="1F2C2B4F" w14:textId="77777777" w:rsidR="00AD47FE" w:rsidRPr="003C7E3B" w:rsidRDefault="00AD47FE" w:rsidP="00B34147">
      <w:pPr>
        <w:pStyle w:val="NoSpacing"/>
        <w:rPr>
          <w:rFonts w:ascii="Tw Cen MT" w:hAnsi="Tw Cen MT" w:cstheme="minorHAnsi"/>
          <w:sz w:val="24"/>
          <w:szCs w:val="24"/>
        </w:rPr>
      </w:pPr>
    </w:p>
    <w:p w14:paraId="46BA7D69" w14:textId="2C128E19" w:rsidR="00AD47FE" w:rsidRPr="003C7E3B" w:rsidRDefault="00AD47FE" w:rsidP="00AD47FE">
      <w:pPr>
        <w:pStyle w:val="NoSpacing"/>
        <w:jc w:val="both"/>
        <w:rPr>
          <w:rFonts w:ascii="Tw Cen MT" w:hAnsi="Tw Cen MT" w:cstheme="minorHAnsi"/>
          <w:sz w:val="24"/>
          <w:szCs w:val="24"/>
        </w:rPr>
      </w:pPr>
      <w:r w:rsidRPr="003C7E3B">
        <w:rPr>
          <w:rFonts w:ascii="Tw Cen MT" w:hAnsi="Tw Cen MT" w:cstheme="minorHAnsi"/>
          <w:sz w:val="24"/>
          <w:szCs w:val="24"/>
        </w:rPr>
        <w:t>Gascoyne Gateway Pty Ltd (GGL) welcomes the opportunity to contribute to the 2021</w:t>
      </w:r>
      <w:r w:rsidR="00317A9B" w:rsidRPr="003C7E3B">
        <w:rPr>
          <w:rFonts w:ascii="Tw Cen MT" w:hAnsi="Tw Cen MT" w:cstheme="minorHAnsi"/>
          <w:sz w:val="24"/>
          <w:szCs w:val="24"/>
        </w:rPr>
        <w:t>-22</w:t>
      </w:r>
      <w:r w:rsidRPr="003C7E3B">
        <w:rPr>
          <w:rFonts w:ascii="Tw Cen MT" w:hAnsi="Tw Cen MT" w:cstheme="minorHAnsi"/>
          <w:sz w:val="24"/>
          <w:szCs w:val="24"/>
        </w:rPr>
        <w:t xml:space="preserve"> budget process. GGL is an Australian veteran owned, privately funded and operated initiative delivering a single jetty deep-water </w:t>
      </w:r>
      <w:r w:rsidR="008336E5">
        <w:rPr>
          <w:rFonts w:ascii="Tw Cen MT" w:hAnsi="Tw Cen MT" w:cstheme="minorHAnsi"/>
          <w:sz w:val="24"/>
          <w:szCs w:val="24"/>
        </w:rPr>
        <w:t>P</w:t>
      </w:r>
      <w:r w:rsidRPr="003C7E3B">
        <w:rPr>
          <w:rFonts w:ascii="Tw Cen MT" w:hAnsi="Tw Cen MT" w:cstheme="minorHAnsi"/>
          <w:sz w:val="24"/>
          <w:szCs w:val="24"/>
        </w:rPr>
        <w:t>ort</w:t>
      </w:r>
      <w:r w:rsidR="004A08B0" w:rsidRPr="003C7E3B">
        <w:rPr>
          <w:rFonts w:ascii="Tw Cen MT" w:hAnsi="Tw Cen MT" w:cstheme="minorHAnsi"/>
          <w:sz w:val="24"/>
          <w:szCs w:val="24"/>
        </w:rPr>
        <w:t xml:space="preserve">. The multi-user </w:t>
      </w:r>
      <w:r w:rsidR="008336E5">
        <w:rPr>
          <w:rFonts w:ascii="Tw Cen MT" w:hAnsi="Tw Cen MT" w:cstheme="minorHAnsi"/>
          <w:sz w:val="24"/>
          <w:szCs w:val="24"/>
        </w:rPr>
        <w:t>Port</w:t>
      </w:r>
      <w:r w:rsidR="004A08B0" w:rsidRPr="003C7E3B">
        <w:rPr>
          <w:rFonts w:ascii="Tw Cen MT" w:hAnsi="Tw Cen MT" w:cstheme="minorHAnsi"/>
          <w:sz w:val="24"/>
          <w:szCs w:val="24"/>
        </w:rPr>
        <w:t xml:space="preserve"> and logistics facility </w:t>
      </w:r>
      <w:r w:rsidRPr="003C7E3B">
        <w:rPr>
          <w:rFonts w:ascii="Tw Cen MT" w:hAnsi="Tw Cen MT" w:cstheme="minorHAnsi"/>
          <w:sz w:val="24"/>
          <w:szCs w:val="24"/>
        </w:rPr>
        <w:t xml:space="preserve">will support the Morrison Government’s commitment to enhancing Australia’s sovereign capability, self-sufficiency and resilience by re-establishing supply chains and securing critical fuel imports </w:t>
      </w:r>
      <w:r w:rsidR="008336E5">
        <w:rPr>
          <w:rFonts w:ascii="Tw Cen MT" w:hAnsi="Tw Cen MT" w:cstheme="minorHAnsi"/>
          <w:sz w:val="24"/>
          <w:szCs w:val="24"/>
        </w:rPr>
        <w:t>Australia’s</w:t>
      </w:r>
      <w:r w:rsidRPr="003C7E3B">
        <w:rPr>
          <w:rFonts w:ascii="Tw Cen MT" w:hAnsi="Tw Cen MT" w:cstheme="minorHAnsi"/>
          <w:sz w:val="24"/>
          <w:szCs w:val="24"/>
        </w:rPr>
        <w:t xml:space="preserve"> economy needs as we emerge from the COVID pandemic.</w:t>
      </w:r>
    </w:p>
    <w:p w14:paraId="2B3CE8AC" w14:textId="6D2D3741" w:rsidR="00AD47FE" w:rsidRPr="003C7E3B" w:rsidRDefault="00AD47FE" w:rsidP="00B34147">
      <w:pPr>
        <w:pStyle w:val="NoSpacing"/>
        <w:rPr>
          <w:rFonts w:ascii="Tw Cen MT" w:hAnsi="Tw Cen MT" w:cstheme="minorHAnsi"/>
          <w:sz w:val="24"/>
          <w:szCs w:val="24"/>
        </w:rPr>
      </w:pPr>
    </w:p>
    <w:p w14:paraId="4FA59C6B" w14:textId="345D0DEF" w:rsidR="00A11B3B" w:rsidRPr="003C7E3B" w:rsidRDefault="00202392" w:rsidP="00D31031">
      <w:pPr>
        <w:pStyle w:val="NoSpacing"/>
        <w:jc w:val="both"/>
        <w:rPr>
          <w:rFonts w:ascii="Tw Cen MT" w:hAnsi="Tw Cen MT" w:cstheme="minorHAnsi"/>
          <w:sz w:val="24"/>
          <w:szCs w:val="24"/>
        </w:rPr>
      </w:pPr>
      <w:r w:rsidRPr="003C7E3B">
        <w:rPr>
          <w:rFonts w:ascii="Tw Cen MT" w:hAnsi="Tw Cen MT" w:cstheme="minorHAnsi"/>
          <w:sz w:val="24"/>
          <w:szCs w:val="24"/>
        </w:rPr>
        <w:t xml:space="preserve">This submission will demonstrate how the Project supports Australia’s </w:t>
      </w:r>
      <w:r w:rsidR="00F7736C">
        <w:rPr>
          <w:rFonts w:ascii="Tw Cen MT" w:hAnsi="Tw Cen MT" w:cstheme="minorHAnsi"/>
          <w:sz w:val="24"/>
          <w:szCs w:val="24"/>
        </w:rPr>
        <w:t>n</w:t>
      </w:r>
      <w:r w:rsidRPr="003C7E3B">
        <w:rPr>
          <w:rFonts w:ascii="Tw Cen MT" w:hAnsi="Tw Cen MT" w:cstheme="minorHAnsi"/>
          <w:sz w:val="24"/>
          <w:szCs w:val="24"/>
        </w:rPr>
        <w:t xml:space="preserve">ational </w:t>
      </w:r>
      <w:r w:rsidR="00F7736C">
        <w:rPr>
          <w:rFonts w:ascii="Tw Cen MT" w:hAnsi="Tw Cen MT" w:cstheme="minorHAnsi"/>
          <w:sz w:val="24"/>
          <w:szCs w:val="24"/>
        </w:rPr>
        <w:t>i</w:t>
      </w:r>
      <w:r w:rsidRPr="003C7E3B">
        <w:rPr>
          <w:rFonts w:ascii="Tw Cen MT" w:hAnsi="Tw Cen MT" w:cstheme="minorHAnsi"/>
          <w:sz w:val="24"/>
          <w:szCs w:val="24"/>
        </w:rPr>
        <w:t>nterest,</w:t>
      </w:r>
      <w:r w:rsidR="00D31031" w:rsidRPr="003C7E3B">
        <w:rPr>
          <w:rFonts w:ascii="Tw Cen MT" w:hAnsi="Tw Cen MT" w:cstheme="minorHAnsi"/>
          <w:sz w:val="24"/>
          <w:szCs w:val="24"/>
        </w:rPr>
        <w:t xml:space="preserve"> </w:t>
      </w:r>
      <w:r w:rsidRPr="003C7E3B">
        <w:rPr>
          <w:rFonts w:ascii="Tw Cen MT" w:hAnsi="Tw Cen MT" w:cstheme="minorHAnsi"/>
          <w:sz w:val="24"/>
          <w:szCs w:val="24"/>
        </w:rPr>
        <w:t>benefits the economy, wider community and creates opportunities for the Australian Defence Force (ADF) and Australian Border Force (ABF).</w:t>
      </w:r>
      <w:r w:rsidR="00D31031" w:rsidRPr="003C7E3B">
        <w:rPr>
          <w:rFonts w:ascii="Tw Cen MT" w:hAnsi="Tw Cen MT" w:cstheme="minorHAnsi"/>
          <w:sz w:val="24"/>
          <w:szCs w:val="24"/>
        </w:rPr>
        <w:t xml:space="preserve"> </w:t>
      </w:r>
      <w:r w:rsidR="00943969">
        <w:rPr>
          <w:rFonts w:ascii="Tw Cen MT" w:hAnsi="Tw Cen MT" w:cstheme="minorHAnsi"/>
          <w:sz w:val="24"/>
          <w:szCs w:val="24"/>
        </w:rPr>
        <w:t>This Project provides a</w:t>
      </w:r>
      <w:r w:rsidR="005651E8">
        <w:rPr>
          <w:rFonts w:ascii="Tw Cen MT" w:hAnsi="Tw Cen MT" w:cstheme="minorHAnsi"/>
          <w:sz w:val="24"/>
          <w:szCs w:val="24"/>
        </w:rPr>
        <w:t xml:space="preserve"> unique opportunity for the Nation </w:t>
      </w:r>
      <w:r w:rsidR="004C6ABB">
        <w:rPr>
          <w:rFonts w:ascii="Tw Cen MT" w:hAnsi="Tw Cen MT" w:cstheme="minorHAnsi"/>
          <w:sz w:val="24"/>
          <w:szCs w:val="24"/>
        </w:rPr>
        <w:t xml:space="preserve">where a privately funded infrastructure </w:t>
      </w:r>
      <w:r w:rsidR="00F632E2">
        <w:rPr>
          <w:rFonts w:ascii="Tw Cen MT" w:hAnsi="Tw Cen MT" w:cstheme="minorHAnsi"/>
          <w:sz w:val="24"/>
          <w:szCs w:val="24"/>
        </w:rPr>
        <w:t xml:space="preserve">provides a significant </w:t>
      </w:r>
      <w:r w:rsidR="002D3F42">
        <w:rPr>
          <w:rFonts w:ascii="Tw Cen MT" w:hAnsi="Tw Cen MT" w:cstheme="minorHAnsi"/>
          <w:sz w:val="24"/>
          <w:szCs w:val="24"/>
        </w:rPr>
        <w:t xml:space="preserve">strategic Defence enabler for Australia and </w:t>
      </w:r>
      <w:r w:rsidR="00F8523D">
        <w:rPr>
          <w:rFonts w:ascii="Tw Cen MT" w:hAnsi="Tw Cen MT" w:cstheme="minorHAnsi"/>
          <w:sz w:val="24"/>
          <w:szCs w:val="24"/>
        </w:rPr>
        <w:t xml:space="preserve">her allies. </w:t>
      </w:r>
      <w:r w:rsidR="002D3F42">
        <w:rPr>
          <w:rFonts w:ascii="Tw Cen MT" w:hAnsi="Tw Cen MT" w:cstheme="minorHAnsi"/>
          <w:sz w:val="24"/>
          <w:szCs w:val="24"/>
        </w:rPr>
        <w:t xml:space="preserve"> </w:t>
      </w:r>
      <w:r w:rsidR="00D31031" w:rsidRPr="003C7E3B">
        <w:rPr>
          <w:rFonts w:ascii="Tw Cen MT" w:hAnsi="Tw Cen MT" w:cstheme="minorHAnsi"/>
          <w:sz w:val="24"/>
          <w:szCs w:val="24"/>
        </w:rPr>
        <w:t xml:space="preserve">Moreover, the Project will be the first ‘green port’ in Australia to be designed, built and operated as ‘carbon neutral’, utilising planned renewable energy sources.  </w:t>
      </w:r>
    </w:p>
    <w:p w14:paraId="7170D640" w14:textId="0DF4F57E" w:rsidR="00A11B3B" w:rsidRPr="003C7E3B" w:rsidRDefault="00A11B3B" w:rsidP="00B34147">
      <w:pPr>
        <w:pStyle w:val="NoSpacing"/>
        <w:rPr>
          <w:rFonts w:ascii="Tw Cen MT" w:hAnsi="Tw Cen MT" w:cstheme="minorHAnsi"/>
          <w:sz w:val="24"/>
          <w:szCs w:val="24"/>
        </w:rPr>
      </w:pPr>
    </w:p>
    <w:p w14:paraId="32D60241" w14:textId="2B8D1906" w:rsidR="00A11B3B" w:rsidRPr="003C7E3B" w:rsidRDefault="00D31031" w:rsidP="00202392">
      <w:pPr>
        <w:pStyle w:val="NoSpacing"/>
        <w:jc w:val="both"/>
        <w:rPr>
          <w:rFonts w:ascii="Tw Cen MT" w:hAnsi="Tw Cen MT" w:cstheme="minorHAnsi"/>
          <w:sz w:val="24"/>
          <w:szCs w:val="24"/>
        </w:rPr>
      </w:pPr>
      <w:r w:rsidRPr="003C7E3B">
        <w:rPr>
          <w:rFonts w:ascii="Tw Cen MT" w:hAnsi="Tw Cen MT" w:cstheme="minorHAnsi"/>
          <w:sz w:val="24"/>
          <w:szCs w:val="24"/>
        </w:rPr>
        <w:t xml:space="preserve">The Project is located at </w:t>
      </w:r>
      <w:r w:rsidR="00E01121">
        <w:rPr>
          <w:rFonts w:ascii="Tw Cen MT" w:hAnsi="Tw Cen MT" w:cstheme="minorHAnsi"/>
          <w:sz w:val="24"/>
          <w:szCs w:val="24"/>
        </w:rPr>
        <w:t>the Mowbowra Creek</w:t>
      </w:r>
      <w:r w:rsidR="004D1EBF">
        <w:rPr>
          <w:rFonts w:ascii="Tw Cen MT" w:hAnsi="Tw Cen MT" w:cstheme="minorHAnsi"/>
          <w:sz w:val="24"/>
          <w:szCs w:val="24"/>
        </w:rPr>
        <w:t xml:space="preserve"> Industrial Area</w:t>
      </w:r>
      <w:r w:rsidRPr="003C7E3B">
        <w:rPr>
          <w:rFonts w:ascii="Tw Cen MT" w:hAnsi="Tw Cen MT" w:cstheme="minorHAnsi"/>
          <w:sz w:val="24"/>
          <w:szCs w:val="24"/>
        </w:rPr>
        <w:t xml:space="preserve"> approximately 10km south of Exmouth in WA’s Gascoyne region.  </w:t>
      </w:r>
      <w:r w:rsidR="00A11B3B" w:rsidRPr="003C7E3B">
        <w:rPr>
          <w:rFonts w:ascii="Tw Cen MT" w:hAnsi="Tw Cen MT" w:cstheme="minorHAnsi"/>
          <w:sz w:val="24"/>
          <w:szCs w:val="24"/>
        </w:rPr>
        <w:t xml:space="preserve">GGL have been working with the local Shire Council and Traditional Owners since the Initiatives inception </w:t>
      </w:r>
      <w:r w:rsidR="00202392" w:rsidRPr="003C7E3B">
        <w:rPr>
          <w:rFonts w:ascii="Tw Cen MT" w:hAnsi="Tw Cen MT" w:cstheme="minorHAnsi"/>
          <w:sz w:val="24"/>
          <w:szCs w:val="24"/>
        </w:rPr>
        <w:t xml:space="preserve">in 2019 </w:t>
      </w:r>
      <w:r w:rsidR="00A11B3B" w:rsidRPr="003C7E3B">
        <w:rPr>
          <w:rFonts w:ascii="Tw Cen MT" w:hAnsi="Tw Cen MT" w:cstheme="minorHAnsi"/>
          <w:sz w:val="24"/>
          <w:szCs w:val="24"/>
        </w:rPr>
        <w:t xml:space="preserve">and have now commenced community </w:t>
      </w:r>
      <w:r w:rsidR="00202392" w:rsidRPr="003C7E3B">
        <w:rPr>
          <w:rFonts w:ascii="Tw Cen MT" w:hAnsi="Tw Cen MT" w:cstheme="minorHAnsi"/>
          <w:sz w:val="24"/>
          <w:szCs w:val="24"/>
        </w:rPr>
        <w:t>consultation</w:t>
      </w:r>
      <w:r w:rsidR="00A11B3B" w:rsidRPr="003C7E3B">
        <w:rPr>
          <w:rFonts w:ascii="Tw Cen MT" w:hAnsi="Tw Cen MT" w:cstheme="minorHAnsi"/>
          <w:sz w:val="24"/>
          <w:szCs w:val="24"/>
        </w:rPr>
        <w:t xml:space="preserve">. On 3 July 2020, the WA Premier, the Hon Mark McGowan MLA, advised GGL that </w:t>
      </w:r>
      <w:r w:rsidR="008336E5">
        <w:rPr>
          <w:rFonts w:ascii="Tw Cen MT" w:hAnsi="Tw Cen MT" w:cstheme="minorHAnsi"/>
          <w:sz w:val="24"/>
          <w:szCs w:val="24"/>
        </w:rPr>
        <w:t>their</w:t>
      </w:r>
      <w:r w:rsidR="00A11B3B" w:rsidRPr="003C7E3B">
        <w:rPr>
          <w:rFonts w:ascii="Tw Cen MT" w:hAnsi="Tw Cen MT" w:cstheme="minorHAnsi"/>
          <w:sz w:val="24"/>
          <w:szCs w:val="24"/>
        </w:rPr>
        <w:t xml:space="preserve"> project had been formally recognised by the WA State Government as a ‘Project of State Significance’.  </w:t>
      </w:r>
      <w:r w:rsidR="00202392" w:rsidRPr="003C7E3B">
        <w:rPr>
          <w:rFonts w:ascii="Tw Cen MT" w:hAnsi="Tw Cen MT" w:cstheme="minorHAnsi"/>
          <w:sz w:val="24"/>
          <w:szCs w:val="24"/>
        </w:rPr>
        <w:t xml:space="preserve">In January 2023 a final investment decision will be made with construction planned to commence later that year. The </w:t>
      </w:r>
      <w:r w:rsidR="008336E5">
        <w:rPr>
          <w:rFonts w:ascii="Tw Cen MT" w:hAnsi="Tw Cen MT" w:cstheme="minorHAnsi"/>
          <w:sz w:val="24"/>
          <w:szCs w:val="24"/>
        </w:rPr>
        <w:t>Port</w:t>
      </w:r>
      <w:r w:rsidR="00202392" w:rsidRPr="003C7E3B">
        <w:rPr>
          <w:rFonts w:ascii="Tw Cen MT" w:hAnsi="Tw Cen MT" w:cstheme="minorHAnsi"/>
          <w:sz w:val="24"/>
          <w:szCs w:val="24"/>
        </w:rPr>
        <w:t xml:space="preserve"> is intended to be operational by early 2025 with the lifetime of the Jetty lasting 50-100 years.   </w:t>
      </w:r>
      <w:r w:rsidR="00A11B3B" w:rsidRPr="003C7E3B">
        <w:rPr>
          <w:rFonts w:ascii="Tw Cen MT" w:hAnsi="Tw Cen MT" w:cstheme="minorHAnsi"/>
          <w:sz w:val="24"/>
          <w:szCs w:val="24"/>
        </w:rPr>
        <w:t xml:space="preserve"> </w:t>
      </w:r>
    </w:p>
    <w:p w14:paraId="097A9D72" w14:textId="6EEDC61C" w:rsidR="00A11B3B" w:rsidRPr="003C7E3B" w:rsidRDefault="00A11B3B" w:rsidP="00B34147">
      <w:pPr>
        <w:pStyle w:val="NoSpacing"/>
        <w:rPr>
          <w:rFonts w:ascii="Tw Cen MT" w:hAnsi="Tw Cen MT" w:cstheme="minorHAnsi"/>
          <w:sz w:val="24"/>
          <w:szCs w:val="24"/>
        </w:rPr>
      </w:pPr>
      <w:r w:rsidRPr="003C7E3B">
        <w:rPr>
          <w:rFonts w:ascii="Tw Cen MT" w:hAnsi="Tw Cen MT" w:cstheme="minorHAnsi"/>
          <w:sz w:val="24"/>
          <w:szCs w:val="24"/>
        </w:rPr>
        <w:t xml:space="preserve"> </w:t>
      </w:r>
    </w:p>
    <w:p w14:paraId="44BE36C8" w14:textId="0C462BC0" w:rsidR="00D31031" w:rsidRPr="003C7E3B" w:rsidRDefault="00A11B3B" w:rsidP="00B34147">
      <w:pPr>
        <w:pStyle w:val="NoSpacing"/>
        <w:rPr>
          <w:rFonts w:ascii="Tw Cen MT" w:hAnsi="Tw Cen MT" w:cstheme="minorHAnsi"/>
          <w:sz w:val="24"/>
          <w:szCs w:val="24"/>
        </w:rPr>
      </w:pPr>
      <w:r w:rsidRPr="003C7E3B">
        <w:rPr>
          <w:rFonts w:ascii="Tw Cen MT" w:hAnsi="Tw Cen MT" w:cstheme="minorHAnsi"/>
          <w:sz w:val="24"/>
          <w:szCs w:val="24"/>
        </w:rPr>
        <w:t>Aware of this, GGL make the following recommendation</w:t>
      </w:r>
      <w:r w:rsidR="009752A7">
        <w:rPr>
          <w:rFonts w:ascii="Tw Cen MT" w:hAnsi="Tw Cen MT" w:cstheme="minorHAnsi"/>
          <w:sz w:val="24"/>
          <w:szCs w:val="24"/>
        </w:rPr>
        <w:t>s</w:t>
      </w:r>
      <w:r w:rsidRPr="003C7E3B">
        <w:rPr>
          <w:rFonts w:ascii="Tw Cen MT" w:hAnsi="Tw Cen MT" w:cstheme="minorHAnsi"/>
          <w:sz w:val="24"/>
          <w:szCs w:val="24"/>
        </w:rPr>
        <w:t xml:space="preserve"> for</w:t>
      </w:r>
      <w:r w:rsidR="00203429" w:rsidRPr="003C7E3B">
        <w:rPr>
          <w:rFonts w:ascii="Tw Cen MT" w:hAnsi="Tw Cen MT" w:cstheme="minorHAnsi"/>
          <w:sz w:val="24"/>
          <w:szCs w:val="24"/>
        </w:rPr>
        <w:t xml:space="preserve"> the</w:t>
      </w:r>
      <w:r w:rsidRPr="003C7E3B">
        <w:rPr>
          <w:rFonts w:ascii="Tw Cen MT" w:hAnsi="Tw Cen MT" w:cstheme="minorHAnsi"/>
          <w:sz w:val="24"/>
          <w:szCs w:val="24"/>
        </w:rPr>
        <w:t xml:space="preserve"> Government’s consideration for inclusion in the 2021-22 budget: </w:t>
      </w:r>
      <w:r w:rsidR="004A08B0" w:rsidRPr="003C7E3B">
        <w:rPr>
          <w:rFonts w:ascii="Tw Cen MT" w:hAnsi="Tw Cen MT" w:cstheme="minorHAnsi"/>
          <w:sz w:val="24"/>
          <w:szCs w:val="24"/>
        </w:rPr>
        <w:t xml:space="preserve"> </w:t>
      </w:r>
    </w:p>
    <w:p w14:paraId="2896C2BD" w14:textId="3AB98455" w:rsidR="00F263D7" w:rsidRPr="003C7E3B" w:rsidRDefault="00F263D7" w:rsidP="00B34147">
      <w:pPr>
        <w:pStyle w:val="NoSpacing"/>
        <w:rPr>
          <w:rFonts w:ascii="Tw Cen MT" w:hAnsi="Tw Cen MT" w:cstheme="minorHAnsi"/>
          <w:sz w:val="24"/>
          <w:szCs w:val="24"/>
        </w:rPr>
      </w:pPr>
    </w:p>
    <w:tbl>
      <w:tblPr>
        <w:tblStyle w:val="GridTable5Dark-Accent2"/>
        <w:tblW w:w="9493" w:type="dxa"/>
        <w:tblLook w:val="04A0" w:firstRow="1" w:lastRow="0" w:firstColumn="1" w:lastColumn="0" w:noHBand="0" w:noVBand="1"/>
      </w:tblPr>
      <w:tblGrid>
        <w:gridCol w:w="562"/>
        <w:gridCol w:w="6096"/>
        <w:gridCol w:w="2835"/>
      </w:tblGrid>
      <w:tr w:rsidR="00F263D7" w:rsidRPr="003C7E3B" w14:paraId="0CA15BFC" w14:textId="77777777" w:rsidTr="004E370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D1C7786" w14:textId="33FAD2ED" w:rsidR="00F263D7" w:rsidRPr="003C7E3B" w:rsidRDefault="00F263D7" w:rsidP="00CE45A1">
            <w:pPr>
              <w:pStyle w:val="NoSpacing"/>
              <w:rPr>
                <w:rFonts w:ascii="Tw Cen MT" w:hAnsi="Tw Cen MT" w:cstheme="minorHAnsi"/>
                <w:sz w:val="24"/>
                <w:szCs w:val="24"/>
              </w:rPr>
            </w:pPr>
            <w:r w:rsidRPr="003C7E3B">
              <w:rPr>
                <w:rFonts w:ascii="Tw Cen MT" w:hAnsi="Tw Cen MT" w:cstheme="minorHAnsi"/>
                <w:sz w:val="24"/>
                <w:szCs w:val="24"/>
              </w:rPr>
              <w:t>No</w:t>
            </w:r>
          </w:p>
        </w:tc>
        <w:tc>
          <w:tcPr>
            <w:tcW w:w="6096" w:type="dxa"/>
            <w:vAlign w:val="center"/>
          </w:tcPr>
          <w:p w14:paraId="082220D5" w14:textId="493BE4C5" w:rsidR="00F263D7" w:rsidRPr="003C7E3B" w:rsidRDefault="00B94500" w:rsidP="00CE45A1">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xml:space="preserve">GGL </w:t>
            </w:r>
            <w:r w:rsidR="00F263D7" w:rsidRPr="003C7E3B">
              <w:rPr>
                <w:rFonts w:ascii="Tw Cen MT" w:hAnsi="Tw Cen MT" w:cstheme="minorHAnsi"/>
                <w:sz w:val="24"/>
                <w:szCs w:val="24"/>
              </w:rPr>
              <w:t>RECOMMENDATION</w:t>
            </w:r>
          </w:p>
        </w:tc>
        <w:tc>
          <w:tcPr>
            <w:tcW w:w="2835" w:type="dxa"/>
            <w:vAlign w:val="center"/>
          </w:tcPr>
          <w:p w14:paraId="205233FE" w14:textId="370D85FC" w:rsidR="00F263D7" w:rsidRPr="003C7E3B" w:rsidRDefault="00F263D7" w:rsidP="00CE45A1">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w:t>
            </w:r>
            <w:r w:rsidR="00B94500" w:rsidRPr="003C7E3B">
              <w:rPr>
                <w:rFonts w:ascii="Tw Cen MT" w:hAnsi="Tw Cen MT" w:cstheme="minorHAnsi"/>
                <w:sz w:val="24"/>
                <w:szCs w:val="24"/>
              </w:rPr>
              <w:t xml:space="preserve"> (AUD including GST)</w:t>
            </w:r>
          </w:p>
        </w:tc>
      </w:tr>
      <w:tr w:rsidR="00F263D7" w:rsidRPr="003C7E3B" w14:paraId="01971479" w14:textId="77777777" w:rsidTr="004E370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529BAE" w14:textId="77777777" w:rsidR="00F263D7" w:rsidRPr="003C7E3B" w:rsidRDefault="00F263D7" w:rsidP="00B02408">
            <w:pPr>
              <w:pStyle w:val="NoSpacing"/>
              <w:numPr>
                <w:ilvl w:val="0"/>
                <w:numId w:val="12"/>
              </w:numPr>
              <w:rPr>
                <w:rFonts w:ascii="Tw Cen MT" w:hAnsi="Tw Cen MT" w:cstheme="minorHAnsi"/>
                <w:sz w:val="24"/>
                <w:szCs w:val="24"/>
              </w:rPr>
            </w:pPr>
          </w:p>
        </w:tc>
        <w:tc>
          <w:tcPr>
            <w:tcW w:w="6096" w:type="dxa"/>
            <w:vAlign w:val="center"/>
          </w:tcPr>
          <w:p w14:paraId="6D2B2079" w14:textId="71BCA391" w:rsidR="00F263D7" w:rsidRPr="003C7E3B" w:rsidRDefault="00B94500"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considers investing in the Gascoyne Gateway Initiative via the Northern Australia Infrastructure Facility (NAIF)</w:t>
            </w:r>
          </w:p>
        </w:tc>
        <w:tc>
          <w:tcPr>
            <w:tcW w:w="2835" w:type="dxa"/>
            <w:vAlign w:val="center"/>
          </w:tcPr>
          <w:p w14:paraId="2A89BFFD" w14:textId="03FF4090" w:rsidR="00F263D7" w:rsidRPr="003C7E3B" w:rsidRDefault="00CC475E"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Pr>
                <w:rFonts w:ascii="Tw Cen MT" w:hAnsi="Tw Cen MT" w:cstheme="minorHAnsi"/>
                <w:sz w:val="24"/>
                <w:szCs w:val="24"/>
              </w:rPr>
              <w:t>TBC $200-</w:t>
            </w:r>
            <w:r w:rsidR="00B94500" w:rsidRPr="003C7E3B">
              <w:rPr>
                <w:rFonts w:ascii="Tw Cen MT" w:hAnsi="Tw Cen MT" w:cstheme="minorHAnsi"/>
                <w:sz w:val="24"/>
                <w:szCs w:val="24"/>
              </w:rPr>
              <w:t>$</w:t>
            </w:r>
            <w:r>
              <w:rPr>
                <w:rFonts w:ascii="Tw Cen MT" w:hAnsi="Tw Cen MT" w:cstheme="minorHAnsi"/>
                <w:sz w:val="24"/>
                <w:szCs w:val="24"/>
              </w:rPr>
              <w:t>3</w:t>
            </w:r>
            <w:r w:rsidR="00B94500" w:rsidRPr="003C7E3B">
              <w:rPr>
                <w:rFonts w:ascii="Tw Cen MT" w:hAnsi="Tw Cen MT" w:cstheme="minorHAnsi"/>
                <w:sz w:val="24"/>
                <w:szCs w:val="24"/>
              </w:rPr>
              <w:t xml:space="preserve">00 million AUD </w:t>
            </w:r>
            <w:r w:rsidR="0061246B">
              <w:rPr>
                <w:rFonts w:ascii="Tw Cen MT" w:hAnsi="Tw Cen MT" w:cstheme="minorHAnsi"/>
                <w:sz w:val="24"/>
                <w:szCs w:val="24"/>
              </w:rPr>
              <w:t xml:space="preserve">debt facility </w:t>
            </w:r>
            <w:r w:rsidR="00B94500" w:rsidRPr="003C7E3B">
              <w:rPr>
                <w:rFonts w:ascii="Tw Cen MT" w:hAnsi="Tw Cen MT" w:cstheme="minorHAnsi"/>
                <w:sz w:val="24"/>
                <w:szCs w:val="24"/>
              </w:rPr>
              <w:t>from existing NAIF funds</w:t>
            </w:r>
          </w:p>
        </w:tc>
      </w:tr>
      <w:tr w:rsidR="00B94500" w:rsidRPr="003C7E3B" w14:paraId="4762F4D2" w14:textId="77777777" w:rsidTr="004E370D">
        <w:trPr>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46EC454" w14:textId="77777777" w:rsidR="00B94500" w:rsidRPr="003C7E3B" w:rsidRDefault="00B94500" w:rsidP="00B02408">
            <w:pPr>
              <w:pStyle w:val="NoSpacing"/>
              <w:numPr>
                <w:ilvl w:val="0"/>
                <w:numId w:val="12"/>
              </w:numPr>
              <w:rPr>
                <w:rFonts w:ascii="Tw Cen MT" w:hAnsi="Tw Cen MT" w:cstheme="minorHAnsi"/>
                <w:sz w:val="24"/>
                <w:szCs w:val="24"/>
              </w:rPr>
            </w:pPr>
          </w:p>
        </w:tc>
        <w:tc>
          <w:tcPr>
            <w:tcW w:w="6096" w:type="dxa"/>
            <w:vAlign w:val="center"/>
          </w:tcPr>
          <w:p w14:paraId="286E8111" w14:textId="47F5459D" w:rsidR="00B94500" w:rsidRPr="003C7E3B" w:rsidRDefault="00B94500" w:rsidP="00CE45A1">
            <w:pPr>
              <w:pStyle w:val="NoSpacing"/>
              <w:cnfStyle w:val="000000000000" w:firstRow="0"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recognise the initiative as</w:t>
            </w:r>
            <w:r w:rsidR="008D756B" w:rsidRPr="003C7E3B">
              <w:rPr>
                <w:rFonts w:ascii="Tw Cen MT" w:hAnsi="Tw Cen MT" w:cstheme="minorHAnsi"/>
                <w:sz w:val="24"/>
                <w:szCs w:val="24"/>
              </w:rPr>
              <w:t xml:space="preserve"> an Infrastructure project of National Significance</w:t>
            </w:r>
          </w:p>
        </w:tc>
        <w:tc>
          <w:tcPr>
            <w:tcW w:w="2835" w:type="dxa"/>
            <w:vAlign w:val="center"/>
          </w:tcPr>
          <w:p w14:paraId="325A25A5" w14:textId="2E916312" w:rsidR="00B94500" w:rsidRPr="003C7E3B" w:rsidRDefault="008D756B" w:rsidP="00CE45A1">
            <w:pPr>
              <w:pStyle w:val="NoSpacing"/>
              <w:cnfStyle w:val="000000000000" w:firstRow="0"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$0 - NIL</w:t>
            </w:r>
          </w:p>
        </w:tc>
      </w:tr>
      <w:tr w:rsidR="00F263D7" w:rsidRPr="003C7E3B" w14:paraId="25BE2787" w14:textId="77777777" w:rsidTr="004E370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F904FB" w14:textId="77777777" w:rsidR="00F263D7" w:rsidRPr="003C7E3B" w:rsidRDefault="00F263D7" w:rsidP="00B02408">
            <w:pPr>
              <w:pStyle w:val="NoSpacing"/>
              <w:numPr>
                <w:ilvl w:val="0"/>
                <w:numId w:val="12"/>
              </w:numPr>
              <w:rPr>
                <w:rFonts w:ascii="Tw Cen MT" w:hAnsi="Tw Cen MT" w:cstheme="minorHAnsi"/>
                <w:sz w:val="24"/>
                <w:szCs w:val="24"/>
              </w:rPr>
            </w:pPr>
          </w:p>
        </w:tc>
        <w:tc>
          <w:tcPr>
            <w:tcW w:w="6096" w:type="dxa"/>
            <w:vAlign w:val="center"/>
          </w:tcPr>
          <w:p w14:paraId="3B40CC4E" w14:textId="178D9970" w:rsidR="00F263D7" w:rsidRPr="003C7E3B" w:rsidRDefault="00B94500"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xml:space="preserve">That the Australian Defence Force (ADF) </w:t>
            </w:r>
            <w:r w:rsidR="008D756B" w:rsidRPr="003C7E3B">
              <w:rPr>
                <w:rFonts w:ascii="Tw Cen MT" w:hAnsi="Tw Cen MT" w:cstheme="minorHAnsi"/>
                <w:sz w:val="24"/>
                <w:szCs w:val="24"/>
              </w:rPr>
              <w:t>r</w:t>
            </w:r>
            <w:r w:rsidRPr="003C7E3B">
              <w:rPr>
                <w:rFonts w:ascii="Tw Cen MT" w:hAnsi="Tw Cen MT" w:cstheme="minorHAnsi"/>
                <w:sz w:val="24"/>
                <w:szCs w:val="24"/>
              </w:rPr>
              <w:t xml:space="preserve">ecognise the National Strategic Importance of the </w:t>
            </w:r>
            <w:r w:rsidR="00F7736C">
              <w:rPr>
                <w:rFonts w:ascii="Tw Cen MT" w:hAnsi="Tw Cen MT" w:cstheme="minorHAnsi"/>
                <w:sz w:val="24"/>
                <w:szCs w:val="24"/>
              </w:rPr>
              <w:t>i</w:t>
            </w:r>
            <w:r w:rsidRPr="003C7E3B">
              <w:rPr>
                <w:rFonts w:ascii="Tw Cen MT" w:hAnsi="Tw Cen MT" w:cstheme="minorHAnsi"/>
                <w:sz w:val="24"/>
                <w:szCs w:val="24"/>
              </w:rPr>
              <w:t>nitiative</w:t>
            </w:r>
          </w:p>
        </w:tc>
        <w:tc>
          <w:tcPr>
            <w:tcW w:w="2835" w:type="dxa"/>
            <w:vAlign w:val="center"/>
          </w:tcPr>
          <w:p w14:paraId="3FEA9760" w14:textId="64005F15" w:rsidR="00F263D7" w:rsidRPr="003C7E3B" w:rsidRDefault="00B94500"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$0 - NIL</w:t>
            </w:r>
          </w:p>
        </w:tc>
      </w:tr>
      <w:tr w:rsidR="00F263D7" w:rsidRPr="003C7E3B" w14:paraId="5D01CF08" w14:textId="77777777" w:rsidTr="004E370D">
        <w:trPr>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AFF1DDE" w14:textId="77777777" w:rsidR="00F263D7" w:rsidRPr="003C7E3B" w:rsidRDefault="00F263D7" w:rsidP="00B02408">
            <w:pPr>
              <w:pStyle w:val="NoSpacing"/>
              <w:numPr>
                <w:ilvl w:val="0"/>
                <w:numId w:val="12"/>
              </w:numPr>
              <w:rPr>
                <w:rFonts w:ascii="Tw Cen MT" w:hAnsi="Tw Cen MT" w:cstheme="minorHAnsi"/>
                <w:sz w:val="24"/>
                <w:szCs w:val="24"/>
              </w:rPr>
            </w:pPr>
          </w:p>
        </w:tc>
        <w:tc>
          <w:tcPr>
            <w:tcW w:w="6096" w:type="dxa"/>
            <w:vAlign w:val="center"/>
          </w:tcPr>
          <w:p w14:paraId="78298D7C" w14:textId="55ADA633" w:rsidR="00F263D7" w:rsidRPr="003C7E3B" w:rsidRDefault="00B94500" w:rsidP="00CE45A1">
            <w:pPr>
              <w:pStyle w:val="NoSpacing"/>
              <w:cnfStyle w:val="000000000000" w:firstRow="0"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xml:space="preserve">That the Australian Government </w:t>
            </w:r>
            <w:r w:rsidR="00B93214" w:rsidRPr="003C7E3B">
              <w:rPr>
                <w:rFonts w:ascii="Tw Cen MT" w:hAnsi="Tw Cen MT" w:cstheme="minorHAnsi"/>
                <w:sz w:val="24"/>
                <w:szCs w:val="24"/>
              </w:rPr>
              <w:t>recognise that GGL’s initiative will bolster Australia’s domestic fuel security and ease pressures on the nation’s refineries</w:t>
            </w:r>
          </w:p>
        </w:tc>
        <w:tc>
          <w:tcPr>
            <w:tcW w:w="2835" w:type="dxa"/>
            <w:vAlign w:val="center"/>
          </w:tcPr>
          <w:p w14:paraId="6D25C4F5" w14:textId="16C7E66F" w:rsidR="00F263D7" w:rsidRPr="003C7E3B" w:rsidRDefault="00B94500" w:rsidP="00CE45A1">
            <w:pPr>
              <w:pStyle w:val="NoSpacing"/>
              <w:cnfStyle w:val="000000000000" w:firstRow="0"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xml:space="preserve">$ TBC </w:t>
            </w:r>
            <w:r w:rsidR="00A332CB">
              <w:rPr>
                <w:rFonts w:ascii="Tw Cen MT" w:hAnsi="Tw Cen MT" w:cstheme="minorHAnsi"/>
                <w:sz w:val="24"/>
                <w:szCs w:val="24"/>
              </w:rPr>
              <w:t>Subject to Fuel Security Grants being sought</w:t>
            </w:r>
          </w:p>
        </w:tc>
      </w:tr>
      <w:tr w:rsidR="00F263D7" w:rsidRPr="003C7E3B" w14:paraId="14B7A56E" w14:textId="77777777" w:rsidTr="004E370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97052A1" w14:textId="77777777" w:rsidR="00F263D7" w:rsidRPr="003C7E3B" w:rsidRDefault="00F263D7" w:rsidP="00B02408">
            <w:pPr>
              <w:pStyle w:val="NoSpacing"/>
              <w:numPr>
                <w:ilvl w:val="0"/>
                <w:numId w:val="12"/>
              </w:numPr>
              <w:rPr>
                <w:rFonts w:ascii="Tw Cen MT" w:hAnsi="Tw Cen MT" w:cstheme="minorHAnsi"/>
                <w:sz w:val="24"/>
                <w:szCs w:val="24"/>
              </w:rPr>
            </w:pPr>
          </w:p>
        </w:tc>
        <w:tc>
          <w:tcPr>
            <w:tcW w:w="6096" w:type="dxa"/>
            <w:vAlign w:val="center"/>
          </w:tcPr>
          <w:p w14:paraId="551EB378" w14:textId="7BB63690" w:rsidR="00F263D7" w:rsidRPr="003C7E3B" w:rsidRDefault="008D756B"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w:t>
            </w:r>
            <w:r w:rsidR="00C8034F" w:rsidRPr="003C7E3B">
              <w:rPr>
                <w:rFonts w:ascii="Tw Cen MT" w:hAnsi="Tw Cen MT" w:cstheme="minorHAnsi"/>
                <w:sz w:val="24"/>
                <w:szCs w:val="24"/>
              </w:rPr>
              <w:t xml:space="preserve"> recognise that GGL’s initiative will support the</w:t>
            </w:r>
            <w:r w:rsidRPr="003C7E3B">
              <w:rPr>
                <w:rFonts w:ascii="Tw Cen MT" w:hAnsi="Tw Cen MT" w:cstheme="minorHAnsi"/>
                <w:sz w:val="24"/>
                <w:szCs w:val="24"/>
              </w:rPr>
              <w:t xml:space="preserve"> </w:t>
            </w:r>
            <w:r w:rsidR="00C8034F" w:rsidRPr="003C7E3B">
              <w:rPr>
                <w:rFonts w:ascii="Tw Cen MT" w:hAnsi="Tw Cen MT" w:cstheme="minorHAnsi"/>
                <w:sz w:val="24"/>
                <w:szCs w:val="24"/>
              </w:rPr>
              <w:t>National Hydrogen Roadmap</w:t>
            </w:r>
            <w:r w:rsidR="0028695A" w:rsidRPr="003C7E3B">
              <w:rPr>
                <w:rFonts w:ascii="Tw Cen MT" w:hAnsi="Tw Cen MT" w:cstheme="minorHAnsi"/>
                <w:sz w:val="24"/>
                <w:szCs w:val="24"/>
              </w:rPr>
              <w:t xml:space="preserve"> and will support an</w:t>
            </w:r>
            <w:r w:rsidR="0028695A" w:rsidRPr="003C7E3B">
              <w:rPr>
                <w:rFonts w:ascii="Tw Cen MT" w:hAnsi="Tw Cen MT"/>
                <w:sz w:val="24"/>
                <w:szCs w:val="24"/>
              </w:rPr>
              <w:t xml:space="preserve"> </w:t>
            </w:r>
            <w:r w:rsidR="0028695A" w:rsidRPr="003C7E3B">
              <w:rPr>
                <w:rFonts w:ascii="Tw Cen MT" w:hAnsi="Tw Cen MT" w:cstheme="minorHAnsi"/>
                <w:sz w:val="24"/>
                <w:szCs w:val="24"/>
              </w:rPr>
              <w:t>economically sustainable industry</w:t>
            </w:r>
          </w:p>
        </w:tc>
        <w:tc>
          <w:tcPr>
            <w:tcW w:w="2835" w:type="dxa"/>
            <w:vAlign w:val="center"/>
          </w:tcPr>
          <w:p w14:paraId="15D7D94A" w14:textId="2848DB90" w:rsidR="00F263D7" w:rsidRPr="003C7E3B" w:rsidRDefault="0028695A" w:rsidP="00CE45A1">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xml:space="preserve">$0 </w:t>
            </w:r>
            <w:r w:rsidR="00344962" w:rsidRPr="003C7E3B">
              <w:rPr>
                <w:rFonts w:ascii="Tw Cen MT" w:hAnsi="Tw Cen MT" w:cstheme="minorHAnsi"/>
                <w:sz w:val="24"/>
                <w:szCs w:val="24"/>
              </w:rPr>
              <w:t>–</w:t>
            </w:r>
            <w:r w:rsidRPr="003C7E3B">
              <w:rPr>
                <w:rFonts w:ascii="Tw Cen MT" w:hAnsi="Tw Cen MT" w:cstheme="minorHAnsi"/>
                <w:sz w:val="24"/>
                <w:szCs w:val="24"/>
              </w:rPr>
              <w:t xml:space="preserve"> NIL</w:t>
            </w:r>
          </w:p>
        </w:tc>
      </w:tr>
    </w:tbl>
    <w:p w14:paraId="7A168924" w14:textId="77777777" w:rsidR="00F263D7" w:rsidRPr="003C7E3B" w:rsidRDefault="00F263D7" w:rsidP="00B34147">
      <w:pPr>
        <w:pStyle w:val="NoSpacing"/>
        <w:rPr>
          <w:rFonts w:ascii="Tw Cen MT" w:hAnsi="Tw Cen MT" w:cstheme="minorHAnsi"/>
          <w:sz w:val="24"/>
          <w:szCs w:val="24"/>
        </w:rPr>
      </w:pPr>
    </w:p>
    <w:p w14:paraId="6C6A7402" w14:textId="11D8D033" w:rsidR="0016221B" w:rsidRDefault="0016221B" w:rsidP="00AF440E">
      <w:pPr>
        <w:pStyle w:val="NoSpacing"/>
        <w:rPr>
          <w:rFonts w:ascii="Tw Cen MT" w:hAnsi="Tw Cen MT" w:cstheme="minorHAnsi"/>
          <w:b/>
          <w:bCs/>
          <w:sz w:val="24"/>
          <w:szCs w:val="24"/>
        </w:rPr>
      </w:pPr>
    </w:p>
    <w:p w14:paraId="45B7E96D" w14:textId="77777777" w:rsidR="009752A7" w:rsidRPr="00AF440E" w:rsidRDefault="009752A7" w:rsidP="00AF440E">
      <w:pPr>
        <w:pStyle w:val="NoSpacing"/>
        <w:rPr>
          <w:rFonts w:ascii="Tw Cen MT" w:hAnsi="Tw Cen MT" w:cstheme="minorHAnsi"/>
          <w:b/>
          <w:bCs/>
          <w:sz w:val="24"/>
          <w:szCs w:val="24"/>
        </w:rPr>
      </w:pPr>
    </w:p>
    <w:sdt>
      <w:sdtPr>
        <w:rPr>
          <w:rFonts w:eastAsiaTheme="minorEastAsia" w:cs="Times New Roman"/>
          <w:lang w:val="en-US"/>
        </w:rPr>
        <w:id w:val="1924073075"/>
        <w:docPartObj>
          <w:docPartGallery w:val="Table of Contents"/>
          <w:docPartUnique/>
        </w:docPartObj>
      </w:sdtPr>
      <w:sdtEndPr>
        <w:rPr>
          <w:rFonts w:ascii="Tw Cen MT" w:eastAsiaTheme="minorHAnsi" w:hAnsi="Tw Cen MT" w:cstheme="minorBidi"/>
          <w:sz w:val="24"/>
          <w:szCs w:val="24"/>
          <w:lang w:val="en-AU"/>
        </w:rPr>
      </w:sdtEndPr>
      <w:sdtContent>
        <w:p w14:paraId="4AF15AE6" w14:textId="69102EAB" w:rsidR="00196835" w:rsidRPr="00196835" w:rsidRDefault="002E202C" w:rsidP="0016221B">
          <w:pPr>
            <w:rPr>
              <w:rFonts w:ascii="Tw Cen MT" w:hAnsi="Tw Cen MT"/>
              <w:b/>
              <w:bCs/>
              <w:color w:val="C45911" w:themeColor="accent2" w:themeShade="BF"/>
              <w:sz w:val="24"/>
              <w:szCs w:val="24"/>
            </w:rPr>
          </w:pPr>
          <w:r>
            <w:rPr>
              <w:rFonts w:ascii="Tw Cen MT" w:hAnsi="Tw Cen MT"/>
              <w:b/>
              <w:bCs/>
              <w:color w:val="C45911" w:themeColor="accent2" w:themeShade="BF"/>
              <w:sz w:val="24"/>
              <w:szCs w:val="24"/>
            </w:rPr>
            <w:t>TABLE OF CONTENTS</w:t>
          </w:r>
        </w:p>
        <w:p w14:paraId="2839123B" w14:textId="0FB9DDFA" w:rsidR="00196835" w:rsidRPr="00196835" w:rsidRDefault="00AF440E" w:rsidP="00196835">
          <w:pPr>
            <w:pStyle w:val="TOC1"/>
            <w:rPr>
              <w:rFonts w:ascii="Tw Cen MT" w:hAnsi="Tw Cen MT"/>
              <w:sz w:val="24"/>
              <w:szCs w:val="24"/>
            </w:rPr>
          </w:pPr>
          <w:r>
            <w:rPr>
              <w:rFonts w:ascii="Tw Cen MT" w:hAnsi="Tw Cen MT"/>
              <w:b/>
              <w:bCs/>
              <w:sz w:val="24"/>
              <w:szCs w:val="24"/>
            </w:rPr>
            <w:t>Executive Summary</w:t>
          </w:r>
          <w:r w:rsidR="00196835" w:rsidRPr="00196835">
            <w:rPr>
              <w:rFonts w:ascii="Tw Cen MT" w:hAnsi="Tw Cen MT"/>
              <w:sz w:val="24"/>
              <w:szCs w:val="24"/>
            </w:rPr>
            <w:ptab w:relativeTo="margin" w:alignment="right" w:leader="dot"/>
          </w:r>
          <w:r w:rsidR="00196835" w:rsidRPr="00196835">
            <w:rPr>
              <w:rFonts w:ascii="Tw Cen MT" w:hAnsi="Tw Cen MT"/>
              <w:b/>
              <w:bCs/>
              <w:sz w:val="24"/>
              <w:szCs w:val="24"/>
            </w:rPr>
            <w:t>1</w:t>
          </w:r>
        </w:p>
        <w:p w14:paraId="3F363CB9" w14:textId="4AAEC165" w:rsidR="00196835" w:rsidRPr="00196835" w:rsidRDefault="00AF440E" w:rsidP="00196835">
          <w:pPr>
            <w:pStyle w:val="TOC1"/>
            <w:rPr>
              <w:rFonts w:ascii="Tw Cen MT" w:hAnsi="Tw Cen MT"/>
              <w:sz w:val="24"/>
              <w:szCs w:val="24"/>
            </w:rPr>
          </w:pPr>
          <w:r>
            <w:rPr>
              <w:rFonts w:ascii="Tw Cen MT" w:hAnsi="Tw Cen MT"/>
              <w:b/>
              <w:bCs/>
              <w:sz w:val="24"/>
              <w:szCs w:val="24"/>
            </w:rPr>
            <w:t>Background</w:t>
          </w:r>
          <w:r w:rsidR="00196835" w:rsidRPr="00196835">
            <w:rPr>
              <w:rFonts w:ascii="Tw Cen MT" w:hAnsi="Tw Cen MT"/>
              <w:sz w:val="24"/>
              <w:szCs w:val="24"/>
            </w:rPr>
            <w:ptab w:relativeTo="margin" w:alignment="right" w:leader="dot"/>
          </w:r>
          <w:r w:rsidR="00196835" w:rsidRPr="00196835">
            <w:rPr>
              <w:rFonts w:ascii="Tw Cen MT" w:hAnsi="Tw Cen MT"/>
              <w:b/>
              <w:bCs/>
              <w:sz w:val="24"/>
              <w:szCs w:val="24"/>
            </w:rPr>
            <w:t>3</w:t>
          </w:r>
        </w:p>
        <w:p w14:paraId="1EC44A38" w14:textId="27CC134E" w:rsidR="00196835" w:rsidRPr="00196835" w:rsidRDefault="00AF440E" w:rsidP="00196835">
          <w:pPr>
            <w:pStyle w:val="TOC2"/>
            <w:ind w:left="216"/>
            <w:rPr>
              <w:rFonts w:ascii="Tw Cen MT" w:hAnsi="Tw Cen MT"/>
              <w:sz w:val="24"/>
              <w:szCs w:val="24"/>
            </w:rPr>
          </w:pPr>
          <w:r>
            <w:rPr>
              <w:rFonts w:ascii="Tw Cen MT" w:hAnsi="Tw Cen MT"/>
              <w:sz w:val="24"/>
              <w:szCs w:val="24"/>
            </w:rPr>
            <w:t>Who are we?</w:t>
          </w:r>
          <w:r w:rsidR="00196835" w:rsidRPr="00196835">
            <w:rPr>
              <w:rFonts w:ascii="Tw Cen MT" w:hAnsi="Tw Cen MT"/>
              <w:sz w:val="24"/>
              <w:szCs w:val="24"/>
            </w:rPr>
            <w:ptab w:relativeTo="margin" w:alignment="right" w:leader="dot"/>
          </w:r>
          <w:r w:rsidR="00196835" w:rsidRPr="00196835">
            <w:rPr>
              <w:rFonts w:ascii="Tw Cen MT" w:hAnsi="Tw Cen MT"/>
              <w:sz w:val="24"/>
              <w:szCs w:val="24"/>
            </w:rPr>
            <w:t>3</w:t>
          </w:r>
        </w:p>
        <w:p w14:paraId="6B6004FB" w14:textId="2559A11C" w:rsidR="00196835" w:rsidRPr="00196835" w:rsidRDefault="00AF440E" w:rsidP="00196835">
          <w:pPr>
            <w:pStyle w:val="TOC2"/>
            <w:ind w:left="216"/>
            <w:rPr>
              <w:rFonts w:ascii="Tw Cen MT" w:hAnsi="Tw Cen MT"/>
              <w:sz w:val="24"/>
              <w:szCs w:val="24"/>
            </w:rPr>
          </w:pPr>
          <w:r>
            <w:rPr>
              <w:rFonts w:ascii="Tw Cen MT" w:hAnsi="Tw Cen MT"/>
              <w:sz w:val="24"/>
              <w:szCs w:val="24"/>
            </w:rPr>
            <w:t>Trade and Infrastructure Project of State and National Significance</w:t>
          </w:r>
          <w:r w:rsidR="00196835" w:rsidRPr="00196835">
            <w:rPr>
              <w:rFonts w:ascii="Tw Cen MT" w:hAnsi="Tw Cen MT"/>
              <w:sz w:val="24"/>
              <w:szCs w:val="24"/>
            </w:rPr>
            <w:ptab w:relativeTo="margin" w:alignment="right" w:leader="dot"/>
          </w:r>
          <w:r w:rsidR="003F03A6">
            <w:rPr>
              <w:rFonts w:ascii="Tw Cen MT" w:hAnsi="Tw Cen MT"/>
              <w:sz w:val="24"/>
              <w:szCs w:val="24"/>
            </w:rPr>
            <w:t>4</w:t>
          </w:r>
        </w:p>
        <w:p w14:paraId="5DAC0BB1" w14:textId="11DC3C76" w:rsidR="00196835" w:rsidRPr="00196835" w:rsidRDefault="00AF440E" w:rsidP="00196835">
          <w:pPr>
            <w:pStyle w:val="TOC2"/>
            <w:ind w:left="216"/>
            <w:rPr>
              <w:rFonts w:ascii="Tw Cen MT" w:hAnsi="Tw Cen MT"/>
              <w:sz w:val="24"/>
              <w:szCs w:val="24"/>
            </w:rPr>
          </w:pPr>
          <w:r>
            <w:rPr>
              <w:rFonts w:ascii="Tw Cen MT" w:hAnsi="Tw Cen MT"/>
              <w:sz w:val="24"/>
              <w:szCs w:val="24"/>
            </w:rPr>
            <w:t>Australia’s First Green Port</w:t>
          </w:r>
          <w:r w:rsidR="00196835" w:rsidRPr="00196835">
            <w:rPr>
              <w:rFonts w:ascii="Tw Cen MT" w:hAnsi="Tw Cen MT"/>
              <w:sz w:val="24"/>
              <w:szCs w:val="24"/>
            </w:rPr>
            <w:ptab w:relativeTo="margin" w:alignment="right" w:leader="dot"/>
          </w:r>
          <w:r w:rsidR="003F03A6">
            <w:rPr>
              <w:rFonts w:ascii="Tw Cen MT" w:hAnsi="Tw Cen MT"/>
              <w:sz w:val="24"/>
              <w:szCs w:val="24"/>
            </w:rPr>
            <w:t>4</w:t>
          </w:r>
        </w:p>
        <w:p w14:paraId="2C495E8B" w14:textId="5A7C30EA" w:rsidR="00196835" w:rsidRPr="00196835" w:rsidRDefault="00AF440E" w:rsidP="00196835">
          <w:pPr>
            <w:pStyle w:val="TOC2"/>
            <w:ind w:left="216"/>
            <w:rPr>
              <w:rFonts w:ascii="Tw Cen MT" w:hAnsi="Tw Cen MT"/>
              <w:sz w:val="24"/>
              <w:szCs w:val="24"/>
            </w:rPr>
          </w:pPr>
          <w:r>
            <w:rPr>
              <w:rFonts w:ascii="Tw Cen MT" w:hAnsi="Tw Cen MT"/>
              <w:sz w:val="24"/>
              <w:szCs w:val="24"/>
            </w:rPr>
            <w:t>Indigenous Engagement</w:t>
          </w:r>
          <w:r w:rsidR="00196835" w:rsidRPr="00196835">
            <w:rPr>
              <w:rFonts w:ascii="Tw Cen MT" w:hAnsi="Tw Cen MT"/>
              <w:sz w:val="24"/>
              <w:szCs w:val="24"/>
            </w:rPr>
            <w:ptab w:relativeTo="margin" w:alignment="right" w:leader="dot"/>
          </w:r>
          <w:r w:rsidR="003F03A6">
            <w:rPr>
              <w:rFonts w:ascii="Tw Cen MT" w:hAnsi="Tw Cen MT"/>
              <w:sz w:val="24"/>
              <w:szCs w:val="24"/>
            </w:rPr>
            <w:t>5</w:t>
          </w:r>
        </w:p>
        <w:p w14:paraId="15BCBACA" w14:textId="25932DDD" w:rsidR="00196835" w:rsidRPr="00196835" w:rsidRDefault="00AF440E" w:rsidP="00196835">
          <w:pPr>
            <w:pStyle w:val="TOC2"/>
            <w:ind w:left="216"/>
            <w:rPr>
              <w:rFonts w:ascii="Tw Cen MT" w:hAnsi="Tw Cen MT"/>
              <w:sz w:val="24"/>
              <w:szCs w:val="24"/>
            </w:rPr>
          </w:pPr>
          <w:r>
            <w:rPr>
              <w:rFonts w:ascii="Tw Cen MT" w:hAnsi="Tw Cen MT"/>
              <w:sz w:val="24"/>
              <w:szCs w:val="24"/>
            </w:rPr>
            <w:t>Project Timeline</w:t>
          </w:r>
          <w:r w:rsidR="00196835" w:rsidRPr="00196835">
            <w:rPr>
              <w:rFonts w:ascii="Tw Cen MT" w:hAnsi="Tw Cen MT"/>
              <w:sz w:val="24"/>
              <w:szCs w:val="24"/>
            </w:rPr>
            <w:ptab w:relativeTo="margin" w:alignment="right" w:leader="dot"/>
          </w:r>
          <w:r w:rsidR="003F03A6">
            <w:rPr>
              <w:rFonts w:ascii="Tw Cen MT" w:hAnsi="Tw Cen MT"/>
              <w:sz w:val="24"/>
              <w:szCs w:val="24"/>
            </w:rPr>
            <w:t>5</w:t>
          </w:r>
        </w:p>
        <w:p w14:paraId="04568505" w14:textId="611842A0" w:rsidR="00196835" w:rsidRPr="00196835" w:rsidRDefault="00AF440E" w:rsidP="00AF440E">
          <w:pPr>
            <w:pStyle w:val="TOC2"/>
            <w:ind w:left="0"/>
            <w:rPr>
              <w:rFonts w:ascii="Tw Cen MT" w:hAnsi="Tw Cen MT"/>
              <w:sz w:val="24"/>
              <w:szCs w:val="24"/>
            </w:rPr>
          </w:pPr>
          <w:r>
            <w:rPr>
              <w:rFonts w:ascii="Tw Cen MT" w:hAnsi="Tw Cen MT"/>
              <w:b/>
              <w:bCs/>
              <w:sz w:val="24"/>
              <w:szCs w:val="24"/>
            </w:rPr>
            <w:t>Recommendation One</w:t>
          </w:r>
          <w:r w:rsidRPr="00196835">
            <w:rPr>
              <w:rFonts w:ascii="Tw Cen MT" w:hAnsi="Tw Cen MT"/>
              <w:sz w:val="24"/>
              <w:szCs w:val="24"/>
            </w:rPr>
            <w:t xml:space="preserve"> </w:t>
          </w:r>
          <w:r w:rsidR="00196835" w:rsidRPr="00196835">
            <w:rPr>
              <w:rFonts w:ascii="Tw Cen MT" w:hAnsi="Tw Cen MT"/>
              <w:sz w:val="24"/>
              <w:szCs w:val="24"/>
            </w:rPr>
            <w:ptab w:relativeTo="margin" w:alignment="right" w:leader="dot"/>
          </w:r>
          <w:r w:rsidR="003F03A6">
            <w:rPr>
              <w:rFonts w:ascii="Tw Cen MT" w:hAnsi="Tw Cen MT"/>
              <w:sz w:val="24"/>
              <w:szCs w:val="24"/>
            </w:rPr>
            <w:t>8</w:t>
          </w:r>
        </w:p>
        <w:p w14:paraId="7919340B" w14:textId="530EBE5D" w:rsidR="00AF440E" w:rsidRPr="00196835" w:rsidRDefault="00AF440E" w:rsidP="00AF440E">
          <w:pPr>
            <w:pStyle w:val="TOC2"/>
            <w:ind w:left="0"/>
            <w:rPr>
              <w:rFonts w:ascii="Tw Cen MT" w:hAnsi="Tw Cen MT"/>
              <w:sz w:val="24"/>
              <w:szCs w:val="24"/>
            </w:rPr>
          </w:pPr>
          <w:r>
            <w:rPr>
              <w:rFonts w:ascii="Tw Cen MT" w:hAnsi="Tw Cen MT"/>
              <w:b/>
              <w:bCs/>
              <w:sz w:val="24"/>
              <w:szCs w:val="24"/>
            </w:rPr>
            <w:t xml:space="preserve">Recommendation Two </w:t>
          </w:r>
          <w:r w:rsidRPr="00196835">
            <w:rPr>
              <w:rFonts w:ascii="Tw Cen MT" w:hAnsi="Tw Cen MT"/>
              <w:sz w:val="24"/>
              <w:szCs w:val="24"/>
            </w:rPr>
            <w:t xml:space="preserve"> </w:t>
          </w:r>
          <w:r w:rsidRPr="00196835">
            <w:rPr>
              <w:rFonts w:ascii="Tw Cen MT" w:hAnsi="Tw Cen MT"/>
              <w:sz w:val="24"/>
              <w:szCs w:val="24"/>
            </w:rPr>
            <w:ptab w:relativeTo="margin" w:alignment="right" w:leader="dot"/>
          </w:r>
          <w:r>
            <w:rPr>
              <w:rFonts w:ascii="Tw Cen MT" w:hAnsi="Tw Cen MT"/>
              <w:sz w:val="24"/>
              <w:szCs w:val="24"/>
            </w:rPr>
            <w:t>1</w:t>
          </w:r>
          <w:r w:rsidR="003F03A6">
            <w:rPr>
              <w:rFonts w:ascii="Tw Cen MT" w:hAnsi="Tw Cen MT"/>
              <w:sz w:val="24"/>
              <w:szCs w:val="24"/>
            </w:rPr>
            <w:t>1</w:t>
          </w:r>
        </w:p>
        <w:p w14:paraId="6EFBBC22" w14:textId="4C6BD24F" w:rsidR="00196835" w:rsidRPr="00196835" w:rsidRDefault="00AF440E" w:rsidP="00196835">
          <w:pPr>
            <w:pStyle w:val="TOC2"/>
            <w:ind w:left="216"/>
            <w:rPr>
              <w:rFonts w:ascii="Tw Cen MT" w:hAnsi="Tw Cen MT"/>
              <w:sz w:val="24"/>
              <w:szCs w:val="24"/>
            </w:rPr>
          </w:pPr>
          <w:r>
            <w:rPr>
              <w:rFonts w:ascii="Tw Cen MT" w:hAnsi="Tw Cen MT"/>
              <w:sz w:val="24"/>
              <w:szCs w:val="24"/>
            </w:rPr>
            <w:t>Regional Jobs for the Exmouth Community</w:t>
          </w:r>
          <w:r w:rsidR="00196835" w:rsidRPr="00196835">
            <w:rPr>
              <w:rFonts w:ascii="Tw Cen MT" w:hAnsi="Tw Cen MT"/>
              <w:sz w:val="24"/>
              <w:szCs w:val="24"/>
            </w:rPr>
            <w:ptab w:relativeTo="margin" w:alignment="right" w:leader="dot"/>
          </w:r>
          <w:r w:rsidR="00C56212">
            <w:rPr>
              <w:rFonts w:ascii="Tw Cen MT" w:hAnsi="Tw Cen MT"/>
              <w:sz w:val="24"/>
              <w:szCs w:val="24"/>
            </w:rPr>
            <w:t>1</w:t>
          </w:r>
          <w:r w:rsidR="003F03A6">
            <w:rPr>
              <w:rFonts w:ascii="Tw Cen MT" w:hAnsi="Tw Cen MT"/>
              <w:sz w:val="24"/>
              <w:szCs w:val="24"/>
            </w:rPr>
            <w:t>2</w:t>
          </w:r>
        </w:p>
        <w:p w14:paraId="72CDE385" w14:textId="6624CF37" w:rsidR="00AF440E" w:rsidRDefault="00AF440E" w:rsidP="00196835">
          <w:pPr>
            <w:pStyle w:val="TOC2"/>
            <w:ind w:left="216"/>
            <w:rPr>
              <w:rFonts w:ascii="Tw Cen MT" w:hAnsi="Tw Cen MT"/>
              <w:sz w:val="24"/>
              <w:szCs w:val="24"/>
            </w:rPr>
          </w:pPr>
          <w:r>
            <w:rPr>
              <w:rFonts w:ascii="Tw Cen MT" w:hAnsi="Tw Cen MT"/>
              <w:sz w:val="24"/>
              <w:szCs w:val="24"/>
            </w:rPr>
            <w:t>Regional Economic Boost</w:t>
          </w:r>
          <w:r w:rsidR="00196835" w:rsidRPr="00196835">
            <w:rPr>
              <w:rFonts w:ascii="Tw Cen MT" w:hAnsi="Tw Cen MT"/>
              <w:sz w:val="24"/>
              <w:szCs w:val="24"/>
            </w:rPr>
            <w:ptab w:relativeTo="margin" w:alignment="right" w:leader="dot"/>
          </w:r>
          <w:r w:rsidR="00196835" w:rsidRPr="00196835">
            <w:rPr>
              <w:rFonts w:ascii="Tw Cen MT" w:hAnsi="Tw Cen MT"/>
              <w:sz w:val="24"/>
              <w:szCs w:val="24"/>
            </w:rPr>
            <w:t>1</w:t>
          </w:r>
          <w:r w:rsidR="003F03A6">
            <w:rPr>
              <w:rFonts w:ascii="Tw Cen MT" w:hAnsi="Tw Cen MT"/>
              <w:sz w:val="24"/>
              <w:szCs w:val="24"/>
            </w:rPr>
            <w:t>2</w:t>
          </w:r>
        </w:p>
        <w:p w14:paraId="4B2EA991" w14:textId="68CD3459" w:rsidR="00AF440E" w:rsidRDefault="00AF440E" w:rsidP="00AF440E">
          <w:pPr>
            <w:ind w:firstLine="216"/>
            <w:rPr>
              <w:rFonts w:ascii="Tw Cen MT" w:hAnsi="Tw Cen MT"/>
              <w:sz w:val="24"/>
              <w:szCs w:val="24"/>
            </w:rPr>
          </w:pPr>
          <w:r>
            <w:rPr>
              <w:rFonts w:ascii="Tw Cen MT" w:hAnsi="Tw Cen MT"/>
              <w:sz w:val="24"/>
              <w:szCs w:val="24"/>
            </w:rPr>
            <w:t>Revenue Streams</w:t>
          </w:r>
          <w:r w:rsidRPr="00196835">
            <w:rPr>
              <w:rFonts w:ascii="Tw Cen MT" w:hAnsi="Tw Cen MT"/>
              <w:sz w:val="24"/>
              <w:szCs w:val="24"/>
            </w:rPr>
            <w:ptab w:relativeTo="margin" w:alignment="right" w:leader="dot"/>
          </w:r>
          <w:r w:rsidRPr="00196835">
            <w:rPr>
              <w:rFonts w:ascii="Tw Cen MT" w:hAnsi="Tw Cen MT"/>
              <w:sz w:val="24"/>
              <w:szCs w:val="24"/>
            </w:rPr>
            <w:t>1</w:t>
          </w:r>
          <w:r w:rsidR="003F03A6">
            <w:rPr>
              <w:rFonts w:ascii="Tw Cen MT" w:hAnsi="Tw Cen MT"/>
              <w:sz w:val="24"/>
              <w:szCs w:val="24"/>
            </w:rPr>
            <w:t>3</w:t>
          </w:r>
        </w:p>
        <w:p w14:paraId="3E635B1E" w14:textId="261A990B" w:rsidR="00AF440E" w:rsidRPr="00196835" w:rsidRDefault="00AF440E" w:rsidP="00AF440E">
          <w:pPr>
            <w:pStyle w:val="TOC2"/>
            <w:ind w:left="0"/>
            <w:rPr>
              <w:rFonts w:ascii="Tw Cen MT" w:hAnsi="Tw Cen MT"/>
              <w:sz w:val="24"/>
              <w:szCs w:val="24"/>
            </w:rPr>
          </w:pPr>
          <w:r>
            <w:rPr>
              <w:rFonts w:ascii="Tw Cen MT" w:hAnsi="Tw Cen MT"/>
              <w:b/>
              <w:bCs/>
              <w:sz w:val="24"/>
              <w:szCs w:val="24"/>
            </w:rPr>
            <w:t xml:space="preserve">Recommendation Three </w:t>
          </w:r>
          <w:r w:rsidRPr="00196835">
            <w:rPr>
              <w:rFonts w:ascii="Tw Cen MT" w:hAnsi="Tw Cen MT"/>
              <w:sz w:val="24"/>
              <w:szCs w:val="24"/>
            </w:rPr>
            <w:t xml:space="preserve"> </w:t>
          </w:r>
          <w:r w:rsidRPr="00196835">
            <w:rPr>
              <w:rFonts w:ascii="Tw Cen MT" w:hAnsi="Tw Cen MT"/>
              <w:sz w:val="24"/>
              <w:szCs w:val="24"/>
            </w:rPr>
            <w:ptab w:relativeTo="margin" w:alignment="right" w:leader="dot"/>
          </w:r>
          <w:r>
            <w:rPr>
              <w:rFonts w:ascii="Tw Cen MT" w:hAnsi="Tw Cen MT"/>
              <w:sz w:val="24"/>
              <w:szCs w:val="24"/>
            </w:rPr>
            <w:t>1</w:t>
          </w:r>
          <w:r w:rsidR="003F03A6">
            <w:rPr>
              <w:rFonts w:ascii="Tw Cen MT" w:hAnsi="Tw Cen MT"/>
              <w:sz w:val="24"/>
              <w:szCs w:val="24"/>
            </w:rPr>
            <w:t>3</w:t>
          </w:r>
        </w:p>
        <w:p w14:paraId="052257B3" w14:textId="3E3E41E9" w:rsidR="00AF440E" w:rsidRDefault="00AF440E" w:rsidP="00AF440E">
          <w:pPr>
            <w:ind w:firstLine="216"/>
            <w:rPr>
              <w:rFonts w:ascii="Tw Cen MT" w:hAnsi="Tw Cen MT"/>
              <w:sz w:val="24"/>
              <w:szCs w:val="24"/>
            </w:rPr>
          </w:pPr>
          <w:r>
            <w:rPr>
              <w:rFonts w:ascii="Tw Cen MT" w:hAnsi="Tw Cen MT"/>
              <w:sz w:val="24"/>
              <w:szCs w:val="24"/>
            </w:rPr>
            <w:t>Australian Defence Force and Border Force Opportunities</w:t>
          </w:r>
          <w:r w:rsidRPr="00196835">
            <w:rPr>
              <w:rFonts w:ascii="Tw Cen MT" w:hAnsi="Tw Cen MT"/>
              <w:sz w:val="24"/>
              <w:szCs w:val="24"/>
            </w:rPr>
            <w:ptab w:relativeTo="margin" w:alignment="right" w:leader="dot"/>
          </w:r>
          <w:r w:rsidRPr="00196835">
            <w:rPr>
              <w:rFonts w:ascii="Tw Cen MT" w:hAnsi="Tw Cen MT"/>
              <w:sz w:val="24"/>
              <w:szCs w:val="24"/>
            </w:rPr>
            <w:t>1</w:t>
          </w:r>
          <w:r w:rsidR="003F03A6">
            <w:rPr>
              <w:rFonts w:ascii="Tw Cen MT" w:hAnsi="Tw Cen MT"/>
              <w:sz w:val="24"/>
              <w:szCs w:val="24"/>
            </w:rPr>
            <w:t>3</w:t>
          </w:r>
        </w:p>
        <w:p w14:paraId="4B1C2A09" w14:textId="68892B88" w:rsidR="00AF440E" w:rsidRDefault="00AF440E" w:rsidP="00AF440E">
          <w:pPr>
            <w:pStyle w:val="TOC2"/>
            <w:ind w:left="0"/>
            <w:rPr>
              <w:rFonts w:ascii="Tw Cen MT" w:hAnsi="Tw Cen MT"/>
              <w:sz w:val="24"/>
              <w:szCs w:val="24"/>
            </w:rPr>
          </w:pPr>
          <w:r>
            <w:rPr>
              <w:rFonts w:ascii="Tw Cen MT" w:hAnsi="Tw Cen MT"/>
              <w:b/>
              <w:bCs/>
              <w:sz w:val="24"/>
              <w:szCs w:val="24"/>
            </w:rPr>
            <w:t xml:space="preserve">Recommendation Four </w:t>
          </w:r>
          <w:r w:rsidRPr="00196835">
            <w:rPr>
              <w:rFonts w:ascii="Tw Cen MT" w:hAnsi="Tw Cen MT"/>
              <w:sz w:val="24"/>
              <w:szCs w:val="24"/>
            </w:rPr>
            <w:t xml:space="preserve"> </w:t>
          </w:r>
          <w:r w:rsidRPr="00196835">
            <w:rPr>
              <w:rFonts w:ascii="Tw Cen MT" w:hAnsi="Tw Cen MT"/>
              <w:sz w:val="24"/>
              <w:szCs w:val="24"/>
            </w:rPr>
            <w:ptab w:relativeTo="margin" w:alignment="right" w:leader="dot"/>
          </w:r>
          <w:r>
            <w:rPr>
              <w:rFonts w:ascii="Tw Cen MT" w:hAnsi="Tw Cen MT"/>
              <w:sz w:val="24"/>
              <w:szCs w:val="24"/>
            </w:rPr>
            <w:t>1</w:t>
          </w:r>
          <w:r w:rsidR="003F03A6">
            <w:rPr>
              <w:rFonts w:ascii="Tw Cen MT" w:hAnsi="Tw Cen MT"/>
              <w:sz w:val="24"/>
              <w:szCs w:val="24"/>
            </w:rPr>
            <w:t>5</w:t>
          </w:r>
        </w:p>
        <w:p w14:paraId="55DF4896" w14:textId="578C78CF" w:rsidR="00AF440E" w:rsidRDefault="00AF440E" w:rsidP="00AF440E">
          <w:pPr>
            <w:ind w:firstLine="216"/>
            <w:rPr>
              <w:rFonts w:ascii="Tw Cen MT" w:hAnsi="Tw Cen MT"/>
              <w:sz w:val="24"/>
              <w:szCs w:val="24"/>
            </w:rPr>
          </w:pPr>
          <w:r>
            <w:rPr>
              <w:rFonts w:ascii="Tw Cen MT" w:hAnsi="Tw Cen MT"/>
              <w:sz w:val="24"/>
              <w:szCs w:val="24"/>
            </w:rPr>
            <w:t xml:space="preserve">Morrison Government’s Fuel Storage Initiatives </w:t>
          </w:r>
          <w:r w:rsidRPr="00196835">
            <w:rPr>
              <w:rFonts w:ascii="Tw Cen MT" w:hAnsi="Tw Cen MT"/>
              <w:sz w:val="24"/>
              <w:szCs w:val="24"/>
            </w:rPr>
            <w:ptab w:relativeTo="margin" w:alignment="right" w:leader="dot"/>
          </w:r>
          <w:r w:rsidRPr="00196835">
            <w:rPr>
              <w:rFonts w:ascii="Tw Cen MT" w:hAnsi="Tw Cen MT"/>
              <w:sz w:val="24"/>
              <w:szCs w:val="24"/>
            </w:rPr>
            <w:t>1</w:t>
          </w:r>
          <w:r w:rsidR="003F03A6">
            <w:rPr>
              <w:rFonts w:ascii="Tw Cen MT" w:hAnsi="Tw Cen MT"/>
              <w:sz w:val="24"/>
              <w:szCs w:val="24"/>
            </w:rPr>
            <w:t>5</w:t>
          </w:r>
        </w:p>
        <w:p w14:paraId="297EB009" w14:textId="791DA75B" w:rsidR="009752A7" w:rsidRDefault="009752A7" w:rsidP="009752A7">
          <w:pPr>
            <w:ind w:firstLine="216"/>
            <w:rPr>
              <w:rFonts w:ascii="Tw Cen MT" w:hAnsi="Tw Cen MT"/>
              <w:sz w:val="24"/>
              <w:szCs w:val="24"/>
            </w:rPr>
          </w:pPr>
          <w:r>
            <w:rPr>
              <w:rFonts w:ascii="Tw Cen MT" w:hAnsi="Tw Cen MT"/>
              <w:sz w:val="24"/>
              <w:szCs w:val="24"/>
            </w:rPr>
            <w:t xml:space="preserve">Oil and Gas Opportunities </w:t>
          </w:r>
          <w:r w:rsidRPr="00196835">
            <w:rPr>
              <w:rFonts w:ascii="Tw Cen MT" w:hAnsi="Tw Cen MT"/>
              <w:sz w:val="24"/>
              <w:szCs w:val="24"/>
            </w:rPr>
            <w:ptab w:relativeTo="margin" w:alignment="right" w:leader="dot"/>
          </w:r>
          <w:r w:rsidRPr="00196835">
            <w:rPr>
              <w:rFonts w:ascii="Tw Cen MT" w:hAnsi="Tw Cen MT"/>
              <w:sz w:val="24"/>
              <w:szCs w:val="24"/>
            </w:rPr>
            <w:t>1</w:t>
          </w:r>
          <w:r w:rsidR="003F03A6">
            <w:rPr>
              <w:rFonts w:ascii="Tw Cen MT" w:hAnsi="Tw Cen MT"/>
              <w:sz w:val="24"/>
              <w:szCs w:val="24"/>
            </w:rPr>
            <w:t>6</w:t>
          </w:r>
        </w:p>
        <w:p w14:paraId="3BE22FD2" w14:textId="7D2D3639" w:rsidR="009752A7" w:rsidRDefault="009752A7" w:rsidP="009752A7">
          <w:pPr>
            <w:pStyle w:val="TOC2"/>
            <w:ind w:left="0"/>
            <w:rPr>
              <w:rFonts w:ascii="Tw Cen MT" w:hAnsi="Tw Cen MT"/>
              <w:sz w:val="24"/>
              <w:szCs w:val="24"/>
            </w:rPr>
          </w:pPr>
          <w:r>
            <w:rPr>
              <w:rFonts w:ascii="Tw Cen MT" w:hAnsi="Tw Cen MT"/>
              <w:b/>
              <w:bCs/>
              <w:sz w:val="24"/>
              <w:szCs w:val="24"/>
            </w:rPr>
            <w:t xml:space="preserve">Recommendation Five </w:t>
          </w:r>
          <w:r w:rsidRPr="00196835">
            <w:rPr>
              <w:rFonts w:ascii="Tw Cen MT" w:hAnsi="Tw Cen MT"/>
              <w:sz w:val="24"/>
              <w:szCs w:val="24"/>
            </w:rPr>
            <w:t xml:space="preserve"> </w:t>
          </w:r>
          <w:r w:rsidRPr="00196835">
            <w:rPr>
              <w:rFonts w:ascii="Tw Cen MT" w:hAnsi="Tw Cen MT"/>
              <w:sz w:val="24"/>
              <w:szCs w:val="24"/>
            </w:rPr>
            <w:ptab w:relativeTo="margin" w:alignment="right" w:leader="dot"/>
          </w:r>
          <w:r>
            <w:rPr>
              <w:rFonts w:ascii="Tw Cen MT" w:hAnsi="Tw Cen MT"/>
              <w:sz w:val="24"/>
              <w:szCs w:val="24"/>
            </w:rPr>
            <w:t>1</w:t>
          </w:r>
          <w:r w:rsidR="003F03A6">
            <w:rPr>
              <w:rFonts w:ascii="Tw Cen MT" w:hAnsi="Tw Cen MT"/>
              <w:sz w:val="24"/>
              <w:szCs w:val="24"/>
            </w:rPr>
            <w:t>6</w:t>
          </w:r>
        </w:p>
        <w:p w14:paraId="7B5EEAB2" w14:textId="68990084" w:rsidR="009752A7" w:rsidRDefault="009752A7" w:rsidP="009752A7">
          <w:pPr>
            <w:pStyle w:val="TOC2"/>
            <w:ind w:left="0"/>
            <w:rPr>
              <w:rFonts w:ascii="Tw Cen MT" w:hAnsi="Tw Cen MT"/>
              <w:sz w:val="24"/>
              <w:szCs w:val="24"/>
            </w:rPr>
          </w:pPr>
          <w:r>
            <w:rPr>
              <w:rFonts w:ascii="Tw Cen MT" w:hAnsi="Tw Cen MT"/>
              <w:b/>
              <w:bCs/>
              <w:sz w:val="24"/>
              <w:szCs w:val="24"/>
            </w:rPr>
            <w:t>Letter</w:t>
          </w:r>
          <w:r w:rsidR="003F03A6">
            <w:rPr>
              <w:rFonts w:ascii="Tw Cen MT" w:hAnsi="Tw Cen MT"/>
              <w:b/>
              <w:bCs/>
              <w:sz w:val="24"/>
              <w:szCs w:val="24"/>
            </w:rPr>
            <w:t>s</w:t>
          </w:r>
          <w:r>
            <w:rPr>
              <w:rFonts w:ascii="Tw Cen MT" w:hAnsi="Tw Cen MT"/>
              <w:b/>
              <w:bCs/>
              <w:sz w:val="24"/>
              <w:szCs w:val="24"/>
            </w:rPr>
            <w:t xml:space="preserve"> of Support</w:t>
          </w:r>
          <w:r w:rsidR="003F03A6">
            <w:rPr>
              <w:rFonts w:ascii="Tw Cen MT" w:hAnsi="Tw Cen MT"/>
              <w:b/>
              <w:bCs/>
              <w:sz w:val="24"/>
              <w:szCs w:val="24"/>
            </w:rPr>
            <w:t xml:space="preserve"> and Intent</w:t>
          </w:r>
          <w:r w:rsidRPr="00196835">
            <w:rPr>
              <w:rFonts w:ascii="Tw Cen MT" w:hAnsi="Tw Cen MT"/>
              <w:sz w:val="24"/>
              <w:szCs w:val="24"/>
            </w:rPr>
            <w:t xml:space="preserve"> </w:t>
          </w:r>
          <w:r w:rsidRPr="00196835">
            <w:rPr>
              <w:rFonts w:ascii="Tw Cen MT" w:hAnsi="Tw Cen MT"/>
              <w:sz w:val="24"/>
              <w:szCs w:val="24"/>
            </w:rPr>
            <w:ptab w:relativeTo="margin" w:alignment="right" w:leader="dot"/>
          </w:r>
          <w:r>
            <w:rPr>
              <w:rFonts w:ascii="Tw Cen MT" w:hAnsi="Tw Cen MT"/>
              <w:sz w:val="24"/>
              <w:szCs w:val="24"/>
            </w:rPr>
            <w:t>1</w:t>
          </w:r>
          <w:r w:rsidR="003F03A6">
            <w:rPr>
              <w:rFonts w:ascii="Tw Cen MT" w:hAnsi="Tw Cen MT"/>
              <w:sz w:val="24"/>
              <w:szCs w:val="24"/>
            </w:rPr>
            <w:t>7</w:t>
          </w:r>
        </w:p>
        <w:p w14:paraId="43D15BDB" w14:textId="4E56042E" w:rsidR="009752A7" w:rsidRDefault="009752A7" w:rsidP="009752A7">
          <w:pPr>
            <w:pStyle w:val="TOC2"/>
            <w:ind w:left="0"/>
            <w:rPr>
              <w:rFonts w:ascii="Tw Cen MT" w:hAnsi="Tw Cen MT"/>
              <w:sz w:val="24"/>
              <w:szCs w:val="24"/>
            </w:rPr>
          </w:pPr>
          <w:r>
            <w:rPr>
              <w:rFonts w:ascii="Tw Cen MT" w:hAnsi="Tw Cen MT"/>
              <w:b/>
              <w:bCs/>
              <w:sz w:val="24"/>
              <w:szCs w:val="24"/>
            </w:rPr>
            <w:t>Further Information</w:t>
          </w:r>
          <w:r w:rsidRPr="00196835">
            <w:rPr>
              <w:rFonts w:ascii="Tw Cen MT" w:hAnsi="Tw Cen MT"/>
              <w:sz w:val="24"/>
              <w:szCs w:val="24"/>
            </w:rPr>
            <w:t xml:space="preserve"> </w:t>
          </w:r>
          <w:r w:rsidRPr="00196835">
            <w:rPr>
              <w:rFonts w:ascii="Tw Cen MT" w:hAnsi="Tw Cen MT"/>
              <w:sz w:val="24"/>
              <w:szCs w:val="24"/>
            </w:rPr>
            <w:ptab w:relativeTo="margin" w:alignment="right" w:leader="dot"/>
          </w:r>
          <w:r w:rsidR="003F03A6">
            <w:rPr>
              <w:rFonts w:ascii="Tw Cen MT" w:hAnsi="Tw Cen MT"/>
              <w:sz w:val="24"/>
              <w:szCs w:val="24"/>
            </w:rPr>
            <w:t>22</w:t>
          </w:r>
        </w:p>
        <w:p w14:paraId="44141609" w14:textId="6A246EB9" w:rsidR="009752A7" w:rsidRDefault="009752A7" w:rsidP="009752A7">
          <w:pPr>
            <w:pStyle w:val="TOC2"/>
            <w:ind w:left="0"/>
            <w:rPr>
              <w:rFonts w:ascii="Tw Cen MT" w:hAnsi="Tw Cen MT"/>
              <w:sz w:val="24"/>
              <w:szCs w:val="24"/>
            </w:rPr>
          </w:pPr>
          <w:r>
            <w:rPr>
              <w:rFonts w:ascii="Tw Cen MT" w:hAnsi="Tw Cen MT"/>
              <w:b/>
              <w:bCs/>
              <w:sz w:val="24"/>
              <w:szCs w:val="24"/>
            </w:rPr>
            <w:t xml:space="preserve">Who </w:t>
          </w:r>
          <w:r w:rsidR="00605319">
            <w:rPr>
              <w:rFonts w:ascii="Tw Cen MT" w:hAnsi="Tw Cen MT"/>
              <w:b/>
              <w:bCs/>
              <w:sz w:val="24"/>
              <w:szCs w:val="24"/>
            </w:rPr>
            <w:t>We Are</w:t>
          </w:r>
          <w:r w:rsidRPr="00196835">
            <w:rPr>
              <w:rFonts w:ascii="Tw Cen MT" w:hAnsi="Tw Cen MT"/>
              <w:sz w:val="24"/>
              <w:szCs w:val="24"/>
            </w:rPr>
            <w:t xml:space="preserve"> </w:t>
          </w:r>
          <w:r w:rsidRPr="00196835">
            <w:rPr>
              <w:rFonts w:ascii="Tw Cen MT" w:hAnsi="Tw Cen MT"/>
              <w:sz w:val="24"/>
              <w:szCs w:val="24"/>
            </w:rPr>
            <w:ptab w:relativeTo="margin" w:alignment="right" w:leader="dot"/>
          </w:r>
          <w:r w:rsidR="003F03A6">
            <w:rPr>
              <w:rFonts w:ascii="Tw Cen MT" w:hAnsi="Tw Cen MT"/>
              <w:sz w:val="24"/>
              <w:szCs w:val="24"/>
            </w:rPr>
            <w:t>23</w:t>
          </w:r>
        </w:p>
        <w:p w14:paraId="519E2B1D" w14:textId="463BBB75" w:rsidR="009752A7" w:rsidRPr="009752A7" w:rsidRDefault="009752A7" w:rsidP="009752A7">
          <w:pPr>
            <w:rPr>
              <w:lang w:val="en-US"/>
            </w:rPr>
          </w:pPr>
        </w:p>
        <w:p w14:paraId="1C9610ED" w14:textId="2C45B27D" w:rsidR="009752A7" w:rsidRPr="009752A7" w:rsidRDefault="009752A7" w:rsidP="009752A7">
          <w:pPr>
            <w:rPr>
              <w:lang w:val="en-US"/>
            </w:rPr>
          </w:pPr>
        </w:p>
        <w:p w14:paraId="4C74A8DA" w14:textId="3F95C22B" w:rsidR="009752A7" w:rsidRPr="009752A7" w:rsidRDefault="009752A7" w:rsidP="009752A7">
          <w:pPr>
            <w:rPr>
              <w:lang w:val="en-US"/>
            </w:rPr>
          </w:pPr>
        </w:p>
        <w:p w14:paraId="5FB1D1FA" w14:textId="4679360D" w:rsidR="009752A7" w:rsidRPr="009752A7" w:rsidRDefault="009752A7" w:rsidP="009752A7">
          <w:pPr>
            <w:rPr>
              <w:lang w:val="en-US"/>
            </w:rPr>
          </w:pPr>
        </w:p>
        <w:p w14:paraId="0840F7C8" w14:textId="0E2E68E4" w:rsidR="009752A7" w:rsidRPr="009752A7" w:rsidRDefault="009752A7" w:rsidP="009752A7">
          <w:pPr>
            <w:rPr>
              <w:lang w:val="en-US"/>
            </w:rPr>
          </w:pPr>
        </w:p>
        <w:p w14:paraId="68A775CB" w14:textId="4E05D5A5" w:rsidR="009752A7" w:rsidRPr="009752A7" w:rsidRDefault="009752A7" w:rsidP="009752A7">
          <w:pPr>
            <w:rPr>
              <w:lang w:val="en-US"/>
            </w:rPr>
          </w:pPr>
        </w:p>
        <w:p w14:paraId="44DDF5C7" w14:textId="77777777" w:rsidR="009752A7" w:rsidRDefault="00EC25AB" w:rsidP="009752A7">
          <w:pPr>
            <w:rPr>
              <w:rFonts w:ascii="Tw Cen MT" w:hAnsi="Tw Cen MT"/>
              <w:sz w:val="24"/>
              <w:szCs w:val="24"/>
            </w:rPr>
          </w:pPr>
        </w:p>
      </w:sdtContent>
    </w:sdt>
    <w:p w14:paraId="341B6DC6" w14:textId="2B12EC25" w:rsidR="00196835" w:rsidRPr="003A776F" w:rsidRDefault="00196835" w:rsidP="00196835">
      <w:pPr>
        <w:pStyle w:val="NoSpacing"/>
        <w:rPr>
          <w:rFonts w:ascii="Tw Cen MT" w:hAnsi="Tw Cen MT" w:cstheme="minorHAnsi"/>
          <w:sz w:val="24"/>
          <w:szCs w:val="24"/>
        </w:rPr>
      </w:pPr>
    </w:p>
    <w:p w14:paraId="3DFCA5D4" w14:textId="34B58E28" w:rsidR="00DD30E2" w:rsidRPr="001B0E34" w:rsidRDefault="001B0E34" w:rsidP="00B34147">
      <w:pPr>
        <w:pStyle w:val="NoSpacing"/>
        <w:rPr>
          <w:rFonts w:ascii="Tw Cen MT" w:hAnsi="Tw Cen MT" w:cstheme="minorHAnsi"/>
          <w:b/>
          <w:bCs/>
          <w:color w:val="C45911" w:themeColor="accent2" w:themeShade="BF"/>
          <w:sz w:val="24"/>
          <w:szCs w:val="24"/>
        </w:rPr>
      </w:pPr>
      <w:r w:rsidRPr="001B0E34">
        <w:rPr>
          <w:rFonts w:ascii="Tw Cen MT" w:hAnsi="Tw Cen MT" w:cstheme="minorHAnsi"/>
          <w:b/>
          <w:bCs/>
          <w:color w:val="C45911" w:themeColor="accent2" w:themeShade="BF"/>
          <w:sz w:val="24"/>
          <w:szCs w:val="24"/>
        </w:rPr>
        <w:t>BACKGROUND</w:t>
      </w:r>
    </w:p>
    <w:p w14:paraId="4733F474" w14:textId="1E544F7A" w:rsidR="00DE3279" w:rsidRPr="003C7E3B" w:rsidRDefault="00DE3279" w:rsidP="00B34147">
      <w:pPr>
        <w:pStyle w:val="NoSpacing"/>
        <w:rPr>
          <w:rFonts w:ascii="Tw Cen MT" w:hAnsi="Tw Cen MT" w:cstheme="minorHAnsi"/>
          <w:b/>
          <w:bCs/>
          <w:sz w:val="24"/>
          <w:szCs w:val="24"/>
        </w:rPr>
      </w:pPr>
    </w:p>
    <w:p w14:paraId="05F06968" w14:textId="49DCD616" w:rsidR="000F3979" w:rsidRPr="008578B1" w:rsidRDefault="000A65BD" w:rsidP="0030178C">
      <w:pPr>
        <w:pStyle w:val="NoSpacing"/>
        <w:rPr>
          <w:rFonts w:ascii="Tw Cen MT" w:hAnsi="Tw Cen MT" w:cstheme="minorHAnsi"/>
          <w:color w:val="C45911" w:themeColor="accent2" w:themeShade="BF"/>
          <w:sz w:val="24"/>
          <w:szCs w:val="24"/>
        </w:rPr>
      </w:pPr>
      <w:r w:rsidRPr="008578B1">
        <w:rPr>
          <w:rFonts w:ascii="Tw Cen MT" w:hAnsi="Tw Cen MT" w:cstheme="minorHAnsi"/>
          <w:b/>
          <w:bCs/>
          <w:color w:val="C45911" w:themeColor="accent2" w:themeShade="BF"/>
          <w:sz w:val="24"/>
          <w:szCs w:val="24"/>
        </w:rPr>
        <w:t>Who are we?</w:t>
      </w:r>
    </w:p>
    <w:p w14:paraId="211B539A" w14:textId="298BEB22" w:rsidR="00A1054F" w:rsidRPr="003C7E3B" w:rsidRDefault="006042B8" w:rsidP="005B425F">
      <w:pPr>
        <w:pStyle w:val="NoSpacing"/>
        <w:jc w:val="both"/>
        <w:rPr>
          <w:rFonts w:ascii="Tw Cen MT" w:hAnsi="Tw Cen MT" w:cstheme="minorHAnsi"/>
          <w:sz w:val="24"/>
          <w:szCs w:val="24"/>
        </w:rPr>
      </w:pPr>
      <w:r w:rsidRPr="003C7E3B">
        <w:rPr>
          <w:rFonts w:ascii="Tw Cen MT" w:hAnsi="Tw Cen MT" w:cstheme="minorHAnsi"/>
          <w:sz w:val="24"/>
          <w:szCs w:val="24"/>
        </w:rPr>
        <w:t>G</w:t>
      </w:r>
      <w:r w:rsidR="003A5F8C" w:rsidRPr="003C7E3B">
        <w:rPr>
          <w:rFonts w:ascii="Tw Cen MT" w:hAnsi="Tw Cen MT" w:cstheme="minorHAnsi"/>
          <w:sz w:val="24"/>
          <w:szCs w:val="24"/>
        </w:rPr>
        <w:t xml:space="preserve">ascoyne </w:t>
      </w:r>
      <w:r w:rsidRPr="003C7E3B">
        <w:rPr>
          <w:rFonts w:ascii="Tw Cen MT" w:hAnsi="Tw Cen MT" w:cstheme="minorHAnsi"/>
          <w:sz w:val="24"/>
          <w:szCs w:val="24"/>
        </w:rPr>
        <w:t>G</w:t>
      </w:r>
      <w:r w:rsidR="000A65BD" w:rsidRPr="003C7E3B">
        <w:rPr>
          <w:rFonts w:ascii="Tw Cen MT" w:hAnsi="Tw Cen MT" w:cstheme="minorHAnsi"/>
          <w:sz w:val="24"/>
          <w:szCs w:val="24"/>
        </w:rPr>
        <w:t>ateway Limited Pty Ltd (GGL)</w:t>
      </w:r>
      <w:r w:rsidRPr="003C7E3B">
        <w:rPr>
          <w:rFonts w:ascii="Tw Cen MT" w:hAnsi="Tw Cen MT" w:cstheme="minorHAnsi"/>
          <w:sz w:val="24"/>
          <w:szCs w:val="24"/>
        </w:rPr>
        <w:t xml:space="preserve"> is an Australian veteran owned, </w:t>
      </w:r>
      <w:r w:rsidR="005B425F" w:rsidRPr="003C7E3B">
        <w:rPr>
          <w:rFonts w:ascii="Tw Cen MT" w:hAnsi="Tw Cen MT" w:cstheme="minorHAnsi"/>
          <w:sz w:val="24"/>
          <w:szCs w:val="24"/>
        </w:rPr>
        <w:t xml:space="preserve">privately </w:t>
      </w:r>
      <w:r w:rsidRPr="003C7E3B">
        <w:rPr>
          <w:rFonts w:ascii="Tw Cen MT" w:hAnsi="Tw Cen MT" w:cstheme="minorHAnsi"/>
          <w:sz w:val="24"/>
          <w:szCs w:val="24"/>
        </w:rPr>
        <w:t>funded and operated initiative that will support the</w:t>
      </w:r>
      <w:r w:rsidR="00A1054F" w:rsidRPr="003C7E3B">
        <w:rPr>
          <w:rFonts w:ascii="Tw Cen MT" w:hAnsi="Tw Cen MT" w:cstheme="minorHAnsi"/>
          <w:sz w:val="24"/>
          <w:szCs w:val="24"/>
        </w:rPr>
        <w:t xml:space="preserve"> Morrison</w:t>
      </w:r>
      <w:r w:rsidRPr="003C7E3B">
        <w:rPr>
          <w:rFonts w:ascii="Tw Cen MT" w:hAnsi="Tw Cen MT" w:cstheme="minorHAnsi"/>
          <w:sz w:val="24"/>
          <w:szCs w:val="24"/>
        </w:rPr>
        <w:t xml:space="preserve"> Government’s </w:t>
      </w:r>
      <w:r w:rsidR="000F3979" w:rsidRPr="003C7E3B">
        <w:rPr>
          <w:rFonts w:ascii="Tw Cen MT" w:hAnsi="Tw Cen MT" w:cstheme="minorHAnsi"/>
          <w:sz w:val="24"/>
          <w:szCs w:val="24"/>
        </w:rPr>
        <w:t xml:space="preserve">commitment to </w:t>
      </w:r>
      <w:r w:rsidR="00D562EB" w:rsidRPr="003C7E3B">
        <w:rPr>
          <w:rFonts w:ascii="Tw Cen MT" w:hAnsi="Tw Cen MT" w:cstheme="minorHAnsi"/>
          <w:sz w:val="24"/>
          <w:szCs w:val="24"/>
        </w:rPr>
        <w:t xml:space="preserve">enhancing Australia’s sovereign capability, self-sufficiency and resilience by re-establishing supply chains and securing critical fuel imports </w:t>
      </w:r>
      <w:r w:rsidR="008336E5">
        <w:rPr>
          <w:rFonts w:ascii="Tw Cen MT" w:hAnsi="Tw Cen MT" w:cstheme="minorHAnsi"/>
          <w:sz w:val="24"/>
          <w:szCs w:val="24"/>
        </w:rPr>
        <w:t>Australia’s</w:t>
      </w:r>
      <w:r w:rsidR="00D562EB" w:rsidRPr="003C7E3B">
        <w:rPr>
          <w:rFonts w:ascii="Tw Cen MT" w:hAnsi="Tw Cen MT" w:cstheme="minorHAnsi"/>
          <w:sz w:val="24"/>
          <w:szCs w:val="24"/>
        </w:rPr>
        <w:t xml:space="preserve"> economy needs as we emerge from the COVID pandemic.</w:t>
      </w:r>
    </w:p>
    <w:p w14:paraId="630A613C" w14:textId="1033841C" w:rsidR="00A1054F" w:rsidRPr="003C7E3B" w:rsidRDefault="00A1054F" w:rsidP="005B425F">
      <w:pPr>
        <w:pStyle w:val="NoSpacing"/>
        <w:jc w:val="both"/>
        <w:rPr>
          <w:rFonts w:ascii="Tw Cen MT" w:hAnsi="Tw Cen MT" w:cstheme="minorHAnsi"/>
          <w:sz w:val="24"/>
          <w:szCs w:val="24"/>
        </w:rPr>
      </w:pPr>
    </w:p>
    <w:p w14:paraId="08A13B44" w14:textId="7B948725" w:rsidR="00B80247" w:rsidRPr="003C7E3B" w:rsidRDefault="00F552B0" w:rsidP="0030178C">
      <w:pPr>
        <w:pStyle w:val="NoSpacing"/>
        <w:jc w:val="both"/>
        <w:rPr>
          <w:rFonts w:ascii="Tw Cen MT" w:hAnsi="Tw Cen MT" w:cstheme="minorHAnsi"/>
          <w:sz w:val="24"/>
          <w:szCs w:val="24"/>
        </w:rPr>
      </w:pPr>
      <w:r w:rsidRPr="003C7E3B">
        <w:rPr>
          <w:rFonts w:ascii="Tw Cen MT" w:hAnsi="Tw Cen MT" w:cstheme="minorHAnsi"/>
          <w:sz w:val="24"/>
          <w:szCs w:val="24"/>
        </w:rPr>
        <w:t xml:space="preserve">GGL’s </w:t>
      </w:r>
      <w:r w:rsidR="005B425F" w:rsidRPr="003C7E3B">
        <w:rPr>
          <w:rFonts w:ascii="Tw Cen MT" w:hAnsi="Tw Cen MT" w:cstheme="minorHAnsi"/>
          <w:sz w:val="24"/>
          <w:szCs w:val="24"/>
        </w:rPr>
        <w:t xml:space="preserve">single jetty deep-water </w:t>
      </w:r>
      <w:r w:rsidR="008336E5">
        <w:rPr>
          <w:rFonts w:ascii="Tw Cen MT" w:hAnsi="Tw Cen MT" w:cstheme="minorHAnsi"/>
          <w:sz w:val="24"/>
          <w:szCs w:val="24"/>
        </w:rPr>
        <w:t>Port</w:t>
      </w:r>
      <w:r w:rsidR="005B425F" w:rsidRPr="003C7E3B">
        <w:rPr>
          <w:rFonts w:ascii="Tw Cen MT" w:hAnsi="Tw Cen MT" w:cstheme="minorHAnsi"/>
          <w:sz w:val="24"/>
          <w:szCs w:val="24"/>
        </w:rPr>
        <w:t xml:space="preserve"> </w:t>
      </w:r>
      <w:r w:rsidR="006042B8" w:rsidRPr="003C7E3B">
        <w:rPr>
          <w:rFonts w:ascii="Tw Cen MT" w:hAnsi="Tw Cen MT" w:cstheme="minorHAnsi"/>
          <w:sz w:val="24"/>
          <w:szCs w:val="24"/>
        </w:rPr>
        <w:t xml:space="preserve">will </w:t>
      </w:r>
      <w:r w:rsidR="000F3979" w:rsidRPr="003C7E3B">
        <w:rPr>
          <w:rFonts w:ascii="Tw Cen MT" w:hAnsi="Tw Cen MT" w:cstheme="minorHAnsi"/>
          <w:sz w:val="24"/>
          <w:szCs w:val="24"/>
        </w:rPr>
        <w:t>deliver a</w:t>
      </w:r>
      <w:r w:rsidR="006042B8" w:rsidRPr="003C7E3B">
        <w:rPr>
          <w:rFonts w:ascii="Tw Cen MT" w:hAnsi="Tw Cen MT" w:cstheme="minorHAnsi"/>
          <w:sz w:val="24"/>
          <w:szCs w:val="24"/>
        </w:rPr>
        <w:t xml:space="preserve"> </w:t>
      </w:r>
      <w:r w:rsidR="00A27D7E" w:rsidRPr="003C7E3B">
        <w:rPr>
          <w:rFonts w:ascii="Tw Cen MT" w:hAnsi="Tw Cen MT" w:cstheme="minorHAnsi"/>
          <w:sz w:val="24"/>
          <w:szCs w:val="24"/>
        </w:rPr>
        <w:t>multiuser</w:t>
      </w:r>
      <w:r w:rsidR="006042B8" w:rsidRPr="003C7E3B">
        <w:rPr>
          <w:rFonts w:ascii="Tw Cen MT" w:hAnsi="Tw Cen MT" w:cstheme="minorHAnsi"/>
          <w:sz w:val="24"/>
          <w:szCs w:val="24"/>
        </w:rPr>
        <w:t xml:space="preserve"> </w:t>
      </w:r>
      <w:r w:rsidR="008336E5">
        <w:rPr>
          <w:rFonts w:ascii="Tw Cen MT" w:hAnsi="Tw Cen MT" w:cstheme="minorHAnsi"/>
          <w:sz w:val="24"/>
          <w:szCs w:val="24"/>
        </w:rPr>
        <w:t>Port</w:t>
      </w:r>
      <w:r w:rsidR="006042B8" w:rsidRPr="003C7E3B">
        <w:rPr>
          <w:rFonts w:ascii="Tw Cen MT" w:hAnsi="Tw Cen MT" w:cstheme="minorHAnsi"/>
          <w:sz w:val="24"/>
          <w:szCs w:val="24"/>
        </w:rPr>
        <w:t xml:space="preserve"> and logistics facility that will</w:t>
      </w:r>
      <w:r w:rsidR="007E3E8B" w:rsidRPr="003C7E3B">
        <w:rPr>
          <w:rFonts w:ascii="Tw Cen MT" w:hAnsi="Tw Cen MT" w:cstheme="minorHAnsi"/>
          <w:sz w:val="24"/>
          <w:szCs w:val="24"/>
        </w:rPr>
        <w:t xml:space="preserve"> provide a regional economic </w:t>
      </w:r>
      <w:r w:rsidR="0030178C" w:rsidRPr="003C7E3B">
        <w:rPr>
          <w:rFonts w:ascii="Tw Cen MT" w:hAnsi="Tw Cen MT" w:cstheme="minorHAnsi"/>
          <w:sz w:val="24"/>
          <w:szCs w:val="24"/>
        </w:rPr>
        <w:t>boost and</w:t>
      </w:r>
      <w:r w:rsidR="003607A1" w:rsidRPr="003C7E3B">
        <w:rPr>
          <w:rFonts w:ascii="Tw Cen MT" w:hAnsi="Tw Cen MT" w:cstheme="minorHAnsi"/>
          <w:sz w:val="24"/>
          <w:szCs w:val="24"/>
        </w:rPr>
        <w:t xml:space="preserve"> create</w:t>
      </w:r>
      <w:r w:rsidR="007E3E8B" w:rsidRPr="003C7E3B">
        <w:rPr>
          <w:rFonts w:ascii="Tw Cen MT" w:hAnsi="Tw Cen MT" w:cstheme="minorHAnsi"/>
          <w:sz w:val="24"/>
          <w:szCs w:val="24"/>
        </w:rPr>
        <w:t xml:space="preserve"> and protect jobs in Exmouth</w:t>
      </w:r>
      <w:r w:rsidR="00A27D7E" w:rsidRPr="003C7E3B">
        <w:rPr>
          <w:rFonts w:ascii="Tw Cen MT" w:hAnsi="Tw Cen MT" w:cstheme="minorHAnsi"/>
          <w:sz w:val="24"/>
          <w:szCs w:val="24"/>
        </w:rPr>
        <w:t>.</w:t>
      </w:r>
      <w:r w:rsidR="0030178C" w:rsidRPr="003C7E3B">
        <w:rPr>
          <w:rFonts w:ascii="Tw Cen MT" w:hAnsi="Tw Cen MT" w:cstheme="minorHAnsi"/>
          <w:sz w:val="24"/>
          <w:szCs w:val="24"/>
        </w:rPr>
        <w:t xml:space="preserve"> </w:t>
      </w:r>
      <w:r w:rsidR="00A27D7E" w:rsidRPr="003C7E3B">
        <w:rPr>
          <w:rFonts w:ascii="Tw Cen MT" w:hAnsi="Tw Cen MT" w:cstheme="minorHAnsi"/>
          <w:sz w:val="24"/>
          <w:szCs w:val="24"/>
        </w:rPr>
        <w:t xml:space="preserve"> </w:t>
      </w:r>
      <w:r w:rsidR="0030178C" w:rsidRPr="003C7E3B">
        <w:rPr>
          <w:rFonts w:ascii="Tw Cen MT" w:hAnsi="Tw Cen MT" w:cstheme="minorHAnsi"/>
          <w:sz w:val="24"/>
          <w:szCs w:val="24"/>
        </w:rPr>
        <w:t xml:space="preserve">The Project, located at </w:t>
      </w:r>
      <w:r w:rsidR="004B171E">
        <w:rPr>
          <w:rFonts w:ascii="Tw Cen MT" w:hAnsi="Tw Cen MT" w:cstheme="minorHAnsi"/>
          <w:sz w:val="24"/>
          <w:szCs w:val="24"/>
        </w:rPr>
        <w:t>the Mowbowra Creek Industrial Area</w:t>
      </w:r>
      <w:r w:rsidR="0030178C" w:rsidRPr="003C7E3B">
        <w:rPr>
          <w:rFonts w:ascii="Tw Cen MT" w:hAnsi="Tw Cen MT" w:cstheme="minorHAnsi"/>
          <w:sz w:val="24"/>
          <w:szCs w:val="24"/>
        </w:rPr>
        <w:t xml:space="preserve"> approximately 10km south of Exmouth in WA’s Gascoyne region, is intended to be Australia’s first “Green” </w:t>
      </w:r>
      <w:r w:rsidR="007A05F0" w:rsidRPr="003C7E3B">
        <w:rPr>
          <w:rFonts w:ascii="Tw Cen MT" w:hAnsi="Tw Cen MT" w:cstheme="minorHAnsi"/>
          <w:sz w:val="24"/>
          <w:szCs w:val="24"/>
        </w:rPr>
        <w:t>multiuser</w:t>
      </w:r>
      <w:r w:rsidR="0030178C" w:rsidRPr="003C7E3B">
        <w:rPr>
          <w:rFonts w:ascii="Tw Cen MT" w:hAnsi="Tw Cen MT" w:cstheme="minorHAnsi"/>
          <w:sz w:val="24"/>
          <w:szCs w:val="24"/>
        </w:rPr>
        <w:t xml:space="preserve"> </w:t>
      </w:r>
      <w:r w:rsidR="008336E5">
        <w:rPr>
          <w:rFonts w:ascii="Tw Cen MT" w:hAnsi="Tw Cen MT" w:cstheme="minorHAnsi"/>
          <w:sz w:val="24"/>
          <w:szCs w:val="24"/>
        </w:rPr>
        <w:t>Port</w:t>
      </w:r>
      <w:r w:rsidR="0030178C" w:rsidRPr="003C7E3B">
        <w:rPr>
          <w:rFonts w:ascii="Tw Cen MT" w:hAnsi="Tw Cen MT" w:cstheme="minorHAnsi"/>
          <w:sz w:val="24"/>
          <w:szCs w:val="24"/>
        </w:rPr>
        <w:t xml:space="preserve"> and logistics facility, addressing a number of </w:t>
      </w:r>
      <w:r w:rsidR="008336E5" w:rsidRPr="003C7E3B">
        <w:rPr>
          <w:rFonts w:ascii="Tw Cen MT" w:hAnsi="Tw Cen MT" w:cstheme="minorHAnsi"/>
          <w:sz w:val="24"/>
          <w:szCs w:val="24"/>
        </w:rPr>
        <w:t>long-standing</w:t>
      </w:r>
      <w:r w:rsidR="0030178C" w:rsidRPr="003C7E3B">
        <w:rPr>
          <w:rFonts w:ascii="Tw Cen MT" w:hAnsi="Tw Cen MT" w:cstheme="minorHAnsi"/>
          <w:sz w:val="24"/>
          <w:szCs w:val="24"/>
        </w:rPr>
        <w:t xml:space="preserve"> issues and concerns with respect to the defence and border force maritime, tourism and fuel logistics and storage industries in WA. </w:t>
      </w:r>
    </w:p>
    <w:p w14:paraId="4EA7FC9D" w14:textId="77777777" w:rsidR="0030178C" w:rsidRPr="003C7E3B" w:rsidRDefault="0030178C" w:rsidP="00B02408">
      <w:pPr>
        <w:pStyle w:val="BodyText2"/>
        <w:rPr>
          <w:rFonts w:ascii="Tw Cen MT" w:hAnsi="Tw Cen MT"/>
          <w:sz w:val="24"/>
          <w:szCs w:val="24"/>
        </w:rPr>
      </w:pPr>
    </w:p>
    <w:p w14:paraId="2BB0A567" w14:textId="52ED376F" w:rsidR="00B80247" w:rsidRPr="003C7E3B" w:rsidRDefault="00B80247" w:rsidP="005B425F">
      <w:pPr>
        <w:pStyle w:val="NoSpacing"/>
        <w:jc w:val="both"/>
        <w:rPr>
          <w:rFonts w:ascii="Tw Cen MT" w:eastAsia="Times New Roman" w:hAnsi="Tw Cen MT" w:cstheme="minorHAnsi"/>
          <w:color w:val="000000"/>
          <w:sz w:val="24"/>
          <w:szCs w:val="24"/>
          <w:lang w:eastAsia="en-AU"/>
        </w:rPr>
      </w:pPr>
      <w:r w:rsidRPr="003C7E3B">
        <w:rPr>
          <w:rFonts w:ascii="Tw Cen MT" w:hAnsi="Tw Cen MT" w:cstheme="minorHAnsi"/>
          <w:sz w:val="24"/>
          <w:szCs w:val="24"/>
        </w:rPr>
        <w:t xml:space="preserve">We have been working with the Shire of Exmouth and Traditional Owners since the project’s inception and have now commenced </w:t>
      </w:r>
      <w:r w:rsidR="008336E5">
        <w:rPr>
          <w:rFonts w:ascii="Tw Cen MT" w:hAnsi="Tw Cen MT" w:cstheme="minorHAnsi"/>
          <w:sz w:val="24"/>
          <w:szCs w:val="24"/>
        </w:rPr>
        <w:t>GGL’s</w:t>
      </w:r>
      <w:r w:rsidRPr="003C7E3B">
        <w:rPr>
          <w:rFonts w:ascii="Tw Cen MT" w:hAnsi="Tw Cen MT" w:cstheme="minorHAnsi"/>
          <w:sz w:val="24"/>
          <w:szCs w:val="24"/>
        </w:rPr>
        <w:t xml:space="preserve"> community engagement in earnest, inviting key stakeholders to participate in four community reference groups (more information can be found at </w:t>
      </w:r>
      <w:hyperlink r:id="rId17" w:history="1">
        <w:r w:rsidRPr="003C7E3B">
          <w:rPr>
            <w:rStyle w:val="Hyperlink"/>
            <w:rFonts w:ascii="Tw Cen MT" w:hAnsi="Tw Cen MT" w:cstheme="minorHAnsi"/>
            <w:sz w:val="24"/>
            <w:szCs w:val="24"/>
          </w:rPr>
          <w:t>www.gascoynegateway.com.au</w:t>
        </w:r>
      </w:hyperlink>
      <w:r w:rsidRPr="003C7E3B">
        <w:rPr>
          <w:rFonts w:ascii="Tw Cen MT" w:hAnsi="Tw Cen MT" w:cstheme="minorHAnsi"/>
          <w:sz w:val="24"/>
          <w:szCs w:val="24"/>
        </w:rPr>
        <w:t>).</w:t>
      </w:r>
    </w:p>
    <w:p w14:paraId="13037282" w14:textId="77777777" w:rsidR="00B063A0" w:rsidRPr="003C7E3B" w:rsidRDefault="00B063A0" w:rsidP="00B063A0">
      <w:pPr>
        <w:pStyle w:val="NoSpacing"/>
        <w:jc w:val="both"/>
        <w:rPr>
          <w:rFonts w:ascii="Tw Cen MT" w:hAnsi="Tw Cen MT" w:cstheme="minorHAnsi"/>
          <w:sz w:val="24"/>
          <w:szCs w:val="24"/>
        </w:rPr>
      </w:pPr>
    </w:p>
    <w:p w14:paraId="328E2242" w14:textId="3F43A9C0" w:rsidR="00B063A0" w:rsidRPr="003C7E3B" w:rsidRDefault="00B063A0" w:rsidP="00B063A0">
      <w:pPr>
        <w:pStyle w:val="NoSpacing"/>
        <w:jc w:val="both"/>
        <w:rPr>
          <w:rFonts w:ascii="Tw Cen MT" w:hAnsi="Tw Cen MT" w:cstheme="minorHAnsi"/>
          <w:sz w:val="24"/>
          <w:szCs w:val="24"/>
        </w:rPr>
      </w:pPr>
      <w:r w:rsidRPr="003C7E3B">
        <w:rPr>
          <w:rFonts w:ascii="Tw Cen MT" w:hAnsi="Tw Cen MT" w:cstheme="minorHAnsi"/>
          <w:sz w:val="24"/>
          <w:szCs w:val="24"/>
        </w:rPr>
        <w:t>This project will benefit Australia is a number of ways, simply put, the project:</w:t>
      </w:r>
    </w:p>
    <w:p w14:paraId="0FADBBC1" w14:textId="3BB45917"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 xml:space="preserve">Is of State and National </w:t>
      </w:r>
      <w:r w:rsidR="0047739A" w:rsidRPr="003C7E3B">
        <w:rPr>
          <w:rFonts w:ascii="Tw Cen MT" w:hAnsi="Tw Cen MT" w:cstheme="minorHAnsi"/>
          <w:sz w:val="24"/>
          <w:szCs w:val="24"/>
        </w:rPr>
        <w:t>Significance</w:t>
      </w:r>
    </w:p>
    <w:p w14:paraId="3F3BCB36" w14:textId="52F6E847"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Provides</w:t>
      </w:r>
      <w:r w:rsidR="00921BC1" w:rsidRPr="003C7E3B">
        <w:rPr>
          <w:rFonts w:ascii="Tw Cen MT" w:hAnsi="Tw Cen MT" w:cstheme="minorHAnsi"/>
          <w:sz w:val="24"/>
          <w:szCs w:val="24"/>
        </w:rPr>
        <w:t xml:space="preserve"> Australian Defence Force (ADF) and Australian Border Force (ABF) </w:t>
      </w:r>
      <w:r w:rsidRPr="003C7E3B">
        <w:rPr>
          <w:rFonts w:ascii="Tw Cen MT" w:hAnsi="Tw Cen MT" w:cstheme="minorHAnsi"/>
          <w:sz w:val="24"/>
          <w:szCs w:val="24"/>
        </w:rPr>
        <w:t>Opportunities</w:t>
      </w:r>
    </w:p>
    <w:p w14:paraId="1C689FC5" w14:textId="70C47A51"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Will be Australia’s first Green Port</w:t>
      </w:r>
    </w:p>
    <w:p w14:paraId="66FD4EAA" w14:textId="349F948F"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Provides Multiple Revenue Streams</w:t>
      </w:r>
    </w:p>
    <w:p w14:paraId="43370575" w14:textId="77777777"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Provides Oil and Gas Opportunities</w:t>
      </w:r>
    </w:p>
    <w:p w14:paraId="5EA52D3C" w14:textId="3740BA72" w:rsidR="0087669E" w:rsidRPr="003C7E3B" w:rsidRDefault="0087669E"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H</w:t>
      </w:r>
      <w:r w:rsidR="00B063A0" w:rsidRPr="003C7E3B">
        <w:rPr>
          <w:rFonts w:ascii="Tw Cen MT" w:hAnsi="Tw Cen MT" w:cstheme="minorHAnsi"/>
          <w:sz w:val="24"/>
          <w:szCs w:val="24"/>
        </w:rPr>
        <w:t>as an Indigenous Engagement Strategy</w:t>
      </w:r>
      <w:r w:rsidR="0047739A" w:rsidRPr="003C7E3B">
        <w:rPr>
          <w:rFonts w:ascii="Tw Cen MT" w:hAnsi="Tw Cen MT" w:cstheme="minorHAnsi"/>
          <w:sz w:val="24"/>
          <w:szCs w:val="24"/>
        </w:rPr>
        <w:t xml:space="preserve"> </w:t>
      </w:r>
    </w:p>
    <w:p w14:paraId="00222D5A" w14:textId="7874B962" w:rsidR="0047739A" w:rsidRPr="003C7E3B" w:rsidRDefault="0047739A"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 xml:space="preserve">Provides a Regional Economic boost, and </w:t>
      </w:r>
    </w:p>
    <w:p w14:paraId="52BCADE1" w14:textId="3CBB9C0D" w:rsidR="0087669E" w:rsidRDefault="0047739A" w:rsidP="00B02408">
      <w:pPr>
        <w:pStyle w:val="NoSpacing"/>
        <w:numPr>
          <w:ilvl w:val="0"/>
          <w:numId w:val="3"/>
        </w:numPr>
        <w:rPr>
          <w:rFonts w:ascii="Tw Cen MT" w:hAnsi="Tw Cen MT" w:cstheme="minorHAnsi"/>
          <w:sz w:val="24"/>
          <w:szCs w:val="24"/>
        </w:rPr>
      </w:pPr>
      <w:r w:rsidRPr="003C7E3B">
        <w:rPr>
          <w:rFonts w:ascii="Tw Cen MT" w:hAnsi="Tw Cen MT" w:cstheme="minorHAnsi"/>
          <w:sz w:val="24"/>
          <w:szCs w:val="24"/>
        </w:rPr>
        <w:t>Create</w:t>
      </w:r>
      <w:r w:rsidR="007D3258" w:rsidRPr="003C7E3B">
        <w:rPr>
          <w:rFonts w:ascii="Tw Cen MT" w:hAnsi="Tw Cen MT" w:cstheme="minorHAnsi"/>
          <w:sz w:val="24"/>
          <w:szCs w:val="24"/>
        </w:rPr>
        <w:t>s</w:t>
      </w:r>
      <w:r w:rsidRPr="003C7E3B">
        <w:rPr>
          <w:rFonts w:ascii="Tw Cen MT" w:hAnsi="Tw Cen MT" w:cstheme="minorHAnsi"/>
          <w:sz w:val="24"/>
          <w:szCs w:val="24"/>
        </w:rPr>
        <w:t xml:space="preserve"> Jobs for the Local Community.</w:t>
      </w:r>
    </w:p>
    <w:p w14:paraId="301E6805" w14:textId="45176248" w:rsidR="002E202C" w:rsidRDefault="002E202C" w:rsidP="002E202C">
      <w:pPr>
        <w:pStyle w:val="NoSpacing"/>
        <w:rPr>
          <w:rFonts w:ascii="Tw Cen MT" w:hAnsi="Tw Cen MT" w:cstheme="minorHAnsi"/>
          <w:sz w:val="24"/>
          <w:szCs w:val="24"/>
        </w:rPr>
      </w:pPr>
    </w:p>
    <w:p w14:paraId="42132E24" w14:textId="71747882" w:rsidR="002E202C" w:rsidRDefault="002E202C" w:rsidP="002E202C">
      <w:pPr>
        <w:pStyle w:val="NoSpacing"/>
        <w:rPr>
          <w:rFonts w:ascii="Tw Cen MT" w:hAnsi="Tw Cen MT" w:cstheme="minorHAnsi"/>
          <w:sz w:val="24"/>
          <w:szCs w:val="24"/>
        </w:rPr>
      </w:pPr>
      <w:r>
        <w:rPr>
          <w:noProof/>
          <w:lang w:eastAsia="en-AU"/>
        </w:rPr>
        <w:drawing>
          <wp:anchor distT="0" distB="0" distL="114300" distR="114300" simplePos="0" relativeHeight="251658252" behindDoc="0" locked="0" layoutInCell="1" allowOverlap="1" wp14:anchorId="612C2FE4" wp14:editId="1C40159B">
            <wp:simplePos x="0" y="0"/>
            <wp:positionH relativeFrom="page">
              <wp:align>center</wp:align>
            </wp:positionH>
            <wp:positionV relativeFrom="paragraph">
              <wp:posOffset>10795</wp:posOffset>
            </wp:positionV>
            <wp:extent cx="3959750" cy="2185436"/>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59750" cy="2185436"/>
                    </a:xfrm>
                    <a:prstGeom prst="rect">
                      <a:avLst/>
                    </a:prstGeom>
                  </pic:spPr>
                </pic:pic>
              </a:graphicData>
            </a:graphic>
            <wp14:sizeRelH relativeFrom="page">
              <wp14:pctWidth>0</wp14:pctWidth>
            </wp14:sizeRelH>
            <wp14:sizeRelV relativeFrom="page">
              <wp14:pctHeight>0</wp14:pctHeight>
            </wp14:sizeRelV>
          </wp:anchor>
        </w:drawing>
      </w:r>
    </w:p>
    <w:p w14:paraId="015D34CF" w14:textId="6FBF8718" w:rsidR="002E202C" w:rsidRDefault="002E202C" w:rsidP="002E202C">
      <w:pPr>
        <w:pStyle w:val="NoSpacing"/>
        <w:rPr>
          <w:rFonts w:ascii="Tw Cen MT" w:hAnsi="Tw Cen MT" w:cstheme="minorHAnsi"/>
          <w:sz w:val="24"/>
          <w:szCs w:val="24"/>
        </w:rPr>
      </w:pPr>
    </w:p>
    <w:p w14:paraId="21AE8FC5" w14:textId="40CE34BC" w:rsidR="002E202C" w:rsidRDefault="002E202C" w:rsidP="002E202C">
      <w:pPr>
        <w:pStyle w:val="NoSpacing"/>
        <w:rPr>
          <w:rFonts w:ascii="Tw Cen MT" w:hAnsi="Tw Cen MT" w:cstheme="minorHAnsi"/>
          <w:sz w:val="24"/>
          <w:szCs w:val="24"/>
        </w:rPr>
      </w:pPr>
    </w:p>
    <w:p w14:paraId="41C9E4AB" w14:textId="79563BD3" w:rsidR="002E202C" w:rsidRDefault="002E202C" w:rsidP="002E202C">
      <w:pPr>
        <w:pStyle w:val="NoSpacing"/>
        <w:rPr>
          <w:rFonts w:ascii="Tw Cen MT" w:hAnsi="Tw Cen MT" w:cstheme="minorHAnsi"/>
          <w:sz w:val="24"/>
          <w:szCs w:val="24"/>
        </w:rPr>
      </w:pPr>
    </w:p>
    <w:p w14:paraId="7C420755" w14:textId="77777777" w:rsidR="002E202C" w:rsidRPr="003C7E3B" w:rsidRDefault="002E202C" w:rsidP="002E202C">
      <w:pPr>
        <w:pStyle w:val="NoSpacing"/>
        <w:rPr>
          <w:rFonts w:ascii="Tw Cen MT" w:hAnsi="Tw Cen MT" w:cstheme="minorHAnsi"/>
          <w:sz w:val="24"/>
          <w:szCs w:val="24"/>
        </w:rPr>
      </w:pPr>
    </w:p>
    <w:p w14:paraId="1A1FC765" w14:textId="50313300" w:rsidR="00175597" w:rsidRPr="003C7E3B" w:rsidRDefault="00175597" w:rsidP="005B425F">
      <w:pPr>
        <w:pStyle w:val="NoSpacing"/>
        <w:jc w:val="both"/>
        <w:rPr>
          <w:rFonts w:ascii="Tw Cen MT" w:hAnsi="Tw Cen MT" w:cstheme="minorHAnsi"/>
          <w:sz w:val="24"/>
          <w:szCs w:val="24"/>
        </w:rPr>
      </w:pPr>
    </w:p>
    <w:p w14:paraId="4BEA477D" w14:textId="77777777" w:rsidR="002E202C" w:rsidRDefault="002E202C">
      <w:pPr>
        <w:rPr>
          <w:rFonts w:ascii="Tw Cen MT" w:hAnsi="Tw Cen MT" w:cstheme="minorHAnsi"/>
          <w:b/>
          <w:bCs/>
          <w:color w:val="C45911" w:themeColor="accent2" w:themeShade="BF"/>
          <w:sz w:val="24"/>
          <w:szCs w:val="24"/>
        </w:rPr>
      </w:pPr>
      <w:r>
        <w:rPr>
          <w:rFonts w:ascii="Tw Cen MT" w:hAnsi="Tw Cen MT" w:cstheme="minorHAnsi"/>
          <w:b/>
          <w:bCs/>
          <w:color w:val="C45911" w:themeColor="accent2" w:themeShade="BF"/>
          <w:sz w:val="24"/>
          <w:szCs w:val="24"/>
        </w:rPr>
        <w:br w:type="page"/>
      </w:r>
    </w:p>
    <w:p w14:paraId="75880311" w14:textId="77777777" w:rsidR="002E202C" w:rsidRDefault="002E202C" w:rsidP="00B063A0">
      <w:pPr>
        <w:pStyle w:val="NoSpacing"/>
        <w:jc w:val="both"/>
        <w:rPr>
          <w:rFonts w:ascii="Tw Cen MT" w:hAnsi="Tw Cen MT" w:cstheme="minorHAnsi"/>
          <w:b/>
          <w:bCs/>
          <w:color w:val="C45911" w:themeColor="accent2" w:themeShade="BF"/>
          <w:sz w:val="24"/>
          <w:szCs w:val="24"/>
        </w:rPr>
      </w:pPr>
    </w:p>
    <w:p w14:paraId="74F548F9" w14:textId="618990E1" w:rsidR="00B063A0" w:rsidRPr="008578B1" w:rsidRDefault="00B063A0" w:rsidP="00B063A0">
      <w:pPr>
        <w:pStyle w:val="NoSpacing"/>
        <w:jc w:val="both"/>
        <w:rPr>
          <w:rFonts w:ascii="Tw Cen MT" w:hAnsi="Tw Cen MT" w:cstheme="minorHAnsi"/>
          <w:b/>
          <w:bCs/>
          <w:color w:val="C45911" w:themeColor="accent2" w:themeShade="BF"/>
          <w:sz w:val="24"/>
          <w:szCs w:val="24"/>
        </w:rPr>
      </w:pPr>
      <w:r w:rsidRPr="008578B1">
        <w:rPr>
          <w:rFonts w:ascii="Tw Cen MT" w:hAnsi="Tw Cen MT" w:cstheme="minorHAnsi"/>
          <w:b/>
          <w:bCs/>
          <w:color w:val="C45911" w:themeColor="accent2" w:themeShade="BF"/>
          <w:sz w:val="24"/>
          <w:szCs w:val="24"/>
        </w:rPr>
        <w:t>Trade and Infrastructure Project of State and National Significance</w:t>
      </w:r>
    </w:p>
    <w:p w14:paraId="76A70183" w14:textId="07D68BE7" w:rsidR="00A1054F" w:rsidRPr="003C7E3B" w:rsidRDefault="00A27D7E" w:rsidP="005B425F">
      <w:pPr>
        <w:pStyle w:val="NoSpacing"/>
        <w:jc w:val="both"/>
        <w:rPr>
          <w:rFonts w:ascii="Tw Cen MT" w:hAnsi="Tw Cen MT" w:cstheme="minorHAnsi"/>
          <w:sz w:val="24"/>
          <w:szCs w:val="24"/>
        </w:rPr>
      </w:pPr>
      <w:r w:rsidRPr="003C7E3B">
        <w:rPr>
          <w:rFonts w:ascii="Tw Cen MT" w:hAnsi="Tw Cen MT" w:cstheme="minorHAnsi"/>
          <w:sz w:val="24"/>
          <w:szCs w:val="24"/>
        </w:rPr>
        <w:t xml:space="preserve">On 3 July 2020, the WA Premier, the Hon Mark McGowan MLA, advised GGL that </w:t>
      </w:r>
      <w:r w:rsidR="008336E5">
        <w:rPr>
          <w:rFonts w:ascii="Tw Cen MT" w:hAnsi="Tw Cen MT" w:cstheme="minorHAnsi"/>
          <w:sz w:val="24"/>
          <w:szCs w:val="24"/>
        </w:rPr>
        <w:t>the</w:t>
      </w:r>
      <w:r w:rsidRPr="003C7E3B">
        <w:rPr>
          <w:rFonts w:ascii="Tw Cen MT" w:hAnsi="Tw Cen MT" w:cstheme="minorHAnsi"/>
          <w:sz w:val="24"/>
          <w:szCs w:val="24"/>
        </w:rPr>
        <w:t xml:space="preserve"> project had been formally recognised by the WA State Government as a ‘Project of State Significance’.  </w:t>
      </w:r>
      <w:r w:rsidR="00A1054F" w:rsidRPr="003C7E3B">
        <w:rPr>
          <w:rFonts w:ascii="Tw Cen MT" w:hAnsi="Tw Cen MT" w:cstheme="minorHAnsi"/>
          <w:sz w:val="24"/>
          <w:szCs w:val="24"/>
        </w:rPr>
        <w:t xml:space="preserve">With that status, the project has been granted Lead Agency Status under the WA Department of Jobs, Tourism, Science and Innovation (JTSI).   JTSI is now providing GGL with high-level advisory and support services to facilitate State Government approvals and development phases of the project.  </w:t>
      </w:r>
    </w:p>
    <w:p w14:paraId="79E6F830" w14:textId="2CCC4286" w:rsidR="007A05F0" w:rsidRPr="003C7E3B" w:rsidRDefault="007A05F0" w:rsidP="005B425F">
      <w:pPr>
        <w:pStyle w:val="NoSpacing"/>
        <w:jc w:val="both"/>
        <w:rPr>
          <w:rFonts w:ascii="Tw Cen MT" w:hAnsi="Tw Cen MT" w:cstheme="minorHAnsi"/>
          <w:sz w:val="24"/>
          <w:szCs w:val="24"/>
        </w:rPr>
      </w:pPr>
    </w:p>
    <w:p w14:paraId="558D7D88" w14:textId="3BA604A1" w:rsidR="007A05F0" w:rsidRPr="003C7E3B" w:rsidRDefault="007A05F0" w:rsidP="00B02408">
      <w:pPr>
        <w:pStyle w:val="BodyText2"/>
        <w:rPr>
          <w:rFonts w:ascii="Tw Cen MT" w:hAnsi="Tw Cen MT"/>
          <w:sz w:val="24"/>
          <w:szCs w:val="24"/>
        </w:rPr>
      </w:pPr>
      <w:r w:rsidRPr="003C7E3B">
        <w:rPr>
          <w:rFonts w:ascii="Tw Cen MT" w:hAnsi="Tw Cen MT"/>
          <w:sz w:val="24"/>
          <w:szCs w:val="24"/>
        </w:rPr>
        <w:t>Australia’s First “Green Port”</w:t>
      </w:r>
    </w:p>
    <w:p w14:paraId="3015BDB9" w14:textId="033426B4" w:rsidR="007A05F0" w:rsidRPr="003C7E3B" w:rsidRDefault="007A05F0" w:rsidP="00B02408">
      <w:pPr>
        <w:pStyle w:val="BodyText2"/>
        <w:rPr>
          <w:rFonts w:ascii="Tw Cen MT" w:hAnsi="Tw Cen MT"/>
          <w:sz w:val="24"/>
          <w:szCs w:val="24"/>
        </w:rPr>
      </w:pPr>
      <w:r w:rsidRPr="008578B1">
        <w:rPr>
          <w:rFonts w:ascii="Tw Cen MT" w:eastAsiaTheme="minorHAnsi" w:hAnsi="Tw Cen MT"/>
          <w:b w:val="0"/>
          <w:bCs w:val="0"/>
          <w:color w:val="auto"/>
          <w:sz w:val="24"/>
          <w:szCs w:val="24"/>
          <w:lang w:eastAsia="en-US" w:bidi="ar-SA"/>
        </w:rPr>
        <w:t>GGL is committed to ensuring the protection of the delicate regional coastline and pristine surrounding environment.  The Project will be the first ‘</w:t>
      </w:r>
      <w:r w:rsidR="008336E5">
        <w:rPr>
          <w:rFonts w:ascii="Tw Cen MT" w:eastAsiaTheme="minorHAnsi" w:hAnsi="Tw Cen MT"/>
          <w:b w:val="0"/>
          <w:bCs w:val="0"/>
          <w:color w:val="auto"/>
          <w:sz w:val="24"/>
          <w:szCs w:val="24"/>
          <w:lang w:eastAsia="en-US" w:bidi="ar-SA"/>
        </w:rPr>
        <w:t>G</w:t>
      </w:r>
      <w:r w:rsidRPr="008578B1">
        <w:rPr>
          <w:rFonts w:ascii="Tw Cen MT" w:eastAsiaTheme="minorHAnsi" w:hAnsi="Tw Cen MT"/>
          <w:b w:val="0"/>
          <w:bCs w:val="0"/>
          <w:color w:val="auto"/>
          <w:sz w:val="24"/>
          <w:szCs w:val="24"/>
          <w:lang w:eastAsia="en-US" w:bidi="ar-SA"/>
        </w:rPr>
        <w:t xml:space="preserve">reen </w:t>
      </w:r>
      <w:r w:rsidR="008336E5">
        <w:rPr>
          <w:rFonts w:ascii="Tw Cen MT" w:eastAsiaTheme="minorHAnsi" w:hAnsi="Tw Cen MT"/>
          <w:b w:val="0"/>
          <w:bCs w:val="0"/>
          <w:color w:val="auto"/>
          <w:sz w:val="24"/>
          <w:szCs w:val="24"/>
          <w:lang w:eastAsia="en-US" w:bidi="ar-SA"/>
        </w:rPr>
        <w:t>P</w:t>
      </w:r>
      <w:r w:rsidRPr="008578B1">
        <w:rPr>
          <w:rFonts w:ascii="Tw Cen MT" w:eastAsiaTheme="minorHAnsi" w:hAnsi="Tw Cen MT"/>
          <w:b w:val="0"/>
          <w:bCs w:val="0"/>
          <w:color w:val="auto"/>
          <w:sz w:val="24"/>
          <w:szCs w:val="24"/>
          <w:lang w:eastAsia="en-US" w:bidi="ar-SA"/>
        </w:rPr>
        <w:t xml:space="preserve">ort’ in Australia to be designed, built and operated as ‘carbon neutral’, utilising planned renewable energy sources.  </w:t>
      </w:r>
      <w:r w:rsidR="008336E5">
        <w:rPr>
          <w:rFonts w:ascii="Tw Cen MT" w:eastAsiaTheme="minorHAnsi" w:hAnsi="Tw Cen MT"/>
          <w:b w:val="0"/>
          <w:bCs w:val="0"/>
          <w:color w:val="auto"/>
          <w:sz w:val="24"/>
          <w:szCs w:val="24"/>
          <w:lang w:eastAsia="en-US" w:bidi="ar-SA"/>
        </w:rPr>
        <w:t>GGL’s</w:t>
      </w:r>
      <w:r w:rsidRPr="008578B1">
        <w:rPr>
          <w:rFonts w:ascii="Tw Cen MT" w:eastAsiaTheme="minorHAnsi" w:hAnsi="Tw Cen MT"/>
          <w:b w:val="0"/>
          <w:bCs w:val="0"/>
          <w:color w:val="auto"/>
          <w:sz w:val="24"/>
          <w:szCs w:val="24"/>
          <w:lang w:eastAsia="en-US" w:bidi="ar-SA"/>
        </w:rPr>
        <w:t xml:space="preserve"> vision is to become environmentally ‘re-generational’ in mitigating present environmental risk and improving present environmental settings.  Importantly, the planned site of the facility sits </w:t>
      </w:r>
      <w:r w:rsidRPr="008578B1">
        <w:rPr>
          <w:rFonts w:ascii="Tw Cen MT" w:eastAsiaTheme="minorHAnsi" w:hAnsi="Tw Cen MT"/>
          <w:i/>
          <w:iCs/>
          <w:color w:val="auto"/>
          <w:sz w:val="24"/>
          <w:szCs w:val="24"/>
          <w:lang w:eastAsia="en-US" w:bidi="ar-SA"/>
        </w:rPr>
        <w:t xml:space="preserve">well </w:t>
      </w:r>
      <w:r w:rsidRPr="008578B1">
        <w:rPr>
          <w:rFonts w:ascii="Tw Cen MT" w:hAnsi="Tw Cen MT"/>
          <w:i/>
          <w:iCs/>
          <w:color w:val="auto"/>
          <w:sz w:val="24"/>
          <w:szCs w:val="24"/>
        </w:rPr>
        <w:t xml:space="preserve">outside </w:t>
      </w:r>
      <w:r w:rsidRPr="00F7736C">
        <w:rPr>
          <w:rFonts w:ascii="Tw Cen MT" w:eastAsiaTheme="minorHAnsi" w:hAnsi="Tw Cen MT"/>
          <w:b w:val="0"/>
          <w:bCs w:val="0"/>
          <w:color w:val="auto"/>
          <w:sz w:val="24"/>
          <w:szCs w:val="24"/>
          <w:lang w:eastAsia="en-US" w:bidi="ar-SA"/>
        </w:rPr>
        <w:t>the</w:t>
      </w:r>
      <w:r w:rsidRPr="008578B1">
        <w:rPr>
          <w:rFonts w:ascii="Tw Cen MT" w:hAnsi="Tw Cen MT"/>
          <w:i/>
          <w:iCs/>
          <w:color w:val="auto"/>
          <w:sz w:val="24"/>
          <w:szCs w:val="24"/>
        </w:rPr>
        <w:t xml:space="preserve"> </w:t>
      </w:r>
      <w:r w:rsidRPr="008578B1">
        <w:rPr>
          <w:rFonts w:ascii="Tw Cen MT" w:eastAsiaTheme="minorHAnsi" w:hAnsi="Tw Cen MT"/>
          <w:b w:val="0"/>
          <w:bCs w:val="0"/>
          <w:color w:val="auto"/>
          <w:sz w:val="24"/>
          <w:szCs w:val="24"/>
          <w:lang w:eastAsia="en-US" w:bidi="ar-SA"/>
        </w:rPr>
        <w:t>Ningaloo World Heritage Park</w:t>
      </w:r>
      <w:r w:rsidR="000C4430" w:rsidRPr="008578B1">
        <w:rPr>
          <w:rFonts w:ascii="Tw Cen MT" w:eastAsiaTheme="minorHAnsi" w:hAnsi="Tw Cen MT"/>
          <w:b w:val="0"/>
          <w:bCs w:val="0"/>
          <w:color w:val="auto"/>
          <w:sz w:val="24"/>
          <w:szCs w:val="24"/>
          <w:lang w:eastAsia="en-US" w:bidi="ar-SA"/>
        </w:rPr>
        <w:t>,</w:t>
      </w:r>
      <w:r w:rsidRPr="008578B1">
        <w:rPr>
          <w:rFonts w:ascii="Tw Cen MT" w:eastAsiaTheme="minorHAnsi" w:hAnsi="Tw Cen MT"/>
          <w:b w:val="0"/>
          <w:bCs w:val="0"/>
          <w:color w:val="auto"/>
          <w:sz w:val="24"/>
          <w:szCs w:val="24"/>
          <w:lang w:eastAsia="en-US" w:bidi="ar-SA"/>
        </w:rPr>
        <w:t xml:space="preserve"> within Coastal Waters and is adjacent to the current Exmouth Industrial Area and Land Fill site.  </w:t>
      </w:r>
    </w:p>
    <w:p w14:paraId="4D1C2A96" w14:textId="77777777" w:rsidR="007A05F0" w:rsidRPr="003C7E3B" w:rsidRDefault="007A05F0" w:rsidP="007A05F0">
      <w:pPr>
        <w:pStyle w:val="NoSpacing"/>
        <w:jc w:val="both"/>
        <w:rPr>
          <w:rFonts w:ascii="Tw Cen MT" w:hAnsi="Tw Cen MT" w:cstheme="minorHAnsi"/>
          <w:b/>
          <w:bCs/>
          <w:sz w:val="24"/>
          <w:szCs w:val="24"/>
        </w:rPr>
      </w:pPr>
    </w:p>
    <w:p w14:paraId="4C9AA82A" w14:textId="384DBD46" w:rsidR="007A05F0" w:rsidRPr="003C7E3B" w:rsidRDefault="007A05F0" w:rsidP="007A05F0">
      <w:pPr>
        <w:pStyle w:val="NoSpacing"/>
        <w:jc w:val="both"/>
        <w:rPr>
          <w:rFonts w:ascii="Tw Cen MT" w:hAnsi="Tw Cen MT" w:cstheme="minorHAnsi"/>
          <w:bCs/>
          <w:sz w:val="24"/>
          <w:szCs w:val="24"/>
        </w:rPr>
      </w:pPr>
      <w:r w:rsidRPr="003C7E3B">
        <w:rPr>
          <w:rFonts w:ascii="Tw Cen MT" w:hAnsi="Tw Cen MT" w:cstheme="minorHAnsi"/>
          <w:bCs/>
          <w:sz w:val="24"/>
          <w:szCs w:val="24"/>
        </w:rPr>
        <w:t xml:space="preserve">GGL is committed to delivering the most environmentally sustainable </w:t>
      </w:r>
      <w:r w:rsidR="008336E5">
        <w:rPr>
          <w:rFonts w:ascii="Tw Cen MT" w:hAnsi="Tw Cen MT" w:cstheme="minorHAnsi"/>
          <w:bCs/>
          <w:sz w:val="24"/>
          <w:szCs w:val="24"/>
        </w:rPr>
        <w:t>Port</w:t>
      </w:r>
      <w:r w:rsidRPr="003C7E3B">
        <w:rPr>
          <w:rFonts w:ascii="Tw Cen MT" w:hAnsi="Tw Cen MT" w:cstheme="minorHAnsi"/>
          <w:bCs/>
          <w:sz w:val="24"/>
          <w:szCs w:val="24"/>
        </w:rPr>
        <w:t xml:space="preserve"> in the world.  This will be achieved through:</w:t>
      </w:r>
    </w:p>
    <w:p w14:paraId="64322DC5"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Independent potable water production made through renewables.  Also reducing draw on aquifers by augmenting town supply</w:t>
      </w:r>
    </w:p>
    <w:p w14:paraId="7412C896"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Regulation of shipping movements, speeds &amp; anchoring to avoid mega-fauna interaction</w:t>
      </w:r>
    </w:p>
    <w:p w14:paraId="0FA62386"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Response capability for marine emergency/spill</w:t>
      </w:r>
    </w:p>
    <w:p w14:paraId="73AD770F"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Limestone Reef being investigated to reduce impact of tourism on and support research</w:t>
      </w:r>
    </w:p>
    <w:p w14:paraId="60BD812B"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Dredging impact reduced by minimising requirement through design, use of ‘plume curtains’, and spoil piped ashore for use as part of the construction</w:t>
      </w:r>
    </w:p>
    <w:p w14:paraId="61113F3D"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Replacement of 5% of long-haul trucks for Pilbara – reduction in 120,000 tonnes Co2 p.a.</w:t>
      </w:r>
    </w:p>
    <w:p w14:paraId="6DB3E139"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PIANC Working with Nature principles – endangered species protection</w:t>
      </w:r>
    </w:p>
    <w:p w14:paraId="28D42E49"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Potentially risk removal to World Heritage Marine Park by relocation of fuel facility from Point Murat (Navy Pier)</w:t>
      </w:r>
    </w:p>
    <w:p w14:paraId="6F00739E" w14:textId="531F9A7B"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Electric</w:t>
      </w:r>
      <w:r w:rsidR="005F5C1F">
        <w:rPr>
          <w:rFonts w:ascii="Tw Cen MT" w:eastAsia="Times New Roman" w:hAnsi="Tw Cen MT" w:cstheme="minorHAnsi"/>
          <w:color w:val="000000"/>
          <w:sz w:val="24"/>
          <w:szCs w:val="24"/>
          <w:lang w:eastAsia="en-AU"/>
        </w:rPr>
        <w:t>/hydrogen</w:t>
      </w:r>
      <w:r w:rsidRPr="003C7E3B">
        <w:rPr>
          <w:rFonts w:ascii="Tw Cen MT" w:eastAsia="Times New Roman" w:hAnsi="Tw Cen MT" w:cstheme="minorHAnsi"/>
          <w:color w:val="000000"/>
          <w:sz w:val="24"/>
          <w:szCs w:val="24"/>
          <w:lang w:eastAsia="en-AU"/>
        </w:rPr>
        <w:t xml:space="preserve"> vehicles/plant to operate the facility</w:t>
      </w:r>
    </w:p>
    <w:p w14:paraId="7F607113"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Use of ‘green’ and sustainable building materials</w:t>
      </w:r>
    </w:p>
    <w:p w14:paraId="31DEEFB2" w14:textId="77777777" w:rsidR="007A05F0" w:rsidRPr="003C7E3B" w:rsidRDefault="007A05F0" w:rsidP="008578B1">
      <w:pPr>
        <w:pStyle w:val="ListParagraph"/>
        <w:numPr>
          <w:ilvl w:val="0"/>
          <w:numId w:val="27"/>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Production of Green Hydrogen for transition from fossil fuels and potential export</w:t>
      </w:r>
    </w:p>
    <w:p w14:paraId="788D088A" w14:textId="77777777" w:rsidR="007A05F0" w:rsidRPr="003C7E3B" w:rsidRDefault="007A05F0" w:rsidP="005B425F">
      <w:pPr>
        <w:pStyle w:val="NoSpacing"/>
        <w:jc w:val="both"/>
        <w:rPr>
          <w:rFonts w:ascii="Tw Cen MT" w:hAnsi="Tw Cen MT" w:cstheme="minorHAnsi"/>
          <w:sz w:val="24"/>
          <w:szCs w:val="24"/>
        </w:rPr>
      </w:pPr>
    </w:p>
    <w:p w14:paraId="694F2E12" w14:textId="77777777" w:rsidR="002E202C" w:rsidRDefault="002E202C">
      <w:pPr>
        <w:rPr>
          <w:rFonts w:ascii="Tw Cen MT" w:hAnsi="Tw Cen MT" w:cstheme="minorHAnsi"/>
          <w:b/>
          <w:bCs/>
          <w:color w:val="C45911" w:themeColor="accent2" w:themeShade="BF"/>
          <w:sz w:val="24"/>
          <w:szCs w:val="24"/>
        </w:rPr>
      </w:pPr>
      <w:r>
        <w:rPr>
          <w:rFonts w:ascii="Tw Cen MT" w:hAnsi="Tw Cen MT" w:cstheme="minorHAnsi"/>
          <w:b/>
          <w:bCs/>
          <w:color w:val="C45911" w:themeColor="accent2" w:themeShade="BF"/>
          <w:sz w:val="24"/>
          <w:szCs w:val="24"/>
        </w:rPr>
        <w:br w:type="page"/>
      </w:r>
    </w:p>
    <w:p w14:paraId="388A084B" w14:textId="77777777" w:rsidR="002E202C" w:rsidRDefault="002E202C" w:rsidP="00C052CE">
      <w:pPr>
        <w:pStyle w:val="NoSpacing"/>
        <w:jc w:val="both"/>
        <w:rPr>
          <w:rFonts w:ascii="Tw Cen MT" w:hAnsi="Tw Cen MT" w:cstheme="minorHAnsi"/>
          <w:b/>
          <w:bCs/>
          <w:color w:val="C45911" w:themeColor="accent2" w:themeShade="BF"/>
          <w:sz w:val="24"/>
          <w:szCs w:val="24"/>
        </w:rPr>
      </w:pPr>
    </w:p>
    <w:p w14:paraId="270F6AB0" w14:textId="1DA75C3B" w:rsidR="00C052CE" w:rsidRPr="008578B1" w:rsidRDefault="00C052CE" w:rsidP="00C052CE">
      <w:pPr>
        <w:pStyle w:val="NoSpacing"/>
        <w:jc w:val="both"/>
        <w:rPr>
          <w:rFonts w:ascii="Tw Cen MT" w:hAnsi="Tw Cen MT" w:cstheme="minorHAnsi"/>
          <w:b/>
          <w:bCs/>
          <w:color w:val="C45911" w:themeColor="accent2" w:themeShade="BF"/>
          <w:sz w:val="24"/>
          <w:szCs w:val="24"/>
        </w:rPr>
      </w:pPr>
      <w:r w:rsidRPr="008578B1">
        <w:rPr>
          <w:rFonts w:ascii="Tw Cen MT" w:hAnsi="Tw Cen MT" w:cstheme="minorHAnsi"/>
          <w:b/>
          <w:bCs/>
          <w:color w:val="C45911" w:themeColor="accent2" w:themeShade="BF"/>
          <w:sz w:val="24"/>
          <w:szCs w:val="24"/>
        </w:rPr>
        <w:t xml:space="preserve">Indigenous Engagement </w:t>
      </w:r>
    </w:p>
    <w:p w14:paraId="157CA706" w14:textId="4E9F3450" w:rsidR="00C052CE" w:rsidRPr="003C7E3B" w:rsidRDefault="00C052CE" w:rsidP="00C052CE">
      <w:p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xml:space="preserve">Engagement with the Traditional Owners has been critical to GGL from the beginning and as such we have pursued early engagement </w:t>
      </w:r>
      <w:r w:rsidRPr="003C7E3B">
        <w:rPr>
          <w:rFonts w:ascii="Tw Cen MT" w:eastAsia="Times New Roman" w:hAnsi="Tw Cen MT" w:cstheme="minorHAnsi"/>
          <w:color w:val="000000"/>
          <w:sz w:val="24"/>
          <w:szCs w:val="24"/>
          <w:lang w:eastAsia="en-AU"/>
        </w:rPr>
        <w:t xml:space="preserve">with the Nganhurra Thanardi Garrbu Aboriginal Corporation (NTGAC). GGL will also undertake a Heritage Survey and agreement – understanding the Heritage site at </w:t>
      </w:r>
      <w:r w:rsidR="005F5C1F">
        <w:rPr>
          <w:rFonts w:ascii="Tw Cen MT" w:eastAsia="Times New Roman" w:hAnsi="Tw Cen MT" w:cstheme="minorHAnsi"/>
          <w:color w:val="000000"/>
          <w:sz w:val="24"/>
          <w:szCs w:val="24"/>
          <w:lang w:eastAsia="en-AU"/>
        </w:rPr>
        <w:t>Mowb</w:t>
      </w:r>
      <w:r w:rsidR="00885966">
        <w:rPr>
          <w:rFonts w:ascii="Tw Cen MT" w:eastAsia="Times New Roman" w:hAnsi="Tw Cen MT" w:cstheme="minorHAnsi"/>
          <w:color w:val="000000"/>
          <w:sz w:val="24"/>
          <w:szCs w:val="24"/>
          <w:lang w:eastAsia="en-AU"/>
        </w:rPr>
        <w:t>owra Creek</w:t>
      </w:r>
      <w:r w:rsidRPr="003C7E3B">
        <w:rPr>
          <w:rFonts w:ascii="Tw Cen MT" w:eastAsia="Times New Roman" w:hAnsi="Tw Cen MT" w:cstheme="minorHAnsi"/>
          <w:color w:val="000000"/>
          <w:sz w:val="24"/>
          <w:szCs w:val="24"/>
          <w:lang w:eastAsia="en-AU"/>
        </w:rPr>
        <w:t>.</w:t>
      </w:r>
    </w:p>
    <w:p w14:paraId="6A2056C9" w14:textId="77777777" w:rsidR="00C052CE" w:rsidRPr="003C7E3B" w:rsidRDefault="00C052CE" w:rsidP="00C052CE">
      <w:pPr>
        <w:spacing w:after="0" w:line="240" w:lineRule="auto"/>
        <w:jc w:val="both"/>
        <w:rPr>
          <w:rFonts w:ascii="Tw Cen MT" w:eastAsia="Times New Roman" w:hAnsi="Tw Cen MT" w:cstheme="minorHAnsi"/>
          <w:color w:val="000000"/>
          <w:sz w:val="24"/>
          <w:szCs w:val="24"/>
          <w:lang w:eastAsia="en-AU"/>
        </w:rPr>
      </w:pPr>
    </w:p>
    <w:p w14:paraId="75AE5367" w14:textId="77777777" w:rsidR="00C052CE" w:rsidRPr="003C7E3B" w:rsidRDefault="00C052CE" w:rsidP="00C052CE">
      <w:pPr>
        <w:spacing w:after="0" w:line="240" w:lineRule="auto"/>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Furthermore, the Project will deliver multi-generational outcomes through the development of an Indigenous Land Use Agreement (ILUA) with the Traditional Owners and</w:t>
      </w:r>
      <w:r w:rsidRPr="003C7E3B">
        <w:rPr>
          <w:rFonts w:ascii="Tw Cen MT" w:eastAsia="Times New Roman" w:hAnsi="Tw Cen MT" w:cstheme="minorHAnsi"/>
          <w:color w:val="1D2228"/>
          <w:sz w:val="24"/>
          <w:szCs w:val="24"/>
          <w:lang w:eastAsia="en-AU"/>
        </w:rPr>
        <w:t xml:space="preserve"> a</w:t>
      </w:r>
      <w:r w:rsidRPr="003C7E3B">
        <w:rPr>
          <w:rFonts w:ascii="Tw Cen MT" w:eastAsia="Times New Roman" w:hAnsi="Tw Cen MT" w:cstheme="minorHAnsi"/>
          <w:color w:val="000000"/>
          <w:sz w:val="24"/>
          <w:szCs w:val="24"/>
          <w:lang w:eastAsia="en-AU"/>
        </w:rPr>
        <w:t xml:space="preserve"> Reconciliation Action Plan has been developed, including:</w:t>
      </w:r>
    </w:p>
    <w:p w14:paraId="3BC29652" w14:textId="77777777" w:rsidR="00C052CE" w:rsidRPr="003C7E3B" w:rsidRDefault="00C052CE" w:rsidP="008578B1">
      <w:pPr>
        <w:numPr>
          <w:ilvl w:val="0"/>
          <w:numId w:val="28"/>
        </w:numPr>
        <w:spacing w:after="0" w:line="240" w:lineRule="auto"/>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Direct Employment</w:t>
      </w:r>
    </w:p>
    <w:p w14:paraId="330DA407" w14:textId="77777777" w:rsidR="00C052CE" w:rsidRPr="003C7E3B" w:rsidRDefault="00C052CE" w:rsidP="008578B1">
      <w:pPr>
        <w:numPr>
          <w:ilvl w:val="0"/>
          <w:numId w:val="28"/>
        </w:numPr>
        <w:spacing w:after="0" w:line="240" w:lineRule="auto"/>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Indirect Employment</w:t>
      </w:r>
    </w:p>
    <w:p w14:paraId="2D5A6B06" w14:textId="77777777" w:rsidR="00C052CE" w:rsidRPr="003C7E3B" w:rsidRDefault="00C052CE" w:rsidP="008578B1">
      <w:pPr>
        <w:numPr>
          <w:ilvl w:val="0"/>
          <w:numId w:val="28"/>
        </w:numPr>
        <w:spacing w:after="0" w:line="240" w:lineRule="auto"/>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Shire Initiatives (community, health, well-being)</w:t>
      </w:r>
    </w:p>
    <w:p w14:paraId="00C88DCA" w14:textId="77777777" w:rsidR="00C052CE" w:rsidRPr="003C7E3B" w:rsidRDefault="00C052CE" w:rsidP="008578B1">
      <w:pPr>
        <w:numPr>
          <w:ilvl w:val="0"/>
          <w:numId w:val="28"/>
        </w:numPr>
        <w:spacing w:after="0" w:line="240" w:lineRule="auto"/>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VET Skills, Education, Business Coaching</w:t>
      </w:r>
    </w:p>
    <w:p w14:paraId="28F4323C" w14:textId="3676491A" w:rsidR="00C052CE" w:rsidRPr="003C7E3B" w:rsidRDefault="00C052CE" w:rsidP="008578B1">
      <w:pPr>
        <w:numPr>
          <w:ilvl w:val="0"/>
          <w:numId w:val="28"/>
        </w:numPr>
        <w:spacing w:after="0" w:line="240" w:lineRule="auto"/>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Small Business Opportunities</w:t>
      </w:r>
    </w:p>
    <w:p w14:paraId="72DF451B" w14:textId="2CDB391A" w:rsidR="007A05F0" w:rsidRDefault="007A05F0" w:rsidP="007A05F0">
      <w:pPr>
        <w:spacing w:after="0" w:line="240" w:lineRule="auto"/>
        <w:rPr>
          <w:rFonts w:ascii="Tw Cen MT" w:eastAsia="Times New Roman" w:hAnsi="Tw Cen MT" w:cstheme="minorHAnsi"/>
          <w:color w:val="000000"/>
          <w:sz w:val="24"/>
          <w:szCs w:val="24"/>
          <w:lang w:eastAsia="en-AU"/>
        </w:rPr>
      </w:pPr>
    </w:p>
    <w:p w14:paraId="712A7242" w14:textId="77777777" w:rsidR="002E202C" w:rsidRPr="003C7E3B" w:rsidRDefault="002E202C" w:rsidP="007A05F0">
      <w:pPr>
        <w:spacing w:after="0" w:line="240" w:lineRule="auto"/>
        <w:rPr>
          <w:rFonts w:ascii="Tw Cen MT" w:eastAsia="Times New Roman" w:hAnsi="Tw Cen MT" w:cstheme="minorHAnsi"/>
          <w:color w:val="000000"/>
          <w:sz w:val="24"/>
          <w:szCs w:val="24"/>
          <w:lang w:eastAsia="en-AU"/>
        </w:rPr>
      </w:pPr>
    </w:p>
    <w:p w14:paraId="2B83C5D9" w14:textId="2689E7C8" w:rsidR="00976A78" w:rsidRPr="00976A78" w:rsidRDefault="00976A78" w:rsidP="00976A78">
      <w:pPr>
        <w:spacing w:after="0" w:line="240" w:lineRule="auto"/>
        <w:rPr>
          <w:rFonts w:ascii="Tw Cen MT" w:hAnsi="Tw Cen MT" w:cstheme="minorHAnsi"/>
          <w:b/>
          <w:color w:val="C45911" w:themeColor="accent2" w:themeShade="BF"/>
          <w:sz w:val="24"/>
          <w:szCs w:val="24"/>
        </w:rPr>
      </w:pPr>
      <w:r>
        <w:rPr>
          <w:rFonts w:ascii="Tw Cen MT" w:hAnsi="Tw Cen MT" w:cstheme="minorHAnsi"/>
          <w:b/>
          <w:color w:val="C45911" w:themeColor="accent2" w:themeShade="BF"/>
          <w:sz w:val="24"/>
          <w:szCs w:val="24"/>
        </w:rPr>
        <w:t>PROJECT TIMELINE</w:t>
      </w:r>
    </w:p>
    <w:p w14:paraId="0B186E2A" w14:textId="138DA85E" w:rsidR="008578B1" w:rsidRDefault="00976A78" w:rsidP="005B425F">
      <w:pPr>
        <w:pStyle w:val="NoSpacing"/>
        <w:jc w:val="both"/>
        <w:rPr>
          <w:rFonts w:ascii="Tw Cen MT" w:hAnsi="Tw Cen MT" w:cstheme="minorHAnsi"/>
          <w:sz w:val="24"/>
          <w:szCs w:val="24"/>
        </w:rPr>
      </w:pPr>
      <w:r w:rsidRPr="003C7E3B">
        <w:rPr>
          <w:rFonts w:ascii="Tw Cen MT" w:hAnsi="Tw Cen MT"/>
          <w:noProof/>
          <w:sz w:val="24"/>
          <w:szCs w:val="24"/>
          <w:lang w:eastAsia="en-AU"/>
        </w:rPr>
        <w:drawing>
          <wp:anchor distT="0" distB="0" distL="114300" distR="114300" simplePos="0" relativeHeight="251658242" behindDoc="0" locked="0" layoutInCell="1" allowOverlap="1" wp14:anchorId="02D16518" wp14:editId="54C06050">
            <wp:simplePos x="0" y="0"/>
            <wp:positionH relativeFrom="page">
              <wp:posOffset>191135</wp:posOffset>
            </wp:positionH>
            <wp:positionV relativeFrom="paragraph">
              <wp:posOffset>151765</wp:posOffset>
            </wp:positionV>
            <wp:extent cx="7229379" cy="1008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29379" cy="1008000"/>
                    </a:xfrm>
                    <a:prstGeom prst="rect">
                      <a:avLst/>
                    </a:prstGeom>
                  </pic:spPr>
                </pic:pic>
              </a:graphicData>
            </a:graphic>
            <wp14:sizeRelH relativeFrom="page">
              <wp14:pctWidth>0</wp14:pctWidth>
            </wp14:sizeRelH>
            <wp14:sizeRelV relativeFrom="page">
              <wp14:pctHeight>0</wp14:pctHeight>
            </wp14:sizeRelV>
          </wp:anchor>
        </w:drawing>
      </w:r>
    </w:p>
    <w:p w14:paraId="12759580" w14:textId="43F50AFE" w:rsidR="008578B1" w:rsidRDefault="008578B1" w:rsidP="005B425F">
      <w:pPr>
        <w:pStyle w:val="NoSpacing"/>
        <w:jc w:val="both"/>
        <w:rPr>
          <w:rFonts w:ascii="Tw Cen MT" w:hAnsi="Tw Cen MT" w:cstheme="minorHAnsi"/>
          <w:sz w:val="24"/>
          <w:szCs w:val="24"/>
        </w:rPr>
      </w:pPr>
    </w:p>
    <w:p w14:paraId="2AB394A8" w14:textId="465AB777" w:rsidR="008578B1" w:rsidRDefault="008578B1" w:rsidP="005B425F">
      <w:pPr>
        <w:pStyle w:val="NoSpacing"/>
        <w:jc w:val="both"/>
        <w:rPr>
          <w:rFonts w:ascii="Tw Cen MT" w:hAnsi="Tw Cen MT" w:cstheme="minorHAnsi"/>
          <w:sz w:val="24"/>
          <w:szCs w:val="24"/>
        </w:rPr>
      </w:pPr>
    </w:p>
    <w:p w14:paraId="213D202E" w14:textId="41085748" w:rsidR="008578B1" w:rsidRDefault="008578B1" w:rsidP="005B425F">
      <w:pPr>
        <w:pStyle w:val="NoSpacing"/>
        <w:jc w:val="both"/>
        <w:rPr>
          <w:rFonts w:ascii="Tw Cen MT" w:hAnsi="Tw Cen MT" w:cstheme="minorHAnsi"/>
          <w:sz w:val="24"/>
          <w:szCs w:val="24"/>
        </w:rPr>
      </w:pPr>
    </w:p>
    <w:p w14:paraId="78094570" w14:textId="16B9C330" w:rsidR="008578B1" w:rsidRDefault="008578B1" w:rsidP="005B425F">
      <w:pPr>
        <w:pStyle w:val="NoSpacing"/>
        <w:jc w:val="both"/>
        <w:rPr>
          <w:rFonts w:ascii="Tw Cen MT" w:hAnsi="Tw Cen MT" w:cstheme="minorHAnsi"/>
          <w:sz w:val="24"/>
          <w:szCs w:val="24"/>
        </w:rPr>
      </w:pPr>
    </w:p>
    <w:p w14:paraId="11DF8292" w14:textId="77777777" w:rsidR="00664534" w:rsidRDefault="00664534">
      <w:pPr>
        <w:rPr>
          <w:rFonts w:ascii="Tw Cen MT" w:hAnsi="Tw Cen MT" w:cstheme="minorHAnsi"/>
          <w:sz w:val="24"/>
          <w:szCs w:val="24"/>
        </w:rPr>
      </w:pPr>
    </w:p>
    <w:p w14:paraId="4A186573" w14:textId="77777777" w:rsidR="002E202C" w:rsidRDefault="002E202C">
      <w:pPr>
        <w:rPr>
          <w:rFonts w:ascii="Tw Cen MT" w:hAnsi="Tw Cen MT" w:cstheme="minorHAnsi"/>
          <w:sz w:val="24"/>
          <w:szCs w:val="24"/>
        </w:rPr>
      </w:pPr>
      <w:r>
        <w:rPr>
          <w:rFonts w:ascii="Tw Cen MT" w:hAnsi="Tw Cen MT" w:cstheme="minorHAnsi"/>
          <w:sz w:val="24"/>
          <w:szCs w:val="24"/>
        </w:rPr>
        <w:br w:type="page"/>
      </w:r>
    </w:p>
    <w:p w14:paraId="27B32C15" w14:textId="226CFC51" w:rsidR="004D35C8" w:rsidRDefault="004D35C8">
      <w:pPr>
        <w:rPr>
          <w:rFonts w:ascii="Tw Cen MT" w:hAnsi="Tw Cen MT" w:cstheme="minorHAnsi"/>
          <w:sz w:val="24"/>
          <w:szCs w:val="24"/>
        </w:rPr>
      </w:pPr>
      <w:r w:rsidRPr="003C7E3B">
        <w:rPr>
          <w:rFonts w:ascii="Tw Cen MT" w:hAnsi="Tw Cen MT"/>
          <w:noProof/>
          <w:sz w:val="24"/>
          <w:szCs w:val="24"/>
          <w:lang w:eastAsia="en-AU"/>
        </w:rPr>
        <w:drawing>
          <wp:anchor distT="0" distB="0" distL="114300" distR="114300" simplePos="0" relativeHeight="251658243" behindDoc="0" locked="0" layoutInCell="1" allowOverlap="1" wp14:anchorId="65D574D8" wp14:editId="71B0BF88">
            <wp:simplePos x="0" y="0"/>
            <wp:positionH relativeFrom="margin">
              <wp:posOffset>177800</wp:posOffset>
            </wp:positionH>
            <wp:positionV relativeFrom="paragraph">
              <wp:posOffset>81915</wp:posOffset>
            </wp:positionV>
            <wp:extent cx="5826125" cy="7764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701" r="1952"/>
                    <a:stretch/>
                  </pic:blipFill>
                  <pic:spPr bwMode="auto">
                    <a:xfrm>
                      <a:off x="0" y="0"/>
                      <a:ext cx="5826125" cy="776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 Cen MT" w:hAnsi="Tw Cen MT" w:cstheme="minorHAnsi"/>
          <w:sz w:val="24"/>
          <w:szCs w:val="24"/>
        </w:rPr>
        <w:br w:type="page"/>
      </w:r>
    </w:p>
    <w:p w14:paraId="5E4771AA" w14:textId="46A0D209" w:rsidR="007C2CD9" w:rsidRDefault="004D35C8" w:rsidP="00664534">
      <w:pPr>
        <w:rPr>
          <w:rFonts w:ascii="Tw Cen MT" w:hAnsi="Tw Cen MT" w:cstheme="minorHAnsi"/>
          <w:sz w:val="24"/>
          <w:szCs w:val="24"/>
        </w:rPr>
      </w:pPr>
      <w:r>
        <w:rPr>
          <w:rFonts w:ascii="Tw Cen MT" w:hAnsi="Tw Cen MT" w:cstheme="minorHAnsi"/>
          <w:sz w:val="24"/>
          <w:szCs w:val="24"/>
        </w:rPr>
        <w:br w:type="page"/>
      </w:r>
      <w:r w:rsidRPr="003C7E3B">
        <w:rPr>
          <w:rFonts w:ascii="Tw Cen MT" w:hAnsi="Tw Cen MT"/>
          <w:noProof/>
          <w:sz w:val="24"/>
          <w:szCs w:val="24"/>
          <w:lang w:eastAsia="en-AU"/>
        </w:rPr>
        <w:drawing>
          <wp:anchor distT="0" distB="0" distL="114300" distR="114300" simplePos="0" relativeHeight="251658244" behindDoc="0" locked="0" layoutInCell="1" allowOverlap="1" wp14:anchorId="40CF740B" wp14:editId="71A3B225">
            <wp:simplePos x="0" y="0"/>
            <wp:positionH relativeFrom="page">
              <wp:posOffset>864235</wp:posOffset>
            </wp:positionH>
            <wp:positionV relativeFrom="paragraph">
              <wp:posOffset>-635</wp:posOffset>
            </wp:positionV>
            <wp:extent cx="6203950" cy="79629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03950" cy="7962900"/>
                    </a:xfrm>
                    <a:prstGeom prst="rect">
                      <a:avLst/>
                    </a:prstGeom>
                  </pic:spPr>
                </pic:pic>
              </a:graphicData>
            </a:graphic>
            <wp14:sizeRelH relativeFrom="page">
              <wp14:pctWidth>0</wp14:pctWidth>
            </wp14:sizeRelH>
            <wp14:sizeRelV relativeFrom="page">
              <wp14:pctHeight>0</wp14:pctHeight>
            </wp14:sizeRelV>
          </wp:anchor>
        </w:drawing>
      </w:r>
    </w:p>
    <w:p w14:paraId="577C8FB7" w14:textId="04E4442D" w:rsidR="00976A78" w:rsidRDefault="00976A78" w:rsidP="005B425F">
      <w:pPr>
        <w:pStyle w:val="NoSpacing"/>
        <w:jc w:val="both"/>
        <w:rPr>
          <w:rFonts w:ascii="Tw Cen MT" w:hAnsi="Tw Cen MT" w:cstheme="minorHAnsi"/>
          <w:sz w:val="24"/>
          <w:szCs w:val="24"/>
        </w:rPr>
      </w:pPr>
    </w:p>
    <w:p w14:paraId="44182646" w14:textId="5F4A02A7" w:rsidR="002E202C" w:rsidRPr="002E202C" w:rsidRDefault="002E202C" w:rsidP="005B425F">
      <w:pPr>
        <w:pStyle w:val="NoSpacing"/>
        <w:jc w:val="both"/>
        <w:rPr>
          <w:rFonts w:ascii="Tw Cen MT" w:hAnsi="Tw Cen MT" w:cstheme="minorHAnsi"/>
          <w:b/>
          <w:bCs/>
          <w:color w:val="ED7D31" w:themeColor="accent2"/>
          <w:sz w:val="24"/>
          <w:szCs w:val="24"/>
        </w:rPr>
      </w:pPr>
      <w:r>
        <w:rPr>
          <w:rFonts w:ascii="Tw Cen MT" w:hAnsi="Tw Cen MT" w:cstheme="minorHAnsi"/>
          <w:b/>
          <w:bCs/>
          <w:color w:val="ED7D31" w:themeColor="accent2"/>
          <w:sz w:val="24"/>
          <w:szCs w:val="24"/>
        </w:rPr>
        <w:t xml:space="preserve">GGL </w:t>
      </w:r>
      <w:r w:rsidRPr="002E202C">
        <w:rPr>
          <w:rFonts w:ascii="Tw Cen MT" w:hAnsi="Tw Cen MT" w:cstheme="minorHAnsi"/>
          <w:b/>
          <w:bCs/>
          <w:color w:val="ED7D31" w:themeColor="accent2"/>
          <w:sz w:val="24"/>
          <w:szCs w:val="24"/>
        </w:rPr>
        <w:t>RECOMMENDATIONS</w:t>
      </w:r>
    </w:p>
    <w:p w14:paraId="0DCA81E4" w14:textId="77777777" w:rsidR="002E202C" w:rsidRPr="003C7E3B" w:rsidRDefault="002E202C" w:rsidP="005B425F">
      <w:pPr>
        <w:pStyle w:val="NoSpacing"/>
        <w:jc w:val="both"/>
        <w:rPr>
          <w:rFonts w:ascii="Tw Cen MT" w:hAnsi="Tw Cen MT" w:cstheme="minorHAnsi"/>
          <w:sz w:val="24"/>
          <w:szCs w:val="24"/>
        </w:rPr>
      </w:pPr>
    </w:p>
    <w:tbl>
      <w:tblPr>
        <w:tblStyle w:val="GridTable5Dark-Accent2"/>
        <w:tblW w:w="10349" w:type="dxa"/>
        <w:tblInd w:w="-431" w:type="dxa"/>
        <w:tblLook w:val="04A0" w:firstRow="1" w:lastRow="0" w:firstColumn="1" w:lastColumn="0" w:noHBand="0" w:noVBand="1"/>
      </w:tblPr>
      <w:tblGrid>
        <w:gridCol w:w="568"/>
        <w:gridCol w:w="6804"/>
        <w:gridCol w:w="2977"/>
      </w:tblGrid>
      <w:tr w:rsidR="00CA4AE0" w:rsidRPr="003C7E3B" w14:paraId="08BCF260" w14:textId="77777777" w:rsidTr="00CA4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6CE1A1BF" w14:textId="77777777" w:rsidR="00C10F91" w:rsidRPr="003C7E3B" w:rsidRDefault="00C10F91" w:rsidP="008D62C0">
            <w:pPr>
              <w:pStyle w:val="NoSpacing"/>
              <w:rPr>
                <w:rFonts w:ascii="Tw Cen MT" w:hAnsi="Tw Cen MT" w:cstheme="minorHAnsi"/>
                <w:sz w:val="24"/>
                <w:szCs w:val="24"/>
              </w:rPr>
            </w:pPr>
            <w:r w:rsidRPr="003C7E3B">
              <w:rPr>
                <w:rFonts w:ascii="Tw Cen MT" w:hAnsi="Tw Cen MT" w:cstheme="minorHAnsi"/>
                <w:sz w:val="24"/>
                <w:szCs w:val="24"/>
              </w:rPr>
              <w:t>No</w:t>
            </w:r>
          </w:p>
        </w:tc>
        <w:tc>
          <w:tcPr>
            <w:tcW w:w="6804" w:type="dxa"/>
            <w:vAlign w:val="center"/>
          </w:tcPr>
          <w:p w14:paraId="27070297" w14:textId="01043985" w:rsidR="00C10F91" w:rsidRPr="003C7E3B" w:rsidRDefault="00C10F9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GGL RECOMMENDATION ONE</w:t>
            </w:r>
          </w:p>
        </w:tc>
        <w:tc>
          <w:tcPr>
            <w:tcW w:w="2977" w:type="dxa"/>
            <w:vAlign w:val="center"/>
          </w:tcPr>
          <w:p w14:paraId="52FB2B67" w14:textId="77777777" w:rsidR="00C10F91" w:rsidRPr="003C7E3B" w:rsidRDefault="00C10F9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 (AUD including GST)</w:t>
            </w:r>
          </w:p>
        </w:tc>
      </w:tr>
      <w:tr w:rsidR="00CA4AE0" w:rsidRPr="003C7E3B" w14:paraId="1C120D66" w14:textId="77777777" w:rsidTr="00CA4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3AB0C30" w14:textId="77777777" w:rsidR="00C10F91" w:rsidRPr="003C7E3B" w:rsidRDefault="00C10F91" w:rsidP="00B02408">
            <w:pPr>
              <w:pStyle w:val="NoSpacing"/>
              <w:numPr>
                <w:ilvl w:val="0"/>
                <w:numId w:val="14"/>
              </w:numPr>
              <w:rPr>
                <w:rFonts w:ascii="Tw Cen MT" w:hAnsi="Tw Cen MT" w:cstheme="minorHAnsi"/>
                <w:sz w:val="24"/>
                <w:szCs w:val="24"/>
              </w:rPr>
            </w:pPr>
          </w:p>
        </w:tc>
        <w:tc>
          <w:tcPr>
            <w:tcW w:w="6804" w:type="dxa"/>
            <w:vAlign w:val="center"/>
          </w:tcPr>
          <w:p w14:paraId="63FF79EF" w14:textId="77777777" w:rsidR="00C10F91" w:rsidRPr="003C7E3B" w:rsidRDefault="00C10F91"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considers investing in the Gascoyne Gateway Initiative via the Northern Australia Infrastructure Facility (NAIF)</w:t>
            </w:r>
          </w:p>
        </w:tc>
        <w:tc>
          <w:tcPr>
            <w:tcW w:w="2977" w:type="dxa"/>
            <w:vAlign w:val="center"/>
          </w:tcPr>
          <w:p w14:paraId="5AF5A043" w14:textId="206ADA22" w:rsidR="00C10F91" w:rsidRPr="003C7E3B" w:rsidRDefault="00CC475E"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Pr>
                <w:rFonts w:ascii="Tw Cen MT" w:hAnsi="Tw Cen MT" w:cstheme="minorHAnsi"/>
                <w:sz w:val="24"/>
                <w:szCs w:val="24"/>
              </w:rPr>
              <w:t xml:space="preserve">TBC - </w:t>
            </w:r>
            <w:r w:rsidR="00C10F91" w:rsidRPr="003C7E3B">
              <w:rPr>
                <w:rFonts w:ascii="Tw Cen MT" w:hAnsi="Tw Cen MT" w:cstheme="minorHAnsi"/>
                <w:sz w:val="24"/>
                <w:szCs w:val="24"/>
              </w:rPr>
              <w:t>$200</w:t>
            </w:r>
            <w:r>
              <w:rPr>
                <w:rFonts w:ascii="Tw Cen MT" w:hAnsi="Tw Cen MT" w:cstheme="minorHAnsi"/>
                <w:sz w:val="24"/>
                <w:szCs w:val="24"/>
              </w:rPr>
              <w:t xml:space="preserve">-$300 </w:t>
            </w:r>
            <w:r w:rsidR="00C10F91" w:rsidRPr="003C7E3B">
              <w:rPr>
                <w:rFonts w:ascii="Tw Cen MT" w:hAnsi="Tw Cen MT" w:cstheme="minorHAnsi"/>
                <w:sz w:val="24"/>
                <w:szCs w:val="24"/>
              </w:rPr>
              <w:t>million AUD from existing NAIF funds</w:t>
            </w:r>
          </w:p>
        </w:tc>
      </w:tr>
    </w:tbl>
    <w:p w14:paraId="76892FB7" w14:textId="07F86ED4" w:rsidR="007C2CD9" w:rsidRPr="003C7E3B" w:rsidRDefault="007C2CD9" w:rsidP="005B425F">
      <w:pPr>
        <w:pStyle w:val="NoSpacing"/>
        <w:jc w:val="both"/>
        <w:rPr>
          <w:rFonts w:ascii="Tw Cen MT" w:hAnsi="Tw Cen MT" w:cstheme="minorHAnsi"/>
          <w:sz w:val="24"/>
          <w:szCs w:val="24"/>
        </w:rPr>
      </w:pPr>
    </w:p>
    <w:tbl>
      <w:tblPr>
        <w:tblStyle w:val="GridTable5Dark-Accent2"/>
        <w:tblW w:w="5606" w:type="pct"/>
        <w:tblInd w:w="-431" w:type="dxa"/>
        <w:tblLook w:val="04A0" w:firstRow="1" w:lastRow="0" w:firstColumn="1" w:lastColumn="0" w:noHBand="0" w:noVBand="1"/>
      </w:tblPr>
      <w:tblGrid>
        <w:gridCol w:w="640"/>
        <w:gridCol w:w="1635"/>
        <w:gridCol w:w="8075"/>
      </w:tblGrid>
      <w:tr w:rsidR="0043712B" w:rsidRPr="003C7E3B" w14:paraId="2E03F098" w14:textId="77777777" w:rsidTr="007B0BB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 w:type="pct"/>
            <w:vAlign w:val="center"/>
            <w:hideMark/>
          </w:tcPr>
          <w:p w14:paraId="00E3DC22" w14:textId="77777777" w:rsidR="0043712B" w:rsidRPr="003C7E3B" w:rsidRDefault="0043712B" w:rsidP="007B0BB9">
            <w:pPr>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FFFFFF"/>
                <w:sz w:val="24"/>
                <w:szCs w:val="24"/>
                <w:lang w:eastAsia="en-AU"/>
              </w:rPr>
              <w:t>No</w:t>
            </w:r>
          </w:p>
        </w:tc>
        <w:tc>
          <w:tcPr>
            <w:tcW w:w="790" w:type="pct"/>
            <w:vAlign w:val="center"/>
            <w:hideMark/>
          </w:tcPr>
          <w:p w14:paraId="4080C23E" w14:textId="77777777" w:rsidR="0043712B" w:rsidRPr="003C7E3B" w:rsidRDefault="0043712B" w:rsidP="007B0BB9">
            <w:pP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FFFFFF"/>
                <w:sz w:val="24"/>
                <w:szCs w:val="24"/>
                <w:lang w:eastAsia="en-AU"/>
              </w:rPr>
              <w:t>NAIF CRITERIA</w:t>
            </w:r>
          </w:p>
        </w:tc>
        <w:tc>
          <w:tcPr>
            <w:tcW w:w="3900" w:type="pct"/>
            <w:vAlign w:val="center"/>
            <w:hideMark/>
          </w:tcPr>
          <w:p w14:paraId="26A89FB7" w14:textId="77777777" w:rsidR="0043712B" w:rsidRPr="003C7E3B" w:rsidRDefault="0043712B" w:rsidP="007B0BB9">
            <w:pP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FFFFFF"/>
                <w:sz w:val="24"/>
                <w:szCs w:val="24"/>
                <w:lang w:eastAsia="en-AU"/>
              </w:rPr>
              <w:t>GGL INITIATIVE</w:t>
            </w:r>
          </w:p>
        </w:tc>
      </w:tr>
      <w:tr w:rsidR="0043712B" w:rsidRPr="003C7E3B" w14:paraId="7EAEEE56" w14:textId="77777777" w:rsidTr="007B0BB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09" w:type="pct"/>
            <w:hideMark/>
          </w:tcPr>
          <w:p w14:paraId="6831CB23" w14:textId="77777777" w:rsidR="0043712B" w:rsidRPr="003C7E3B" w:rsidRDefault="0043712B" w:rsidP="00B02408">
            <w:pPr>
              <w:numPr>
                <w:ilvl w:val="0"/>
                <w:numId w:val="4"/>
              </w:numPr>
              <w:rPr>
                <w:rFonts w:ascii="Tw Cen MT" w:eastAsia="Times New Roman" w:hAnsi="Tw Cen MT" w:cstheme="minorHAnsi"/>
                <w:b w:val="0"/>
                <w:bCs w:val="0"/>
                <w:color w:val="FFFFFF"/>
                <w:sz w:val="24"/>
                <w:szCs w:val="24"/>
                <w:lang w:eastAsia="en-AU"/>
              </w:rPr>
            </w:pPr>
            <w:r w:rsidRPr="003C7E3B">
              <w:rPr>
                <w:rFonts w:ascii="Tw Cen MT" w:eastAsia="Times New Roman" w:hAnsi="Tw Cen MT" w:cstheme="minorHAnsi"/>
                <w:color w:val="FFFFFF"/>
                <w:sz w:val="24"/>
                <w:szCs w:val="24"/>
                <w:lang w:eastAsia="en-AU"/>
              </w:rPr>
              <w:t> </w:t>
            </w:r>
          </w:p>
        </w:tc>
        <w:tc>
          <w:tcPr>
            <w:tcW w:w="790" w:type="pct"/>
            <w:hideMark/>
          </w:tcPr>
          <w:p w14:paraId="594AE856"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bCs/>
                <w:color w:val="1D2228"/>
                <w:sz w:val="24"/>
                <w:szCs w:val="24"/>
                <w:lang w:eastAsia="en-AU"/>
              </w:rPr>
            </w:pPr>
            <w:r w:rsidRPr="003C7E3B">
              <w:rPr>
                <w:rFonts w:ascii="Tw Cen MT" w:eastAsia="Times New Roman" w:hAnsi="Tw Cen MT" w:cstheme="minorHAnsi"/>
                <w:b/>
                <w:bCs/>
                <w:color w:val="000000"/>
                <w:sz w:val="24"/>
                <w:szCs w:val="24"/>
                <w:lang w:eastAsia="en-AU"/>
              </w:rPr>
              <w:t>Involve the construction of north Australia economic infrastructure</w:t>
            </w:r>
          </w:p>
        </w:tc>
        <w:tc>
          <w:tcPr>
            <w:tcW w:w="3900" w:type="pct"/>
          </w:tcPr>
          <w:p w14:paraId="29C0174A"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bCs/>
                <w:color w:val="000000"/>
                <w:sz w:val="24"/>
                <w:szCs w:val="24"/>
                <w:lang w:eastAsia="en-AU"/>
              </w:rPr>
            </w:pPr>
            <w:r w:rsidRPr="007B0BB9">
              <w:rPr>
                <w:rFonts w:ascii="Tw Cen MT" w:eastAsia="Times New Roman" w:hAnsi="Tw Cen MT" w:cstheme="minorHAnsi"/>
                <w:b/>
                <w:bCs/>
                <w:color w:val="C45911" w:themeColor="accent2" w:themeShade="BF"/>
                <w:sz w:val="24"/>
                <w:szCs w:val="24"/>
                <w:lang w:eastAsia="en-AU"/>
              </w:rPr>
              <w:t>Trade and Infrastructure Project of WA State and National Significance</w:t>
            </w:r>
          </w:p>
          <w:p w14:paraId="494A48E0"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41DA8ECB" w14:textId="0C4AB2D3"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 xml:space="preserve">On 3 July 2020, the WA Premier, the Hon Mark McGowan MLA, advised GGL that </w:t>
            </w:r>
            <w:r w:rsidR="008336E5">
              <w:rPr>
                <w:rFonts w:ascii="Tw Cen MT" w:eastAsia="Times New Roman" w:hAnsi="Tw Cen MT" w:cstheme="minorHAnsi"/>
                <w:color w:val="000000"/>
                <w:sz w:val="24"/>
                <w:szCs w:val="24"/>
                <w:lang w:eastAsia="en-AU"/>
              </w:rPr>
              <w:t>GGL’s</w:t>
            </w:r>
            <w:r w:rsidRPr="003C7E3B">
              <w:rPr>
                <w:rFonts w:ascii="Tw Cen MT" w:eastAsia="Times New Roman" w:hAnsi="Tw Cen MT" w:cstheme="minorHAnsi"/>
                <w:color w:val="000000"/>
                <w:sz w:val="24"/>
                <w:szCs w:val="24"/>
                <w:lang w:eastAsia="en-AU"/>
              </w:rPr>
              <w:t xml:space="preserve"> project had been formally recognised by the WA State Government as a ‘Project of State Significance’</w:t>
            </w:r>
          </w:p>
          <w:p w14:paraId="78A4DE48" w14:textId="77777777" w:rsidR="0043712B" w:rsidRPr="003C7E3B" w:rsidRDefault="0043712B" w:rsidP="008D62C0">
            <w:pPr>
              <w:ind w:left="-360" w:firstLine="5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67F05682" w14:textId="77777777"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With that status, the project has been granted Lead Agency Status under the WA Department of Jobs, Tourism, Science and Innovation (JTSI).   JTSI is now providing GGL with high-level advisory and support services to facilitate State Government approvals and development phases of the project</w:t>
            </w:r>
          </w:p>
          <w:p w14:paraId="0A3397DD" w14:textId="77777777" w:rsidR="0043712B" w:rsidRPr="003C7E3B" w:rsidRDefault="0043712B" w:rsidP="008D62C0">
            <w:pPr>
              <w:ind w:left="-360" w:firstLine="5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7855BC91" w14:textId="77777777"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offer secure, deep water (12.0m depth) multiple berths to support a variety of vessels and cargos</w:t>
            </w:r>
          </w:p>
          <w:p w14:paraId="0C300B3A" w14:textId="77777777" w:rsidR="0043712B" w:rsidRPr="003C7E3B" w:rsidRDefault="0043712B" w:rsidP="008D62C0">
            <w:pPr>
              <w:ind w:left="-360" w:firstLine="5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2A2B6FFC" w14:textId="77777777"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shore side support will include fuelling, lay-down areas, warehousing, bonded goods stores, stores, and operational support, and maintenance</w:t>
            </w:r>
          </w:p>
          <w:p w14:paraId="5F73EE10" w14:textId="77777777" w:rsidR="0043712B" w:rsidRPr="003C7E3B" w:rsidRDefault="0043712B" w:rsidP="008D62C0">
            <w:pPr>
              <w:ind w:left="-360" w:firstLine="5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7D80BBA4" w14:textId="77777777"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maximise local industry participation in construction and operation and will provide year-round berthing certainty for cruise ships and luxury yachts; and</w:t>
            </w:r>
          </w:p>
          <w:p w14:paraId="4EAB8EFE" w14:textId="77777777" w:rsidR="0043712B" w:rsidRPr="003C7E3B" w:rsidRDefault="0043712B" w:rsidP="008D62C0">
            <w:pPr>
              <w:ind w:left="-360" w:firstLine="5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p>
          <w:p w14:paraId="26998F66" w14:textId="77777777" w:rsidR="0043712B" w:rsidRPr="003C7E3B" w:rsidRDefault="0043712B" w:rsidP="00B02408">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It will furthermore provide other sectors with an efficient logistics solution.</w:t>
            </w:r>
          </w:p>
          <w:p w14:paraId="6C1F0FD2"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w:t>
            </w:r>
          </w:p>
        </w:tc>
      </w:tr>
      <w:tr w:rsidR="0043712B" w:rsidRPr="003C7E3B" w14:paraId="70FB96AB" w14:textId="77777777" w:rsidTr="007B0BB9">
        <w:trPr>
          <w:trHeight w:val="1134"/>
        </w:trPr>
        <w:tc>
          <w:tcPr>
            <w:cnfStyle w:val="001000000000" w:firstRow="0" w:lastRow="0" w:firstColumn="1" w:lastColumn="0" w:oddVBand="0" w:evenVBand="0" w:oddHBand="0" w:evenHBand="0" w:firstRowFirstColumn="0" w:firstRowLastColumn="0" w:lastRowFirstColumn="0" w:lastRowLastColumn="0"/>
            <w:tcW w:w="309" w:type="pct"/>
            <w:hideMark/>
          </w:tcPr>
          <w:p w14:paraId="17FA4D9C" w14:textId="77777777" w:rsidR="0043712B" w:rsidRPr="003C7E3B" w:rsidRDefault="0043712B" w:rsidP="00B02408">
            <w:pPr>
              <w:numPr>
                <w:ilvl w:val="0"/>
                <w:numId w:val="6"/>
              </w:numPr>
              <w:rPr>
                <w:rFonts w:ascii="Tw Cen MT" w:eastAsia="Times New Roman" w:hAnsi="Tw Cen MT" w:cstheme="minorHAnsi"/>
                <w:b w:val="0"/>
                <w:bCs w:val="0"/>
                <w:color w:val="FFFFFF"/>
                <w:sz w:val="24"/>
                <w:szCs w:val="24"/>
                <w:lang w:eastAsia="en-AU"/>
              </w:rPr>
            </w:pPr>
            <w:r w:rsidRPr="003C7E3B">
              <w:rPr>
                <w:rFonts w:ascii="Tw Cen MT" w:eastAsia="Times New Roman" w:hAnsi="Tw Cen MT" w:cstheme="minorHAnsi"/>
                <w:color w:val="FFFFFF"/>
                <w:sz w:val="24"/>
                <w:szCs w:val="24"/>
                <w:lang w:eastAsia="en-AU"/>
              </w:rPr>
              <w:t> </w:t>
            </w:r>
          </w:p>
        </w:tc>
        <w:tc>
          <w:tcPr>
            <w:tcW w:w="790" w:type="pct"/>
            <w:hideMark/>
          </w:tcPr>
          <w:p w14:paraId="78801097"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b/>
                <w:bCs/>
                <w:color w:val="1D2228"/>
                <w:sz w:val="24"/>
                <w:szCs w:val="24"/>
                <w:lang w:eastAsia="en-AU"/>
              </w:rPr>
            </w:pPr>
            <w:r w:rsidRPr="003C7E3B">
              <w:rPr>
                <w:rFonts w:ascii="Tw Cen MT" w:eastAsia="Times New Roman" w:hAnsi="Tw Cen MT" w:cstheme="minorHAnsi"/>
                <w:b/>
                <w:bCs/>
                <w:color w:val="000000"/>
                <w:sz w:val="24"/>
                <w:szCs w:val="24"/>
                <w:lang w:eastAsia="en-AU"/>
              </w:rPr>
              <w:t>Located in Northern Australia</w:t>
            </w:r>
          </w:p>
        </w:tc>
        <w:tc>
          <w:tcPr>
            <w:tcW w:w="3900" w:type="pct"/>
            <w:hideMark/>
          </w:tcPr>
          <w:p w14:paraId="64097687" w14:textId="4A76A8C9" w:rsidR="0043712B" w:rsidRPr="003C7E3B" w:rsidRDefault="0043712B" w:rsidP="00B0240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 xml:space="preserve">The Project, located at </w:t>
            </w:r>
            <w:r w:rsidR="000A0C20">
              <w:rPr>
                <w:rFonts w:ascii="Tw Cen MT" w:eastAsia="Times New Roman" w:hAnsi="Tw Cen MT" w:cstheme="minorHAnsi"/>
                <w:color w:val="000000"/>
                <w:sz w:val="24"/>
                <w:szCs w:val="24"/>
                <w:lang w:eastAsia="en-AU"/>
              </w:rPr>
              <w:t>Mowbowra Creek</w:t>
            </w:r>
            <w:r w:rsidRPr="003C7E3B">
              <w:rPr>
                <w:rFonts w:ascii="Tw Cen MT" w:eastAsia="Times New Roman" w:hAnsi="Tw Cen MT" w:cstheme="minorHAnsi"/>
                <w:color w:val="000000"/>
                <w:sz w:val="24"/>
                <w:szCs w:val="24"/>
                <w:lang w:eastAsia="en-AU"/>
              </w:rPr>
              <w:t xml:space="preserve"> approximately 10 km south of Exmouth in WA’s Gascoyne region, and</w:t>
            </w:r>
          </w:p>
          <w:p w14:paraId="5A14F4AE" w14:textId="14D19B12" w:rsidR="0043712B" w:rsidRPr="003C7E3B" w:rsidRDefault="0043712B" w:rsidP="00B02408">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 xml:space="preserve">It is intended to be Australia’s first “Green” </w:t>
            </w:r>
            <w:r w:rsidR="00CA4AE0" w:rsidRPr="003C7E3B">
              <w:rPr>
                <w:rFonts w:ascii="Tw Cen MT" w:eastAsia="Times New Roman" w:hAnsi="Tw Cen MT" w:cstheme="minorHAnsi"/>
                <w:color w:val="000000"/>
                <w:sz w:val="24"/>
                <w:szCs w:val="24"/>
                <w:lang w:eastAsia="en-AU"/>
              </w:rPr>
              <w:t>multiuser</w:t>
            </w:r>
            <w:r w:rsidRPr="003C7E3B">
              <w:rPr>
                <w:rFonts w:ascii="Tw Cen MT" w:eastAsia="Times New Roman" w:hAnsi="Tw Cen MT" w:cstheme="minorHAnsi"/>
                <w:color w:val="000000"/>
                <w:sz w:val="24"/>
                <w:szCs w:val="24"/>
                <w:lang w:eastAsia="en-AU"/>
              </w:rPr>
              <w:t xml:space="preserve"> </w:t>
            </w:r>
            <w:r w:rsidR="008336E5">
              <w:rPr>
                <w:rFonts w:ascii="Tw Cen MT" w:eastAsia="Times New Roman" w:hAnsi="Tw Cen MT" w:cstheme="minorHAnsi"/>
                <w:color w:val="000000"/>
                <w:sz w:val="24"/>
                <w:szCs w:val="24"/>
                <w:lang w:eastAsia="en-AU"/>
              </w:rPr>
              <w:t>P</w:t>
            </w:r>
            <w:r w:rsidRPr="003C7E3B">
              <w:rPr>
                <w:rFonts w:ascii="Tw Cen MT" w:eastAsia="Times New Roman" w:hAnsi="Tw Cen MT" w:cstheme="minorHAnsi"/>
                <w:color w:val="000000"/>
                <w:sz w:val="24"/>
                <w:szCs w:val="24"/>
                <w:lang w:eastAsia="en-AU"/>
              </w:rPr>
              <w:t>ort and logistics facility, addressing a number of long standing issues and concerns with respect to the defence and border force maritime, tourism and fuel logistics and storage industries in WA. </w:t>
            </w:r>
          </w:p>
        </w:tc>
      </w:tr>
      <w:tr w:rsidR="0043712B" w:rsidRPr="003C7E3B" w14:paraId="00ADCF5C" w14:textId="77777777" w:rsidTr="007B0BB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09" w:type="pct"/>
            <w:hideMark/>
          </w:tcPr>
          <w:p w14:paraId="7ED007B1" w14:textId="77777777" w:rsidR="0043712B" w:rsidRPr="003C7E3B" w:rsidRDefault="0043712B" w:rsidP="00B02408">
            <w:pPr>
              <w:numPr>
                <w:ilvl w:val="0"/>
                <w:numId w:val="8"/>
              </w:numPr>
              <w:rPr>
                <w:rFonts w:ascii="Tw Cen MT" w:eastAsia="Times New Roman" w:hAnsi="Tw Cen MT" w:cstheme="minorHAnsi"/>
                <w:b w:val="0"/>
                <w:bCs w:val="0"/>
                <w:color w:val="FFFFFF"/>
                <w:sz w:val="24"/>
                <w:szCs w:val="24"/>
                <w:lang w:eastAsia="en-AU"/>
              </w:rPr>
            </w:pPr>
            <w:r w:rsidRPr="003C7E3B">
              <w:rPr>
                <w:rFonts w:ascii="Tw Cen MT" w:eastAsia="Times New Roman" w:hAnsi="Tw Cen MT" w:cstheme="minorHAnsi"/>
                <w:color w:val="FFFFFF"/>
                <w:sz w:val="24"/>
                <w:szCs w:val="24"/>
                <w:lang w:eastAsia="en-AU"/>
              </w:rPr>
              <w:t> </w:t>
            </w:r>
          </w:p>
        </w:tc>
        <w:tc>
          <w:tcPr>
            <w:tcW w:w="790" w:type="pct"/>
            <w:hideMark/>
          </w:tcPr>
          <w:p w14:paraId="0DC40EF5"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bCs/>
                <w:color w:val="1D2228"/>
                <w:sz w:val="24"/>
                <w:szCs w:val="24"/>
                <w:lang w:eastAsia="en-AU"/>
              </w:rPr>
            </w:pPr>
            <w:r w:rsidRPr="003C7E3B">
              <w:rPr>
                <w:rFonts w:ascii="Tw Cen MT" w:eastAsia="Times New Roman" w:hAnsi="Tw Cen MT" w:cstheme="minorHAnsi"/>
                <w:b/>
                <w:bCs/>
                <w:color w:val="000000"/>
                <w:sz w:val="24"/>
                <w:szCs w:val="24"/>
                <w:lang w:eastAsia="en-AU"/>
              </w:rPr>
              <w:t>Require a loan to able to be repaid or refinanced</w:t>
            </w:r>
          </w:p>
        </w:tc>
        <w:tc>
          <w:tcPr>
            <w:tcW w:w="3900" w:type="pct"/>
            <w:hideMark/>
          </w:tcPr>
          <w:p w14:paraId="357E9802"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It is estimated the Project will generate $60 million in annual revenue, derived from 13 different revenue streams:</w:t>
            </w:r>
          </w:p>
          <w:p w14:paraId="549A57BF" w14:textId="5207025D" w:rsidR="0043712B" w:rsidRPr="003C7E3B" w:rsidRDefault="0043712B" w:rsidP="00B0240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Royal Australian Navy sustainment</w:t>
            </w:r>
          </w:p>
          <w:p w14:paraId="40251E1E"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Australian Border Force sustainment</w:t>
            </w:r>
          </w:p>
          <w:p w14:paraId="6B0135AB"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Coalition Allies sustainment</w:t>
            </w:r>
          </w:p>
          <w:p w14:paraId="2874D9FB"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Cruise Liners</w:t>
            </w:r>
          </w:p>
          <w:p w14:paraId="25DB4B93"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Super Yachts</w:t>
            </w:r>
          </w:p>
          <w:p w14:paraId="68EF14A0"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Adventure Tourism</w:t>
            </w:r>
          </w:p>
          <w:p w14:paraId="36F7303E"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break bulk freight imports</w:t>
            </w:r>
          </w:p>
          <w:p w14:paraId="44028680"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Platform support vessels</w:t>
            </w:r>
          </w:p>
          <w:p w14:paraId="2FEEBD62"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Containers</w:t>
            </w:r>
          </w:p>
          <w:p w14:paraId="74E42D1E"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Fuel Tankers and Imports</w:t>
            </w:r>
          </w:p>
          <w:p w14:paraId="70A3D3E7"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Oil and Gas Support</w:t>
            </w:r>
          </w:p>
          <w:p w14:paraId="5805366F"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Green Hydrogen Storage and Export</w:t>
            </w:r>
          </w:p>
          <w:p w14:paraId="5B06215B" w14:textId="77777777" w:rsidR="0043712B" w:rsidRPr="003C7E3B" w:rsidRDefault="0043712B" w:rsidP="00B02408">
            <w:pPr>
              <w:numPr>
                <w:ilvl w:val="0"/>
                <w:numId w:val="15"/>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Sovereign Fuel Storage Reserves</w:t>
            </w:r>
          </w:p>
          <w:p w14:paraId="153A8284"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w:t>
            </w:r>
          </w:p>
        </w:tc>
      </w:tr>
      <w:tr w:rsidR="0043712B" w:rsidRPr="003C7E3B" w14:paraId="3DC14802" w14:textId="77777777" w:rsidTr="007B0BB9">
        <w:trPr>
          <w:trHeight w:val="1134"/>
        </w:trPr>
        <w:tc>
          <w:tcPr>
            <w:cnfStyle w:val="001000000000" w:firstRow="0" w:lastRow="0" w:firstColumn="1" w:lastColumn="0" w:oddVBand="0" w:evenVBand="0" w:oddHBand="0" w:evenHBand="0" w:firstRowFirstColumn="0" w:firstRowLastColumn="0" w:lastRowFirstColumn="0" w:lastRowLastColumn="0"/>
            <w:tcW w:w="309" w:type="pct"/>
            <w:hideMark/>
          </w:tcPr>
          <w:p w14:paraId="26F8A1E3" w14:textId="77777777" w:rsidR="0043712B" w:rsidRPr="003C7E3B" w:rsidRDefault="0043712B" w:rsidP="00B02408">
            <w:pPr>
              <w:numPr>
                <w:ilvl w:val="0"/>
                <w:numId w:val="9"/>
              </w:numPr>
              <w:rPr>
                <w:rFonts w:ascii="Tw Cen MT" w:eastAsia="Times New Roman" w:hAnsi="Tw Cen MT" w:cstheme="minorHAnsi"/>
                <w:b w:val="0"/>
                <w:bCs w:val="0"/>
                <w:color w:val="FFFFFF"/>
                <w:sz w:val="24"/>
                <w:szCs w:val="24"/>
                <w:lang w:eastAsia="en-AU"/>
              </w:rPr>
            </w:pPr>
            <w:r w:rsidRPr="003C7E3B">
              <w:rPr>
                <w:rFonts w:ascii="Tw Cen MT" w:eastAsia="Times New Roman" w:hAnsi="Tw Cen MT" w:cstheme="minorHAnsi"/>
                <w:color w:val="FFFFFF"/>
                <w:sz w:val="24"/>
                <w:szCs w:val="24"/>
                <w:lang w:eastAsia="en-AU"/>
              </w:rPr>
              <w:t> </w:t>
            </w:r>
          </w:p>
        </w:tc>
        <w:tc>
          <w:tcPr>
            <w:tcW w:w="790" w:type="pct"/>
            <w:hideMark/>
          </w:tcPr>
          <w:p w14:paraId="2B67546A"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b/>
                <w:bCs/>
                <w:color w:val="1D2228"/>
                <w:sz w:val="24"/>
                <w:szCs w:val="24"/>
                <w:lang w:eastAsia="en-AU"/>
              </w:rPr>
            </w:pPr>
            <w:r w:rsidRPr="003C7E3B">
              <w:rPr>
                <w:rFonts w:ascii="Tw Cen MT" w:eastAsia="Times New Roman" w:hAnsi="Tw Cen MT" w:cstheme="minorHAnsi"/>
                <w:b/>
                <w:bCs/>
                <w:color w:val="000000"/>
                <w:sz w:val="24"/>
                <w:szCs w:val="24"/>
                <w:lang w:eastAsia="en-AU"/>
              </w:rPr>
              <w:t>Public Benefit</w:t>
            </w:r>
          </w:p>
        </w:tc>
        <w:tc>
          <w:tcPr>
            <w:tcW w:w="3900" w:type="pct"/>
          </w:tcPr>
          <w:p w14:paraId="361E2868" w14:textId="77777777" w:rsidR="0043712B" w:rsidRPr="007B0BB9"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C45911" w:themeColor="accent2" w:themeShade="BF"/>
                <w:sz w:val="24"/>
                <w:szCs w:val="24"/>
                <w:lang w:eastAsia="en-AU"/>
              </w:rPr>
            </w:pPr>
            <w:r w:rsidRPr="007B0BB9">
              <w:rPr>
                <w:rFonts w:ascii="Tw Cen MT" w:eastAsia="Times New Roman" w:hAnsi="Tw Cen MT" w:cstheme="minorHAnsi"/>
                <w:b/>
                <w:bCs/>
                <w:color w:val="C45911" w:themeColor="accent2" w:themeShade="BF"/>
                <w:sz w:val="24"/>
                <w:szCs w:val="24"/>
                <w:lang w:eastAsia="en-AU"/>
              </w:rPr>
              <w:t>Regional Economic Boost</w:t>
            </w:r>
          </w:p>
          <w:p w14:paraId="3E010153" w14:textId="2B35EF55" w:rsidR="0043712B" w:rsidRPr="003C7E3B" w:rsidRDefault="0043712B" w:rsidP="00B02408">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 xml:space="preserve">GGL engaged ACIL Allen Consulting (‘ACIL Allen’) to conduct a preliminary economic benefits assessment of </w:t>
            </w:r>
            <w:r w:rsidR="008336E5">
              <w:rPr>
                <w:rFonts w:ascii="Tw Cen MT" w:eastAsia="Times New Roman" w:hAnsi="Tw Cen MT" w:cstheme="minorHAnsi"/>
                <w:color w:val="000000"/>
                <w:sz w:val="24"/>
                <w:szCs w:val="24"/>
                <w:lang w:eastAsia="en-AU"/>
              </w:rPr>
              <w:t>GGL’s</w:t>
            </w:r>
            <w:r w:rsidRPr="003C7E3B">
              <w:rPr>
                <w:rFonts w:ascii="Tw Cen MT" w:eastAsia="Times New Roman" w:hAnsi="Tw Cen MT" w:cstheme="minorHAnsi"/>
                <w:color w:val="000000"/>
                <w:sz w:val="24"/>
                <w:szCs w:val="24"/>
                <w:lang w:eastAsia="en-AU"/>
              </w:rPr>
              <w:t xml:space="preserve"> Project, and</w:t>
            </w:r>
          </w:p>
          <w:p w14:paraId="479C9FB9" w14:textId="77777777" w:rsidR="0043712B" w:rsidRPr="003C7E3B" w:rsidRDefault="0043712B" w:rsidP="00B02408">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ACIL Allen estimates that the Project will contribute close to $1.0 billion to the Gross Regional Product (GRP) of the Gascoyne region over a 25-year period, with $706.2 million directly contributed.</w:t>
            </w:r>
          </w:p>
          <w:p w14:paraId="5EA85C7D" w14:textId="77777777" w:rsidR="0043712B" w:rsidRPr="003C7E3B" w:rsidRDefault="0043712B" w:rsidP="00B02408">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b/>
                <w:bCs/>
                <w:color w:val="000000"/>
                <w:sz w:val="24"/>
                <w:szCs w:val="24"/>
                <w:lang w:eastAsia="en-AU"/>
              </w:rPr>
              <w:t>In annual average terms, the Project is projected to contribute $34.1 million to the Gascoyne economy every year.</w:t>
            </w:r>
          </w:p>
          <w:p w14:paraId="7BF110E8"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b/>
                <w:bCs/>
                <w:color w:val="1D2228"/>
                <w:sz w:val="24"/>
                <w:szCs w:val="24"/>
                <w:lang w:eastAsia="en-AU"/>
              </w:rPr>
              <w:t> </w:t>
            </w:r>
          </w:p>
          <w:p w14:paraId="6A228AE4" w14:textId="77777777" w:rsidR="0043712B" w:rsidRPr="007B0BB9"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b/>
                <w:bCs/>
                <w:color w:val="C45911" w:themeColor="accent2" w:themeShade="BF"/>
                <w:sz w:val="24"/>
                <w:szCs w:val="24"/>
                <w:lang w:eastAsia="en-AU"/>
              </w:rPr>
            </w:pPr>
            <w:r w:rsidRPr="007B0BB9">
              <w:rPr>
                <w:rFonts w:ascii="Tw Cen MT" w:eastAsia="Times New Roman" w:hAnsi="Tw Cen MT" w:cstheme="minorHAnsi"/>
                <w:b/>
                <w:bCs/>
                <w:color w:val="C45911" w:themeColor="accent2" w:themeShade="BF"/>
                <w:sz w:val="24"/>
                <w:szCs w:val="24"/>
                <w:lang w:eastAsia="en-AU"/>
              </w:rPr>
              <w:t>Regional Jobs for the Exmouth Community</w:t>
            </w:r>
          </w:p>
          <w:p w14:paraId="4A373B59"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provide a sustainable business model through the diversification of other essential business through the facility and will generate:</w:t>
            </w:r>
          </w:p>
          <w:p w14:paraId="43EC9C19" w14:textId="77777777" w:rsidR="0043712B" w:rsidRPr="003C7E3B" w:rsidRDefault="0043712B" w:rsidP="00B0240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400 direct jobs in construction</w:t>
            </w:r>
          </w:p>
          <w:p w14:paraId="672D51F5" w14:textId="77777777" w:rsidR="0043712B" w:rsidRPr="003C7E3B" w:rsidRDefault="0043712B" w:rsidP="00B0240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70 direct full-time jobs directly at the jetty</w:t>
            </w:r>
          </w:p>
          <w:p w14:paraId="50AE0CE7" w14:textId="77777777" w:rsidR="0043712B" w:rsidRPr="003C7E3B" w:rsidRDefault="0043712B" w:rsidP="00B02408">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130+ additional full-time jobs in Exmouth</w:t>
            </w:r>
          </w:p>
          <w:p w14:paraId="4031DF25" w14:textId="77777777" w:rsidR="0043712B" w:rsidRPr="003C7E3B" w:rsidRDefault="0043712B" w:rsidP="007B0BB9">
            <w:pPr>
              <w:pStyle w:val="ListParagraph"/>
              <w:numPr>
                <w:ilvl w:val="0"/>
                <w:numId w:val="21"/>
              </w:numPr>
              <w:shd w:val="clear" w:color="auto" w:fill="FBE4D5" w:themeFill="accent2" w:themeFillTint="33"/>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Up to 600 jobs across the Gascoyne indirectly</w:t>
            </w:r>
            <w:r w:rsidRPr="003C7E3B">
              <w:rPr>
                <w:rFonts w:ascii="Tw Cen MT" w:eastAsia="Times New Roman" w:hAnsi="Tw Cen MT" w:cstheme="minorHAnsi"/>
                <w:color w:val="1D2228"/>
                <w:sz w:val="24"/>
                <w:szCs w:val="24"/>
                <w:lang w:eastAsia="en-AU"/>
              </w:rPr>
              <w:t> </w:t>
            </w:r>
          </w:p>
          <w:p w14:paraId="544A777D" w14:textId="77777777" w:rsidR="0043712B" w:rsidRPr="003C7E3B" w:rsidRDefault="0043712B" w:rsidP="007B0BB9">
            <w:pPr>
              <w:shd w:val="clear" w:color="auto" w:fill="FBE4D5" w:themeFill="accent2" w:themeFillTint="33"/>
              <w:ind w:left="36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p>
          <w:p w14:paraId="47D6E993" w14:textId="77777777" w:rsidR="0043712B" w:rsidRPr="007B0BB9" w:rsidRDefault="0043712B" w:rsidP="007B0BB9">
            <w:pPr>
              <w:shd w:val="clear" w:color="auto" w:fill="FBE4D5" w:themeFill="accent2" w:themeFillTint="33"/>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C45911" w:themeColor="accent2" w:themeShade="BF"/>
                <w:sz w:val="24"/>
                <w:szCs w:val="24"/>
                <w:lang w:eastAsia="en-AU"/>
              </w:rPr>
            </w:pPr>
            <w:r w:rsidRPr="007B0BB9">
              <w:rPr>
                <w:rFonts w:ascii="Tw Cen MT" w:eastAsia="Times New Roman" w:hAnsi="Tw Cen MT" w:cstheme="minorHAnsi"/>
                <w:b/>
                <w:bCs/>
                <w:color w:val="C45911" w:themeColor="accent2" w:themeShade="BF"/>
                <w:sz w:val="24"/>
                <w:szCs w:val="24"/>
                <w:lang w:eastAsia="en-AU"/>
              </w:rPr>
              <w:t>World’s First Carbon Neutral Maritime Port</w:t>
            </w:r>
          </w:p>
          <w:p w14:paraId="1ACB8D36" w14:textId="77777777" w:rsidR="0043712B" w:rsidRPr="003C7E3B" w:rsidRDefault="0043712B" w:rsidP="007B0BB9">
            <w:pPr>
              <w:pStyle w:val="ListParagraph"/>
              <w:numPr>
                <w:ilvl w:val="0"/>
                <w:numId w:val="22"/>
              </w:numPr>
              <w:shd w:val="clear" w:color="auto" w:fill="FBE4D5" w:themeFill="accent2" w:themeFillTint="33"/>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GGL is committed to delivering Carbon Neutral regeneration ‘Green’ Facility.</w:t>
            </w:r>
          </w:p>
          <w:p w14:paraId="0DF51E2C" w14:textId="4A8742F0" w:rsidR="0043712B" w:rsidRPr="003C7E3B" w:rsidRDefault="008336E5" w:rsidP="007B0BB9">
            <w:pPr>
              <w:pStyle w:val="ListParagraph"/>
              <w:numPr>
                <w:ilvl w:val="0"/>
                <w:numId w:val="22"/>
              </w:numPr>
              <w:shd w:val="clear" w:color="auto" w:fill="FBE4D5" w:themeFill="accent2" w:themeFillTint="33"/>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Pr>
                <w:rFonts w:ascii="Tw Cen MT" w:eastAsia="Times New Roman" w:hAnsi="Tw Cen MT" w:cstheme="minorHAnsi"/>
                <w:color w:val="000000"/>
                <w:sz w:val="24"/>
                <w:szCs w:val="24"/>
                <w:lang w:eastAsia="en-AU"/>
              </w:rPr>
              <w:t>GGL’s</w:t>
            </w:r>
            <w:r w:rsidR="0043712B" w:rsidRPr="003C7E3B">
              <w:rPr>
                <w:rFonts w:ascii="Tw Cen MT" w:eastAsia="Times New Roman" w:hAnsi="Tw Cen MT" w:cstheme="minorHAnsi"/>
                <w:color w:val="000000"/>
                <w:sz w:val="24"/>
                <w:szCs w:val="24"/>
                <w:lang w:eastAsia="en-AU"/>
              </w:rPr>
              <w:t xml:space="preserve"> vision to be ‘the most environmentally sustainable Port in the World’</w:t>
            </w:r>
          </w:p>
          <w:p w14:paraId="0F933163" w14:textId="77777777" w:rsidR="0043712B" w:rsidRPr="003C7E3B" w:rsidRDefault="0043712B" w:rsidP="007B0BB9">
            <w:pPr>
              <w:pStyle w:val="ListParagraph"/>
              <w:numPr>
                <w:ilvl w:val="0"/>
                <w:numId w:val="22"/>
              </w:numPr>
              <w:shd w:val="clear" w:color="auto" w:fill="FBE4D5" w:themeFill="accent2" w:themeFillTint="33"/>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This will be achieved through:</w:t>
            </w:r>
          </w:p>
          <w:p w14:paraId="1CDA6DAC"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Independent potable water production made through renewables.  Also reducing draw on aquifers by augmenting town supply </w:t>
            </w:r>
          </w:p>
          <w:p w14:paraId="02AE16A3"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Regulation of shipping movements, speeds &amp; anchoring to avoid mega-fauna interaction</w:t>
            </w:r>
          </w:p>
          <w:p w14:paraId="6BA712B3"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Response capability for marine emergency/spill</w:t>
            </w:r>
          </w:p>
          <w:p w14:paraId="038552AC"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Limestone Reef being investigated to reduce impact of tourism on and support research</w:t>
            </w:r>
          </w:p>
          <w:p w14:paraId="2CC13B6B"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Dredging impact reduced by minimising requirement through design, use of ‘plume curtains’, and spoil piped ashore for use as part of the construction</w:t>
            </w:r>
          </w:p>
          <w:p w14:paraId="0C1154C9" w14:textId="6573D74D"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 xml:space="preserve">Replacement of 5% of long-haul trucks for Pilbara – reduction in </w:t>
            </w:r>
            <w:r w:rsidR="00207432">
              <w:rPr>
                <w:rFonts w:ascii="Tw Cen MT" w:eastAsia="Times New Roman" w:hAnsi="Tw Cen MT" w:cstheme="minorHAnsi"/>
                <w:color w:val="000000"/>
                <w:sz w:val="24"/>
                <w:szCs w:val="24"/>
                <w:lang w:eastAsia="en-AU"/>
              </w:rPr>
              <w:t xml:space="preserve">over </w:t>
            </w:r>
            <w:r w:rsidRPr="003C7E3B">
              <w:rPr>
                <w:rFonts w:ascii="Tw Cen MT" w:eastAsia="Times New Roman" w:hAnsi="Tw Cen MT" w:cstheme="minorHAnsi"/>
                <w:color w:val="000000"/>
                <w:sz w:val="24"/>
                <w:szCs w:val="24"/>
                <w:lang w:eastAsia="en-AU"/>
              </w:rPr>
              <w:t>120,000 tonnes Co2 p.a.</w:t>
            </w:r>
          </w:p>
          <w:p w14:paraId="0FEE5F7D"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PIANC Working with Nature principles – endangered species protection</w:t>
            </w:r>
          </w:p>
          <w:p w14:paraId="46D2084A"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Potentially risk removal to World Heritage Marine Park by relocation of fuel facility from Point Murat (Navy Pier)</w:t>
            </w:r>
          </w:p>
          <w:p w14:paraId="0294DC79"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Electric vehicles/plant to operate the facility</w:t>
            </w:r>
          </w:p>
          <w:p w14:paraId="23DABC6A"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Use of ‘green’ and sustainable building materials</w:t>
            </w:r>
          </w:p>
          <w:p w14:paraId="197AF9AA" w14:textId="77777777" w:rsidR="0043712B" w:rsidRPr="003C7E3B" w:rsidRDefault="0043712B" w:rsidP="007B0BB9">
            <w:pPr>
              <w:pStyle w:val="ListParagraph"/>
              <w:numPr>
                <w:ilvl w:val="0"/>
                <w:numId w:val="30"/>
              </w:numPr>
              <w:shd w:val="clear" w:color="auto" w:fill="FBE4D5" w:themeFill="accent2" w:themeFillTint="33"/>
              <w:tabs>
                <w:tab w:val="clear" w:pos="720"/>
              </w:tabs>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Production of Green Hydrogen for transition from fossil fuels and potential export</w:t>
            </w:r>
          </w:p>
          <w:p w14:paraId="1DC8C05B" w14:textId="77777777" w:rsidR="0043712B" w:rsidRPr="003C7E3B" w:rsidRDefault="0043712B" w:rsidP="007B0BB9">
            <w:pPr>
              <w:shd w:val="clear" w:color="auto" w:fill="FBE4D5" w:themeFill="accent2" w:themeFillTint="33"/>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w:t>
            </w:r>
          </w:p>
          <w:p w14:paraId="3988357B"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7B0BB9">
              <w:rPr>
                <w:rFonts w:ascii="Tw Cen MT" w:eastAsia="Times New Roman" w:hAnsi="Tw Cen MT" w:cstheme="minorHAnsi"/>
                <w:b/>
                <w:bCs/>
                <w:color w:val="C45911" w:themeColor="accent2" w:themeShade="BF"/>
                <w:sz w:val="24"/>
                <w:szCs w:val="24"/>
                <w:lang w:eastAsia="en-AU"/>
              </w:rPr>
              <w:t>Sovereign ADF and ABF Capability and Fuel Storage Reserve</w:t>
            </w:r>
          </w:p>
          <w:p w14:paraId="39788208" w14:textId="77777777" w:rsidR="0043712B" w:rsidRPr="003C7E3B" w:rsidRDefault="0043712B" w:rsidP="00B02408">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boost and complement Defence (Navy) sovereign capabilities:  Commercial berths and water depths that will cater for every RAN and ABF vessel including OPVs, LHDs and submarines. There will also be fuel tanks, warehousing, cargo and laydown areas and administration buildings</w:t>
            </w:r>
          </w:p>
          <w:p w14:paraId="5F213848" w14:textId="77777777" w:rsidR="0043712B" w:rsidRPr="003C7E3B" w:rsidRDefault="0043712B" w:rsidP="00B02408">
            <w:pPr>
              <w:ind w:firstLine="5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p>
          <w:p w14:paraId="18791805" w14:textId="77777777" w:rsidR="0043712B" w:rsidRPr="003C7E3B" w:rsidRDefault="0043712B" w:rsidP="00B02408">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also provide safe, secure and flexible refuelling and replenishment for the ABF, RAN and allied warships. There are no channels, tidal ranges are less than 2.0 metres and there is unrestricted access</w:t>
            </w:r>
          </w:p>
          <w:p w14:paraId="789B46F0" w14:textId="77777777" w:rsidR="0043712B" w:rsidRPr="003C7E3B" w:rsidRDefault="0043712B" w:rsidP="00B02408">
            <w:pPr>
              <w:ind w:firstLine="5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p>
          <w:p w14:paraId="77FD5E32" w14:textId="5E4E1EF0" w:rsidR="0043712B" w:rsidRPr="003C7E3B" w:rsidRDefault="0043712B" w:rsidP="00B02408">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 xml:space="preserve">One of the key features of GGL’s project is the intention to develop a </w:t>
            </w:r>
            <w:r w:rsidR="0079028D">
              <w:rPr>
                <w:rFonts w:ascii="Tw Cen MT" w:eastAsia="Times New Roman" w:hAnsi="Tw Cen MT" w:cstheme="minorHAnsi"/>
                <w:color w:val="000000"/>
                <w:sz w:val="24"/>
                <w:szCs w:val="24"/>
                <w:lang w:eastAsia="en-AU"/>
              </w:rPr>
              <w:t xml:space="preserve">minimum </w:t>
            </w:r>
            <w:r w:rsidRPr="003C7E3B">
              <w:rPr>
                <w:rFonts w:ascii="Tw Cen MT" w:eastAsia="Times New Roman" w:hAnsi="Tw Cen MT" w:cstheme="minorHAnsi"/>
                <w:color w:val="000000"/>
                <w:sz w:val="24"/>
                <w:szCs w:val="24"/>
                <w:lang w:eastAsia="en-AU"/>
              </w:rPr>
              <w:t>30-million litre state-of-the-art fuel storage facility that will see 100 million litres of usage per annum to provide strategic holdings to meet and sustain the ADF and ABF supply chain and supplement durability commercial distribution in the Gascoyne/West Pilbara. </w:t>
            </w:r>
          </w:p>
          <w:p w14:paraId="4E138B7D" w14:textId="77777777" w:rsidR="0043712B" w:rsidRPr="003C7E3B" w:rsidRDefault="0043712B" w:rsidP="00B02408">
            <w:pPr>
              <w:ind w:firstLine="5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p>
          <w:p w14:paraId="5EDB26D4" w14:textId="77777777" w:rsidR="0043712B" w:rsidRPr="003C7E3B" w:rsidRDefault="0043712B" w:rsidP="00B02408">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also intends to bolster Australia-US strategic alliances and GGL will ensure we work closely with the Australian Government and the United States Government to strengthen defence cooperation, including on force posture.</w:t>
            </w:r>
          </w:p>
          <w:p w14:paraId="186D8CDA" w14:textId="77777777" w:rsidR="0043712B" w:rsidRPr="003C7E3B" w:rsidRDefault="0043712B" w:rsidP="008D62C0">
            <w:pP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w:t>
            </w:r>
          </w:p>
        </w:tc>
      </w:tr>
      <w:tr w:rsidR="0043712B" w:rsidRPr="003C7E3B" w14:paraId="695381A9" w14:textId="77777777" w:rsidTr="007B0BB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09" w:type="pct"/>
            <w:hideMark/>
          </w:tcPr>
          <w:p w14:paraId="3AF45323" w14:textId="77777777" w:rsidR="0043712B" w:rsidRPr="003C7E3B" w:rsidRDefault="0043712B" w:rsidP="00B02408">
            <w:pPr>
              <w:pStyle w:val="ListParagraph"/>
              <w:numPr>
                <w:ilvl w:val="0"/>
                <w:numId w:val="8"/>
              </w:numPr>
              <w:rPr>
                <w:rFonts w:ascii="Tw Cen MT" w:eastAsia="Times New Roman" w:hAnsi="Tw Cen MT" w:cstheme="minorHAnsi"/>
                <w:color w:val="1D2228"/>
                <w:sz w:val="24"/>
                <w:szCs w:val="24"/>
                <w:lang w:eastAsia="en-AU"/>
              </w:rPr>
            </w:pPr>
          </w:p>
        </w:tc>
        <w:tc>
          <w:tcPr>
            <w:tcW w:w="790" w:type="pct"/>
            <w:hideMark/>
          </w:tcPr>
          <w:p w14:paraId="4A263A75" w14:textId="77777777" w:rsidR="0043712B" w:rsidRPr="003C7E3B" w:rsidRDefault="0043712B" w:rsidP="008D62C0">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bCs/>
                <w:color w:val="1D2228"/>
                <w:sz w:val="24"/>
                <w:szCs w:val="24"/>
                <w:lang w:eastAsia="en-AU"/>
              </w:rPr>
            </w:pPr>
            <w:r w:rsidRPr="003C7E3B">
              <w:rPr>
                <w:rFonts w:ascii="Tw Cen MT" w:eastAsia="Times New Roman" w:hAnsi="Tw Cen MT" w:cstheme="minorHAnsi"/>
                <w:b/>
                <w:bCs/>
                <w:color w:val="000000"/>
                <w:sz w:val="24"/>
                <w:szCs w:val="24"/>
                <w:lang w:eastAsia="en-AU"/>
              </w:rPr>
              <w:t>Indigenous Engagement Strategy</w:t>
            </w:r>
          </w:p>
        </w:tc>
        <w:tc>
          <w:tcPr>
            <w:tcW w:w="3900" w:type="pct"/>
            <w:hideMark/>
          </w:tcPr>
          <w:p w14:paraId="379D850E" w14:textId="77777777" w:rsidR="0043712B" w:rsidRPr="003C7E3B" w:rsidRDefault="0043712B" w:rsidP="00B0240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1D2228"/>
                <w:sz w:val="24"/>
                <w:szCs w:val="24"/>
                <w:lang w:eastAsia="en-AU"/>
              </w:rPr>
              <w:t xml:space="preserve">GGL has pursued early engagement with NTGAC </w:t>
            </w:r>
          </w:p>
          <w:p w14:paraId="310628CD" w14:textId="77777777" w:rsidR="0043712B" w:rsidRPr="003C7E3B" w:rsidRDefault="0043712B" w:rsidP="00B0240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GGL will undertake a Heritage Survey and agreement – understanding the Heritage site at Qualing Pool.  Little disturbance (e.g. no mining)</w:t>
            </w:r>
          </w:p>
          <w:p w14:paraId="54581B96" w14:textId="77777777" w:rsidR="0043712B" w:rsidRPr="003C7E3B" w:rsidRDefault="0043712B" w:rsidP="00B0240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The Project will deliver multi-generational outcomes through the development of an Indigenous Land Use Agreement (ILUA) with the Traditional Owners; and</w:t>
            </w:r>
          </w:p>
          <w:p w14:paraId="53271E89" w14:textId="77777777" w:rsidR="0043712B" w:rsidRPr="003C7E3B" w:rsidRDefault="0043712B" w:rsidP="00B0240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A Reconciliation Action Plan has been developed, including:</w:t>
            </w:r>
          </w:p>
          <w:p w14:paraId="1ECB4DD4" w14:textId="77777777" w:rsidR="0043712B" w:rsidRPr="003C7E3B" w:rsidRDefault="0043712B" w:rsidP="00B02408">
            <w:pPr>
              <w:numPr>
                <w:ilvl w:val="0"/>
                <w:numId w:val="11"/>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Direct Employment</w:t>
            </w:r>
          </w:p>
          <w:p w14:paraId="7875929B" w14:textId="77777777" w:rsidR="0043712B" w:rsidRPr="003C7E3B" w:rsidRDefault="0043712B" w:rsidP="00B02408">
            <w:pPr>
              <w:numPr>
                <w:ilvl w:val="0"/>
                <w:numId w:val="11"/>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Indirect Employment</w:t>
            </w:r>
          </w:p>
          <w:p w14:paraId="51864748" w14:textId="77777777" w:rsidR="0043712B" w:rsidRPr="003C7E3B" w:rsidRDefault="0043712B" w:rsidP="00B02408">
            <w:pPr>
              <w:numPr>
                <w:ilvl w:val="0"/>
                <w:numId w:val="11"/>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Shire Initiatives (community, health, well-being)</w:t>
            </w:r>
          </w:p>
          <w:p w14:paraId="2769827A" w14:textId="77777777" w:rsidR="0043712B" w:rsidRPr="003C7E3B" w:rsidRDefault="0043712B" w:rsidP="00B02408">
            <w:pPr>
              <w:numPr>
                <w:ilvl w:val="0"/>
                <w:numId w:val="11"/>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VET Skills, Education, Business Coaching</w:t>
            </w:r>
          </w:p>
          <w:p w14:paraId="15BF5CB0" w14:textId="77777777" w:rsidR="0043712B" w:rsidRPr="003C7E3B" w:rsidRDefault="0043712B" w:rsidP="00B02408">
            <w:pPr>
              <w:numPr>
                <w:ilvl w:val="0"/>
                <w:numId w:val="11"/>
              </w:num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Small Business Opportunities</w:t>
            </w:r>
          </w:p>
        </w:tc>
      </w:tr>
    </w:tbl>
    <w:p w14:paraId="43A2134D" w14:textId="77777777" w:rsidR="0043712B" w:rsidRPr="003C7E3B" w:rsidRDefault="0043712B" w:rsidP="0043712B">
      <w:pPr>
        <w:rPr>
          <w:rFonts w:ascii="Tw Cen MT" w:hAnsi="Tw Cen MT" w:cstheme="minorHAnsi"/>
          <w:sz w:val="24"/>
          <w:szCs w:val="24"/>
        </w:rPr>
      </w:pPr>
    </w:p>
    <w:p w14:paraId="097FC82E" w14:textId="4F60A8F4" w:rsidR="007C2CD9" w:rsidRDefault="007C2CD9" w:rsidP="005B425F">
      <w:pPr>
        <w:pStyle w:val="NoSpacing"/>
        <w:jc w:val="both"/>
        <w:rPr>
          <w:rFonts w:ascii="Tw Cen MT" w:hAnsi="Tw Cen MT" w:cstheme="minorHAnsi"/>
          <w:sz w:val="24"/>
          <w:szCs w:val="24"/>
        </w:rPr>
      </w:pPr>
    </w:p>
    <w:p w14:paraId="4A3E8044" w14:textId="5ACB928F" w:rsidR="00947954" w:rsidRDefault="00947954" w:rsidP="005B425F">
      <w:pPr>
        <w:pStyle w:val="NoSpacing"/>
        <w:jc w:val="both"/>
        <w:rPr>
          <w:rFonts w:ascii="Tw Cen MT" w:hAnsi="Tw Cen MT" w:cstheme="minorHAnsi"/>
          <w:sz w:val="24"/>
          <w:szCs w:val="24"/>
        </w:rPr>
      </w:pPr>
    </w:p>
    <w:p w14:paraId="4EC25A54" w14:textId="11103551" w:rsidR="00947954" w:rsidRDefault="00947954" w:rsidP="005B425F">
      <w:pPr>
        <w:pStyle w:val="NoSpacing"/>
        <w:jc w:val="both"/>
        <w:rPr>
          <w:rFonts w:ascii="Tw Cen MT" w:hAnsi="Tw Cen MT" w:cstheme="minorHAnsi"/>
          <w:sz w:val="24"/>
          <w:szCs w:val="24"/>
        </w:rPr>
      </w:pPr>
    </w:p>
    <w:p w14:paraId="35DA0E03" w14:textId="09585BAA" w:rsidR="00947954" w:rsidRDefault="00947954" w:rsidP="005B425F">
      <w:pPr>
        <w:pStyle w:val="NoSpacing"/>
        <w:jc w:val="both"/>
        <w:rPr>
          <w:rFonts w:ascii="Tw Cen MT" w:hAnsi="Tw Cen MT" w:cstheme="minorHAnsi"/>
          <w:sz w:val="24"/>
          <w:szCs w:val="24"/>
        </w:rPr>
      </w:pPr>
    </w:p>
    <w:p w14:paraId="1DC142AE" w14:textId="1A27D059" w:rsidR="00947954" w:rsidRDefault="00947954" w:rsidP="005B425F">
      <w:pPr>
        <w:pStyle w:val="NoSpacing"/>
        <w:jc w:val="both"/>
        <w:rPr>
          <w:rFonts w:ascii="Tw Cen MT" w:hAnsi="Tw Cen MT" w:cstheme="minorHAnsi"/>
          <w:sz w:val="24"/>
          <w:szCs w:val="24"/>
        </w:rPr>
      </w:pPr>
    </w:p>
    <w:p w14:paraId="0470B696" w14:textId="73193A35" w:rsidR="00947954" w:rsidRDefault="00947954" w:rsidP="005B425F">
      <w:pPr>
        <w:pStyle w:val="NoSpacing"/>
        <w:jc w:val="both"/>
        <w:rPr>
          <w:rFonts w:ascii="Tw Cen MT" w:hAnsi="Tw Cen MT" w:cstheme="minorHAnsi"/>
          <w:sz w:val="24"/>
          <w:szCs w:val="24"/>
        </w:rPr>
      </w:pPr>
    </w:p>
    <w:p w14:paraId="29DAF96B" w14:textId="509F4294" w:rsidR="00947954" w:rsidRDefault="00947954" w:rsidP="005B425F">
      <w:pPr>
        <w:pStyle w:val="NoSpacing"/>
        <w:jc w:val="both"/>
        <w:rPr>
          <w:rFonts w:ascii="Tw Cen MT" w:hAnsi="Tw Cen MT" w:cstheme="minorHAnsi"/>
          <w:sz w:val="24"/>
          <w:szCs w:val="24"/>
        </w:rPr>
      </w:pPr>
    </w:p>
    <w:p w14:paraId="08CA1743" w14:textId="4BEB239B" w:rsidR="00947954" w:rsidRDefault="00947954" w:rsidP="005B425F">
      <w:pPr>
        <w:pStyle w:val="NoSpacing"/>
        <w:jc w:val="both"/>
        <w:rPr>
          <w:rFonts w:ascii="Tw Cen MT" w:hAnsi="Tw Cen MT" w:cstheme="minorHAnsi"/>
          <w:sz w:val="24"/>
          <w:szCs w:val="24"/>
        </w:rPr>
      </w:pPr>
    </w:p>
    <w:p w14:paraId="16C1C8FA" w14:textId="2347E63B" w:rsidR="00947954" w:rsidRDefault="00947954" w:rsidP="005B425F">
      <w:pPr>
        <w:pStyle w:val="NoSpacing"/>
        <w:jc w:val="both"/>
        <w:rPr>
          <w:rFonts w:ascii="Tw Cen MT" w:hAnsi="Tw Cen MT" w:cstheme="minorHAnsi"/>
          <w:sz w:val="24"/>
          <w:szCs w:val="24"/>
        </w:rPr>
      </w:pPr>
    </w:p>
    <w:p w14:paraId="4AD20235" w14:textId="77777777" w:rsidR="002E202C" w:rsidRPr="003C7E3B" w:rsidRDefault="002E202C" w:rsidP="005B425F">
      <w:pPr>
        <w:pStyle w:val="NoSpacing"/>
        <w:jc w:val="both"/>
        <w:rPr>
          <w:rFonts w:ascii="Tw Cen MT" w:hAnsi="Tw Cen MT" w:cstheme="minorHAnsi"/>
          <w:sz w:val="24"/>
          <w:szCs w:val="24"/>
        </w:rPr>
      </w:pPr>
    </w:p>
    <w:tbl>
      <w:tblPr>
        <w:tblStyle w:val="GridTable5Dark-Accent2"/>
        <w:tblW w:w="10349" w:type="dxa"/>
        <w:tblInd w:w="-431" w:type="dxa"/>
        <w:tblLook w:val="04A0" w:firstRow="1" w:lastRow="0" w:firstColumn="1" w:lastColumn="0" w:noHBand="0" w:noVBand="1"/>
      </w:tblPr>
      <w:tblGrid>
        <w:gridCol w:w="568"/>
        <w:gridCol w:w="6804"/>
        <w:gridCol w:w="2977"/>
      </w:tblGrid>
      <w:tr w:rsidR="00CA4AE0" w:rsidRPr="003C7E3B" w14:paraId="1C15BD6F" w14:textId="77777777" w:rsidTr="00CA4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07BEA1B" w14:textId="77777777" w:rsidR="00C10F91" w:rsidRPr="003C7E3B" w:rsidRDefault="00C10F91" w:rsidP="008D62C0">
            <w:pPr>
              <w:pStyle w:val="NoSpacing"/>
              <w:rPr>
                <w:rFonts w:ascii="Tw Cen MT" w:hAnsi="Tw Cen MT" w:cstheme="minorHAnsi"/>
                <w:sz w:val="24"/>
                <w:szCs w:val="24"/>
              </w:rPr>
            </w:pPr>
            <w:r w:rsidRPr="003C7E3B">
              <w:rPr>
                <w:rFonts w:ascii="Tw Cen MT" w:hAnsi="Tw Cen MT" w:cstheme="minorHAnsi"/>
                <w:sz w:val="24"/>
                <w:szCs w:val="24"/>
              </w:rPr>
              <w:t>No</w:t>
            </w:r>
          </w:p>
        </w:tc>
        <w:tc>
          <w:tcPr>
            <w:tcW w:w="6804" w:type="dxa"/>
            <w:vAlign w:val="center"/>
          </w:tcPr>
          <w:p w14:paraId="2CD0ACE8" w14:textId="0B664A55" w:rsidR="00C10F91" w:rsidRPr="003C7E3B" w:rsidRDefault="00C10F9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GGL RECOMMENDATION TWO</w:t>
            </w:r>
          </w:p>
        </w:tc>
        <w:tc>
          <w:tcPr>
            <w:tcW w:w="2977" w:type="dxa"/>
            <w:vAlign w:val="center"/>
          </w:tcPr>
          <w:p w14:paraId="5C86025E" w14:textId="77777777" w:rsidR="00C10F91" w:rsidRPr="003C7E3B" w:rsidRDefault="00C10F9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 (AUD including GST)</w:t>
            </w:r>
          </w:p>
        </w:tc>
      </w:tr>
      <w:tr w:rsidR="00C10F91" w:rsidRPr="003C7E3B" w14:paraId="40047A25" w14:textId="77777777" w:rsidTr="00CA4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74351DDF" w14:textId="77777777" w:rsidR="00C10F91" w:rsidRPr="003C7E3B" w:rsidRDefault="00C10F91" w:rsidP="00B02408">
            <w:pPr>
              <w:pStyle w:val="NoSpacing"/>
              <w:numPr>
                <w:ilvl w:val="0"/>
                <w:numId w:val="16"/>
              </w:numPr>
              <w:rPr>
                <w:rFonts w:ascii="Tw Cen MT" w:hAnsi="Tw Cen MT" w:cstheme="minorHAnsi"/>
                <w:sz w:val="24"/>
                <w:szCs w:val="24"/>
              </w:rPr>
            </w:pPr>
          </w:p>
        </w:tc>
        <w:tc>
          <w:tcPr>
            <w:tcW w:w="6804" w:type="dxa"/>
            <w:vAlign w:val="center"/>
          </w:tcPr>
          <w:p w14:paraId="34C7EF45" w14:textId="77777777" w:rsidR="00C10F91" w:rsidRPr="003C7E3B" w:rsidRDefault="00C10F91"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recognise the initiative as an Infrastructure project of National Significance</w:t>
            </w:r>
          </w:p>
        </w:tc>
        <w:tc>
          <w:tcPr>
            <w:tcW w:w="2977" w:type="dxa"/>
            <w:vAlign w:val="center"/>
          </w:tcPr>
          <w:p w14:paraId="7532FC43" w14:textId="77777777" w:rsidR="00C10F91" w:rsidRPr="003C7E3B" w:rsidRDefault="00C10F91"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$0 - NIL</w:t>
            </w:r>
          </w:p>
        </w:tc>
      </w:tr>
    </w:tbl>
    <w:p w14:paraId="5F818ECE" w14:textId="08505366" w:rsidR="007C2CD9" w:rsidRPr="003C7E3B" w:rsidRDefault="007C2CD9" w:rsidP="005B425F">
      <w:pPr>
        <w:pStyle w:val="NoSpacing"/>
        <w:jc w:val="both"/>
        <w:rPr>
          <w:rFonts w:ascii="Tw Cen MT" w:hAnsi="Tw Cen MT" w:cstheme="minorHAnsi"/>
          <w:sz w:val="24"/>
          <w:szCs w:val="24"/>
        </w:rPr>
      </w:pPr>
    </w:p>
    <w:p w14:paraId="7ADB0CA0" w14:textId="6B42DF70"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There are two nationally significant problems being experienced in the north west of WA: </w:t>
      </w:r>
    </w:p>
    <w:p w14:paraId="7F82C48B" w14:textId="77777777" w:rsidR="00560ABA" w:rsidRPr="00560ABA" w:rsidRDefault="00560ABA" w:rsidP="00560ABA">
      <w:pPr>
        <w:pStyle w:val="NoSpacing"/>
        <w:jc w:val="both"/>
        <w:rPr>
          <w:rFonts w:ascii="Tw Cen MT" w:hAnsi="Tw Cen MT" w:cstheme="minorHAnsi"/>
          <w:sz w:val="24"/>
          <w:szCs w:val="24"/>
        </w:rPr>
      </w:pPr>
    </w:p>
    <w:p w14:paraId="40805D5F" w14:textId="187974C8" w:rsidR="00560ABA" w:rsidRPr="00560ABA" w:rsidRDefault="00560ABA" w:rsidP="00560ABA">
      <w:pPr>
        <w:pStyle w:val="NoSpacing"/>
        <w:numPr>
          <w:ilvl w:val="0"/>
          <w:numId w:val="34"/>
        </w:numPr>
        <w:jc w:val="both"/>
        <w:rPr>
          <w:rFonts w:ascii="Tw Cen MT" w:hAnsi="Tw Cen MT" w:cstheme="minorHAnsi"/>
          <w:sz w:val="24"/>
          <w:szCs w:val="24"/>
        </w:rPr>
      </w:pPr>
      <w:r w:rsidRPr="00560ABA">
        <w:rPr>
          <w:rFonts w:ascii="Tw Cen MT" w:hAnsi="Tw Cen MT" w:cstheme="minorHAnsi"/>
          <w:sz w:val="24"/>
          <w:szCs w:val="24"/>
        </w:rPr>
        <w:t xml:space="preserve">Supply chain inefficiencies in the delivery of freight into the North West of WA; and </w:t>
      </w:r>
    </w:p>
    <w:p w14:paraId="178ADA1C" w14:textId="0681D023" w:rsidR="00560ABA" w:rsidRDefault="00560ABA" w:rsidP="00560ABA">
      <w:pPr>
        <w:pStyle w:val="NoSpacing"/>
        <w:numPr>
          <w:ilvl w:val="0"/>
          <w:numId w:val="34"/>
        </w:numPr>
        <w:jc w:val="both"/>
        <w:rPr>
          <w:rFonts w:ascii="Tw Cen MT" w:hAnsi="Tw Cen MT" w:cstheme="minorHAnsi"/>
          <w:sz w:val="24"/>
          <w:szCs w:val="24"/>
        </w:rPr>
      </w:pPr>
      <w:r w:rsidRPr="00560ABA">
        <w:rPr>
          <w:rFonts w:ascii="Tw Cen MT" w:hAnsi="Tw Cen MT" w:cstheme="minorHAnsi"/>
          <w:sz w:val="24"/>
          <w:szCs w:val="24"/>
        </w:rPr>
        <w:t>Inadequate marine infrastructure between Fremantle and Darwin to reliably berth deep draught vessels in all weather, handle container freight, support cruise ships or support RAN and ABF vessels.</w:t>
      </w:r>
    </w:p>
    <w:p w14:paraId="43B0A8A7" w14:textId="77777777" w:rsidR="00560ABA" w:rsidRPr="00560ABA" w:rsidRDefault="00560ABA" w:rsidP="00560ABA">
      <w:pPr>
        <w:pStyle w:val="NoSpacing"/>
        <w:jc w:val="both"/>
        <w:rPr>
          <w:rFonts w:ascii="Tw Cen MT" w:hAnsi="Tw Cen MT" w:cstheme="minorHAnsi"/>
          <w:sz w:val="24"/>
          <w:szCs w:val="24"/>
        </w:rPr>
      </w:pPr>
    </w:p>
    <w:p w14:paraId="44DE1A6C" w14:textId="45EE8067"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Opportunities demonstrated in Exmouth are:</w:t>
      </w:r>
    </w:p>
    <w:p w14:paraId="69C0C8E1" w14:textId="77777777" w:rsidR="00560ABA" w:rsidRPr="00560ABA" w:rsidRDefault="00560ABA" w:rsidP="00560ABA">
      <w:pPr>
        <w:pStyle w:val="NoSpacing"/>
        <w:jc w:val="both"/>
        <w:rPr>
          <w:rFonts w:ascii="Tw Cen MT" w:hAnsi="Tw Cen MT" w:cstheme="minorHAnsi"/>
          <w:sz w:val="24"/>
          <w:szCs w:val="24"/>
        </w:rPr>
      </w:pPr>
    </w:p>
    <w:p w14:paraId="17A86832" w14:textId="01E0FB0F" w:rsidR="00560ABA" w:rsidRPr="00560ABA" w:rsidRDefault="00C56212" w:rsidP="00560ABA">
      <w:pPr>
        <w:pStyle w:val="NoSpacing"/>
        <w:numPr>
          <w:ilvl w:val="0"/>
          <w:numId w:val="35"/>
        </w:numPr>
        <w:jc w:val="both"/>
        <w:rPr>
          <w:rFonts w:ascii="Tw Cen MT" w:hAnsi="Tw Cen MT" w:cstheme="minorHAnsi"/>
          <w:sz w:val="24"/>
          <w:szCs w:val="24"/>
        </w:rPr>
      </w:pPr>
      <w:r>
        <w:rPr>
          <w:rFonts w:ascii="Tw Cen MT" w:hAnsi="Tw Cen MT" w:cstheme="minorHAnsi"/>
          <w:sz w:val="24"/>
          <w:szCs w:val="24"/>
        </w:rPr>
        <w:t>t</w:t>
      </w:r>
      <w:r w:rsidR="00560ABA" w:rsidRPr="00560ABA">
        <w:rPr>
          <w:rFonts w:ascii="Tw Cen MT" w:hAnsi="Tw Cen MT" w:cstheme="minorHAnsi"/>
          <w:sz w:val="24"/>
          <w:szCs w:val="24"/>
        </w:rPr>
        <w:t xml:space="preserve">o capitalise on the demand for a direct shipping service in North West of WA; </w:t>
      </w:r>
    </w:p>
    <w:p w14:paraId="32B1FA2A" w14:textId="1FB78E01" w:rsidR="00560ABA" w:rsidRPr="00560ABA" w:rsidRDefault="00560ABA" w:rsidP="00560ABA">
      <w:pPr>
        <w:pStyle w:val="NoSpacing"/>
        <w:numPr>
          <w:ilvl w:val="0"/>
          <w:numId w:val="35"/>
        </w:numPr>
        <w:jc w:val="both"/>
        <w:rPr>
          <w:rFonts w:ascii="Tw Cen MT" w:hAnsi="Tw Cen MT" w:cstheme="minorHAnsi"/>
          <w:sz w:val="24"/>
          <w:szCs w:val="24"/>
        </w:rPr>
      </w:pPr>
      <w:r w:rsidRPr="00560ABA">
        <w:rPr>
          <w:rFonts w:ascii="Tw Cen MT" w:hAnsi="Tw Cen MT" w:cstheme="minorHAnsi"/>
          <w:sz w:val="24"/>
          <w:szCs w:val="24"/>
        </w:rPr>
        <w:t xml:space="preserve">to build a multi-use port facility; </w:t>
      </w:r>
    </w:p>
    <w:p w14:paraId="70D6F958" w14:textId="5FCF7216" w:rsidR="00560ABA" w:rsidRPr="00560ABA" w:rsidRDefault="00560ABA" w:rsidP="00560ABA">
      <w:pPr>
        <w:pStyle w:val="NoSpacing"/>
        <w:numPr>
          <w:ilvl w:val="0"/>
          <w:numId w:val="35"/>
        </w:numPr>
        <w:jc w:val="both"/>
        <w:rPr>
          <w:rFonts w:ascii="Tw Cen MT" w:hAnsi="Tw Cen MT" w:cstheme="minorHAnsi"/>
          <w:sz w:val="24"/>
          <w:szCs w:val="24"/>
        </w:rPr>
      </w:pPr>
      <w:r w:rsidRPr="00560ABA">
        <w:rPr>
          <w:rFonts w:ascii="Tw Cen MT" w:hAnsi="Tw Cen MT" w:cstheme="minorHAnsi"/>
          <w:sz w:val="24"/>
          <w:szCs w:val="24"/>
        </w:rPr>
        <w:t xml:space="preserve">to become Australia’s first carbon neutral maritime port; and </w:t>
      </w:r>
    </w:p>
    <w:p w14:paraId="022887E1" w14:textId="046DA863" w:rsidR="00560ABA" w:rsidRPr="00560ABA" w:rsidRDefault="00C56212" w:rsidP="00560ABA">
      <w:pPr>
        <w:pStyle w:val="NoSpacing"/>
        <w:numPr>
          <w:ilvl w:val="0"/>
          <w:numId w:val="35"/>
        </w:numPr>
        <w:jc w:val="both"/>
        <w:rPr>
          <w:rFonts w:ascii="Tw Cen MT" w:hAnsi="Tw Cen MT" w:cstheme="minorHAnsi"/>
          <w:sz w:val="24"/>
          <w:szCs w:val="24"/>
        </w:rPr>
      </w:pPr>
      <w:r>
        <w:rPr>
          <w:rFonts w:ascii="Tw Cen MT" w:hAnsi="Tw Cen MT" w:cstheme="minorHAnsi"/>
          <w:sz w:val="24"/>
          <w:szCs w:val="24"/>
        </w:rPr>
        <w:t>s</w:t>
      </w:r>
      <w:r w:rsidR="00560ABA" w:rsidRPr="00560ABA">
        <w:rPr>
          <w:rFonts w:ascii="Tw Cen MT" w:hAnsi="Tw Cen MT" w:cstheme="minorHAnsi"/>
          <w:sz w:val="24"/>
          <w:szCs w:val="24"/>
        </w:rPr>
        <w:t>trategic fuel security of marine diesel, transport diesel and aviation fuel.</w:t>
      </w:r>
    </w:p>
    <w:p w14:paraId="67F16D38" w14:textId="77777777" w:rsidR="00560ABA" w:rsidRPr="00560ABA" w:rsidRDefault="00560ABA" w:rsidP="00560ABA">
      <w:pPr>
        <w:pStyle w:val="NoSpacing"/>
        <w:jc w:val="both"/>
        <w:rPr>
          <w:rFonts w:ascii="Tw Cen MT" w:hAnsi="Tw Cen MT" w:cstheme="minorHAnsi"/>
          <w:sz w:val="24"/>
          <w:szCs w:val="24"/>
        </w:rPr>
      </w:pPr>
    </w:p>
    <w:p w14:paraId="33F7FD2D" w14:textId="59B5976D"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Supply chain inefficiencies caused by container deliveries via truck from Fremantle into the Pilbara</w:t>
      </w:r>
      <w:r w:rsidR="00F7736C">
        <w:rPr>
          <w:rFonts w:ascii="Tw Cen MT" w:hAnsi="Tw Cen MT" w:cstheme="minorHAnsi"/>
          <w:sz w:val="24"/>
          <w:szCs w:val="24"/>
        </w:rPr>
        <w:t xml:space="preserve"> region</w:t>
      </w:r>
      <w:r w:rsidRPr="00560ABA">
        <w:rPr>
          <w:rFonts w:ascii="Tw Cen MT" w:hAnsi="Tw Cen MT" w:cstheme="minorHAnsi"/>
          <w:sz w:val="24"/>
          <w:szCs w:val="24"/>
        </w:rPr>
        <w:t xml:space="preserve"> is currently costing businesses and consumers $1.7 billion more than container delivery via Exmouth into the Pilbara</w:t>
      </w:r>
      <w:r w:rsidR="00F7736C">
        <w:rPr>
          <w:rFonts w:ascii="Tw Cen MT" w:hAnsi="Tw Cen MT" w:cstheme="minorHAnsi"/>
          <w:sz w:val="24"/>
          <w:szCs w:val="24"/>
        </w:rPr>
        <w:t xml:space="preserve"> region</w:t>
      </w:r>
      <w:r w:rsidRPr="00560ABA">
        <w:rPr>
          <w:rFonts w:ascii="Tw Cen MT" w:hAnsi="Tw Cen MT" w:cstheme="minorHAnsi"/>
          <w:sz w:val="24"/>
          <w:szCs w:val="24"/>
        </w:rPr>
        <w:t xml:space="preserve">.  Freight costs into the Pilbara </w:t>
      </w:r>
      <w:r w:rsidR="00F7736C">
        <w:rPr>
          <w:rFonts w:ascii="Tw Cen MT" w:hAnsi="Tw Cen MT" w:cstheme="minorHAnsi"/>
          <w:sz w:val="24"/>
          <w:szCs w:val="24"/>
        </w:rPr>
        <w:t xml:space="preserve">region </w:t>
      </w:r>
      <w:r w:rsidRPr="00560ABA">
        <w:rPr>
          <w:rFonts w:ascii="Tw Cen MT" w:hAnsi="Tw Cen MT" w:cstheme="minorHAnsi"/>
          <w:sz w:val="24"/>
          <w:szCs w:val="24"/>
        </w:rPr>
        <w:t xml:space="preserve">from Fremantle </w:t>
      </w:r>
      <w:r w:rsidR="00F7736C">
        <w:rPr>
          <w:rFonts w:ascii="Tw Cen MT" w:hAnsi="Tw Cen MT" w:cstheme="minorHAnsi"/>
          <w:sz w:val="24"/>
          <w:szCs w:val="24"/>
        </w:rPr>
        <w:t xml:space="preserve">were </w:t>
      </w:r>
      <w:r w:rsidRPr="00560ABA">
        <w:rPr>
          <w:rFonts w:ascii="Tw Cen MT" w:hAnsi="Tw Cen MT" w:cstheme="minorHAnsi"/>
          <w:sz w:val="24"/>
          <w:szCs w:val="24"/>
        </w:rPr>
        <w:t>$3.4b per year in 2020. There is an opportunity to reduce freight costs by 50% by importing through a port in Exmouth (Attachment 8). Current prices of importing through Fremantle are $1.9b more than if the cargo was imported through Exmouth.  This meets the current I</w:t>
      </w:r>
      <w:r w:rsidR="00F7736C">
        <w:rPr>
          <w:rFonts w:ascii="Tw Cen MT" w:hAnsi="Tw Cen MT" w:cstheme="minorHAnsi"/>
          <w:sz w:val="24"/>
          <w:szCs w:val="24"/>
        </w:rPr>
        <w:t xml:space="preserve">nfrastructure Priority List </w:t>
      </w:r>
      <w:r w:rsidRPr="00560ABA">
        <w:rPr>
          <w:rFonts w:ascii="Tw Cen MT" w:hAnsi="Tw Cen MT" w:cstheme="minorHAnsi"/>
          <w:sz w:val="24"/>
          <w:szCs w:val="24"/>
        </w:rPr>
        <w:t>assessment guide of a threshold value of $30 million per annum (nominal, undiscounted) in measuring net material benefit, taking the potential unquantified quality of life considerations into account.</w:t>
      </w:r>
    </w:p>
    <w:p w14:paraId="7DA63A3D" w14:textId="77777777" w:rsidR="00560ABA" w:rsidRPr="00560ABA" w:rsidRDefault="00560ABA" w:rsidP="00560ABA">
      <w:pPr>
        <w:pStyle w:val="NoSpacing"/>
        <w:jc w:val="both"/>
        <w:rPr>
          <w:rFonts w:ascii="Tw Cen MT" w:hAnsi="Tw Cen MT" w:cstheme="minorHAnsi"/>
          <w:sz w:val="24"/>
          <w:szCs w:val="24"/>
        </w:rPr>
      </w:pPr>
    </w:p>
    <w:p w14:paraId="4BB86D2E" w14:textId="5438786B"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There is a compelling case for the construction and operation of a </w:t>
      </w:r>
      <w:r w:rsidR="001B307E">
        <w:rPr>
          <w:rFonts w:ascii="Tw Cen MT" w:hAnsi="Tw Cen MT" w:cstheme="minorHAnsi"/>
          <w:sz w:val="24"/>
          <w:szCs w:val="24"/>
        </w:rPr>
        <w:t>deep water single jetty</w:t>
      </w:r>
      <w:r w:rsidRPr="00560ABA">
        <w:rPr>
          <w:rFonts w:ascii="Tw Cen MT" w:hAnsi="Tw Cen MT" w:cstheme="minorHAnsi"/>
          <w:sz w:val="24"/>
          <w:szCs w:val="24"/>
        </w:rPr>
        <w:t xml:space="preserve"> supporting Exmouth, Western Australia. This Facility would provide essential capability for a variety of seaborne operations including tourism (cruise ships, super yachts, adventure tourism), container and break bulk freight imports, oil and gas support, fuel imports, Royal Australian Navy and Australian Border Force sustainment.</w:t>
      </w:r>
    </w:p>
    <w:p w14:paraId="5FCDF6CF" w14:textId="77777777" w:rsidR="00560ABA" w:rsidRPr="00560ABA" w:rsidRDefault="00560ABA" w:rsidP="00560ABA">
      <w:pPr>
        <w:pStyle w:val="NoSpacing"/>
        <w:jc w:val="both"/>
        <w:rPr>
          <w:rFonts w:ascii="Tw Cen MT" w:hAnsi="Tw Cen MT" w:cstheme="minorHAnsi"/>
          <w:sz w:val="24"/>
          <w:szCs w:val="24"/>
        </w:rPr>
      </w:pPr>
    </w:p>
    <w:p w14:paraId="7D4162A3" w14:textId="104B2403"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There is no single use purpose that could financially support the build and operation of a Marine Facility of this nature therefore, the Multi-use model provides an ongoing financial viability for the next 50-100 years while also being of a suitable business model to attract Private investment.</w:t>
      </w:r>
    </w:p>
    <w:p w14:paraId="2DB1352C" w14:textId="77777777" w:rsidR="001B307E" w:rsidRPr="00560ABA" w:rsidRDefault="001B307E" w:rsidP="00560ABA">
      <w:pPr>
        <w:pStyle w:val="NoSpacing"/>
        <w:jc w:val="both"/>
        <w:rPr>
          <w:rFonts w:ascii="Tw Cen MT" w:hAnsi="Tw Cen MT" w:cstheme="minorHAnsi"/>
          <w:sz w:val="24"/>
          <w:szCs w:val="24"/>
        </w:rPr>
      </w:pPr>
    </w:p>
    <w:p w14:paraId="36C1CF43" w14:textId="26D10C91" w:rsidR="00AF0D11"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Working with local industry and State Government Stakeholders, Gascoyne Gateway Limited was formed to plan, invest, then Build, Own, Operate this community, Regional, and State economic enabler. </w:t>
      </w:r>
    </w:p>
    <w:p w14:paraId="3CDBE979" w14:textId="00BA6DDA" w:rsidR="005E7253" w:rsidRDefault="005E7253" w:rsidP="00560ABA">
      <w:pPr>
        <w:pStyle w:val="NoSpacing"/>
        <w:jc w:val="both"/>
        <w:rPr>
          <w:rFonts w:ascii="Tw Cen MT" w:hAnsi="Tw Cen MT" w:cstheme="minorHAnsi"/>
          <w:sz w:val="24"/>
          <w:szCs w:val="24"/>
        </w:rPr>
      </w:pPr>
    </w:p>
    <w:p w14:paraId="4FFB3CF1" w14:textId="77777777" w:rsidR="002E202C" w:rsidRDefault="00441EAD" w:rsidP="00560ABA">
      <w:pPr>
        <w:pStyle w:val="NoSpacing"/>
        <w:jc w:val="both"/>
        <w:rPr>
          <w:rFonts w:ascii="Tw Cen MT" w:hAnsi="Tw Cen MT" w:cstheme="minorHAnsi"/>
          <w:sz w:val="24"/>
          <w:szCs w:val="24"/>
        </w:rPr>
      </w:pPr>
      <w:r>
        <w:rPr>
          <w:rFonts w:ascii="Tw Cen MT" w:hAnsi="Tw Cen MT" w:cstheme="minorHAnsi"/>
          <w:sz w:val="24"/>
          <w:szCs w:val="24"/>
        </w:rPr>
        <w:t xml:space="preserve">The overarching policy settings to optimise the </w:t>
      </w:r>
      <w:r w:rsidR="003A0C01">
        <w:rPr>
          <w:rFonts w:ascii="Tw Cen MT" w:hAnsi="Tw Cen MT" w:cstheme="minorHAnsi"/>
          <w:sz w:val="24"/>
          <w:szCs w:val="24"/>
        </w:rPr>
        <w:t xml:space="preserve">timings and </w:t>
      </w:r>
      <w:r>
        <w:rPr>
          <w:rFonts w:ascii="Tw Cen MT" w:hAnsi="Tw Cen MT" w:cstheme="minorHAnsi"/>
          <w:sz w:val="24"/>
          <w:szCs w:val="24"/>
        </w:rPr>
        <w:t>end state</w:t>
      </w:r>
      <w:r w:rsidR="00F63628">
        <w:rPr>
          <w:rFonts w:ascii="Tw Cen MT" w:hAnsi="Tw Cen MT" w:cstheme="minorHAnsi"/>
          <w:sz w:val="24"/>
          <w:szCs w:val="24"/>
        </w:rPr>
        <w:t xml:space="preserve"> </w:t>
      </w:r>
      <w:r w:rsidR="003A0C01">
        <w:rPr>
          <w:rFonts w:ascii="Tw Cen MT" w:hAnsi="Tw Cen MT" w:cstheme="minorHAnsi"/>
          <w:sz w:val="24"/>
          <w:szCs w:val="24"/>
        </w:rPr>
        <w:t xml:space="preserve">remain </w:t>
      </w:r>
      <w:r w:rsidR="006C1F44">
        <w:rPr>
          <w:rFonts w:ascii="Tw Cen MT" w:hAnsi="Tw Cen MT" w:cstheme="minorHAnsi"/>
          <w:sz w:val="24"/>
          <w:szCs w:val="24"/>
        </w:rPr>
        <w:t>inconsistent</w:t>
      </w:r>
      <w:r w:rsidR="003A0C01">
        <w:rPr>
          <w:rFonts w:ascii="Tw Cen MT" w:hAnsi="Tw Cen MT" w:cstheme="minorHAnsi"/>
          <w:sz w:val="24"/>
          <w:szCs w:val="24"/>
        </w:rPr>
        <w:t xml:space="preserve">. </w:t>
      </w:r>
      <w:r w:rsidR="00BA77E6">
        <w:rPr>
          <w:rFonts w:ascii="Tw Cen MT" w:hAnsi="Tw Cen MT" w:cstheme="minorHAnsi"/>
          <w:sz w:val="24"/>
          <w:szCs w:val="24"/>
        </w:rPr>
        <w:t xml:space="preserve"> </w:t>
      </w:r>
      <w:r w:rsidR="00FC1F30">
        <w:rPr>
          <w:rFonts w:ascii="Tw Cen MT" w:hAnsi="Tw Cen MT" w:cstheme="minorHAnsi"/>
          <w:sz w:val="24"/>
          <w:szCs w:val="24"/>
        </w:rPr>
        <w:t xml:space="preserve">With the connection between </w:t>
      </w:r>
      <w:r w:rsidR="006A4594">
        <w:rPr>
          <w:rFonts w:ascii="Tw Cen MT" w:hAnsi="Tw Cen MT" w:cstheme="minorHAnsi"/>
          <w:sz w:val="24"/>
          <w:szCs w:val="24"/>
        </w:rPr>
        <w:t>Infrastructure Australia</w:t>
      </w:r>
      <w:r w:rsidR="00E75205">
        <w:rPr>
          <w:rFonts w:ascii="Tw Cen MT" w:hAnsi="Tw Cen MT" w:cstheme="minorHAnsi"/>
          <w:sz w:val="24"/>
          <w:szCs w:val="24"/>
        </w:rPr>
        <w:t xml:space="preserve">; Northern Australia Infrastructure Facility; and, </w:t>
      </w:r>
    </w:p>
    <w:p w14:paraId="4DBB9260" w14:textId="77777777" w:rsidR="002E202C" w:rsidRDefault="002E202C" w:rsidP="00560ABA">
      <w:pPr>
        <w:pStyle w:val="NoSpacing"/>
        <w:jc w:val="both"/>
        <w:rPr>
          <w:rFonts w:ascii="Tw Cen MT" w:hAnsi="Tw Cen MT" w:cstheme="minorHAnsi"/>
          <w:sz w:val="24"/>
          <w:szCs w:val="24"/>
        </w:rPr>
      </w:pPr>
    </w:p>
    <w:p w14:paraId="0B1503D0" w14:textId="745DCE2D" w:rsidR="00F027ED" w:rsidRDefault="00BA5916" w:rsidP="00560ABA">
      <w:pPr>
        <w:pStyle w:val="NoSpacing"/>
        <w:jc w:val="both"/>
        <w:rPr>
          <w:rFonts w:ascii="Tw Cen MT" w:hAnsi="Tw Cen MT" w:cstheme="minorHAnsi"/>
          <w:sz w:val="24"/>
          <w:szCs w:val="24"/>
        </w:rPr>
      </w:pPr>
      <w:r>
        <w:rPr>
          <w:rFonts w:ascii="Tw Cen MT" w:hAnsi="Tw Cen MT" w:cstheme="minorHAnsi"/>
          <w:sz w:val="24"/>
          <w:szCs w:val="24"/>
        </w:rPr>
        <w:t>Defence</w:t>
      </w:r>
      <w:r w:rsidR="002F04ED">
        <w:rPr>
          <w:rFonts w:ascii="Tw Cen MT" w:hAnsi="Tw Cen MT" w:cstheme="minorHAnsi"/>
          <w:sz w:val="24"/>
          <w:szCs w:val="24"/>
        </w:rPr>
        <w:t xml:space="preserve"> infrastructure plans</w:t>
      </w:r>
      <w:r w:rsidR="00A61738">
        <w:rPr>
          <w:rFonts w:ascii="Tw Cen MT" w:hAnsi="Tw Cen MT" w:cstheme="minorHAnsi"/>
          <w:sz w:val="24"/>
          <w:szCs w:val="24"/>
        </w:rPr>
        <w:t xml:space="preserve"> unclear, higher level</w:t>
      </w:r>
      <w:r w:rsidR="00003664">
        <w:rPr>
          <w:rFonts w:ascii="Tw Cen MT" w:hAnsi="Tw Cen MT" w:cstheme="minorHAnsi"/>
          <w:sz w:val="24"/>
          <w:szCs w:val="24"/>
        </w:rPr>
        <w:t xml:space="preserve"> </w:t>
      </w:r>
      <w:r w:rsidR="00950E2B">
        <w:rPr>
          <w:rFonts w:ascii="Tw Cen MT" w:hAnsi="Tw Cen MT" w:cstheme="minorHAnsi"/>
          <w:sz w:val="24"/>
          <w:szCs w:val="24"/>
        </w:rPr>
        <w:t>connecting policy</w:t>
      </w:r>
      <w:r w:rsidR="006C1F44">
        <w:rPr>
          <w:rFonts w:ascii="Tw Cen MT" w:hAnsi="Tw Cen MT" w:cstheme="minorHAnsi"/>
          <w:sz w:val="24"/>
          <w:szCs w:val="24"/>
        </w:rPr>
        <w:t xml:space="preserve"> </w:t>
      </w:r>
      <w:r w:rsidR="00CF1067">
        <w:rPr>
          <w:rFonts w:ascii="Tw Cen MT" w:hAnsi="Tw Cen MT" w:cstheme="minorHAnsi"/>
          <w:sz w:val="24"/>
          <w:szCs w:val="24"/>
        </w:rPr>
        <w:t>is required to ensure multi-departmental streamlining and efficiencies.</w:t>
      </w:r>
    </w:p>
    <w:p w14:paraId="058CAE4E" w14:textId="77777777" w:rsidR="00C56212" w:rsidRDefault="00C56212" w:rsidP="00560ABA">
      <w:pPr>
        <w:pStyle w:val="NoSpacing"/>
        <w:jc w:val="both"/>
        <w:rPr>
          <w:rFonts w:ascii="Tw Cen MT" w:hAnsi="Tw Cen MT" w:cstheme="minorHAnsi"/>
          <w:sz w:val="24"/>
          <w:szCs w:val="24"/>
        </w:rPr>
      </w:pPr>
    </w:p>
    <w:p w14:paraId="75194FFF" w14:textId="77777777" w:rsidR="00AF0D11" w:rsidRPr="003C7E3B" w:rsidRDefault="00AF0D11" w:rsidP="00AF0D11">
      <w:pPr>
        <w:pStyle w:val="NoSpacing"/>
        <w:jc w:val="both"/>
        <w:rPr>
          <w:rFonts w:ascii="Tw Cen MT" w:hAnsi="Tw Cen MT" w:cstheme="minorHAnsi"/>
          <w:b/>
          <w:bCs/>
          <w:color w:val="C45911" w:themeColor="accent2" w:themeShade="BF"/>
          <w:sz w:val="24"/>
          <w:szCs w:val="24"/>
        </w:rPr>
      </w:pPr>
      <w:r w:rsidRPr="003C7E3B">
        <w:rPr>
          <w:rFonts w:ascii="Tw Cen MT" w:hAnsi="Tw Cen MT" w:cstheme="minorHAnsi"/>
          <w:b/>
          <w:bCs/>
          <w:color w:val="C45911" w:themeColor="accent2" w:themeShade="BF"/>
          <w:sz w:val="24"/>
          <w:szCs w:val="24"/>
        </w:rPr>
        <w:t>Regional Jobs for the Exmouth Community</w:t>
      </w:r>
    </w:p>
    <w:p w14:paraId="5071FAC1" w14:textId="34A5AA76"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The Project aligns naturally with the States’ declared ‘Our Priorities’ with ‘Regional Prosperity’ and ‘a Strong Economy’ being identified and highly sought. With an anticipated long term revenue base of $40-60m p.a. while providing 70-80 full time jobs, the Project will support the Exmouth Shire and Gascoyne Development Commissions’ desire to see Exmouth flourish.</w:t>
      </w:r>
    </w:p>
    <w:p w14:paraId="52893294" w14:textId="77777777" w:rsidR="00AF0D11" w:rsidRPr="00560ABA" w:rsidRDefault="00AF0D11" w:rsidP="00560ABA">
      <w:pPr>
        <w:pStyle w:val="NoSpacing"/>
        <w:jc w:val="both"/>
        <w:rPr>
          <w:rFonts w:ascii="Tw Cen MT" w:hAnsi="Tw Cen MT" w:cstheme="minorHAnsi"/>
          <w:sz w:val="24"/>
          <w:szCs w:val="24"/>
        </w:rPr>
      </w:pPr>
    </w:p>
    <w:p w14:paraId="04054E31" w14:textId="12157DDC" w:rsidR="00AF0D11" w:rsidRPr="003C7E3B" w:rsidRDefault="00AF0D11" w:rsidP="00AF0D11">
      <w:pPr>
        <w:pStyle w:val="NoSpacing"/>
        <w:jc w:val="both"/>
        <w:rPr>
          <w:rFonts w:ascii="Tw Cen MT" w:eastAsia="Times New Roman" w:hAnsi="Tw Cen MT" w:cstheme="minorHAnsi"/>
          <w:b/>
          <w:bCs/>
          <w:color w:val="000000"/>
          <w:sz w:val="24"/>
          <w:szCs w:val="24"/>
          <w:lang w:eastAsia="en-AU"/>
        </w:rPr>
      </w:pPr>
      <w:r w:rsidRPr="003C7E3B">
        <w:rPr>
          <w:rFonts w:ascii="Tw Cen MT" w:hAnsi="Tw Cen MT" w:cstheme="minorHAnsi"/>
          <w:bCs/>
          <w:sz w:val="24"/>
          <w:szCs w:val="24"/>
        </w:rPr>
        <w:t xml:space="preserve">The </w:t>
      </w:r>
      <w:r w:rsidR="001B307E">
        <w:rPr>
          <w:rFonts w:ascii="Tw Cen MT" w:hAnsi="Tw Cen MT" w:cstheme="minorHAnsi"/>
          <w:bCs/>
          <w:sz w:val="24"/>
          <w:szCs w:val="24"/>
        </w:rPr>
        <w:t xml:space="preserve">Port </w:t>
      </w:r>
      <w:r w:rsidRPr="003C7E3B">
        <w:rPr>
          <w:rFonts w:ascii="Tw Cen MT" w:eastAsia="Times New Roman" w:hAnsi="Tw Cen MT" w:cstheme="minorHAnsi"/>
          <w:color w:val="000000"/>
          <w:sz w:val="24"/>
          <w:szCs w:val="24"/>
          <w:lang w:eastAsia="en-AU"/>
        </w:rPr>
        <w:t>will provide a sustainable business model through the diversification of other essential business through the facility and will generate:</w:t>
      </w:r>
    </w:p>
    <w:p w14:paraId="5A956087" w14:textId="77777777" w:rsidR="00AF0D11" w:rsidRPr="003C7E3B" w:rsidRDefault="00AF0D11" w:rsidP="00AF0D11">
      <w:pPr>
        <w:pStyle w:val="ListParagraph"/>
        <w:numPr>
          <w:ilvl w:val="0"/>
          <w:numId w:val="25"/>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400 direct jobs in construction</w:t>
      </w:r>
    </w:p>
    <w:p w14:paraId="2FA4F3C2" w14:textId="77777777" w:rsidR="00AF0D11" w:rsidRPr="003C7E3B" w:rsidRDefault="00AF0D11" w:rsidP="00AF0D11">
      <w:pPr>
        <w:pStyle w:val="ListParagraph"/>
        <w:numPr>
          <w:ilvl w:val="0"/>
          <w:numId w:val="25"/>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70 direct full-time jobs directly at the jetty</w:t>
      </w:r>
    </w:p>
    <w:p w14:paraId="662835B6" w14:textId="77777777" w:rsidR="00AF0D11" w:rsidRPr="003C7E3B" w:rsidRDefault="00AF0D11" w:rsidP="00AF0D11">
      <w:pPr>
        <w:pStyle w:val="ListParagraph"/>
        <w:numPr>
          <w:ilvl w:val="0"/>
          <w:numId w:val="25"/>
        </w:num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130+ additional full-time jobs in Exmouth</w:t>
      </w:r>
    </w:p>
    <w:p w14:paraId="2FA177F6" w14:textId="77777777" w:rsidR="00AF0D11" w:rsidRPr="003C7E3B" w:rsidRDefault="00AF0D11" w:rsidP="00AF0D11">
      <w:pPr>
        <w:pStyle w:val="ListParagraph"/>
        <w:numPr>
          <w:ilvl w:val="0"/>
          <w:numId w:val="25"/>
        </w:numPr>
        <w:spacing w:after="0" w:line="240" w:lineRule="auto"/>
        <w:rPr>
          <w:rFonts w:ascii="Tw Cen MT" w:hAnsi="Tw Cen MT" w:cstheme="minorHAnsi"/>
          <w:b/>
          <w:sz w:val="24"/>
          <w:szCs w:val="24"/>
        </w:rPr>
      </w:pPr>
      <w:r w:rsidRPr="003C7E3B">
        <w:rPr>
          <w:rFonts w:ascii="Tw Cen MT" w:eastAsia="Times New Roman" w:hAnsi="Tw Cen MT" w:cstheme="minorHAnsi"/>
          <w:color w:val="000000"/>
          <w:sz w:val="24"/>
          <w:szCs w:val="24"/>
          <w:lang w:eastAsia="en-AU"/>
        </w:rPr>
        <w:t>Up to 600 jobs across the Gascoyne indirectly</w:t>
      </w:r>
    </w:p>
    <w:p w14:paraId="2828283A" w14:textId="77777777" w:rsidR="00560ABA" w:rsidRDefault="00560ABA" w:rsidP="00560ABA">
      <w:pPr>
        <w:pStyle w:val="NoSpacing"/>
        <w:jc w:val="both"/>
        <w:rPr>
          <w:rFonts w:ascii="Tw Cen MT" w:hAnsi="Tw Cen MT" w:cstheme="minorHAnsi"/>
          <w:b/>
          <w:bCs/>
          <w:color w:val="C45911" w:themeColor="accent2" w:themeShade="BF"/>
          <w:sz w:val="24"/>
          <w:szCs w:val="24"/>
        </w:rPr>
      </w:pPr>
    </w:p>
    <w:p w14:paraId="4F780FD7" w14:textId="77777777" w:rsidR="00560ABA" w:rsidRPr="003C7E3B" w:rsidRDefault="00560ABA" w:rsidP="00560ABA">
      <w:pPr>
        <w:pStyle w:val="NoSpacing"/>
        <w:jc w:val="both"/>
        <w:rPr>
          <w:rFonts w:ascii="Tw Cen MT" w:hAnsi="Tw Cen MT" w:cstheme="minorHAnsi"/>
          <w:b/>
          <w:sz w:val="24"/>
          <w:szCs w:val="24"/>
        </w:rPr>
      </w:pPr>
      <w:r w:rsidRPr="003C7E3B">
        <w:rPr>
          <w:rFonts w:ascii="Tw Cen MT" w:hAnsi="Tw Cen MT" w:cstheme="minorHAnsi"/>
          <w:b/>
          <w:bCs/>
          <w:color w:val="C45911" w:themeColor="accent2" w:themeShade="BF"/>
          <w:sz w:val="24"/>
          <w:szCs w:val="24"/>
        </w:rPr>
        <w:t>Regional Economic Boost</w:t>
      </w:r>
    </w:p>
    <w:p w14:paraId="4C048984" w14:textId="56EAF22A" w:rsidR="00560ABA" w:rsidRPr="003C7E3B" w:rsidRDefault="00560ABA" w:rsidP="00560ABA">
      <w:pPr>
        <w:spacing w:after="0" w:line="240" w:lineRule="auto"/>
        <w:jc w:val="both"/>
        <w:rPr>
          <w:rFonts w:ascii="Tw Cen MT" w:eastAsia="Times New Roman" w:hAnsi="Tw Cen MT" w:cstheme="minorHAnsi"/>
          <w:color w:val="000000"/>
          <w:sz w:val="24"/>
          <w:szCs w:val="24"/>
          <w:lang w:eastAsia="en-AU"/>
        </w:rPr>
      </w:pPr>
      <w:r w:rsidRPr="003C7E3B">
        <w:rPr>
          <w:rFonts w:ascii="Tw Cen MT" w:eastAsia="Times New Roman" w:hAnsi="Tw Cen MT" w:cstheme="minorHAnsi"/>
          <w:color w:val="000000"/>
          <w:sz w:val="24"/>
          <w:szCs w:val="24"/>
          <w:lang w:eastAsia="en-AU"/>
        </w:rPr>
        <w:t xml:space="preserve">GGL engaged ACIL Allen Consulting (‘ACIL Allen’) to conduct a preliminary economic benefits assessment of </w:t>
      </w:r>
      <w:r>
        <w:rPr>
          <w:rFonts w:ascii="Tw Cen MT" w:eastAsia="Times New Roman" w:hAnsi="Tw Cen MT" w:cstheme="minorHAnsi"/>
          <w:color w:val="000000"/>
          <w:sz w:val="24"/>
          <w:szCs w:val="24"/>
          <w:lang w:eastAsia="en-AU"/>
        </w:rPr>
        <w:t>GGL’s</w:t>
      </w:r>
      <w:r w:rsidRPr="003C7E3B">
        <w:rPr>
          <w:rFonts w:ascii="Tw Cen MT" w:eastAsia="Times New Roman" w:hAnsi="Tw Cen MT" w:cstheme="minorHAnsi"/>
          <w:color w:val="000000"/>
          <w:sz w:val="24"/>
          <w:szCs w:val="24"/>
          <w:lang w:eastAsia="en-AU"/>
        </w:rPr>
        <w:t xml:space="preserve"> Project.  ACIL Allen estimates that the Project will contribute close to $1.0 billion to the Gross Regional Product (GRP) of the Gascoyne region over a 25-year period, with $706.2 million directly contributed.  In annual average terms, the Project is projected to contribute $34.1 million to the Gascoyne economy every year.</w:t>
      </w:r>
    </w:p>
    <w:p w14:paraId="202D7142" w14:textId="77777777" w:rsidR="00560ABA" w:rsidRPr="00560ABA" w:rsidRDefault="00560ABA" w:rsidP="00560ABA">
      <w:pPr>
        <w:pStyle w:val="NoSpacing"/>
        <w:jc w:val="both"/>
        <w:rPr>
          <w:rFonts w:ascii="Tw Cen MT" w:hAnsi="Tw Cen MT" w:cstheme="minorHAnsi"/>
          <w:sz w:val="24"/>
          <w:szCs w:val="24"/>
        </w:rPr>
      </w:pPr>
    </w:p>
    <w:p w14:paraId="0235371C" w14:textId="21735B55"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Sensitive to the delicate Australian coastline, Gascoyne Gateway is planned to be the first ‘Green Port’ in Australia designed, built and operated as a ‘carbon neutral’ endeavour utilising planned renewable energy sources as part of the design</w:t>
      </w:r>
      <w:r>
        <w:rPr>
          <w:rFonts w:ascii="Tw Cen MT" w:hAnsi="Tw Cen MT" w:cstheme="minorHAnsi"/>
          <w:sz w:val="24"/>
          <w:szCs w:val="24"/>
        </w:rPr>
        <w:t>.</w:t>
      </w:r>
    </w:p>
    <w:p w14:paraId="618381E7" w14:textId="77777777" w:rsidR="00560ABA" w:rsidRPr="00560ABA" w:rsidRDefault="00560ABA" w:rsidP="00560ABA">
      <w:pPr>
        <w:pStyle w:val="NoSpacing"/>
        <w:jc w:val="both"/>
        <w:rPr>
          <w:rFonts w:ascii="Tw Cen MT" w:hAnsi="Tw Cen MT" w:cstheme="minorHAnsi"/>
          <w:sz w:val="24"/>
          <w:szCs w:val="24"/>
        </w:rPr>
      </w:pPr>
    </w:p>
    <w:p w14:paraId="4E8FDA34" w14:textId="17AF5047"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This </w:t>
      </w:r>
      <w:r w:rsidR="001B307E">
        <w:rPr>
          <w:rFonts w:ascii="Tw Cen MT" w:hAnsi="Tw Cen MT" w:cstheme="minorHAnsi"/>
          <w:sz w:val="24"/>
          <w:szCs w:val="24"/>
        </w:rPr>
        <w:t>Port</w:t>
      </w:r>
      <w:r w:rsidRPr="00560ABA">
        <w:rPr>
          <w:rFonts w:ascii="Tw Cen MT" w:hAnsi="Tw Cen MT" w:cstheme="minorHAnsi"/>
          <w:sz w:val="24"/>
          <w:szCs w:val="24"/>
        </w:rPr>
        <w:t xml:space="preserve"> addresses the problems associated with supply chain inefficiencies and inadequate marine infrastructure in the Gascoyne region whilst capitalising on the opportunities for direct shipping of freight into the region</w:t>
      </w:r>
      <w:r>
        <w:rPr>
          <w:rFonts w:ascii="Tw Cen MT" w:hAnsi="Tw Cen MT" w:cstheme="minorHAnsi"/>
          <w:sz w:val="24"/>
          <w:szCs w:val="24"/>
        </w:rPr>
        <w:t>.</w:t>
      </w:r>
    </w:p>
    <w:p w14:paraId="6C58CA9A" w14:textId="77777777" w:rsidR="00560ABA" w:rsidRPr="00560ABA" w:rsidRDefault="00560ABA" w:rsidP="00560ABA">
      <w:pPr>
        <w:pStyle w:val="NoSpacing"/>
        <w:jc w:val="both"/>
        <w:rPr>
          <w:rFonts w:ascii="Tw Cen MT" w:hAnsi="Tw Cen MT" w:cstheme="minorHAnsi"/>
          <w:sz w:val="24"/>
          <w:szCs w:val="24"/>
        </w:rPr>
      </w:pPr>
    </w:p>
    <w:p w14:paraId="7FB2DD19" w14:textId="750BF4C5" w:rsid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The current Port Hedland port capacity Priority Initiative identifies opportunities to increase exports and make better use of port infrastructure to enable cargo to be delivered to Port Hedland instead of being trucked from Fremantle.  Container handling facilities at Exmouth are a more cost effective and amenable to shipping practices. Diverting container ships to Port Hedland costs 30% more in time and money than diverting to Exmouth which only increases the costs for a container ship delivering to Fremantle by &lt;4%.   The nature of container trade is that they rely on booking slots, they do not wait at anchor for an opportunity to unload, this is not practical in a port like Port Hedland.  Dampier and Port Hedland are bulk export specialist ports, Exmouth is designed to be set up for bespoke low volume minerals shipped via container not loaded by bulk handing conveyors. </w:t>
      </w:r>
    </w:p>
    <w:p w14:paraId="2D344CBD" w14:textId="77777777" w:rsidR="00560ABA" w:rsidRPr="00560ABA" w:rsidRDefault="00560ABA" w:rsidP="00560ABA">
      <w:pPr>
        <w:pStyle w:val="NoSpacing"/>
        <w:jc w:val="both"/>
        <w:rPr>
          <w:rFonts w:ascii="Tw Cen MT" w:hAnsi="Tw Cen MT" w:cstheme="minorHAnsi"/>
          <w:sz w:val="24"/>
          <w:szCs w:val="24"/>
        </w:rPr>
      </w:pPr>
    </w:p>
    <w:p w14:paraId="0BD9019F" w14:textId="66BA1AB5" w:rsidR="00560ABA" w:rsidRPr="00560ABA" w:rsidRDefault="00560ABA" w:rsidP="00560ABA">
      <w:pPr>
        <w:pStyle w:val="NoSpacing"/>
        <w:jc w:val="both"/>
        <w:rPr>
          <w:rFonts w:ascii="Tw Cen MT" w:hAnsi="Tw Cen MT" w:cstheme="minorHAnsi"/>
          <w:sz w:val="24"/>
          <w:szCs w:val="24"/>
        </w:rPr>
      </w:pPr>
      <w:r w:rsidRPr="00560ABA">
        <w:rPr>
          <w:rFonts w:ascii="Tw Cen MT" w:hAnsi="Tw Cen MT" w:cstheme="minorHAnsi"/>
          <w:sz w:val="24"/>
          <w:szCs w:val="24"/>
        </w:rPr>
        <w:t xml:space="preserve">Support for addressing the problems and opportunities presented here has been provided in correspondence from Professor Peter Newman and by the Premier of WA the Hon Mark McGowan by recognising the need to allocate lead agency status for this project to the WA Department of Jobs, Tourism, Science and Innovation (JSTI). </w:t>
      </w:r>
    </w:p>
    <w:p w14:paraId="7B167B7A" w14:textId="17BA1E71" w:rsidR="00560ABA" w:rsidRDefault="00560ABA" w:rsidP="00560ABA">
      <w:pPr>
        <w:pStyle w:val="NoSpacing"/>
        <w:jc w:val="both"/>
        <w:rPr>
          <w:rFonts w:ascii="Tw Cen MT" w:hAnsi="Tw Cen MT" w:cstheme="minorHAnsi"/>
          <w:b/>
          <w:bCs/>
          <w:color w:val="C45911" w:themeColor="accent2" w:themeShade="BF"/>
          <w:sz w:val="24"/>
          <w:szCs w:val="24"/>
        </w:rPr>
      </w:pPr>
      <w:r w:rsidRPr="00560ABA">
        <w:rPr>
          <w:rFonts w:ascii="Tw Cen MT" w:hAnsi="Tw Cen MT" w:cstheme="minorHAnsi"/>
          <w:b/>
          <w:bCs/>
          <w:color w:val="C45911" w:themeColor="accent2" w:themeShade="BF"/>
          <w:sz w:val="24"/>
          <w:szCs w:val="24"/>
        </w:rPr>
        <w:t> </w:t>
      </w:r>
    </w:p>
    <w:p w14:paraId="4864D71A" w14:textId="77777777" w:rsidR="0043712B" w:rsidRPr="003C7E3B" w:rsidRDefault="0043712B" w:rsidP="0043712B">
      <w:pPr>
        <w:pStyle w:val="NoSpacing"/>
        <w:jc w:val="both"/>
        <w:rPr>
          <w:rFonts w:ascii="Tw Cen MT" w:hAnsi="Tw Cen MT" w:cstheme="minorHAnsi"/>
          <w:b/>
          <w:bCs/>
          <w:color w:val="C45911" w:themeColor="accent2" w:themeShade="BF"/>
          <w:sz w:val="24"/>
          <w:szCs w:val="24"/>
        </w:rPr>
      </w:pPr>
      <w:r w:rsidRPr="003C7E3B">
        <w:rPr>
          <w:rFonts w:ascii="Tw Cen MT" w:hAnsi="Tw Cen MT" w:cstheme="minorHAnsi"/>
          <w:b/>
          <w:bCs/>
          <w:color w:val="C45911" w:themeColor="accent2" w:themeShade="BF"/>
          <w:sz w:val="24"/>
          <w:szCs w:val="24"/>
        </w:rPr>
        <w:t xml:space="preserve">Revenue Streams </w:t>
      </w:r>
    </w:p>
    <w:p w14:paraId="5F9CDF3A" w14:textId="77777777" w:rsidR="0043712B" w:rsidRPr="003C7E3B" w:rsidRDefault="0043712B" w:rsidP="0043712B">
      <w:pPr>
        <w:jc w:val="both"/>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It is estimated the Project will generate $60 million in annual revenue, derived from 13 different revenue streams:</w:t>
      </w:r>
    </w:p>
    <w:p w14:paraId="202CABA8"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Royal Australian Navy sustainment</w:t>
      </w:r>
    </w:p>
    <w:p w14:paraId="6CC221F9"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Australian Border Force sustainment</w:t>
      </w:r>
    </w:p>
    <w:p w14:paraId="6E9E3468"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Coalition Allies sustainment</w:t>
      </w:r>
    </w:p>
    <w:p w14:paraId="464D69CD"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Cruise Liners</w:t>
      </w:r>
    </w:p>
    <w:p w14:paraId="22E0A63B"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Super Yachts</w:t>
      </w:r>
    </w:p>
    <w:p w14:paraId="1F55E739"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Adventure Tourism</w:t>
      </w:r>
    </w:p>
    <w:p w14:paraId="3D943B9E"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Break Bulk Freight Imports</w:t>
      </w:r>
    </w:p>
    <w:p w14:paraId="7ABFE1EE"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Platform Support Vessels</w:t>
      </w:r>
    </w:p>
    <w:p w14:paraId="2E4B56E1"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Containers</w:t>
      </w:r>
    </w:p>
    <w:p w14:paraId="1B50D37A"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Fuel Tankers and Imports</w:t>
      </w:r>
    </w:p>
    <w:p w14:paraId="06CDABB7"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Oil and Gas Support</w:t>
      </w:r>
    </w:p>
    <w:p w14:paraId="1B414E65" w14:textId="77777777" w:rsidR="0043712B" w:rsidRPr="003C7E3B" w:rsidRDefault="0043712B" w:rsidP="00B02408">
      <w:pPr>
        <w:pStyle w:val="ListParagraph"/>
        <w:numPr>
          <w:ilvl w:val="0"/>
          <w:numId w:val="26"/>
        </w:numPr>
        <w:spacing w:after="0"/>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Green Hydrogen Storage and Export</w:t>
      </w:r>
    </w:p>
    <w:p w14:paraId="4D5FFBF5" w14:textId="24F8C532" w:rsidR="00C56212" w:rsidRPr="002E202C" w:rsidRDefault="0043712B" w:rsidP="00C56212">
      <w:pPr>
        <w:pStyle w:val="ListParagraph"/>
        <w:numPr>
          <w:ilvl w:val="0"/>
          <w:numId w:val="26"/>
        </w:numPr>
        <w:rPr>
          <w:rFonts w:ascii="Tw Cen MT" w:eastAsia="Times New Roman" w:hAnsi="Tw Cen MT" w:cstheme="minorHAnsi"/>
          <w:color w:val="1D2228"/>
          <w:sz w:val="24"/>
          <w:szCs w:val="24"/>
          <w:lang w:eastAsia="en-AU"/>
        </w:rPr>
      </w:pPr>
      <w:r w:rsidRPr="003C7E3B">
        <w:rPr>
          <w:rFonts w:ascii="Tw Cen MT" w:eastAsia="Times New Roman" w:hAnsi="Tw Cen MT" w:cstheme="minorHAnsi"/>
          <w:color w:val="000000"/>
          <w:sz w:val="24"/>
          <w:szCs w:val="24"/>
          <w:lang w:eastAsia="en-AU"/>
        </w:rPr>
        <w:t>Sovereign Fuel Storage Reserves</w:t>
      </w:r>
    </w:p>
    <w:p w14:paraId="76B1CF86" w14:textId="77777777" w:rsidR="002E202C" w:rsidRPr="00C56212" w:rsidRDefault="002E202C" w:rsidP="002E202C">
      <w:pPr>
        <w:pStyle w:val="ListParagraph"/>
        <w:ind w:left="360"/>
        <w:rPr>
          <w:rFonts w:ascii="Tw Cen MT" w:eastAsia="Times New Roman" w:hAnsi="Tw Cen MT" w:cstheme="minorHAnsi"/>
          <w:color w:val="1D2228"/>
          <w:sz w:val="24"/>
          <w:szCs w:val="24"/>
          <w:lang w:eastAsia="en-AU"/>
        </w:rPr>
      </w:pPr>
    </w:p>
    <w:tbl>
      <w:tblPr>
        <w:tblStyle w:val="GridTable5Dark-Accent2"/>
        <w:tblW w:w="9493" w:type="dxa"/>
        <w:tblLook w:val="04A0" w:firstRow="1" w:lastRow="0" w:firstColumn="1" w:lastColumn="0" w:noHBand="0" w:noVBand="1"/>
      </w:tblPr>
      <w:tblGrid>
        <w:gridCol w:w="562"/>
        <w:gridCol w:w="6096"/>
        <w:gridCol w:w="2835"/>
      </w:tblGrid>
      <w:tr w:rsidR="00D073F0" w:rsidRPr="003C7E3B" w14:paraId="672F7BEB" w14:textId="77777777" w:rsidTr="00D07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3075A4E" w14:textId="77777777" w:rsidR="000C4430" w:rsidRPr="003C7E3B" w:rsidRDefault="000C4430" w:rsidP="008D62C0">
            <w:pPr>
              <w:pStyle w:val="NoSpacing"/>
              <w:rPr>
                <w:rFonts w:ascii="Tw Cen MT" w:hAnsi="Tw Cen MT" w:cstheme="minorHAnsi"/>
                <w:sz w:val="24"/>
                <w:szCs w:val="24"/>
              </w:rPr>
            </w:pPr>
            <w:r w:rsidRPr="003C7E3B">
              <w:rPr>
                <w:rFonts w:ascii="Tw Cen MT" w:hAnsi="Tw Cen MT" w:cstheme="minorHAnsi"/>
                <w:sz w:val="24"/>
                <w:szCs w:val="24"/>
              </w:rPr>
              <w:t>No</w:t>
            </w:r>
          </w:p>
        </w:tc>
        <w:tc>
          <w:tcPr>
            <w:tcW w:w="6096" w:type="dxa"/>
            <w:vAlign w:val="center"/>
          </w:tcPr>
          <w:p w14:paraId="3C2034D5" w14:textId="53FAA3C0" w:rsidR="000C4430" w:rsidRPr="003C7E3B" w:rsidRDefault="000C4430"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GGL RECOMMENDATION THREE</w:t>
            </w:r>
          </w:p>
        </w:tc>
        <w:tc>
          <w:tcPr>
            <w:tcW w:w="2835" w:type="dxa"/>
            <w:vAlign w:val="center"/>
          </w:tcPr>
          <w:p w14:paraId="3A97A8B2" w14:textId="77777777" w:rsidR="000C4430" w:rsidRPr="003C7E3B" w:rsidRDefault="000C4430"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 (AUD including GST)</w:t>
            </w:r>
          </w:p>
        </w:tc>
      </w:tr>
      <w:tr w:rsidR="000C4430" w:rsidRPr="003C7E3B" w14:paraId="6670D8B2" w14:textId="77777777" w:rsidTr="00D07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506BC3" w14:textId="77777777" w:rsidR="000C4430" w:rsidRPr="003C7E3B" w:rsidRDefault="000C4430" w:rsidP="00B02408">
            <w:pPr>
              <w:pStyle w:val="NoSpacing"/>
              <w:numPr>
                <w:ilvl w:val="0"/>
                <w:numId w:val="17"/>
              </w:numPr>
              <w:rPr>
                <w:rFonts w:ascii="Tw Cen MT" w:hAnsi="Tw Cen MT" w:cstheme="minorHAnsi"/>
                <w:sz w:val="24"/>
                <w:szCs w:val="24"/>
              </w:rPr>
            </w:pPr>
          </w:p>
        </w:tc>
        <w:tc>
          <w:tcPr>
            <w:tcW w:w="6096" w:type="dxa"/>
            <w:vAlign w:val="center"/>
          </w:tcPr>
          <w:p w14:paraId="2D42F73A" w14:textId="77777777" w:rsidR="000C4430" w:rsidRPr="003C7E3B" w:rsidRDefault="000C4430"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Defence Force (ADF) recognise the National Strategic Importance of the Initiative</w:t>
            </w:r>
          </w:p>
        </w:tc>
        <w:tc>
          <w:tcPr>
            <w:tcW w:w="2835" w:type="dxa"/>
            <w:vAlign w:val="center"/>
          </w:tcPr>
          <w:p w14:paraId="7D133F50" w14:textId="77777777" w:rsidR="000C4430" w:rsidRPr="003C7E3B" w:rsidRDefault="000C4430"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$0 - NIL</w:t>
            </w:r>
          </w:p>
        </w:tc>
      </w:tr>
    </w:tbl>
    <w:p w14:paraId="28593806" w14:textId="77777777" w:rsidR="0043712B" w:rsidRPr="003C7E3B" w:rsidRDefault="0043712B" w:rsidP="005B425F">
      <w:pPr>
        <w:pStyle w:val="NoSpacing"/>
        <w:jc w:val="both"/>
        <w:rPr>
          <w:rFonts w:ascii="Tw Cen MT" w:hAnsi="Tw Cen MT" w:cstheme="minorHAnsi"/>
          <w:sz w:val="24"/>
          <w:szCs w:val="24"/>
        </w:rPr>
      </w:pPr>
    </w:p>
    <w:p w14:paraId="4230ED91" w14:textId="77777777" w:rsidR="00707D65" w:rsidRPr="003C7E3B" w:rsidRDefault="00707D65" w:rsidP="00707D65">
      <w:pPr>
        <w:pStyle w:val="NoSpacing"/>
        <w:jc w:val="both"/>
        <w:rPr>
          <w:rFonts w:ascii="Tw Cen MT" w:hAnsi="Tw Cen MT" w:cstheme="minorHAnsi"/>
          <w:b/>
          <w:bCs/>
          <w:color w:val="C45911" w:themeColor="accent2" w:themeShade="BF"/>
          <w:sz w:val="24"/>
          <w:szCs w:val="24"/>
        </w:rPr>
      </w:pPr>
      <w:r w:rsidRPr="003C7E3B">
        <w:rPr>
          <w:rFonts w:ascii="Tw Cen MT" w:hAnsi="Tw Cen MT" w:cstheme="minorHAnsi"/>
          <w:b/>
          <w:bCs/>
          <w:color w:val="C45911" w:themeColor="accent2" w:themeShade="BF"/>
          <w:sz w:val="24"/>
          <w:szCs w:val="24"/>
        </w:rPr>
        <w:t xml:space="preserve">Australian Defence Force and Border Force Opportunities </w:t>
      </w:r>
    </w:p>
    <w:p w14:paraId="49CDC155" w14:textId="77777777" w:rsidR="00620F03" w:rsidRPr="003C7E3B" w:rsidRDefault="00707D65" w:rsidP="00707D65">
      <w:pPr>
        <w:pStyle w:val="NoSpacing"/>
        <w:jc w:val="both"/>
        <w:rPr>
          <w:rFonts w:ascii="Tw Cen MT" w:hAnsi="Tw Cen MT" w:cstheme="minorHAnsi"/>
          <w:sz w:val="24"/>
          <w:szCs w:val="24"/>
        </w:rPr>
      </w:pPr>
      <w:r w:rsidRPr="003C7E3B">
        <w:rPr>
          <w:rFonts w:ascii="Tw Cen MT" w:hAnsi="Tw Cen MT" w:cstheme="minorHAnsi"/>
          <w:sz w:val="24"/>
          <w:szCs w:val="24"/>
        </w:rPr>
        <w:t xml:space="preserve">GGL have established an ongoing dialogue with the </w:t>
      </w:r>
      <w:r w:rsidR="00620F03" w:rsidRPr="003C7E3B">
        <w:rPr>
          <w:rFonts w:ascii="Tw Cen MT" w:hAnsi="Tw Cen MT" w:cstheme="minorHAnsi"/>
          <w:sz w:val="24"/>
          <w:szCs w:val="24"/>
        </w:rPr>
        <w:t xml:space="preserve">Minister for Defence, the Minister for Defence Industry, as well as the </w:t>
      </w:r>
      <w:r w:rsidRPr="003C7E3B">
        <w:rPr>
          <w:rFonts w:ascii="Tw Cen MT" w:hAnsi="Tw Cen MT" w:cstheme="minorHAnsi"/>
          <w:sz w:val="24"/>
          <w:szCs w:val="24"/>
        </w:rPr>
        <w:t>Department of Defence and the Australian Border Force (ABF)</w:t>
      </w:r>
      <w:r w:rsidR="00620F03" w:rsidRPr="003C7E3B">
        <w:rPr>
          <w:rFonts w:ascii="Tw Cen MT" w:hAnsi="Tw Cen MT" w:cstheme="minorHAnsi"/>
          <w:sz w:val="24"/>
          <w:szCs w:val="24"/>
        </w:rPr>
        <w:t xml:space="preserve">.  GGL is committed to ensuring that the </w:t>
      </w:r>
      <w:r w:rsidRPr="003C7E3B">
        <w:rPr>
          <w:rFonts w:ascii="Tw Cen MT" w:hAnsi="Tw Cen MT" w:cstheme="minorHAnsi"/>
          <w:sz w:val="24"/>
          <w:szCs w:val="24"/>
        </w:rPr>
        <w:t xml:space="preserve">Port can support the interoperable sovereign capability of the ADF and the ABF.  </w:t>
      </w:r>
    </w:p>
    <w:p w14:paraId="1679AC4D" w14:textId="77777777" w:rsidR="00620F03" w:rsidRPr="003C7E3B" w:rsidRDefault="00620F03" w:rsidP="00707D65">
      <w:pPr>
        <w:pStyle w:val="NoSpacing"/>
        <w:jc w:val="both"/>
        <w:rPr>
          <w:rFonts w:ascii="Tw Cen MT" w:hAnsi="Tw Cen MT" w:cstheme="minorHAnsi"/>
          <w:sz w:val="24"/>
          <w:szCs w:val="24"/>
        </w:rPr>
      </w:pPr>
    </w:p>
    <w:p w14:paraId="36C6BA00" w14:textId="2E074648" w:rsidR="00707D65" w:rsidRPr="003C7E3B" w:rsidRDefault="00707D65" w:rsidP="00707D65">
      <w:pPr>
        <w:pStyle w:val="NoSpacing"/>
        <w:jc w:val="both"/>
        <w:rPr>
          <w:rFonts w:ascii="Tw Cen MT" w:hAnsi="Tw Cen MT" w:cstheme="minorHAnsi"/>
          <w:b/>
          <w:bCs/>
          <w:sz w:val="24"/>
          <w:szCs w:val="24"/>
        </w:rPr>
      </w:pPr>
      <w:r w:rsidRPr="003C7E3B">
        <w:rPr>
          <w:rFonts w:ascii="Tw Cen MT" w:hAnsi="Tw Cen MT" w:cstheme="minorHAnsi"/>
          <w:sz w:val="24"/>
          <w:szCs w:val="24"/>
        </w:rPr>
        <w:t xml:space="preserve">The Port will have commercial berths and water depths that will cater for every vessel in the </w:t>
      </w:r>
      <w:r w:rsidR="00525FF4" w:rsidRPr="003C7E3B">
        <w:rPr>
          <w:rFonts w:ascii="Tw Cen MT" w:hAnsi="Tw Cen MT" w:cstheme="minorHAnsi"/>
          <w:sz w:val="24"/>
          <w:szCs w:val="24"/>
        </w:rPr>
        <w:t>Royal Australian Navy (</w:t>
      </w:r>
      <w:r w:rsidRPr="003C7E3B">
        <w:rPr>
          <w:rFonts w:ascii="Tw Cen MT" w:hAnsi="Tw Cen MT" w:cstheme="minorHAnsi"/>
          <w:sz w:val="24"/>
          <w:szCs w:val="24"/>
        </w:rPr>
        <w:t>RAN</w:t>
      </w:r>
      <w:r w:rsidR="00525FF4" w:rsidRPr="003C7E3B">
        <w:rPr>
          <w:rFonts w:ascii="Tw Cen MT" w:hAnsi="Tw Cen MT" w:cstheme="minorHAnsi"/>
          <w:sz w:val="24"/>
          <w:szCs w:val="24"/>
        </w:rPr>
        <w:t>)</w:t>
      </w:r>
      <w:r w:rsidRPr="003C7E3B">
        <w:rPr>
          <w:rFonts w:ascii="Tw Cen MT" w:hAnsi="Tw Cen MT" w:cstheme="minorHAnsi"/>
          <w:sz w:val="24"/>
          <w:szCs w:val="24"/>
        </w:rPr>
        <w:t xml:space="preserve"> and ABF including Offshore Patrol Vessels, LHDs and submarines. There will also be fuel tanks, warehousing, cargo and laydown areas and administration buildings. </w:t>
      </w:r>
    </w:p>
    <w:p w14:paraId="40E25FE3" w14:textId="19323923" w:rsidR="00707D65" w:rsidRPr="003C7E3B" w:rsidRDefault="00707D65" w:rsidP="00707D65">
      <w:pPr>
        <w:pStyle w:val="NoSpacing"/>
        <w:jc w:val="both"/>
        <w:rPr>
          <w:rFonts w:ascii="Tw Cen MT" w:hAnsi="Tw Cen MT" w:cstheme="minorHAnsi"/>
          <w:sz w:val="24"/>
          <w:szCs w:val="24"/>
        </w:rPr>
      </w:pPr>
      <w:r w:rsidRPr="003C7E3B">
        <w:rPr>
          <w:rFonts w:ascii="Tw Cen MT" w:hAnsi="Tw Cen MT" w:cstheme="minorHAnsi"/>
          <w:sz w:val="24"/>
          <w:szCs w:val="24"/>
        </w:rPr>
        <w:t xml:space="preserve"> </w:t>
      </w:r>
    </w:p>
    <w:p w14:paraId="459804AD" w14:textId="62698EDE" w:rsidR="00707D65" w:rsidRPr="003C7E3B" w:rsidRDefault="00707D65" w:rsidP="00707D65">
      <w:pPr>
        <w:pStyle w:val="NoSpacing"/>
        <w:jc w:val="both"/>
        <w:rPr>
          <w:rFonts w:ascii="Tw Cen MT" w:hAnsi="Tw Cen MT" w:cstheme="minorHAnsi"/>
          <w:sz w:val="24"/>
          <w:szCs w:val="24"/>
        </w:rPr>
      </w:pPr>
      <w:r w:rsidRPr="003C7E3B">
        <w:rPr>
          <w:rFonts w:ascii="Tw Cen MT" w:hAnsi="Tw Cen MT" w:cstheme="minorHAnsi"/>
          <w:sz w:val="24"/>
          <w:szCs w:val="24"/>
        </w:rPr>
        <w:t>Unlike other options between HMAS Stirling and Darwin, this unique, purpose-built capability will provide safe, secure and flexible refuelling and replenishment for the ABF, RAN and allied warships</w:t>
      </w:r>
      <w:r w:rsidR="00441F06">
        <w:rPr>
          <w:rFonts w:ascii="Tw Cen MT" w:hAnsi="Tw Cen MT" w:cstheme="minorHAnsi"/>
          <w:sz w:val="24"/>
          <w:szCs w:val="24"/>
        </w:rPr>
        <w:t xml:space="preserve"> including </w:t>
      </w:r>
      <w:r w:rsidR="00441F06" w:rsidRPr="00441F06">
        <w:rPr>
          <w:rFonts w:ascii="Tw Cen MT" w:hAnsi="Tw Cen MT" w:cstheme="minorHAnsi"/>
          <w:sz w:val="24"/>
          <w:szCs w:val="24"/>
        </w:rPr>
        <w:t>options to the emerging USN 1st Fleet that is appearing likely to be stationed in the Indo Pacific.</w:t>
      </w:r>
    </w:p>
    <w:p w14:paraId="509EE808" w14:textId="77777777" w:rsidR="00707D65" w:rsidRPr="003C7E3B" w:rsidRDefault="00707D65" w:rsidP="00707D65">
      <w:pPr>
        <w:pStyle w:val="NoSpacing"/>
        <w:jc w:val="both"/>
        <w:rPr>
          <w:rFonts w:ascii="Tw Cen MT" w:hAnsi="Tw Cen MT" w:cstheme="minorHAnsi"/>
          <w:sz w:val="24"/>
          <w:szCs w:val="24"/>
        </w:rPr>
      </w:pPr>
    </w:p>
    <w:p w14:paraId="47C498FC" w14:textId="77777777" w:rsidR="002E202C" w:rsidRDefault="00DF1C17" w:rsidP="00DF1C17">
      <w:pPr>
        <w:pStyle w:val="NoSpacing"/>
        <w:jc w:val="both"/>
        <w:rPr>
          <w:rFonts w:ascii="Tw Cen MT" w:hAnsi="Tw Cen MT" w:cstheme="minorHAnsi"/>
          <w:sz w:val="24"/>
          <w:szCs w:val="24"/>
        </w:rPr>
      </w:pPr>
      <w:r w:rsidRPr="003C7E3B">
        <w:rPr>
          <w:rFonts w:ascii="Tw Cen MT" w:hAnsi="Tw Cen MT" w:cstheme="minorHAnsi"/>
          <w:sz w:val="24"/>
          <w:szCs w:val="24"/>
        </w:rPr>
        <w:t xml:space="preserve">Exmouth is 40 percent closer to Christmas and Cocos-Keeling Islands, offering to halve the operating and maintenance costs of RAN and ABF vessels when operating from Exmouth.  The shared Exmouth airport and RAAF Learmonth is 25km from the facility and is serviced daily by two 100 seat jets from Perth.  </w:t>
      </w:r>
      <w:r w:rsidR="00525FF4" w:rsidRPr="003C7E3B">
        <w:rPr>
          <w:rFonts w:ascii="Tw Cen MT" w:hAnsi="Tw Cen MT" w:cstheme="minorHAnsi"/>
          <w:sz w:val="24"/>
          <w:szCs w:val="24"/>
        </w:rPr>
        <w:t>GGL</w:t>
      </w:r>
      <w:r w:rsidRPr="003C7E3B">
        <w:rPr>
          <w:rFonts w:ascii="Tw Cen MT" w:hAnsi="Tw Cen MT" w:cstheme="minorHAnsi"/>
          <w:sz w:val="24"/>
          <w:szCs w:val="24"/>
        </w:rPr>
        <w:t xml:space="preserve"> furthermore plan</w:t>
      </w:r>
      <w:r w:rsidR="00525FF4" w:rsidRPr="003C7E3B">
        <w:rPr>
          <w:rFonts w:ascii="Tw Cen MT" w:hAnsi="Tw Cen MT" w:cstheme="minorHAnsi"/>
          <w:sz w:val="24"/>
          <w:szCs w:val="24"/>
        </w:rPr>
        <w:t>s</w:t>
      </w:r>
      <w:r w:rsidRPr="003C7E3B">
        <w:rPr>
          <w:rFonts w:ascii="Tw Cen MT" w:hAnsi="Tw Cen MT" w:cstheme="minorHAnsi"/>
          <w:sz w:val="24"/>
          <w:szCs w:val="24"/>
        </w:rPr>
        <w:t xml:space="preserve"> to directly import and operate a fuel installation of up to 250 million litres of marine diesel, aviation fuels and other transport fuels, bolstering the facility’s interoperability</w:t>
      </w:r>
      <w:r w:rsidRPr="003C7E3B">
        <w:rPr>
          <w:rFonts w:ascii="Tw Cen MT" w:eastAsia="Calibri" w:hAnsi="Tw Cen MT" w:cstheme="minorHAnsi"/>
          <w:sz w:val="24"/>
          <w:szCs w:val="24"/>
        </w:rPr>
        <w:t xml:space="preserve">. </w:t>
      </w:r>
      <w:r w:rsidRPr="003C7E3B">
        <w:rPr>
          <w:rFonts w:ascii="Tw Cen MT" w:hAnsi="Tw Cen MT" w:cstheme="minorHAnsi"/>
          <w:sz w:val="24"/>
          <w:szCs w:val="24"/>
        </w:rPr>
        <w:t xml:space="preserve"> </w:t>
      </w:r>
    </w:p>
    <w:p w14:paraId="63E1B9D6" w14:textId="77777777" w:rsidR="002E202C" w:rsidRDefault="002E202C" w:rsidP="00DF1C17">
      <w:pPr>
        <w:pStyle w:val="NoSpacing"/>
        <w:jc w:val="both"/>
        <w:rPr>
          <w:rFonts w:ascii="Tw Cen MT" w:hAnsi="Tw Cen MT" w:cstheme="minorHAnsi"/>
          <w:sz w:val="24"/>
          <w:szCs w:val="24"/>
        </w:rPr>
      </w:pPr>
    </w:p>
    <w:p w14:paraId="6C74CDE8" w14:textId="5C2DCB6B" w:rsidR="007A262E" w:rsidRPr="003C7E3B" w:rsidRDefault="00DF1C17" w:rsidP="00DF1C17">
      <w:pPr>
        <w:pStyle w:val="NoSpacing"/>
        <w:jc w:val="both"/>
        <w:rPr>
          <w:rFonts w:ascii="Tw Cen MT" w:hAnsi="Tw Cen MT" w:cstheme="minorHAnsi"/>
          <w:sz w:val="24"/>
          <w:szCs w:val="24"/>
        </w:rPr>
      </w:pPr>
      <w:r w:rsidRPr="003C7E3B">
        <w:rPr>
          <w:rFonts w:ascii="Tw Cen MT" w:hAnsi="Tw Cen MT" w:cstheme="minorHAnsi"/>
          <w:sz w:val="24"/>
          <w:szCs w:val="24"/>
        </w:rPr>
        <w:t>The project will maximise local industry participation in construction and operation and will provide year-round berthing certainty for cruise ships and luxury yachts.</w:t>
      </w:r>
    </w:p>
    <w:p w14:paraId="12222450" w14:textId="6ACC2BCE" w:rsidR="00B80247" w:rsidRPr="003C7E3B" w:rsidRDefault="00B80247" w:rsidP="00B80247">
      <w:pPr>
        <w:pStyle w:val="NoSpacing"/>
        <w:jc w:val="both"/>
        <w:rPr>
          <w:rFonts w:ascii="Tw Cen MT" w:hAnsi="Tw Cen MT" w:cstheme="minorHAnsi"/>
          <w:sz w:val="24"/>
          <w:szCs w:val="24"/>
        </w:rPr>
      </w:pPr>
    </w:p>
    <w:p w14:paraId="775DC7C5" w14:textId="05341371" w:rsidR="007A262E" w:rsidRPr="003C7E3B" w:rsidRDefault="00DF1C17" w:rsidP="007A262E">
      <w:pPr>
        <w:jc w:val="both"/>
        <w:rPr>
          <w:rFonts w:ascii="Tw Cen MT" w:hAnsi="Tw Cen MT" w:cs="Calibri"/>
          <w:sz w:val="24"/>
          <w:szCs w:val="24"/>
        </w:rPr>
      </w:pPr>
      <w:r w:rsidRPr="003C7E3B">
        <w:rPr>
          <w:rFonts w:ascii="Tw Cen MT" w:hAnsi="Tw Cen MT" w:cs="Calibri"/>
          <w:sz w:val="24"/>
          <w:szCs w:val="24"/>
        </w:rPr>
        <w:t xml:space="preserve">The </w:t>
      </w:r>
      <w:r w:rsidR="008336E5">
        <w:rPr>
          <w:rFonts w:ascii="Tw Cen MT" w:hAnsi="Tw Cen MT" w:cs="Calibri"/>
          <w:sz w:val="24"/>
          <w:szCs w:val="24"/>
        </w:rPr>
        <w:t>Port</w:t>
      </w:r>
      <w:r w:rsidR="007A262E" w:rsidRPr="003C7E3B">
        <w:rPr>
          <w:rFonts w:ascii="Tw Cen MT" w:hAnsi="Tw Cen MT" w:cs="Calibri"/>
          <w:sz w:val="24"/>
          <w:szCs w:val="24"/>
        </w:rPr>
        <w:t xml:space="preserve"> furthermore aligns with </w:t>
      </w:r>
      <w:r w:rsidR="007A262E" w:rsidRPr="003C7E3B">
        <w:rPr>
          <w:rFonts w:ascii="Tw Cen MT" w:hAnsi="Tw Cen MT" w:cs="Calibri"/>
          <w:i/>
          <w:iCs/>
          <w:sz w:val="24"/>
          <w:szCs w:val="24"/>
        </w:rPr>
        <w:t xml:space="preserve">2020 Defence Strategic Update </w:t>
      </w:r>
      <w:r w:rsidR="007A262E" w:rsidRPr="003C7E3B">
        <w:rPr>
          <w:rFonts w:ascii="Tw Cen MT" w:hAnsi="Tw Cen MT" w:cs="Calibri"/>
          <w:sz w:val="24"/>
          <w:szCs w:val="24"/>
        </w:rPr>
        <w:t>in that we provide a 100% Australian sovereign capability that will support the ADF’s requirement to:</w:t>
      </w:r>
    </w:p>
    <w:p w14:paraId="63C5BCD6" w14:textId="0BE3E9E4" w:rsidR="007A262E" w:rsidRPr="003C7E3B" w:rsidRDefault="007A262E" w:rsidP="00B02408">
      <w:pPr>
        <w:pStyle w:val="ListParagraph"/>
        <w:numPr>
          <w:ilvl w:val="0"/>
          <w:numId w:val="18"/>
        </w:numPr>
        <w:spacing w:after="0" w:line="240" w:lineRule="auto"/>
        <w:jc w:val="both"/>
        <w:rPr>
          <w:rFonts w:ascii="Tw Cen MT" w:hAnsi="Tw Cen MT" w:cs="Calibri"/>
          <w:sz w:val="24"/>
          <w:szCs w:val="24"/>
        </w:rPr>
      </w:pPr>
      <w:r w:rsidRPr="003C7E3B">
        <w:rPr>
          <w:rFonts w:ascii="Tw Cen MT" w:hAnsi="Tw Cen MT" w:cs="Calibri"/>
          <w:sz w:val="24"/>
          <w:szCs w:val="24"/>
        </w:rPr>
        <w:t xml:space="preserve">prioritise </w:t>
      </w:r>
      <w:r w:rsidR="008336E5">
        <w:rPr>
          <w:rFonts w:ascii="Tw Cen MT" w:hAnsi="Tw Cen MT" w:cs="Calibri"/>
          <w:sz w:val="24"/>
          <w:szCs w:val="24"/>
        </w:rPr>
        <w:t>GGL’s</w:t>
      </w:r>
      <w:r w:rsidRPr="003C7E3B">
        <w:rPr>
          <w:rFonts w:ascii="Tw Cen MT" w:hAnsi="Tw Cen MT" w:cs="Calibri"/>
          <w:sz w:val="24"/>
          <w:szCs w:val="24"/>
        </w:rPr>
        <w:t xml:space="preserve"> immediate region for the ADF’s geographical focus the area ranging from the north-eastern Indian Ocean through maritime and mainland South East Asia to Papua New Guinea and the South West Pacific;</w:t>
      </w:r>
    </w:p>
    <w:p w14:paraId="33EA49B7" w14:textId="77777777" w:rsidR="007A262E" w:rsidRPr="003C7E3B" w:rsidRDefault="007A262E" w:rsidP="00B02408">
      <w:pPr>
        <w:pStyle w:val="ListParagraph"/>
        <w:numPr>
          <w:ilvl w:val="0"/>
          <w:numId w:val="18"/>
        </w:numPr>
        <w:spacing w:after="0" w:line="240" w:lineRule="auto"/>
        <w:jc w:val="both"/>
        <w:rPr>
          <w:rFonts w:ascii="Tw Cen MT" w:hAnsi="Tw Cen MT" w:cs="Calibri"/>
          <w:sz w:val="24"/>
          <w:szCs w:val="24"/>
        </w:rPr>
      </w:pPr>
      <w:r w:rsidRPr="003C7E3B">
        <w:rPr>
          <w:rFonts w:ascii="Tw Cen MT" w:hAnsi="Tw Cen MT" w:cs="Calibri"/>
          <w:sz w:val="24"/>
          <w:szCs w:val="24"/>
        </w:rPr>
        <w:t>grow the ADF’s self-reliance for delivering deterrent effects;</w:t>
      </w:r>
    </w:p>
    <w:p w14:paraId="3E1AC181" w14:textId="77777777" w:rsidR="007A262E" w:rsidRPr="003C7E3B" w:rsidRDefault="007A262E" w:rsidP="00B02408">
      <w:pPr>
        <w:pStyle w:val="ListParagraph"/>
        <w:numPr>
          <w:ilvl w:val="0"/>
          <w:numId w:val="18"/>
        </w:numPr>
        <w:spacing w:after="0" w:line="240" w:lineRule="auto"/>
        <w:jc w:val="both"/>
        <w:rPr>
          <w:rFonts w:ascii="Tw Cen MT" w:hAnsi="Tw Cen MT" w:cs="Calibri"/>
          <w:sz w:val="24"/>
          <w:szCs w:val="24"/>
        </w:rPr>
      </w:pPr>
      <w:r w:rsidRPr="003C7E3B">
        <w:rPr>
          <w:rFonts w:ascii="Tw Cen MT" w:hAnsi="Tw Cen MT" w:cs="Calibri"/>
          <w:sz w:val="24"/>
          <w:szCs w:val="24"/>
        </w:rPr>
        <w:t>expand Defence’s capability to respond to grey-zone activities; and,</w:t>
      </w:r>
    </w:p>
    <w:p w14:paraId="3F1F8A95" w14:textId="5C1A8DFC" w:rsidR="007A262E" w:rsidRPr="003C7E3B" w:rsidRDefault="007A262E" w:rsidP="00B02408">
      <w:pPr>
        <w:pStyle w:val="ListParagraph"/>
        <w:numPr>
          <w:ilvl w:val="0"/>
          <w:numId w:val="18"/>
        </w:numPr>
        <w:spacing w:after="0" w:line="240" w:lineRule="auto"/>
        <w:jc w:val="both"/>
        <w:rPr>
          <w:rFonts w:ascii="Tw Cen MT" w:hAnsi="Tw Cen MT" w:cs="Calibri"/>
          <w:sz w:val="24"/>
          <w:szCs w:val="24"/>
        </w:rPr>
      </w:pPr>
      <w:r w:rsidRPr="003C7E3B">
        <w:rPr>
          <w:rFonts w:ascii="Tw Cen MT" w:hAnsi="Tw Cen MT" w:cs="Calibri"/>
          <w:sz w:val="24"/>
          <w:szCs w:val="24"/>
        </w:rPr>
        <w:t>enhance the lethality of the ADF for high-intensity operations.</w:t>
      </w:r>
    </w:p>
    <w:p w14:paraId="01C5DE6D" w14:textId="77777777" w:rsidR="00DF1C17" w:rsidRPr="003C7E3B" w:rsidRDefault="00DF1C17" w:rsidP="00DF1C17">
      <w:pPr>
        <w:spacing w:after="0" w:line="240" w:lineRule="auto"/>
        <w:jc w:val="both"/>
        <w:rPr>
          <w:rFonts w:ascii="Tw Cen MT" w:hAnsi="Tw Cen MT" w:cs="Calibri"/>
          <w:sz w:val="24"/>
          <w:szCs w:val="24"/>
        </w:rPr>
      </w:pPr>
    </w:p>
    <w:p w14:paraId="00E22B2E" w14:textId="3F4198C6" w:rsidR="007A262E" w:rsidRPr="003C7E3B" w:rsidRDefault="007A262E" w:rsidP="007A262E">
      <w:pPr>
        <w:pStyle w:val="xmsonormal"/>
        <w:jc w:val="both"/>
        <w:rPr>
          <w:rFonts w:ascii="Tw Cen MT" w:eastAsia="Times New Roman" w:hAnsi="Tw Cen MT"/>
        </w:rPr>
      </w:pPr>
      <w:r w:rsidRPr="003C7E3B">
        <w:rPr>
          <w:rFonts w:ascii="Tw Cen MT" w:hAnsi="Tw Cen MT"/>
        </w:rPr>
        <w:t xml:space="preserve">GGL is committed to providing our nation and the </w:t>
      </w:r>
      <w:r w:rsidRPr="003C7E3B">
        <w:rPr>
          <w:rFonts w:ascii="Tw Cen MT" w:eastAsia="Times New Roman" w:hAnsi="Tw Cen MT"/>
        </w:rPr>
        <w:t xml:space="preserve">ADF and ABF with a state-of-the-art sovereign fuel facility to provide aviation and diesel fuel for both the ADF and ABF’s use and commercial distribution in the Gascoyne/West Pilbara.  </w:t>
      </w:r>
      <w:r w:rsidRPr="003C7E3B">
        <w:rPr>
          <w:rFonts w:ascii="Tw Cen MT" w:hAnsi="Tw Cen MT"/>
        </w:rPr>
        <w:t xml:space="preserve">GGL can ensure quality and quantity of aviation and diesel fuel is available for ADF, ABF and Australia’s Coalition Allies to meet current strategic, emerging threats and any high-intensity crisis.  </w:t>
      </w:r>
    </w:p>
    <w:p w14:paraId="7F9F2F17" w14:textId="77777777" w:rsidR="007A262E" w:rsidRPr="003C7E3B" w:rsidRDefault="007A262E" w:rsidP="007A262E">
      <w:pPr>
        <w:pStyle w:val="xmsonormal"/>
        <w:jc w:val="both"/>
        <w:rPr>
          <w:rFonts w:ascii="Tw Cen MT" w:hAnsi="Tw Cen MT"/>
        </w:rPr>
      </w:pPr>
    </w:p>
    <w:p w14:paraId="18DE8C15" w14:textId="01472904" w:rsidR="007A262E" w:rsidRPr="003C7E3B" w:rsidRDefault="007A262E" w:rsidP="007A262E">
      <w:pPr>
        <w:pStyle w:val="xmsonormal"/>
        <w:jc w:val="both"/>
        <w:rPr>
          <w:rFonts w:ascii="Tw Cen MT" w:hAnsi="Tw Cen MT"/>
        </w:rPr>
      </w:pPr>
      <w:r w:rsidRPr="003C7E3B">
        <w:rPr>
          <w:rFonts w:ascii="Tw Cen MT" w:hAnsi="Tw Cen MT"/>
        </w:rPr>
        <w:t>GGL understand that the ADF is currently undertaking</w:t>
      </w:r>
      <w:r w:rsidR="00AA62DB">
        <w:rPr>
          <w:rFonts w:ascii="Tw Cen MT" w:hAnsi="Tw Cen MT"/>
        </w:rPr>
        <w:t xml:space="preserve"> the</w:t>
      </w:r>
      <w:r w:rsidRPr="003C7E3B">
        <w:rPr>
          <w:rFonts w:ascii="Tw Cen MT" w:hAnsi="Tw Cen MT"/>
        </w:rPr>
        <w:t xml:space="preserve"> </w:t>
      </w:r>
      <w:r w:rsidRPr="00AA62DB">
        <w:rPr>
          <w:rFonts w:ascii="Tw Cen MT" w:hAnsi="Tw Cen MT"/>
          <w:i/>
          <w:iCs/>
        </w:rPr>
        <w:t>Defence Fuel Transformation Program</w:t>
      </w:r>
      <w:r w:rsidRPr="003C7E3B">
        <w:rPr>
          <w:rFonts w:ascii="Tw Cen MT" w:hAnsi="Tw Cen MT"/>
        </w:rPr>
        <w:t xml:space="preserve"> (DFTP) to improve Defence Fuel Supply Chain nationally and that as part of the DFTP, the ADF has gone out to tender for a Fuel Services Contract (FSC).  While the FSC will address fuel management and supply, we understand it does not address the storage and strategic reserves that may be necessary to respond to a high-intensity crisis.  </w:t>
      </w:r>
      <w:r w:rsidR="00AA62DB">
        <w:rPr>
          <w:rFonts w:ascii="Tw Cen MT" w:hAnsi="Tw Cen MT"/>
        </w:rPr>
        <w:t>GGL’s</w:t>
      </w:r>
      <w:r w:rsidRPr="003C7E3B">
        <w:rPr>
          <w:rFonts w:ascii="Tw Cen MT" w:hAnsi="Tw Cen MT"/>
        </w:rPr>
        <w:t xml:space="preserve"> initiative will help address these storage and strategic fuel challenges.   </w:t>
      </w:r>
    </w:p>
    <w:p w14:paraId="35B965FD" w14:textId="0B59C3C7" w:rsidR="007A262E" w:rsidRPr="003C7E3B" w:rsidRDefault="007A262E" w:rsidP="00B80247">
      <w:pPr>
        <w:pStyle w:val="NoSpacing"/>
        <w:jc w:val="both"/>
        <w:rPr>
          <w:rFonts w:ascii="Tw Cen MT" w:hAnsi="Tw Cen MT" w:cstheme="minorHAnsi"/>
          <w:sz w:val="24"/>
          <w:szCs w:val="24"/>
        </w:rPr>
      </w:pPr>
    </w:p>
    <w:p w14:paraId="151AD631" w14:textId="4CF7580C" w:rsidR="00875233" w:rsidRPr="003C7E3B" w:rsidRDefault="00875233" w:rsidP="00DF1C17">
      <w:pPr>
        <w:spacing w:after="0"/>
        <w:jc w:val="both"/>
        <w:rPr>
          <w:rFonts w:ascii="Tw Cen MT" w:hAnsi="Tw Cen MT" w:cs="Calibri"/>
          <w:sz w:val="24"/>
          <w:szCs w:val="24"/>
        </w:rPr>
      </w:pPr>
      <w:r w:rsidRPr="003C7E3B">
        <w:rPr>
          <w:rFonts w:ascii="Tw Cen MT" w:hAnsi="Tw Cen MT" w:cs="Calibri"/>
          <w:sz w:val="24"/>
          <w:szCs w:val="24"/>
        </w:rPr>
        <w:t>On 16</w:t>
      </w:r>
      <w:r w:rsidR="00525FF4" w:rsidRPr="003C7E3B">
        <w:rPr>
          <w:rFonts w:ascii="Tw Cen MT" w:hAnsi="Tw Cen MT" w:cs="Calibri"/>
          <w:sz w:val="24"/>
          <w:szCs w:val="24"/>
        </w:rPr>
        <w:t xml:space="preserve"> December 2020,</w:t>
      </w:r>
      <w:r w:rsidR="00DF1C17" w:rsidRPr="003C7E3B">
        <w:rPr>
          <w:rFonts w:ascii="Tw Cen MT" w:hAnsi="Tw Cen MT" w:cs="Calibri"/>
          <w:sz w:val="24"/>
          <w:szCs w:val="24"/>
        </w:rPr>
        <w:t xml:space="preserve"> GGL met with the Secretary of Defence, Mr Greg Moriarty, the</w:t>
      </w:r>
      <w:r w:rsidR="00DF1C17" w:rsidRPr="003C7E3B">
        <w:rPr>
          <w:rFonts w:ascii="Tw Cen MT" w:hAnsi="Tw Cen MT"/>
          <w:sz w:val="24"/>
          <w:szCs w:val="24"/>
        </w:rPr>
        <w:t xml:space="preserve"> </w:t>
      </w:r>
      <w:r w:rsidR="00DF1C17" w:rsidRPr="003C7E3B">
        <w:rPr>
          <w:rFonts w:ascii="Tw Cen MT" w:hAnsi="Tw Cen MT" w:cs="Calibri"/>
          <w:sz w:val="24"/>
          <w:szCs w:val="24"/>
        </w:rPr>
        <w:t xml:space="preserve">Deputy Secretary Estate and Infrastructure Group, Mr Steve Grzeskowiak and Head of Navy Capability, Rear Admiral Peter Quinn.  </w:t>
      </w:r>
    </w:p>
    <w:p w14:paraId="78AF67D7" w14:textId="77777777" w:rsidR="00875233" w:rsidRPr="003C7E3B" w:rsidRDefault="00875233" w:rsidP="00DF1C17">
      <w:pPr>
        <w:spacing w:after="0"/>
        <w:jc w:val="both"/>
        <w:rPr>
          <w:rFonts w:ascii="Tw Cen MT" w:hAnsi="Tw Cen MT" w:cs="Calibri"/>
          <w:sz w:val="24"/>
          <w:szCs w:val="24"/>
        </w:rPr>
      </w:pPr>
    </w:p>
    <w:p w14:paraId="546A1F68" w14:textId="6812ACB5" w:rsidR="002A1BC1" w:rsidRDefault="00875233" w:rsidP="00441F06">
      <w:pPr>
        <w:tabs>
          <w:tab w:val="left" w:pos="284"/>
        </w:tabs>
        <w:spacing w:after="0"/>
        <w:jc w:val="both"/>
        <w:rPr>
          <w:rFonts w:ascii="Tw Cen MT" w:hAnsi="Tw Cen MT" w:cs="Calibri"/>
          <w:sz w:val="24"/>
          <w:szCs w:val="24"/>
        </w:rPr>
      </w:pPr>
      <w:r w:rsidRPr="003C7E3B">
        <w:rPr>
          <w:rFonts w:ascii="Tw Cen MT" w:hAnsi="Tw Cen MT" w:cs="Calibri"/>
          <w:sz w:val="24"/>
          <w:szCs w:val="24"/>
        </w:rPr>
        <w:t xml:space="preserve">GGL </w:t>
      </w:r>
      <w:r w:rsidR="00DF1C17" w:rsidRPr="003C7E3B">
        <w:rPr>
          <w:rFonts w:ascii="Tw Cen MT" w:hAnsi="Tw Cen MT" w:cs="Calibri"/>
          <w:sz w:val="24"/>
          <w:szCs w:val="24"/>
        </w:rPr>
        <w:t xml:space="preserve">also had the opportunity to meet with the US Naval Attaché, Captain Matthew Ort on 15 December 2020 (which followed on from </w:t>
      </w:r>
      <w:r w:rsidR="008336E5">
        <w:rPr>
          <w:rFonts w:ascii="Tw Cen MT" w:hAnsi="Tw Cen MT" w:cs="Calibri"/>
          <w:sz w:val="24"/>
          <w:szCs w:val="24"/>
        </w:rPr>
        <w:t>GGL’s</w:t>
      </w:r>
      <w:r w:rsidR="00DF1C17" w:rsidRPr="003C7E3B">
        <w:rPr>
          <w:rFonts w:ascii="Tw Cen MT" w:hAnsi="Tw Cen MT" w:cs="Calibri"/>
          <w:sz w:val="24"/>
          <w:szCs w:val="24"/>
        </w:rPr>
        <w:t xml:space="preserve"> meeting with the US Consul General David J Gainer in Perth on 20 August 2020).  Both the Consul General and Captain Ort understood the strategic importance of the </w:t>
      </w:r>
      <w:r w:rsidR="008336E5">
        <w:rPr>
          <w:rFonts w:ascii="Tw Cen MT" w:hAnsi="Tw Cen MT" w:cs="Calibri"/>
          <w:sz w:val="24"/>
          <w:szCs w:val="24"/>
        </w:rPr>
        <w:t>Port</w:t>
      </w:r>
      <w:r w:rsidR="00DF1C17" w:rsidRPr="003C7E3B">
        <w:rPr>
          <w:rFonts w:ascii="Tw Cen MT" w:hAnsi="Tw Cen MT" w:cs="Calibri"/>
          <w:sz w:val="24"/>
          <w:szCs w:val="24"/>
        </w:rPr>
        <w:t xml:space="preserve"> and recognised how Gascoyne Gateway could significantly support the enhanced maritime cooperation between the US and Australia in the region and have asked us to continue to keep them abreast of</w:t>
      </w:r>
      <w:r w:rsidR="002A1BC1">
        <w:rPr>
          <w:rFonts w:ascii="Tw Cen MT" w:hAnsi="Tw Cen MT" w:cs="Calibri"/>
          <w:sz w:val="24"/>
          <w:szCs w:val="24"/>
        </w:rPr>
        <w:t xml:space="preserve"> the project’s</w:t>
      </w:r>
      <w:r w:rsidR="00DF1C17" w:rsidRPr="003C7E3B">
        <w:rPr>
          <w:rFonts w:ascii="Tw Cen MT" w:hAnsi="Tw Cen MT" w:cs="Calibri"/>
          <w:sz w:val="24"/>
          <w:szCs w:val="24"/>
        </w:rPr>
        <w:t xml:space="preserve"> progress.</w:t>
      </w:r>
    </w:p>
    <w:p w14:paraId="28F4DEA1" w14:textId="451351C5" w:rsidR="002E202C" w:rsidRDefault="002E202C">
      <w:pPr>
        <w:rPr>
          <w:rFonts w:ascii="Tw Cen MT" w:hAnsi="Tw Cen MT" w:cs="Calibri"/>
          <w:sz w:val="24"/>
          <w:szCs w:val="24"/>
        </w:rPr>
      </w:pPr>
      <w:r>
        <w:rPr>
          <w:rFonts w:ascii="Tw Cen MT" w:hAnsi="Tw Cen MT" w:cs="Calibri"/>
          <w:sz w:val="24"/>
          <w:szCs w:val="24"/>
        </w:rPr>
        <w:br w:type="page"/>
      </w:r>
    </w:p>
    <w:p w14:paraId="1134D639" w14:textId="77777777" w:rsidR="003C24CD" w:rsidRDefault="003C24CD" w:rsidP="00DF1C17">
      <w:pPr>
        <w:spacing w:after="0"/>
        <w:jc w:val="both"/>
        <w:rPr>
          <w:rFonts w:ascii="Tw Cen MT" w:hAnsi="Tw Cen MT" w:cs="Calibri"/>
          <w:sz w:val="24"/>
          <w:szCs w:val="24"/>
        </w:rPr>
      </w:pPr>
    </w:p>
    <w:tbl>
      <w:tblPr>
        <w:tblStyle w:val="GridTable5Dark-Accent2"/>
        <w:tblW w:w="9493" w:type="dxa"/>
        <w:tblLook w:val="04A0" w:firstRow="1" w:lastRow="0" w:firstColumn="1" w:lastColumn="0" w:noHBand="0" w:noVBand="1"/>
      </w:tblPr>
      <w:tblGrid>
        <w:gridCol w:w="562"/>
        <w:gridCol w:w="6096"/>
        <w:gridCol w:w="2835"/>
      </w:tblGrid>
      <w:tr w:rsidR="002A1BC1" w:rsidRPr="003C7E3B" w14:paraId="18C9890F" w14:textId="77777777" w:rsidTr="008D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385F645" w14:textId="77777777" w:rsidR="002A1BC1" w:rsidRPr="003C7E3B" w:rsidRDefault="002A1BC1" w:rsidP="008D62C0">
            <w:pPr>
              <w:pStyle w:val="NoSpacing"/>
              <w:rPr>
                <w:rFonts w:ascii="Tw Cen MT" w:hAnsi="Tw Cen MT" w:cstheme="minorHAnsi"/>
                <w:sz w:val="24"/>
                <w:szCs w:val="24"/>
              </w:rPr>
            </w:pPr>
            <w:r w:rsidRPr="003C7E3B">
              <w:rPr>
                <w:rFonts w:ascii="Tw Cen MT" w:hAnsi="Tw Cen MT" w:cstheme="minorHAnsi"/>
                <w:sz w:val="24"/>
                <w:szCs w:val="24"/>
              </w:rPr>
              <w:t>No</w:t>
            </w:r>
          </w:p>
        </w:tc>
        <w:tc>
          <w:tcPr>
            <w:tcW w:w="6096" w:type="dxa"/>
            <w:vAlign w:val="center"/>
          </w:tcPr>
          <w:p w14:paraId="054586AB" w14:textId="62B5A590" w:rsidR="002A1BC1" w:rsidRPr="003C7E3B" w:rsidRDefault="002A1BC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GGL RECOMMENDATION</w:t>
            </w:r>
            <w:r>
              <w:rPr>
                <w:rFonts w:ascii="Tw Cen MT" w:hAnsi="Tw Cen MT" w:cstheme="minorHAnsi"/>
                <w:sz w:val="24"/>
                <w:szCs w:val="24"/>
              </w:rPr>
              <w:t xml:space="preserve"> FOUR</w:t>
            </w:r>
          </w:p>
        </w:tc>
        <w:tc>
          <w:tcPr>
            <w:tcW w:w="2835" w:type="dxa"/>
            <w:vAlign w:val="center"/>
          </w:tcPr>
          <w:p w14:paraId="574BFA2E" w14:textId="77777777" w:rsidR="002A1BC1" w:rsidRPr="003C7E3B" w:rsidRDefault="002A1BC1"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 (AUD including GST)</w:t>
            </w:r>
          </w:p>
        </w:tc>
      </w:tr>
      <w:tr w:rsidR="002A1BC1" w:rsidRPr="003C7E3B" w14:paraId="0DBE9964" w14:textId="77777777" w:rsidTr="008D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FCA271C" w14:textId="77777777" w:rsidR="002A1BC1" w:rsidRPr="003C7E3B" w:rsidRDefault="002A1BC1" w:rsidP="002A1BC1">
            <w:pPr>
              <w:pStyle w:val="NoSpacing"/>
              <w:numPr>
                <w:ilvl w:val="0"/>
                <w:numId w:val="31"/>
              </w:numPr>
              <w:rPr>
                <w:rFonts w:ascii="Tw Cen MT" w:hAnsi="Tw Cen MT" w:cstheme="minorHAnsi"/>
                <w:sz w:val="24"/>
                <w:szCs w:val="24"/>
              </w:rPr>
            </w:pPr>
          </w:p>
        </w:tc>
        <w:tc>
          <w:tcPr>
            <w:tcW w:w="6096" w:type="dxa"/>
            <w:vAlign w:val="center"/>
          </w:tcPr>
          <w:p w14:paraId="294B1CDD" w14:textId="77777777" w:rsidR="002A1BC1" w:rsidRPr="003C7E3B" w:rsidRDefault="002A1BC1"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recognise that GGL’s initiative will bolster Australia’s domestic fuel security and ease pressures on the nation’s refineries</w:t>
            </w:r>
          </w:p>
        </w:tc>
        <w:tc>
          <w:tcPr>
            <w:tcW w:w="2835" w:type="dxa"/>
            <w:vAlign w:val="center"/>
          </w:tcPr>
          <w:p w14:paraId="419F0CE6" w14:textId="77777777" w:rsidR="002A1BC1" w:rsidRPr="003C7E3B" w:rsidRDefault="002A1BC1"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 TBC TBC</w:t>
            </w:r>
          </w:p>
        </w:tc>
      </w:tr>
    </w:tbl>
    <w:p w14:paraId="4CF73A57" w14:textId="77777777" w:rsidR="002A1BC1" w:rsidRPr="003C7E3B" w:rsidRDefault="002A1BC1" w:rsidP="00DF1C17">
      <w:pPr>
        <w:spacing w:after="0"/>
        <w:jc w:val="both"/>
        <w:rPr>
          <w:rFonts w:ascii="Tw Cen MT" w:hAnsi="Tw Cen MT" w:cs="Calibri"/>
          <w:sz w:val="24"/>
          <w:szCs w:val="24"/>
        </w:rPr>
      </w:pPr>
    </w:p>
    <w:p w14:paraId="4F0A6876" w14:textId="36693C0A" w:rsidR="00887BA6" w:rsidRPr="003C7E3B" w:rsidRDefault="00887BA6" w:rsidP="00B80247">
      <w:pPr>
        <w:pStyle w:val="NoSpacing"/>
        <w:jc w:val="both"/>
        <w:rPr>
          <w:rFonts w:ascii="Tw Cen MT" w:hAnsi="Tw Cen MT" w:cstheme="minorHAnsi"/>
          <w:b/>
          <w:bCs/>
          <w:color w:val="C45911" w:themeColor="accent2" w:themeShade="BF"/>
          <w:sz w:val="24"/>
          <w:szCs w:val="24"/>
        </w:rPr>
      </w:pPr>
      <w:r w:rsidRPr="003C7E3B">
        <w:rPr>
          <w:rFonts w:ascii="Tw Cen MT" w:hAnsi="Tw Cen MT" w:cstheme="minorHAnsi"/>
          <w:b/>
          <w:bCs/>
          <w:color w:val="C45911" w:themeColor="accent2" w:themeShade="BF"/>
          <w:sz w:val="24"/>
          <w:szCs w:val="24"/>
        </w:rPr>
        <w:t>Morrison Government’s Fuel Storage Initiatives</w:t>
      </w:r>
    </w:p>
    <w:p w14:paraId="07CC200D" w14:textId="2C977A77" w:rsidR="007A262E" w:rsidRPr="003C7E3B" w:rsidRDefault="00203429" w:rsidP="00887BA6">
      <w:pPr>
        <w:pStyle w:val="NoSpacing"/>
        <w:jc w:val="both"/>
        <w:rPr>
          <w:rFonts w:ascii="Tw Cen MT" w:hAnsi="Tw Cen MT" w:cs="Calibri"/>
          <w:sz w:val="24"/>
          <w:szCs w:val="24"/>
        </w:rPr>
      </w:pPr>
      <w:r w:rsidRPr="003C7E3B">
        <w:rPr>
          <w:rFonts w:ascii="Tw Cen MT" w:hAnsi="Tw Cen MT" w:cs="Calibri"/>
          <w:sz w:val="24"/>
          <w:szCs w:val="24"/>
        </w:rPr>
        <w:t xml:space="preserve">Supporting the Morrison </w:t>
      </w:r>
      <w:r w:rsidR="00185E1C" w:rsidRPr="003C7E3B">
        <w:rPr>
          <w:rFonts w:ascii="Tw Cen MT" w:hAnsi="Tw Cen MT" w:cs="Calibri"/>
          <w:sz w:val="24"/>
          <w:szCs w:val="24"/>
        </w:rPr>
        <w:t>Government’s</w:t>
      </w:r>
      <w:r w:rsidRPr="003C7E3B">
        <w:rPr>
          <w:rFonts w:ascii="Tw Cen MT" w:hAnsi="Tw Cen MT" w:cs="Calibri"/>
          <w:sz w:val="24"/>
          <w:szCs w:val="24"/>
        </w:rPr>
        <w:t xml:space="preserve"> comprehensive Fuel Security Packages that w</w:t>
      </w:r>
      <w:r w:rsidR="00185E1C" w:rsidRPr="003C7E3B">
        <w:rPr>
          <w:rFonts w:ascii="Tw Cen MT" w:hAnsi="Tw Cen MT" w:cs="Calibri"/>
          <w:sz w:val="24"/>
          <w:szCs w:val="24"/>
        </w:rPr>
        <w:t xml:space="preserve">ere </w:t>
      </w:r>
      <w:r w:rsidRPr="003C7E3B">
        <w:rPr>
          <w:rFonts w:ascii="Tw Cen MT" w:hAnsi="Tw Cen MT" w:cs="Calibri"/>
          <w:sz w:val="24"/>
          <w:szCs w:val="24"/>
        </w:rPr>
        <w:t xml:space="preserve">announced in the 2020-21 Federal Budget, </w:t>
      </w:r>
      <w:r w:rsidR="00B42999" w:rsidRPr="003C7E3B">
        <w:rPr>
          <w:rFonts w:ascii="Tw Cen MT" w:hAnsi="Tw Cen MT" w:cs="Calibri"/>
          <w:sz w:val="24"/>
          <w:szCs w:val="24"/>
        </w:rPr>
        <w:t>GGL’s</w:t>
      </w:r>
      <w:r w:rsidR="007A262E" w:rsidRPr="003C7E3B">
        <w:rPr>
          <w:rFonts w:ascii="Tw Cen MT" w:hAnsi="Tw Cen MT" w:cs="Calibri"/>
          <w:sz w:val="24"/>
          <w:szCs w:val="24"/>
        </w:rPr>
        <w:t xml:space="preserve"> </w:t>
      </w:r>
      <w:r w:rsidR="00185E1C" w:rsidRPr="003C7E3B">
        <w:rPr>
          <w:rFonts w:ascii="Tw Cen MT" w:hAnsi="Tw Cen MT" w:cs="Calibri"/>
          <w:sz w:val="24"/>
          <w:szCs w:val="24"/>
        </w:rPr>
        <w:t>P</w:t>
      </w:r>
      <w:r w:rsidR="007A262E" w:rsidRPr="003C7E3B">
        <w:rPr>
          <w:rFonts w:ascii="Tw Cen MT" w:hAnsi="Tw Cen MT" w:cs="Calibri"/>
          <w:sz w:val="24"/>
          <w:szCs w:val="24"/>
        </w:rPr>
        <w:t>ort will include a 25+ million litre fuel storage facility that will see over a 100 million litres of throughput per annum</w:t>
      </w:r>
      <w:r w:rsidRPr="003C7E3B">
        <w:rPr>
          <w:rFonts w:ascii="Tw Cen MT" w:hAnsi="Tw Cen MT" w:cs="Calibri"/>
          <w:sz w:val="24"/>
          <w:szCs w:val="24"/>
        </w:rPr>
        <w:t>.  This</w:t>
      </w:r>
      <w:r w:rsidR="007A262E" w:rsidRPr="003C7E3B">
        <w:rPr>
          <w:rFonts w:ascii="Tw Cen MT" w:hAnsi="Tw Cen MT" w:cs="Calibri"/>
          <w:sz w:val="24"/>
          <w:szCs w:val="24"/>
        </w:rPr>
        <w:t xml:space="preserve"> will provide a state-of-the-art sovereign fuel facility to provide aviation and diesel fuel for both the ADF and ABF’s operational and contingency use. It will also provide commercial distribution in the Gascoyne/West Pilbara region.</w:t>
      </w:r>
      <w:r w:rsidR="008D62C0">
        <w:rPr>
          <w:rFonts w:ascii="Tw Cen MT" w:hAnsi="Tw Cen MT" w:cs="Calibri"/>
          <w:sz w:val="24"/>
          <w:szCs w:val="24"/>
        </w:rPr>
        <w:t xml:space="preserve"> Altogether, this initiative seeks to strengthen </w:t>
      </w:r>
      <w:r w:rsidR="00F7736C">
        <w:rPr>
          <w:rFonts w:ascii="Tw Cen MT" w:hAnsi="Tw Cen MT" w:cs="Calibri"/>
          <w:sz w:val="24"/>
          <w:szCs w:val="24"/>
        </w:rPr>
        <w:t>Australia’s</w:t>
      </w:r>
      <w:r w:rsidR="008D62C0">
        <w:rPr>
          <w:rFonts w:ascii="Tw Cen MT" w:hAnsi="Tw Cen MT" w:cs="Calibri"/>
          <w:sz w:val="24"/>
          <w:szCs w:val="24"/>
        </w:rPr>
        <w:t xml:space="preserve"> fuel security while also supporting the economy and local investment and jobs in the Gascoyne region. </w:t>
      </w:r>
    </w:p>
    <w:p w14:paraId="4FECD8D1" w14:textId="77777777" w:rsidR="007A262E" w:rsidRPr="003C7E3B" w:rsidRDefault="007A262E" w:rsidP="00887BA6">
      <w:pPr>
        <w:pStyle w:val="NoSpacing"/>
        <w:jc w:val="both"/>
        <w:rPr>
          <w:rFonts w:ascii="Tw Cen MT" w:hAnsi="Tw Cen MT" w:cs="Calibri"/>
          <w:sz w:val="24"/>
          <w:szCs w:val="24"/>
        </w:rPr>
      </w:pPr>
    </w:p>
    <w:p w14:paraId="044AF667" w14:textId="6A909396" w:rsidR="00887BA6" w:rsidRPr="003C7E3B" w:rsidRDefault="00A2658E" w:rsidP="00887BA6">
      <w:pPr>
        <w:pStyle w:val="NoSpacing"/>
        <w:jc w:val="both"/>
        <w:rPr>
          <w:rFonts w:ascii="Tw Cen MT" w:eastAsia="Times New Roman" w:hAnsi="Tw Cen MT" w:cstheme="minorHAnsi"/>
          <w:color w:val="000000"/>
          <w:sz w:val="24"/>
          <w:szCs w:val="24"/>
          <w:lang w:eastAsia="en-AU"/>
        </w:rPr>
      </w:pPr>
      <w:r>
        <w:rPr>
          <w:rFonts w:ascii="Tw Cen MT" w:eastAsia="Times New Roman" w:hAnsi="Tw Cen MT" w:cstheme="minorHAnsi"/>
          <w:color w:val="000000"/>
          <w:sz w:val="24"/>
          <w:szCs w:val="24"/>
          <w:lang w:eastAsia="en-AU"/>
        </w:rPr>
        <w:t>Australia’s fuel supplies have</w:t>
      </w:r>
      <w:r w:rsidR="008D62C0">
        <w:rPr>
          <w:rFonts w:ascii="Tw Cen MT" w:eastAsia="Times New Roman" w:hAnsi="Tw Cen MT" w:cstheme="minorHAnsi"/>
          <w:color w:val="000000"/>
          <w:sz w:val="24"/>
          <w:szCs w:val="24"/>
          <w:lang w:eastAsia="en-AU"/>
        </w:rPr>
        <w:t xml:space="preserve"> remained</w:t>
      </w:r>
      <w:r>
        <w:rPr>
          <w:rFonts w:ascii="Tw Cen MT" w:eastAsia="Times New Roman" w:hAnsi="Tw Cen MT" w:cstheme="minorHAnsi"/>
          <w:color w:val="000000"/>
          <w:sz w:val="24"/>
          <w:szCs w:val="24"/>
          <w:lang w:eastAsia="en-AU"/>
        </w:rPr>
        <w:t xml:space="preserve"> robust for decades now through both major market and supply disruptions, </w:t>
      </w:r>
      <w:r w:rsidR="008D62C0">
        <w:rPr>
          <w:rFonts w:ascii="Tw Cen MT" w:eastAsia="Times New Roman" w:hAnsi="Tw Cen MT" w:cstheme="minorHAnsi"/>
          <w:color w:val="000000"/>
          <w:sz w:val="24"/>
          <w:szCs w:val="24"/>
          <w:lang w:eastAsia="en-AU"/>
        </w:rPr>
        <w:t xml:space="preserve">truly </w:t>
      </w:r>
      <w:r>
        <w:rPr>
          <w:rFonts w:ascii="Tw Cen MT" w:eastAsia="Times New Roman" w:hAnsi="Tw Cen MT" w:cstheme="minorHAnsi"/>
          <w:color w:val="000000"/>
          <w:sz w:val="24"/>
          <w:szCs w:val="24"/>
          <w:lang w:eastAsia="en-AU"/>
        </w:rPr>
        <w:t xml:space="preserve">an accomplishment to be proud of. However, as refineries close due to competitive pressure, Australia is increasingly reliant on imported fuel.  </w:t>
      </w:r>
      <w:r w:rsidR="00887BA6" w:rsidRPr="003C7E3B">
        <w:rPr>
          <w:rFonts w:ascii="Tw Cen MT" w:eastAsia="Times New Roman" w:hAnsi="Tw Cen MT" w:cstheme="minorHAnsi"/>
          <w:color w:val="000000"/>
          <w:sz w:val="24"/>
          <w:szCs w:val="24"/>
          <w:lang w:eastAsia="en-AU"/>
        </w:rPr>
        <w:t>GGL understand that most aviation fuel supplies are sourced through BP Kwinana and road freighted (1300km) to Exmouth. This may suggest that there may not be enough fuel tanker trucks to sustain contingency or surge aviation operations, as we understand was the case during the MH-370 search when intensive search operations exerted considerable pressure on WA aviation fuel stocks.</w:t>
      </w:r>
    </w:p>
    <w:p w14:paraId="0681BC07" w14:textId="77777777" w:rsidR="00887BA6" w:rsidRPr="003C7E3B" w:rsidRDefault="00887BA6" w:rsidP="00887BA6">
      <w:pPr>
        <w:pStyle w:val="NoSpacing"/>
        <w:jc w:val="both"/>
        <w:rPr>
          <w:rFonts w:ascii="Tw Cen MT" w:eastAsia="Times New Roman" w:hAnsi="Tw Cen MT" w:cstheme="minorHAnsi"/>
          <w:color w:val="000000"/>
          <w:sz w:val="24"/>
          <w:szCs w:val="24"/>
          <w:lang w:eastAsia="en-AU"/>
        </w:rPr>
      </w:pPr>
    </w:p>
    <w:p w14:paraId="1FEE359D" w14:textId="07C6C3B4" w:rsidR="00A2658E" w:rsidRDefault="00887BA6" w:rsidP="00887BA6">
      <w:pPr>
        <w:pStyle w:val="Default"/>
        <w:jc w:val="both"/>
        <w:rPr>
          <w:rFonts w:ascii="Tw Cen MT" w:hAnsi="Tw Cen MT"/>
        </w:rPr>
      </w:pPr>
      <w:r w:rsidRPr="003C7E3B">
        <w:rPr>
          <w:rFonts w:ascii="Tw Cen MT" w:hAnsi="Tw Cen MT"/>
        </w:rPr>
        <w:t xml:space="preserve">Each year approximately </w:t>
      </w:r>
      <w:r w:rsidR="00F768E7">
        <w:rPr>
          <w:rFonts w:ascii="Tw Cen MT" w:hAnsi="Tw Cen MT"/>
        </w:rPr>
        <w:t>thirteen</w:t>
      </w:r>
      <w:r w:rsidRPr="003C7E3B">
        <w:rPr>
          <w:rFonts w:ascii="Tw Cen MT" w:hAnsi="Tw Cen MT"/>
        </w:rPr>
        <w:t xml:space="preserve"> (</w:t>
      </w:r>
      <w:r w:rsidR="00F768E7">
        <w:rPr>
          <w:rFonts w:ascii="Tw Cen MT" w:hAnsi="Tw Cen MT"/>
        </w:rPr>
        <w:t>13</w:t>
      </w:r>
      <w:r w:rsidRPr="003C7E3B">
        <w:rPr>
          <w:rFonts w:ascii="Tw Cen MT" w:hAnsi="Tw Cen MT"/>
        </w:rPr>
        <w:t xml:space="preserve">) million litres of diesel fuel is imported to be stored at the Naval Communication Station Harold E. Holt (HEH), located </w:t>
      </w:r>
      <w:r w:rsidR="00F768E7">
        <w:rPr>
          <w:rFonts w:ascii="Tw Cen MT" w:hAnsi="Tw Cen MT"/>
        </w:rPr>
        <w:t>25</w:t>
      </w:r>
      <w:r w:rsidRPr="003C7E3B">
        <w:rPr>
          <w:rFonts w:ascii="Tw Cen MT" w:hAnsi="Tw Cen MT"/>
        </w:rPr>
        <w:t xml:space="preserve"> kilometres north of Exmouth. It is transferred via civilian tankers using the Navy Pier at Point Murat (within the Ningaloo World Heritage Marine Park). </w:t>
      </w:r>
      <w:r w:rsidR="00407946">
        <w:rPr>
          <w:rFonts w:ascii="Tw Cen MT" w:hAnsi="Tw Cen MT"/>
        </w:rPr>
        <w:t xml:space="preserve"> T</w:t>
      </w:r>
      <w:r w:rsidRPr="003C7E3B">
        <w:rPr>
          <w:rFonts w:ascii="Tw Cen MT" w:hAnsi="Tw Cen MT"/>
        </w:rPr>
        <w:t xml:space="preserve">he Navy Pier is </w:t>
      </w:r>
      <w:r w:rsidR="00407946">
        <w:rPr>
          <w:rFonts w:ascii="Tw Cen MT" w:hAnsi="Tw Cen MT"/>
        </w:rPr>
        <w:t xml:space="preserve">generally </w:t>
      </w:r>
      <w:r w:rsidRPr="003C7E3B">
        <w:rPr>
          <w:rFonts w:ascii="Tw Cen MT" w:hAnsi="Tw Cen MT"/>
        </w:rPr>
        <w:t xml:space="preserve">utilised </w:t>
      </w:r>
      <w:r w:rsidR="00407946">
        <w:rPr>
          <w:rFonts w:ascii="Tw Cen MT" w:hAnsi="Tw Cen MT"/>
        </w:rPr>
        <w:t xml:space="preserve">by fuel tanker vessels </w:t>
      </w:r>
      <w:r w:rsidRPr="003C7E3B">
        <w:rPr>
          <w:rFonts w:ascii="Tw Cen MT" w:hAnsi="Tw Cen MT"/>
        </w:rPr>
        <w:t>approximately once each year to facilitate this transfer and the HEH tanks are replenished before cyclone season to ensure that sufficient stocks are maintained, to reduce operational risk.</w:t>
      </w:r>
      <w:r w:rsidR="00A2658E">
        <w:rPr>
          <w:rFonts w:ascii="Tw Cen MT" w:hAnsi="Tw Cen MT"/>
        </w:rPr>
        <w:t xml:space="preserve"> </w:t>
      </w:r>
      <w:r w:rsidRPr="003C7E3B">
        <w:rPr>
          <w:rFonts w:ascii="Tw Cen MT" w:hAnsi="Tw Cen MT"/>
        </w:rPr>
        <w:t xml:space="preserve"> GGL understands that this risk has been previously realised when cyclones have damaged the storage facility and thus isolated the facility from resupply. </w:t>
      </w:r>
    </w:p>
    <w:p w14:paraId="593D8714" w14:textId="77777777" w:rsidR="00A2658E" w:rsidRPr="003C7E3B" w:rsidRDefault="00A2658E" w:rsidP="00887BA6">
      <w:pPr>
        <w:pStyle w:val="Default"/>
        <w:jc w:val="both"/>
        <w:rPr>
          <w:rFonts w:ascii="Tw Cen MT" w:hAnsi="Tw Cen MT"/>
        </w:rPr>
      </w:pPr>
    </w:p>
    <w:p w14:paraId="48CFE7AB" w14:textId="77463BC3" w:rsidR="00887BA6" w:rsidRPr="003C7E3B" w:rsidRDefault="00A2658E" w:rsidP="00887BA6">
      <w:pPr>
        <w:pStyle w:val="Default"/>
        <w:jc w:val="both"/>
        <w:rPr>
          <w:rFonts w:ascii="Tw Cen MT" w:hAnsi="Tw Cen MT"/>
        </w:rPr>
      </w:pPr>
      <w:r>
        <w:rPr>
          <w:rFonts w:ascii="Tw Cen MT" w:hAnsi="Tw Cen MT"/>
        </w:rPr>
        <w:t xml:space="preserve">As Australia enters a more unpredictable environment both strategically and economically, the Government must be prepared for any significant event that can disrupt our supply chains.  </w:t>
      </w:r>
      <w:r w:rsidR="00887BA6" w:rsidRPr="003C7E3B">
        <w:rPr>
          <w:rFonts w:ascii="Tw Cen MT" w:hAnsi="Tw Cen MT"/>
        </w:rPr>
        <w:t xml:space="preserve">GGL proposes to provide a sovereign capability for the HEH fuel import arrangement on behalf of the ADF and ABF with the following key objectives: </w:t>
      </w:r>
    </w:p>
    <w:p w14:paraId="219AE891" w14:textId="77777777" w:rsidR="00887BA6" w:rsidRPr="003C7E3B" w:rsidRDefault="00887BA6" w:rsidP="00887BA6">
      <w:pPr>
        <w:pStyle w:val="Default"/>
        <w:jc w:val="both"/>
        <w:rPr>
          <w:rFonts w:ascii="Tw Cen MT" w:hAnsi="Tw Cen MT"/>
        </w:rPr>
      </w:pPr>
    </w:p>
    <w:p w14:paraId="6AF7645C" w14:textId="53614C97" w:rsidR="00887BA6" w:rsidRPr="003C7E3B" w:rsidRDefault="00887BA6" w:rsidP="00B02408">
      <w:pPr>
        <w:pStyle w:val="Default"/>
        <w:numPr>
          <w:ilvl w:val="0"/>
          <w:numId w:val="19"/>
        </w:numPr>
        <w:jc w:val="both"/>
        <w:rPr>
          <w:rFonts w:ascii="Tw Cen MT" w:hAnsi="Tw Cen MT"/>
        </w:rPr>
      </w:pPr>
      <w:r w:rsidRPr="003C7E3B">
        <w:rPr>
          <w:rFonts w:ascii="Tw Cen MT" w:hAnsi="Tw Cen MT"/>
        </w:rPr>
        <w:t xml:space="preserve">Provide the ADF and ABF with a state-of-the-art sovereign fuel facility to provide aviation and diesel fuel for both the ADF and ABF’s use and commercial distribution in the Gascoyne/West Pilbara. GGL will ensure that the sovereign fuel supply at their Port will ‘turned over’ approximately once per quarter assuring year-round, high-quality fuel availability; </w:t>
      </w:r>
    </w:p>
    <w:p w14:paraId="2FD20413" w14:textId="110354C9" w:rsidR="00887BA6" w:rsidRPr="003C7E3B" w:rsidRDefault="00887BA6" w:rsidP="00B02408">
      <w:pPr>
        <w:pStyle w:val="Default"/>
        <w:numPr>
          <w:ilvl w:val="0"/>
          <w:numId w:val="19"/>
        </w:numPr>
        <w:jc w:val="both"/>
        <w:rPr>
          <w:rFonts w:ascii="Tw Cen MT" w:hAnsi="Tw Cen MT"/>
        </w:rPr>
      </w:pPr>
      <w:r w:rsidRPr="003C7E3B">
        <w:rPr>
          <w:rFonts w:ascii="Tw Cen MT" w:hAnsi="Tw Cen MT"/>
        </w:rPr>
        <w:t xml:space="preserve">Provide a </w:t>
      </w:r>
      <w:r w:rsidR="00A710D0">
        <w:rPr>
          <w:rFonts w:ascii="Tw Cen MT" w:hAnsi="Tw Cen MT"/>
        </w:rPr>
        <w:t xml:space="preserve">minimum </w:t>
      </w:r>
      <w:r w:rsidRPr="003C7E3B">
        <w:rPr>
          <w:rFonts w:ascii="Tw Cen MT" w:hAnsi="Tw Cen MT"/>
        </w:rPr>
        <w:t xml:space="preserve">30-million litre storage facility that will see 100 million litres of usage per annum. Currently, this does not include any contingency or strategic reserve for ADF; </w:t>
      </w:r>
    </w:p>
    <w:p w14:paraId="7307097D" w14:textId="77777777" w:rsidR="002E202C" w:rsidRDefault="002E202C" w:rsidP="002E202C">
      <w:pPr>
        <w:pStyle w:val="Default"/>
        <w:ind w:left="360"/>
        <w:jc w:val="both"/>
        <w:rPr>
          <w:rFonts w:ascii="Tw Cen MT" w:hAnsi="Tw Cen MT"/>
        </w:rPr>
      </w:pPr>
    </w:p>
    <w:p w14:paraId="65BD8B97" w14:textId="77777777" w:rsidR="002E202C" w:rsidRDefault="002E202C" w:rsidP="002E202C">
      <w:pPr>
        <w:pStyle w:val="Default"/>
        <w:ind w:left="360"/>
        <w:jc w:val="both"/>
        <w:rPr>
          <w:rFonts w:ascii="Tw Cen MT" w:hAnsi="Tw Cen MT"/>
        </w:rPr>
      </w:pPr>
    </w:p>
    <w:p w14:paraId="26F3210C" w14:textId="70040841" w:rsidR="00887BA6" w:rsidRPr="003C7E3B" w:rsidRDefault="00887BA6" w:rsidP="00B02408">
      <w:pPr>
        <w:pStyle w:val="Default"/>
        <w:numPr>
          <w:ilvl w:val="0"/>
          <w:numId w:val="19"/>
        </w:numPr>
        <w:jc w:val="both"/>
        <w:rPr>
          <w:rFonts w:ascii="Tw Cen MT" w:hAnsi="Tw Cen MT"/>
        </w:rPr>
      </w:pPr>
      <w:r w:rsidRPr="003C7E3B">
        <w:rPr>
          <w:rFonts w:ascii="Tw Cen MT" w:hAnsi="Tw Cen MT"/>
        </w:rPr>
        <w:t xml:space="preserve">Remove </w:t>
      </w:r>
      <w:r w:rsidR="001B3CFF">
        <w:rPr>
          <w:rFonts w:ascii="Tw Cen MT" w:hAnsi="Tw Cen MT"/>
        </w:rPr>
        <w:t xml:space="preserve">ongoing </w:t>
      </w:r>
      <w:r w:rsidRPr="003C7E3B">
        <w:rPr>
          <w:rFonts w:ascii="Tw Cen MT" w:hAnsi="Tw Cen MT"/>
        </w:rPr>
        <w:t xml:space="preserve">risk to the Commonwealth for an accidental fuel spill inside the Ningaloo marine park and instead, see the operation conducted more frequently and remotely from the marine park; </w:t>
      </w:r>
    </w:p>
    <w:p w14:paraId="39CFF52E" w14:textId="77777777" w:rsidR="00135F03" w:rsidRDefault="00887BA6" w:rsidP="00B02408">
      <w:pPr>
        <w:pStyle w:val="Default"/>
        <w:numPr>
          <w:ilvl w:val="0"/>
          <w:numId w:val="19"/>
        </w:numPr>
        <w:jc w:val="both"/>
        <w:rPr>
          <w:rFonts w:ascii="Tw Cen MT" w:hAnsi="Tw Cen MT"/>
        </w:rPr>
      </w:pPr>
      <w:r w:rsidRPr="003C7E3B">
        <w:rPr>
          <w:rFonts w:ascii="Tw Cen MT" w:hAnsi="Tw Cen MT"/>
        </w:rPr>
        <w:t xml:space="preserve">To offset the approximate $2.5m p/a maintenance costs of HEH (including a daily 20-26,000 litres of diesel to power its VLF transmitters), GGL propose that the current independent tankage could be </w:t>
      </w:r>
      <w:r w:rsidR="00E22AC7" w:rsidRPr="003C7E3B">
        <w:rPr>
          <w:rFonts w:ascii="Tw Cen MT" w:hAnsi="Tw Cen MT"/>
        </w:rPr>
        <w:t>reduced,</w:t>
      </w:r>
      <w:r w:rsidRPr="003C7E3B">
        <w:rPr>
          <w:rFonts w:ascii="Tw Cen MT" w:hAnsi="Tw Cen MT"/>
        </w:rPr>
        <w:t xml:space="preserve"> and all fuels sourced via a daily 20k road tanker (identical to those that provide fuel supplies to service stations); </w:t>
      </w:r>
    </w:p>
    <w:p w14:paraId="5847A286" w14:textId="55AEE7E2" w:rsidR="00887BA6" w:rsidRPr="003C7E3B" w:rsidRDefault="00135F03" w:rsidP="00B02408">
      <w:pPr>
        <w:pStyle w:val="Default"/>
        <w:numPr>
          <w:ilvl w:val="0"/>
          <w:numId w:val="19"/>
        </w:numPr>
        <w:jc w:val="both"/>
        <w:rPr>
          <w:rFonts w:ascii="Tw Cen MT" w:hAnsi="Tw Cen MT"/>
        </w:rPr>
      </w:pPr>
      <w:r>
        <w:rPr>
          <w:rFonts w:ascii="Tw Cen MT" w:hAnsi="Tw Cen MT"/>
        </w:rPr>
        <w:t xml:space="preserve">Potentially offer replenishment </w:t>
      </w:r>
      <w:r w:rsidR="00396DBF">
        <w:rPr>
          <w:rFonts w:ascii="Tw Cen MT" w:hAnsi="Tw Cen MT"/>
        </w:rPr>
        <w:t xml:space="preserve">of fuel an ammunition </w:t>
      </w:r>
      <w:r w:rsidR="00CE295C">
        <w:rPr>
          <w:rFonts w:ascii="Tw Cen MT" w:hAnsi="Tw Cen MT"/>
        </w:rPr>
        <w:t xml:space="preserve">and Rest &amp; Recreation options for Allied navies; </w:t>
      </w:r>
      <w:r w:rsidR="00887BA6" w:rsidRPr="003C7E3B">
        <w:rPr>
          <w:rFonts w:ascii="Tw Cen MT" w:hAnsi="Tw Cen MT"/>
        </w:rPr>
        <w:t xml:space="preserve">and, </w:t>
      </w:r>
    </w:p>
    <w:p w14:paraId="24AE41EC" w14:textId="7E1E91EA" w:rsidR="00F7736C" w:rsidRDefault="00887BA6" w:rsidP="00B80247">
      <w:pPr>
        <w:pStyle w:val="Default"/>
        <w:numPr>
          <w:ilvl w:val="0"/>
          <w:numId w:val="19"/>
        </w:numPr>
        <w:jc w:val="both"/>
        <w:rPr>
          <w:rFonts w:ascii="Tw Cen MT" w:hAnsi="Tw Cen MT"/>
        </w:rPr>
      </w:pPr>
      <w:r w:rsidRPr="003C7E3B">
        <w:rPr>
          <w:rFonts w:ascii="Tw Cen MT" w:hAnsi="Tw Cen MT"/>
        </w:rPr>
        <w:t xml:space="preserve">To provide aviation fuel capacity to support P8A Poseidon sorties and also allow the MQ-4 Triton remotely piloted aircraft to deploy from the RAAF Base Learmonth, in order to support Indian Ocean maritime patrol. </w:t>
      </w:r>
    </w:p>
    <w:p w14:paraId="75D0BDC2" w14:textId="77777777" w:rsidR="00B10752" w:rsidRPr="00441F06" w:rsidRDefault="00B10752" w:rsidP="00B10752">
      <w:pPr>
        <w:pStyle w:val="Default"/>
        <w:ind w:left="360"/>
        <w:jc w:val="both"/>
        <w:rPr>
          <w:rFonts w:ascii="Tw Cen MT" w:hAnsi="Tw Cen MT"/>
        </w:rPr>
      </w:pPr>
    </w:p>
    <w:p w14:paraId="7726DA2E" w14:textId="65E17D4E" w:rsidR="00CA6991" w:rsidRPr="003C7E3B" w:rsidRDefault="00CA6991" w:rsidP="00B02408">
      <w:pPr>
        <w:pStyle w:val="BodyText2"/>
        <w:rPr>
          <w:rFonts w:ascii="Tw Cen MT" w:hAnsi="Tw Cen MT"/>
          <w:sz w:val="24"/>
          <w:szCs w:val="24"/>
        </w:rPr>
      </w:pPr>
      <w:r w:rsidRPr="003C7E3B">
        <w:rPr>
          <w:rFonts w:ascii="Tw Cen MT" w:hAnsi="Tw Cen MT"/>
          <w:sz w:val="24"/>
          <w:szCs w:val="24"/>
        </w:rPr>
        <w:t xml:space="preserve">Oil and Gas Opportunities </w:t>
      </w:r>
    </w:p>
    <w:p w14:paraId="288D0635" w14:textId="77777777" w:rsidR="00CA6991" w:rsidRPr="003C7E3B" w:rsidRDefault="00CA6991" w:rsidP="00B02408">
      <w:pPr>
        <w:pStyle w:val="BodyText2"/>
        <w:rPr>
          <w:rFonts w:ascii="Tw Cen MT" w:hAnsi="Tw Cen MT"/>
          <w:b w:val="0"/>
          <w:bCs w:val="0"/>
          <w:color w:val="auto"/>
          <w:sz w:val="24"/>
          <w:szCs w:val="24"/>
        </w:rPr>
      </w:pPr>
      <w:r w:rsidRPr="003C7E3B">
        <w:rPr>
          <w:rFonts w:ascii="Tw Cen MT" w:hAnsi="Tw Cen MT"/>
          <w:b w:val="0"/>
          <w:bCs w:val="0"/>
          <w:color w:val="auto"/>
          <w:sz w:val="24"/>
          <w:szCs w:val="24"/>
        </w:rPr>
        <w:t>Vessels from the Oil and Gas sector are regular users of Exmouth Gulf.  Ships providing equipment and materials for use in exploration and construction off the North West coast often utilise the sheltered waters of the Gulf to undertake ship to ship transfer and personnel exchange ashore.  The expansion of the Carnarvon Basin and Enfield Gas reserves will support use of the Gascoyne Gateway through a distance advantage over other locations and the provision of additional depth will support the deeper draught vessels in this industry.</w:t>
      </w:r>
    </w:p>
    <w:p w14:paraId="4533DD85" w14:textId="77777777" w:rsidR="00CA6991" w:rsidRPr="003C7E3B" w:rsidRDefault="00CA6991" w:rsidP="00B02408">
      <w:pPr>
        <w:pStyle w:val="BodyText2"/>
        <w:rPr>
          <w:rFonts w:ascii="Tw Cen MT" w:hAnsi="Tw Cen MT"/>
          <w:b w:val="0"/>
          <w:bCs w:val="0"/>
          <w:color w:val="auto"/>
          <w:sz w:val="24"/>
          <w:szCs w:val="24"/>
        </w:rPr>
      </w:pPr>
    </w:p>
    <w:p w14:paraId="7BE08E86" w14:textId="7C69FBFC" w:rsidR="00CA6991" w:rsidRPr="003C7E3B" w:rsidRDefault="00CA6991" w:rsidP="00B02408">
      <w:pPr>
        <w:pStyle w:val="BodyText2"/>
        <w:rPr>
          <w:rFonts w:ascii="Tw Cen MT" w:hAnsi="Tw Cen MT"/>
          <w:b w:val="0"/>
          <w:bCs w:val="0"/>
          <w:color w:val="auto"/>
          <w:sz w:val="24"/>
          <w:szCs w:val="24"/>
        </w:rPr>
      </w:pPr>
      <w:r w:rsidRPr="003C7E3B">
        <w:rPr>
          <w:rFonts w:ascii="Tw Cen MT" w:hAnsi="Tw Cen MT"/>
          <w:b w:val="0"/>
          <w:bCs w:val="0"/>
          <w:color w:val="auto"/>
          <w:sz w:val="24"/>
          <w:szCs w:val="24"/>
        </w:rPr>
        <w:t>Over and above the priority to take fuel and supplies close to the area of operations, is the capability to undertake logistics management of import/export commodities at a Port site with warehousing and bonded cargo capacity.  Commonly, oil and gas operationally consumable goods are imported as freight cargo, and most often transported in uniform container form.  Presently, oil and gas companies rely on such goods being transported by priority road freight, before being shipped by Offshore Supply Vessel to the Field for use.</w:t>
      </w:r>
    </w:p>
    <w:p w14:paraId="3D781D64" w14:textId="440C6157" w:rsidR="008D6F72" w:rsidRDefault="008D6F72" w:rsidP="00B80247">
      <w:pPr>
        <w:pStyle w:val="NoSpacing"/>
        <w:jc w:val="both"/>
        <w:rPr>
          <w:rFonts w:ascii="Tw Cen MT" w:hAnsi="Tw Cen MT" w:cstheme="minorHAnsi"/>
          <w:b/>
          <w:bCs/>
          <w:sz w:val="24"/>
          <w:szCs w:val="24"/>
        </w:rPr>
      </w:pPr>
    </w:p>
    <w:p w14:paraId="29FF228B" w14:textId="77777777" w:rsidR="008D6F72" w:rsidRPr="003C7E3B" w:rsidRDefault="008D6F72" w:rsidP="00B80247">
      <w:pPr>
        <w:pStyle w:val="NoSpacing"/>
        <w:jc w:val="both"/>
        <w:rPr>
          <w:rFonts w:ascii="Tw Cen MT" w:hAnsi="Tw Cen MT" w:cstheme="minorHAnsi"/>
          <w:b/>
          <w:bCs/>
          <w:sz w:val="24"/>
          <w:szCs w:val="24"/>
        </w:rPr>
      </w:pPr>
    </w:p>
    <w:tbl>
      <w:tblPr>
        <w:tblStyle w:val="GridTable5Dark-Accent2"/>
        <w:tblW w:w="9493" w:type="dxa"/>
        <w:tblLook w:val="04A0" w:firstRow="1" w:lastRow="0" w:firstColumn="1" w:lastColumn="0" w:noHBand="0" w:noVBand="1"/>
      </w:tblPr>
      <w:tblGrid>
        <w:gridCol w:w="562"/>
        <w:gridCol w:w="6096"/>
        <w:gridCol w:w="2835"/>
      </w:tblGrid>
      <w:tr w:rsidR="00936EE3" w:rsidRPr="003C7E3B" w14:paraId="1D5387FF" w14:textId="77777777" w:rsidTr="008D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D65AFA2" w14:textId="77777777" w:rsidR="00936EE3" w:rsidRPr="003C7E3B" w:rsidRDefault="00936EE3" w:rsidP="008D62C0">
            <w:pPr>
              <w:pStyle w:val="NoSpacing"/>
              <w:rPr>
                <w:rFonts w:ascii="Tw Cen MT" w:hAnsi="Tw Cen MT" w:cstheme="minorHAnsi"/>
                <w:sz w:val="24"/>
                <w:szCs w:val="24"/>
              </w:rPr>
            </w:pPr>
            <w:r w:rsidRPr="003C7E3B">
              <w:rPr>
                <w:rFonts w:ascii="Tw Cen MT" w:hAnsi="Tw Cen MT" w:cstheme="minorHAnsi"/>
                <w:sz w:val="24"/>
                <w:szCs w:val="24"/>
              </w:rPr>
              <w:t>No</w:t>
            </w:r>
          </w:p>
        </w:tc>
        <w:tc>
          <w:tcPr>
            <w:tcW w:w="6096" w:type="dxa"/>
            <w:vAlign w:val="center"/>
          </w:tcPr>
          <w:p w14:paraId="410FE4D8" w14:textId="5C690E7C" w:rsidR="00936EE3" w:rsidRPr="003C7E3B" w:rsidRDefault="00936EE3"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GGL RECOMMENDATION</w:t>
            </w:r>
            <w:r>
              <w:rPr>
                <w:rFonts w:ascii="Tw Cen MT" w:hAnsi="Tw Cen MT" w:cstheme="minorHAnsi"/>
                <w:sz w:val="24"/>
                <w:szCs w:val="24"/>
              </w:rPr>
              <w:t xml:space="preserve"> FIVE</w:t>
            </w:r>
          </w:p>
        </w:tc>
        <w:tc>
          <w:tcPr>
            <w:tcW w:w="2835" w:type="dxa"/>
            <w:vAlign w:val="center"/>
          </w:tcPr>
          <w:p w14:paraId="19CB0A36" w14:textId="77777777" w:rsidR="00936EE3" w:rsidRPr="003C7E3B" w:rsidRDefault="00936EE3" w:rsidP="008D62C0">
            <w:pPr>
              <w:pStyle w:val="NoSpacing"/>
              <w:cnfStyle w:val="100000000000" w:firstRow="1" w:lastRow="0" w:firstColumn="0" w:lastColumn="0" w:oddVBand="0" w:evenVBand="0" w:oddHBand="0"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COST TO GOVERNMENT (AUD including GST)</w:t>
            </w:r>
          </w:p>
        </w:tc>
      </w:tr>
      <w:tr w:rsidR="00936EE3" w:rsidRPr="003C7E3B" w14:paraId="5B2246D5" w14:textId="77777777" w:rsidTr="008D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E1C01C8" w14:textId="77777777" w:rsidR="00936EE3" w:rsidRPr="003C7E3B" w:rsidRDefault="00936EE3" w:rsidP="00936EE3">
            <w:pPr>
              <w:pStyle w:val="NoSpacing"/>
              <w:numPr>
                <w:ilvl w:val="0"/>
                <w:numId w:val="32"/>
              </w:numPr>
              <w:rPr>
                <w:rFonts w:ascii="Tw Cen MT" w:hAnsi="Tw Cen MT" w:cstheme="minorHAnsi"/>
                <w:sz w:val="24"/>
                <w:szCs w:val="24"/>
              </w:rPr>
            </w:pPr>
          </w:p>
        </w:tc>
        <w:tc>
          <w:tcPr>
            <w:tcW w:w="6096" w:type="dxa"/>
            <w:vAlign w:val="center"/>
          </w:tcPr>
          <w:p w14:paraId="337D271B" w14:textId="77777777" w:rsidR="00936EE3" w:rsidRPr="003C7E3B" w:rsidRDefault="00936EE3"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That the Australian Government recognise that GGL’s initiative will support the National Hydrogen Roadmap and will support an</w:t>
            </w:r>
            <w:r w:rsidRPr="003C7E3B">
              <w:rPr>
                <w:rFonts w:ascii="Tw Cen MT" w:hAnsi="Tw Cen MT"/>
                <w:sz w:val="24"/>
                <w:szCs w:val="24"/>
              </w:rPr>
              <w:t xml:space="preserve"> </w:t>
            </w:r>
            <w:r w:rsidRPr="003C7E3B">
              <w:rPr>
                <w:rFonts w:ascii="Tw Cen MT" w:hAnsi="Tw Cen MT" w:cstheme="minorHAnsi"/>
                <w:sz w:val="24"/>
                <w:szCs w:val="24"/>
              </w:rPr>
              <w:t>economically sustainable industry</w:t>
            </w:r>
          </w:p>
        </w:tc>
        <w:tc>
          <w:tcPr>
            <w:tcW w:w="2835" w:type="dxa"/>
            <w:vAlign w:val="center"/>
          </w:tcPr>
          <w:p w14:paraId="6351FB4B" w14:textId="77777777" w:rsidR="00936EE3" w:rsidRPr="003C7E3B" w:rsidRDefault="00936EE3" w:rsidP="008D62C0">
            <w:pPr>
              <w:pStyle w:val="NoSpacing"/>
              <w:cnfStyle w:val="000000100000" w:firstRow="0" w:lastRow="0" w:firstColumn="0" w:lastColumn="0" w:oddVBand="0" w:evenVBand="0" w:oddHBand="1" w:evenHBand="0" w:firstRowFirstColumn="0" w:firstRowLastColumn="0" w:lastRowFirstColumn="0" w:lastRowLastColumn="0"/>
              <w:rPr>
                <w:rFonts w:ascii="Tw Cen MT" w:hAnsi="Tw Cen MT" w:cstheme="minorHAnsi"/>
                <w:sz w:val="24"/>
                <w:szCs w:val="24"/>
              </w:rPr>
            </w:pPr>
            <w:r w:rsidRPr="003C7E3B">
              <w:rPr>
                <w:rFonts w:ascii="Tw Cen MT" w:hAnsi="Tw Cen MT" w:cstheme="minorHAnsi"/>
                <w:sz w:val="24"/>
                <w:szCs w:val="24"/>
              </w:rPr>
              <w:t>$0 – NIL</w:t>
            </w:r>
          </w:p>
        </w:tc>
      </w:tr>
    </w:tbl>
    <w:p w14:paraId="656668BA" w14:textId="24CC9FFB" w:rsidR="007C2CD9" w:rsidRPr="003C7E3B" w:rsidRDefault="007C2CD9" w:rsidP="00B80247">
      <w:pPr>
        <w:pStyle w:val="NoSpacing"/>
        <w:jc w:val="both"/>
        <w:rPr>
          <w:rFonts w:ascii="Tw Cen MT" w:hAnsi="Tw Cen MT" w:cstheme="minorHAnsi"/>
          <w:b/>
          <w:bCs/>
          <w:sz w:val="24"/>
          <w:szCs w:val="24"/>
        </w:rPr>
      </w:pPr>
    </w:p>
    <w:p w14:paraId="248CB384" w14:textId="2EF3A032" w:rsidR="00315024" w:rsidRDefault="00210737" w:rsidP="00717789">
      <w:pPr>
        <w:pStyle w:val="NoSpacing"/>
        <w:jc w:val="both"/>
        <w:rPr>
          <w:rFonts w:ascii="Tw Cen MT" w:hAnsi="Tw Cen MT" w:cstheme="minorHAnsi"/>
          <w:sz w:val="24"/>
          <w:szCs w:val="24"/>
        </w:rPr>
      </w:pPr>
      <w:r>
        <w:rPr>
          <w:rFonts w:ascii="Tw Cen MT" w:hAnsi="Tw Cen MT" w:cstheme="minorHAnsi"/>
          <w:sz w:val="24"/>
          <w:szCs w:val="24"/>
        </w:rPr>
        <w:t xml:space="preserve">As Australia transitions to a low-emissions energy future, there is vast potential for </w:t>
      </w:r>
      <w:r w:rsidR="0071289A">
        <w:rPr>
          <w:rFonts w:ascii="Tw Cen MT" w:hAnsi="Tw Cen MT" w:cstheme="minorHAnsi"/>
          <w:sz w:val="24"/>
          <w:szCs w:val="24"/>
        </w:rPr>
        <w:t>a</w:t>
      </w:r>
      <w:r>
        <w:rPr>
          <w:rFonts w:ascii="Tw Cen MT" w:hAnsi="Tw Cen MT" w:cstheme="minorHAnsi"/>
          <w:sz w:val="24"/>
          <w:szCs w:val="24"/>
        </w:rPr>
        <w:t xml:space="preserve"> Hydrogen Industry to </w:t>
      </w:r>
      <w:r w:rsidR="0071289A">
        <w:rPr>
          <w:rFonts w:ascii="Tw Cen MT" w:hAnsi="Tw Cen MT" w:cstheme="minorHAnsi"/>
          <w:sz w:val="24"/>
          <w:szCs w:val="24"/>
        </w:rPr>
        <w:t xml:space="preserve">emerge supporting sustainable energy storage, national technological </w:t>
      </w:r>
      <w:r w:rsidR="008D62C0">
        <w:rPr>
          <w:rFonts w:ascii="Tw Cen MT" w:hAnsi="Tw Cen MT" w:cstheme="minorHAnsi"/>
          <w:sz w:val="24"/>
          <w:szCs w:val="24"/>
        </w:rPr>
        <w:t>advantages,</w:t>
      </w:r>
      <w:r w:rsidR="0071289A">
        <w:rPr>
          <w:rFonts w:ascii="Tw Cen MT" w:hAnsi="Tw Cen MT" w:cstheme="minorHAnsi"/>
          <w:sz w:val="24"/>
          <w:szCs w:val="24"/>
        </w:rPr>
        <w:t xml:space="preserve"> and export opportunities.  This is highlighted by the National Hydrogen Roadmap, which provides a blueprint for the development of the hydrogen industry in Australia.</w:t>
      </w:r>
    </w:p>
    <w:p w14:paraId="7DCFCD36" w14:textId="03065237" w:rsidR="0071289A" w:rsidRPr="00315024" w:rsidRDefault="0071289A" w:rsidP="00717789">
      <w:pPr>
        <w:pStyle w:val="NoSpacing"/>
        <w:jc w:val="both"/>
        <w:rPr>
          <w:rFonts w:ascii="Tw Cen MT" w:hAnsi="Tw Cen MT" w:cstheme="minorHAnsi"/>
          <w:sz w:val="24"/>
          <w:szCs w:val="24"/>
        </w:rPr>
      </w:pPr>
      <w:r>
        <w:rPr>
          <w:rFonts w:ascii="Tw Cen MT" w:hAnsi="Tw Cen MT" w:cstheme="minorHAnsi"/>
          <w:sz w:val="24"/>
          <w:szCs w:val="24"/>
        </w:rPr>
        <w:t xml:space="preserve"> </w:t>
      </w:r>
    </w:p>
    <w:p w14:paraId="26850E07" w14:textId="4E136E8A" w:rsidR="005F1A04" w:rsidRDefault="00717789" w:rsidP="005F1A04">
      <w:pPr>
        <w:pStyle w:val="NoSpacing"/>
        <w:jc w:val="both"/>
        <w:rPr>
          <w:rFonts w:ascii="Tw Cen MT" w:hAnsi="Tw Cen MT" w:cstheme="minorHAnsi"/>
          <w:sz w:val="24"/>
          <w:szCs w:val="24"/>
        </w:rPr>
      </w:pPr>
      <w:r>
        <w:rPr>
          <w:rFonts w:ascii="Tw Cen MT" w:eastAsia="Times New Roman" w:hAnsi="Tw Cen MT" w:cstheme="minorHAnsi"/>
          <w:color w:val="000000"/>
          <w:sz w:val="24"/>
          <w:szCs w:val="24"/>
          <w:lang w:eastAsia="en-AU"/>
        </w:rPr>
        <w:t xml:space="preserve">As the roadmap states, one of most significant barriers to the Hydrogen market activation is a lack </w:t>
      </w:r>
      <w:r w:rsidRPr="005F1A04">
        <w:rPr>
          <w:rFonts w:ascii="Tw Cen MT" w:hAnsi="Tw Cen MT" w:cstheme="minorHAnsi"/>
          <w:sz w:val="24"/>
          <w:szCs w:val="24"/>
        </w:rPr>
        <w:t xml:space="preserve">of infrastructure compared to other energy carriers. </w:t>
      </w:r>
      <w:r w:rsidR="00C21D53">
        <w:rPr>
          <w:rFonts w:ascii="Tw Cen MT" w:hAnsi="Tw Cen MT" w:cstheme="minorHAnsi"/>
          <w:sz w:val="24"/>
          <w:szCs w:val="24"/>
        </w:rPr>
        <w:t xml:space="preserve"> </w:t>
      </w:r>
      <w:r w:rsidR="00315024" w:rsidRPr="005F1A04">
        <w:rPr>
          <w:rFonts w:ascii="Tw Cen MT" w:hAnsi="Tw Cen MT" w:cstheme="minorHAnsi"/>
          <w:sz w:val="24"/>
          <w:szCs w:val="24"/>
        </w:rPr>
        <w:t xml:space="preserve">GGL’s initiative </w:t>
      </w:r>
      <w:r w:rsidRPr="005F1A04">
        <w:rPr>
          <w:rFonts w:ascii="Tw Cen MT" w:hAnsi="Tw Cen MT" w:cstheme="minorHAnsi"/>
          <w:sz w:val="24"/>
          <w:szCs w:val="24"/>
        </w:rPr>
        <w:t>would assist in this area</w:t>
      </w:r>
      <w:r w:rsidR="00315024" w:rsidRPr="005F1A04">
        <w:rPr>
          <w:rFonts w:ascii="Tw Cen MT" w:hAnsi="Tw Cen MT" w:cstheme="minorHAnsi"/>
          <w:sz w:val="24"/>
          <w:szCs w:val="24"/>
        </w:rPr>
        <w:t xml:space="preserve"> by producing Green Hydrogen aiding </w:t>
      </w:r>
      <w:r w:rsidR="00C21D53">
        <w:rPr>
          <w:rFonts w:ascii="Tw Cen MT" w:hAnsi="Tw Cen MT" w:cstheme="minorHAnsi"/>
          <w:sz w:val="24"/>
          <w:szCs w:val="24"/>
        </w:rPr>
        <w:t>in</w:t>
      </w:r>
      <w:r w:rsidR="00F7736C">
        <w:rPr>
          <w:rFonts w:ascii="Tw Cen MT" w:hAnsi="Tw Cen MT" w:cstheme="minorHAnsi"/>
          <w:sz w:val="24"/>
          <w:szCs w:val="24"/>
        </w:rPr>
        <w:t xml:space="preserve"> the</w:t>
      </w:r>
      <w:r w:rsidR="00C21D53">
        <w:rPr>
          <w:rFonts w:ascii="Tw Cen MT" w:hAnsi="Tw Cen MT" w:cstheme="minorHAnsi"/>
          <w:sz w:val="24"/>
          <w:szCs w:val="24"/>
        </w:rPr>
        <w:t xml:space="preserve"> </w:t>
      </w:r>
      <w:r w:rsidR="00315024" w:rsidRPr="005F1A04">
        <w:rPr>
          <w:rFonts w:ascii="Tw Cen MT" w:hAnsi="Tw Cen MT" w:cstheme="minorHAnsi"/>
          <w:sz w:val="24"/>
          <w:szCs w:val="24"/>
        </w:rPr>
        <w:t>transition from fossil fuels</w:t>
      </w:r>
      <w:r w:rsidR="005F1A04" w:rsidRPr="005F1A04">
        <w:rPr>
          <w:rFonts w:ascii="Tw Cen MT" w:hAnsi="Tw Cen MT" w:cstheme="minorHAnsi"/>
          <w:sz w:val="24"/>
          <w:szCs w:val="24"/>
        </w:rPr>
        <w:t>.</w:t>
      </w:r>
    </w:p>
    <w:p w14:paraId="68318EC4" w14:textId="77777777" w:rsidR="005F1A04" w:rsidRDefault="005F1A04" w:rsidP="005F1A04">
      <w:pPr>
        <w:pStyle w:val="NoSpacing"/>
        <w:jc w:val="both"/>
        <w:rPr>
          <w:rFonts w:ascii="Tw Cen MT" w:hAnsi="Tw Cen MT" w:cstheme="minorHAnsi"/>
          <w:sz w:val="24"/>
          <w:szCs w:val="24"/>
        </w:rPr>
      </w:pPr>
    </w:p>
    <w:p w14:paraId="42D4251C" w14:textId="77777777" w:rsidR="002E202C" w:rsidRDefault="002E202C" w:rsidP="005F1A04">
      <w:pPr>
        <w:pStyle w:val="NoSpacing"/>
        <w:jc w:val="both"/>
        <w:rPr>
          <w:rFonts w:ascii="Tw Cen MT" w:hAnsi="Tw Cen MT" w:cstheme="minorHAnsi"/>
          <w:sz w:val="24"/>
          <w:szCs w:val="24"/>
        </w:rPr>
      </w:pPr>
    </w:p>
    <w:p w14:paraId="2A5AE423" w14:textId="33A101F0" w:rsidR="005F1A04" w:rsidRDefault="00717789" w:rsidP="005F1A04">
      <w:pPr>
        <w:pStyle w:val="NoSpacing"/>
        <w:jc w:val="both"/>
        <w:rPr>
          <w:rFonts w:ascii="Tw Cen MT" w:eastAsia="Times New Roman" w:hAnsi="Tw Cen MT" w:cstheme="minorHAnsi"/>
          <w:color w:val="000000"/>
          <w:sz w:val="24"/>
          <w:szCs w:val="24"/>
          <w:lang w:eastAsia="en-AU"/>
        </w:rPr>
      </w:pPr>
      <w:r w:rsidRPr="005F1A04">
        <w:rPr>
          <w:rFonts w:ascii="Tw Cen MT" w:hAnsi="Tw Cen MT" w:cstheme="minorHAnsi"/>
          <w:sz w:val="24"/>
          <w:szCs w:val="24"/>
        </w:rPr>
        <w:t xml:space="preserve">As stated by the roadmap, potential export opportunities that </w:t>
      </w:r>
      <w:r w:rsidR="005F1A04">
        <w:rPr>
          <w:rFonts w:ascii="Tw Cen MT" w:hAnsi="Tw Cen MT" w:cstheme="minorHAnsi"/>
          <w:sz w:val="24"/>
          <w:szCs w:val="24"/>
        </w:rPr>
        <w:t>GGL’s</w:t>
      </w:r>
      <w:r w:rsidRPr="005F1A04">
        <w:rPr>
          <w:rFonts w:ascii="Tw Cen MT" w:hAnsi="Tw Cen MT" w:cstheme="minorHAnsi"/>
          <w:sz w:val="24"/>
          <w:szCs w:val="24"/>
        </w:rPr>
        <w:t xml:space="preserve"> initiative would produce would likely increase</w:t>
      </w:r>
      <w:r>
        <w:rPr>
          <w:rFonts w:ascii="Tw Cen MT" w:eastAsia="Times New Roman" w:hAnsi="Tw Cen MT" w:cstheme="minorHAnsi"/>
          <w:color w:val="000000"/>
          <w:sz w:val="24"/>
          <w:szCs w:val="24"/>
          <w:lang w:eastAsia="en-AU"/>
        </w:rPr>
        <w:t xml:space="preserve"> the competitiveness of hydrogen against other technologies.  </w:t>
      </w:r>
      <w:r w:rsidR="005F1A04">
        <w:rPr>
          <w:rFonts w:ascii="Tw Cen MT" w:eastAsia="Times New Roman" w:hAnsi="Tw Cen MT" w:cstheme="minorHAnsi"/>
          <w:color w:val="000000"/>
          <w:sz w:val="24"/>
          <w:szCs w:val="24"/>
          <w:lang w:eastAsia="en-AU"/>
        </w:rPr>
        <w:t>The roadmap states that exporting hydrogen could be a key opportunity with demand from China, Japan, South Korea and Singapore reaching the order of 3.8 million tonnes in 2030.  GGL’s ability to produce and store green hydrogen, alongside its geographical location would position Australia in a prime position to capture this potential</w:t>
      </w:r>
      <w:r w:rsidR="00C21D53">
        <w:rPr>
          <w:rFonts w:ascii="Tw Cen MT" w:eastAsia="Times New Roman" w:hAnsi="Tw Cen MT" w:cstheme="minorHAnsi"/>
          <w:color w:val="000000"/>
          <w:sz w:val="24"/>
          <w:szCs w:val="24"/>
          <w:lang w:eastAsia="en-AU"/>
        </w:rPr>
        <w:t xml:space="preserve"> market</w:t>
      </w:r>
      <w:r w:rsidR="005F1A04">
        <w:rPr>
          <w:rFonts w:ascii="Tw Cen MT" w:eastAsia="Times New Roman" w:hAnsi="Tw Cen MT" w:cstheme="minorHAnsi"/>
          <w:color w:val="000000"/>
          <w:sz w:val="24"/>
          <w:szCs w:val="24"/>
          <w:lang w:eastAsia="en-AU"/>
        </w:rPr>
        <w:t xml:space="preserve">. </w:t>
      </w:r>
    </w:p>
    <w:p w14:paraId="4D76F1DC" w14:textId="67295924" w:rsidR="00D1199B" w:rsidRDefault="00D1199B" w:rsidP="005F1A04">
      <w:pPr>
        <w:pStyle w:val="NoSpacing"/>
        <w:jc w:val="both"/>
        <w:rPr>
          <w:rFonts w:ascii="Tw Cen MT" w:eastAsia="Times New Roman" w:hAnsi="Tw Cen MT" w:cstheme="minorHAnsi"/>
          <w:color w:val="000000"/>
          <w:sz w:val="24"/>
          <w:szCs w:val="24"/>
          <w:lang w:eastAsia="en-AU"/>
        </w:rPr>
      </w:pPr>
    </w:p>
    <w:p w14:paraId="384D9A36" w14:textId="283D86FE" w:rsidR="00D1199B" w:rsidRDefault="00D1199B" w:rsidP="005F1A04">
      <w:pPr>
        <w:pStyle w:val="NoSpacing"/>
        <w:jc w:val="both"/>
        <w:rPr>
          <w:rFonts w:ascii="Tw Cen MT" w:eastAsia="Times New Roman" w:hAnsi="Tw Cen MT" w:cstheme="minorHAnsi"/>
          <w:color w:val="000000"/>
          <w:sz w:val="24"/>
          <w:szCs w:val="24"/>
          <w:lang w:eastAsia="en-AU"/>
        </w:rPr>
      </w:pPr>
      <w:r>
        <w:rPr>
          <w:rFonts w:ascii="Tw Cen MT" w:eastAsia="Times New Roman" w:hAnsi="Tw Cen MT" w:cstheme="minorHAnsi"/>
          <w:color w:val="000000"/>
          <w:sz w:val="24"/>
          <w:szCs w:val="24"/>
          <w:lang w:eastAsia="en-AU"/>
        </w:rPr>
        <w:t xml:space="preserve">While global market trends are seeing a push for low carbon economies, potentially </w:t>
      </w:r>
      <w:r w:rsidR="00C21D53">
        <w:rPr>
          <w:rFonts w:ascii="Tw Cen MT" w:eastAsia="Times New Roman" w:hAnsi="Tw Cen MT" w:cstheme="minorHAnsi"/>
          <w:color w:val="000000"/>
          <w:sz w:val="24"/>
          <w:szCs w:val="24"/>
          <w:lang w:eastAsia="en-AU"/>
        </w:rPr>
        <w:t>placing some energies at risk suc</w:t>
      </w:r>
      <w:r w:rsidR="00F7736C">
        <w:rPr>
          <w:rFonts w:ascii="Tw Cen MT" w:eastAsia="Times New Roman" w:hAnsi="Tw Cen MT" w:cstheme="minorHAnsi"/>
          <w:color w:val="000000"/>
          <w:sz w:val="24"/>
          <w:szCs w:val="24"/>
          <w:lang w:eastAsia="en-AU"/>
        </w:rPr>
        <w:t>h</w:t>
      </w:r>
      <w:r w:rsidR="00C21D53">
        <w:rPr>
          <w:rFonts w:ascii="Tw Cen MT" w:eastAsia="Times New Roman" w:hAnsi="Tw Cen MT" w:cstheme="minorHAnsi"/>
          <w:color w:val="000000"/>
          <w:sz w:val="24"/>
          <w:szCs w:val="24"/>
          <w:lang w:eastAsia="en-AU"/>
        </w:rPr>
        <w:t xml:space="preserve"> as thermal coal, the global market for Hydrogen is set to increase reaching USD 155 billion by 2022. Green hydrogen has many applications such as electricity, heat, transport, ammonia, chemicals, glass manufacturing, food, synthetic fuels and metals processing. This provides an economically sustainable industry which GGL can support Australia by both producing and storing green hydrogen helping secure Australia’s economy for years to come. </w:t>
      </w:r>
    </w:p>
    <w:p w14:paraId="5F005FEA" w14:textId="6B5A566B" w:rsidR="00A646BC" w:rsidRDefault="00A646BC" w:rsidP="003C1282">
      <w:pPr>
        <w:pStyle w:val="NoSpacing"/>
        <w:jc w:val="both"/>
        <w:rPr>
          <w:rFonts w:ascii="Tw Cen MT" w:hAnsi="Tw Cen MT" w:cstheme="minorHAnsi"/>
          <w:bCs/>
          <w:sz w:val="24"/>
          <w:szCs w:val="24"/>
        </w:rPr>
      </w:pPr>
    </w:p>
    <w:p w14:paraId="03B241E8" w14:textId="68971EA5" w:rsidR="002E202C" w:rsidRDefault="002E202C" w:rsidP="003C1282">
      <w:pPr>
        <w:pStyle w:val="NoSpacing"/>
        <w:jc w:val="both"/>
        <w:rPr>
          <w:rFonts w:ascii="Tw Cen MT" w:hAnsi="Tw Cen MT" w:cstheme="minorHAnsi"/>
          <w:bCs/>
          <w:sz w:val="24"/>
          <w:szCs w:val="24"/>
        </w:rPr>
      </w:pPr>
    </w:p>
    <w:p w14:paraId="21D3ACC4" w14:textId="7FAA91B2" w:rsidR="002E202C" w:rsidRPr="003C7E3B" w:rsidRDefault="002E202C" w:rsidP="002E202C">
      <w:pPr>
        <w:pStyle w:val="BodyText2"/>
        <w:rPr>
          <w:rFonts w:ascii="Tw Cen MT" w:hAnsi="Tw Cen MT"/>
          <w:sz w:val="24"/>
          <w:szCs w:val="24"/>
        </w:rPr>
      </w:pPr>
      <w:r>
        <w:rPr>
          <w:rFonts w:ascii="Tw Cen MT" w:hAnsi="Tw Cen MT"/>
          <w:sz w:val="24"/>
          <w:szCs w:val="24"/>
        </w:rPr>
        <w:t>LETTERS OF SUPPORT AND INTENT</w:t>
      </w:r>
    </w:p>
    <w:p w14:paraId="087F9715" w14:textId="77777777" w:rsidR="002E202C" w:rsidRDefault="002E202C" w:rsidP="003C1282">
      <w:pPr>
        <w:pStyle w:val="NoSpacing"/>
        <w:jc w:val="both"/>
        <w:rPr>
          <w:rFonts w:ascii="Tw Cen MT" w:hAnsi="Tw Cen MT" w:cstheme="minorHAnsi"/>
          <w:bCs/>
          <w:sz w:val="24"/>
          <w:szCs w:val="24"/>
        </w:rPr>
      </w:pPr>
    </w:p>
    <w:p w14:paraId="2BE5A262" w14:textId="2DC61538" w:rsidR="002E202C" w:rsidRDefault="002E202C" w:rsidP="003C1282">
      <w:pPr>
        <w:pStyle w:val="NoSpacing"/>
        <w:jc w:val="both"/>
        <w:rPr>
          <w:rFonts w:ascii="Tw Cen MT" w:hAnsi="Tw Cen MT" w:cstheme="minorHAnsi"/>
          <w:bCs/>
          <w:sz w:val="24"/>
          <w:szCs w:val="24"/>
        </w:rPr>
      </w:pPr>
      <w:r>
        <w:rPr>
          <w:rFonts w:ascii="Tw Cen MT" w:hAnsi="Tw Cen MT" w:cstheme="minorHAnsi"/>
          <w:bCs/>
          <w:sz w:val="24"/>
          <w:szCs w:val="24"/>
        </w:rPr>
        <w:t>GGL is pleased to advise they have received a number of letters of support and commercial intent from the following stakeholders:</w:t>
      </w:r>
    </w:p>
    <w:p w14:paraId="69254FB4" w14:textId="576F93A4" w:rsidR="002E202C" w:rsidRDefault="002E202C" w:rsidP="003C1282">
      <w:pPr>
        <w:pStyle w:val="NoSpacing"/>
        <w:jc w:val="both"/>
        <w:rPr>
          <w:rFonts w:ascii="Tw Cen MT" w:hAnsi="Tw Cen MT" w:cstheme="minorHAnsi"/>
          <w:bCs/>
          <w:sz w:val="24"/>
          <w:szCs w:val="24"/>
        </w:rPr>
      </w:pPr>
    </w:p>
    <w:p w14:paraId="6E7FDFF4" w14:textId="77F3E9BF" w:rsidR="002E202C" w:rsidRDefault="002E202C" w:rsidP="002E202C">
      <w:pPr>
        <w:pStyle w:val="NoSpacing"/>
        <w:numPr>
          <w:ilvl w:val="0"/>
          <w:numId w:val="36"/>
        </w:numPr>
        <w:jc w:val="both"/>
        <w:rPr>
          <w:rFonts w:ascii="Tw Cen MT" w:hAnsi="Tw Cen MT" w:cstheme="minorHAnsi"/>
          <w:bCs/>
          <w:sz w:val="24"/>
          <w:szCs w:val="24"/>
        </w:rPr>
      </w:pPr>
      <w:r>
        <w:rPr>
          <w:rFonts w:ascii="Tw Cen MT" w:hAnsi="Tw Cen MT" w:cstheme="minorHAnsi"/>
          <w:bCs/>
          <w:sz w:val="24"/>
          <w:szCs w:val="24"/>
        </w:rPr>
        <w:t>Hon Mark McGowan MLA, Premier of Western Australia – Letter of Support</w:t>
      </w:r>
    </w:p>
    <w:p w14:paraId="635B390C" w14:textId="77777777" w:rsidR="002E202C" w:rsidRDefault="002E202C" w:rsidP="002E202C">
      <w:pPr>
        <w:pStyle w:val="NoSpacing"/>
        <w:ind w:left="360"/>
        <w:jc w:val="both"/>
        <w:rPr>
          <w:rFonts w:ascii="Tw Cen MT" w:hAnsi="Tw Cen MT" w:cstheme="minorHAnsi"/>
          <w:bCs/>
          <w:sz w:val="24"/>
          <w:szCs w:val="24"/>
        </w:rPr>
      </w:pPr>
    </w:p>
    <w:p w14:paraId="432CD845" w14:textId="3DA87A85" w:rsidR="002E202C" w:rsidRDefault="002E202C" w:rsidP="002E202C">
      <w:pPr>
        <w:pStyle w:val="NoSpacing"/>
        <w:numPr>
          <w:ilvl w:val="0"/>
          <w:numId w:val="36"/>
        </w:numPr>
        <w:jc w:val="both"/>
        <w:rPr>
          <w:rFonts w:ascii="Tw Cen MT" w:hAnsi="Tw Cen MT" w:cstheme="minorHAnsi"/>
          <w:bCs/>
          <w:sz w:val="24"/>
          <w:szCs w:val="24"/>
        </w:rPr>
      </w:pPr>
      <w:r w:rsidRPr="002E202C">
        <w:rPr>
          <w:rFonts w:ascii="Tw Cen MT" w:hAnsi="Tw Cen MT" w:cstheme="minorHAnsi"/>
          <w:bCs/>
          <w:sz w:val="24"/>
          <w:szCs w:val="24"/>
        </w:rPr>
        <w:t>Letter of Intent from Boskalis Offshore Energy</w:t>
      </w:r>
    </w:p>
    <w:p w14:paraId="03710F25" w14:textId="77777777" w:rsidR="002E202C" w:rsidRDefault="002E202C" w:rsidP="002E202C">
      <w:pPr>
        <w:pStyle w:val="NoSpacing"/>
        <w:ind w:left="360"/>
        <w:jc w:val="both"/>
        <w:rPr>
          <w:rFonts w:ascii="Tw Cen MT" w:hAnsi="Tw Cen MT" w:cstheme="minorHAnsi"/>
          <w:bCs/>
          <w:sz w:val="24"/>
          <w:szCs w:val="24"/>
        </w:rPr>
      </w:pPr>
    </w:p>
    <w:p w14:paraId="086BF21D" w14:textId="1B526657" w:rsidR="002E202C" w:rsidRDefault="002E202C" w:rsidP="002E202C">
      <w:pPr>
        <w:pStyle w:val="NoSpacing"/>
        <w:numPr>
          <w:ilvl w:val="0"/>
          <w:numId w:val="36"/>
        </w:numPr>
        <w:jc w:val="both"/>
        <w:rPr>
          <w:rFonts w:ascii="Tw Cen MT" w:hAnsi="Tw Cen MT" w:cstheme="minorHAnsi"/>
          <w:bCs/>
          <w:sz w:val="24"/>
          <w:szCs w:val="24"/>
        </w:rPr>
      </w:pPr>
      <w:r w:rsidRPr="002E202C">
        <w:rPr>
          <w:rFonts w:ascii="Tw Cen MT" w:hAnsi="Tw Cen MT" w:cstheme="minorHAnsi"/>
          <w:bCs/>
          <w:sz w:val="24"/>
          <w:szCs w:val="24"/>
        </w:rPr>
        <w:t>Letter of Intent from Phoenix International Underwater Solutions Worldwide</w:t>
      </w:r>
    </w:p>
    <w:p w14:paraId="23F35EA2" w14:textId="5ECA69EC" w:rsidR="002E202C" w:rsidRPr="002E202C" w:rsidRDefault="002E202C" w:rsidP="002E202C">
      <w:pPr>
        <w:pStyle w:val="NoSpacing"/>
        <w:jc w:val="both"/>
        <w:rPr>
          <w:rFonts w:ascii="Tw Cen MT" w:hAnsi="Tw Cen MT" w:cstheme="minorHAnsi"/>
          <w:bCs/>
          <w:sz w:val="24"/>
          <w:szCs w:val="24"/>
        </w:rPr>
      </w:pPr>
    </w:p>
    <w:p w14:paraId="65AE9680" w14:textId="517AADDB" w:rsidR="002E202C" w:rsidRPr="003C7E3B" w:rsidRDefault="002E202C" w:rsidP="003C1282">
      <w:pPr>
        <w:pStyle w:val="NoSpacing"/>
        <w:jc w:val="both"/>
        <w:rPr>
          <w:rFonts w:ascii="Tw Cen MT" w:hAnsi="Tw Cen MT" w:cstheme="minorHAnsi"/>
          <w:bCs/>
          <w:sz w:val="24"/>
          <w:szCs w:val="24"/>
        </w:rPr>
      </w:pPr>
    </w:p>
    <w:p w14:paraId="51CCF52B" w14:textId="77777777" w:rsidR="002E202C" w:rsidRDefault="002E202C">
      <w:pPr>
        <w:rPr>
          <w:rFonts w:ascii="Tw Cen MT" w:eastAsia="Calibri" w:hAnsi="Tw Cen MT" w:cstheme="minorHAnsi"/>
          <w:b/>
          <w:bCs/>
          <w:color w:val="C45911" w:themeColor="accent2" w:themeShade="BF"/>
          <w:sz w:val="24"/>
          <w:szCs w:val="24"/>
          <w:lang w:eastAsia="en-AU" w:bidi="en-AU"/>
        </w:rPr>
      </w:pPr>
      <w:r>
        <w:rPr>
          <w:rFonts w:ascii="Tw Cen MT" w:eastAsia="Calibri" w:hAnsi="Tw Cen MT" w:cstheme="minorHAnsi"/>
          <w:b/>
          <w:bCs/>
          <w:color w:val="C45911" w:themeColor="accent2" w:themeShade="BF"/>
          <w:sz w:val="24"/>
          <w:szCs w:val="24"/>
          <w:lang w:eastAsia="en-AU" w:bidi="en-AU"/>
        </w:rPr>
        <w:br w:type="page"/>
      </w:r>
    </w:p>
    <w:p w14:paraId="249176B9" w14:textId="77777777" w:rsidR="002E202C" w:rsidRDefault="002E202C" w:rsidP="003C1282">
      <w:pPr>
        <w:pStyle w:val="NoSpacing"/>
        <w:jc w:val="both"/>
        <w:rPr>
          <w:rFonts w:ascii="Tw Cen MT" w:eastAsia="Calibri" w:hAnsi="Tw Cen MT" w:cstheme="minorHAnsi"/>
          <w:b/>
          <w:bCs/>
          <w:color w:val="C45911" w:themeColor="accent2" w:themeShade="BF"/>
          <w:sz w:val="24"/>
          <w:szCs w:val="24"/>
          <w:lang w:eastAsia="en-AU" w:bidi="en-AU"/>
        </w:rPr>
      </w:pPr>
    </w:p>
    <w:p w14:paraId="4C8D6A89" w14:textId="30FCBF73" w:rsidR="00A646BC" w:rsidRPr="00396DBF" w:rsidRDefault="00540E1F" w:rsidP="003C1282">
      <w:pPr>
        <w:pStyle w:val="NoSpacing"/>
        <w:jc w:val="both"/>
        <w:rPr>
          <w:rFonts w:ascii="Tw Cen MT" w:eastAsia="Calibri" w:hAnsi="Tw Cen MT" w:cstheme="minorHAnsi"/>
          <w:b/>
          <w:bCs/>
          <w:color w:val="C45911" w:themeColor="accent2" w:themeShade="BF"/>
          <w:sz w:val="24"/>
          <w:szCs w:val="24"/>
          <w:lang w:eastAsia="en-AU" w:bidi="en-AU"/>
        </w:rPr>
      </w:pPr>
      <w:r w:rsidRPr="00540E1F">
        <w:rPr>
          <w:rFonts w:ascii="Tw Cen MT" w:eastAsia="Calibri" w:hAnsi="Tw Cen MT" w:cstheme="minorHAnsi"/>
          <w:b/>
          <w:bCs/>
          <w:color w:val="C45911" w:themeColor="accent2" w:themeShade="BF"/>
          <w:sz w:val="24"/>
          <w:szCs w:val="24"/>
          <w:lang w:eastAsia="en-AU" w:bidi="en-AU"/>
        </w:rPr>
        <w:t>Letter of Support</w:t>
      </w:r>
      <w:r w:rsidR="00C21D53">
        <w:rPr>
          <w:rFonts w:ascii="Tw Cen MT" w:eastAsia="Calibri" w:hAnsi="Tw Cen MT" w:cstheme="minorHAnsi"/>
          <w:b/>
          <w:bCs/>
          <w:color w:val="C45911" w:themeColor="accent2" w:themeShade="BF"/>
          <w:sz w:val="24"/>
          <w:szCs w:val="24"/>
          <w:lang w:eastAsia="en-AU" w:bidi="en-AU"/>
        </w:rPr>
        <w:t xml:space="preserve"> from Western Australia Premier</w:t>
      </w:r>
      <w:r w:rsidR="002E202C">
        <w:rPr>
          <w:rFonts w:ascii="Tw Cen MT" w:eastAsia="Calibri" w:hAnsi="Tw Cen MT" w:cstheme="minorHAnsi"/>
          <w:b/>
          <w:bCs/>
          <w:color w:val="C45911" w:themeColor="accent2" w:themeShade="BF"/>
          <w:sz w:val="24"/>
          <w:szCs w:val="24"/>
          <w:lang w:eastAsia="en-AU" w:bidi="en-AU"/>
        </w:rPr>
        <w:t>, the</w:t>
      </w:r>
      <w:r w:rsidR="00C21D53">
        <w:rPr>
          <w:rFonts w:ascii="Tw Cen MT" w:eastAsia="Calibri" w:hAnsi="Tw Cen MT" w:cstheme="minorHAnsi"/>
          <w:b/>
          <w:bCs/>
          <w:color w:val="C45911" w:themeColor="accent2" w:themeShade="BF"/>
          <w:sz w:val="24"/>
          <w:szCs w:val="24"/>
          <w:lang w:eastAsia="en-AU" w:bidi="en-AU"/>
        </w:rPr>
        <w:t xml:space="preserve"> Hon Mark McGowan MLA</w:t>
      </w:r>
    </w:p>
    <w:p w14:paraId="6E3F9980" w14:textId="7A67019E" w:rsidR="00A646BC" w:rsidRPr="003C7E3B" w:rsidRDefault="00540E1F" w:rsidP="003C1282">
      <w:pPr>
        <w:pStyle w:val="NoSpacing"/>
        <w:jc w:val="both"/>
        <w:rPr>
          <w:rFonts w:ascii="Tw Cen MT" w:hAnsi="Tw Cen MT" w:cstheme="minorHAnsi"/>
          <w:bCs/>
          <w:sz w:val="24"/>
          <w:szCs w:val="24"/>
        </w:rPr>
      </w:pPr>
      <w:r w:rsidRPr="00540E1F">
        <w:rPr>
          <w:rFonts w:ascii="Tw Cen MT" w:hAnsi="Tw Cen MT" w:cstheme="minorHAnsi"/>
          <w:bCs/>
          <w:noProof/>
          <w:sz w:val="24"/>
          <w:szCs w:val="24"/>
          <w:lang w:eastAsia="en-AU"/>
        </w:rPr>
        <w:drawing>
          <wp:inline distT="0" distB="0" distL="0" distR="0" wp14:anchorId="4D53F805" wp14:editId="5F7DC643">
            <wp:extent cx="5200650" cy="73349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162"/>
                    <a:stretch/>
                  </pic:blipFill>
                  <pic:spPr bwMode="auto">
                    <a:xfrm>
                      <a:off x="0" y="0"/>
                      <a:ext cx="5203884" cy="7339549"/>
                    </a:xfrm>
                    <a:prstGeom prst="rect">
                      <a:avLst/>
                    </a:prstGeom>
                    <a:ln>
                      <a:noFill/>
                    </a:ln>
                    <a:extLst>
                      <a:ext uri="{53640926-AAD7-44D8-BBD7-CCE9431645EC}">
                        <a14:shadowObscured xmlns:a14="http://schemas.microsoft.com/office/drawing/2010/main"/>
                      </a:ext>
                    </a:extLst>
                  </pic:spPr>
                </pic:pic>
              </a:graphicData>
            </a:graphic>
          </wp:inline>
        </w:drawing>
      </w:r>
    </w:p>
    <w:p w14:paraId="1E150308" w14:textId="77777777" w:rsidR="002E202C" w:rsidRDefault="002E202C" w:rsidP="00B658CA">
      <w:pPr>
        <w:pStyle w:val="NoSpacing"/>
        <w:rPr>
          <w:rFonts w:ascii="Tw Cen MT" w:hAnsi="Tw Cen MT"/>
          <w:b/>
          <w:bCs/>
          <w:caps/>
          <w:color w:val="C45911" w:themeColor="accent2" w:themeShade="BF"/>
          <w:sz w:val="24"/>
          <w:szCs w:val="24"/>
        </w:rPr>
      </w:pPr>
    </w:p>
    <w:p w14:paraId="53B99EEC" w14:textId="2F305240" w:rsidR="002E202C" w:rsidRDefault="002E202C" w:rsidP="002E202C">
      <w:pPr>
        <w:pStyle w:val="NoSpacing"/>
        <w:jc w:val="both"/>
        <w:rPr>
          <w:rFonts w:ascii="Tw Cen MT" w:eastAsia="Calibri" w:hAnsi="Tw Cen MT" w:cstheme="minorHAnsi"/>
          <w:b/>
          <w:bCs/>
          <w:color w:val="C45911" w:themeColor="accent2" w:themeShade="BF"/>
          <w:sz w:val="24"/>
          <w:szCs w:val="24"/>
          <w:lang w:eastAsia="en-AU" w:bidi="en-AU"/>
        </w:rPr>
      </w:pPr>
      <w:r w:rsidRPr="00540E1F">
        <w:rPr>
          <w:rFonts w:ascii="Tw Cen MT" w:eastAsia="Calibri" w:hAnsi="Tw Cen MT" w:cstheme="minorHAnsi"/>
          <w:b/>
          <w:bCs/>
          <w:color w:val="C45911" w:themeColor="accent2" w:themeShade="BF"/>
          <w:sz w:val="24"/>
          <w:szCs w:val="24"/>
          <w:lang w:eastAsia="en-AU" w:bidi="en-AU"/>
        </w:rPr>
        <w:t xml:space="preserve">Letter of </w:t>
      </w:r>
      <w:r>
        <w:rPr>
          <w:rFonts w:ascii="Tw Cen MT" w:eastAsia="Calibri" w:hAnsi="Tw Cen MT" w:cstheme="minorHAnsi"/>
          <w:b/>
          <w:bCs/>
          <w:color w:val="C45911" w:themeColor="accent2" w:themeShade="BF"/>
          <w:sz w:val="24"/>
          <w:szCs w:val="24"/>
          <w:lang w:eastAsia="en-AU" w:bidi="en-AU"/>
        </w:rPr>
        <w:t>Intent from Boskalis Offshore Energy</w:t>
      </w:r>
    </w:p>
    <w:p w14:paraId="5CF7FCFC" w14:textId="77777777" w:rsidR="002E202C" w:rsidRDefault="002E202C" w:rsidP="002E202C">
      <w:pPr>
        <w:pStyle w:val="NoSpacing"/>
        <w:jc w:val="center"/>
        <w:rPr>
          <w:rFonts w:ascii="Tw Cen MT" w:eastAsia="Calibri" w:hAnsi="Tw Cen MT" w:cstheme="minorHAnsi"/>
          <w:b/>
          <w:bCs/>
          <w:color w:val="C45911" w:themeColor="accent2" w:themeShade="BF"/>
          <w:sz w:val="24"/>
          <w:szCs w:val="24"/>
          <w:lang w:eastAsia="en-AU" w:bidi="en-AU"/>
        </w:rPr>
      </w:pPr>
      <w:r w:rsidRPr="00B96F99">
        <w:rPr>
          <w:rFonts w:ascii="Tw Cen MT" w:eastAsia="Calibri" w:hAnsi="Tw Cen MT" w:cstheme="minorHAnsi"/>
          <w:b/>
          <w:bCs/>
          <w:noProof/>
          <w:color w:val="C45911" w:themeColor="accent2" w:themeShade="BF"/>
          <w:sz w:val="24"/>
          <w:szCs w:val="24"/>
          <w:lang w:eastAsia="en-AU"/>
        </w:rPr>
        <w:drawing>
          <wp:inline distT="0" distB="0" distL="0" distR="0" wp14:anchorId="30B14449" wp14:editId="1B957E36">
            <wp:extent cx="5146800" cy="73433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1696" cy="7350349"/>
                    </a:xfrm>
                    <a:prstGeom prst="rect">
                      <a:avLst/>
                    </a:prstGeom>
                  </pic:spPr>
                </pic:pic>
              </a:graphicData>
            </a:graphic>
          </wp:inline>
        </w:drawing>
      </w:r>
    </w:p>
    <w:p w14:paraId="56E92165" w14:textId="77777777" w:rsidR="002E202C" w:rsidRDefault="002E202C" w:rsidP="002E202C">
      <w:pPr>
        <w:pStyle w:val="NoSpacing"/>
        <w:jc w:val="both"/>
        <w:rPr>
          <w:rFonts w:ascii="Tw Cen MT" w:eastAsia="Calibri" w:hAnsi="Tw Cen MT" w:cstheme="minorHAnsi"/>
          <w:b/>
          <w:bCs/>
          <w:color w:val="C45911" w:themeColor="accent2" w:themeShade="BF"/>
          <w:sz w:val="24"/>
          <w:szCs w:val="24"/>
          <w:lang w:eastAsia="en-AU" w:bidi="en-AU"/>
        </w:rPr>
      </w:pPr>
    </w:p>
    <w:p w14:paraId="2CCB664C" w14:textId="0A115B52" w:rsidR="002E202C" w:rsidRDefault="002E202C" w:rsidP="002E202C">
      <w:pPr>
        <w:pStyle w:val="NoSpacing"/>
        <w:jc w:val="both"/>
        <w:rPr>
          <w:rFonts w:ascii="Tw Cen MT" w:eastAsia="Calibri" w:hAnsi="Tw Cen MT" w:cstheme="minorHAnsi"/>
          <w:b/>
          <w:bCs/>
          <w:color w:val="C45911" w:themeColor="accent2" w:themeShade="BF"/>
          <w:sz w:val="24"/>
          <w:szCs w:val="24"/>
          <w:lang w:eastAsia="en-AU" w:bidi="en-AU"/>
        </w:rPr>
      </w:pPr>
      <w:r w:rsidRPr="00540E1F">
        <w:rPr>
          <w:rFonts w:ascii="Tw Cen MT" w:eastAsia="Calibri" w:hAnsi="Tw Cen MT" w:cstheme="minorHAnsi"/>
          <w:b/>
          <w:bCs/>
          <w:color w:val="C45911" w:themeColor="accent2" w:themeShade="BF"/>
          <w:sz w:val="24"/>
          <w:szCs w:val="24"/>
          <w:lang w:eastAsia="en-AU" w:bidi="en-AU"/>
        </w:rPr>
        <w:t xml:space="preserve">Letter of </w:t>
      </w:r>
      <w:r>
        <w:rPr>
          <w:rFonts w:ascii="Tw Cen MT" w:eastAsia="Calibri" w:hAnsi="Tw Cen MT" w:cstheme="minorHAnsi"/>
          <w:b/>
          <w:bCs/>
          <w:color w:val="C45911" w:themeColor="accent2" w:themeShade="BF"/>
          <w:sz w:val="24"/>
          <w:szCs w:val="24"/>
          <w:lang w:eastAsia="en-AU" w:bidi="en-AU"/>
        </w:rPr>
        <w:t>Intent from Phoenix International Underwater Solutions Worldwide</w:t>
      </w:r>
    </w:p>
    <w:p w14:paraId="5BAC2327" w14:textId="75CD76B7" w:rsidR="002E202C" w:rsidRDefault="002E202C" w:rsidP="00B658CA">
      <w:pPr>
        <w:pStyle w:val="NoSpacing"/>
        <w:rPr>
          <w:rFonts w:ascii="Tw Cen MT" w:hAnsi="Tw Cen MT"/>
          <w:b/>
          <w:bCs/>
          <w:caps/>
          <w:color w:val="C45911" w:themeColor="accent2" w:themeShade="BF"/>
          <w:sz w:val="24"/>
          <w:szCs w:val="24"/>
        </w:rPr>
      </w:pPr>
      <w:r w:rsidRPr="00B96F99">
        <w:rPr>
          <w:rFonts w:ascii="Tw Cen MT" w:eastAsia="Calibri" w:hAnsi="Tw Cen MT" w:cstheme="minorHAnsi"/>
          <w:b/>
          <w:bCs/>
          <w:noProof/>
          <w:color w:val="C45911" w:themeColor="accent2" w:themeShade="BF"/>
          <w:sz w:val="24"/>
          <w:szCs w:val="24"/>
          <w:lang w:eastAsia="en-AU"/>
        </w:rPr>
        <w:drawing>
          <wp:inline distT="0" distB="0" distL="0" distR="0" wp14:anchorId="66504BBB" wp14:editId="31762B83">
            <wp:extent cx="5176838" cy="74141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2028" cy="7421581"/>
                    </a:xfrm>
                    <a:prstGeom prst="rect">
                      <a:avLst/>
                    </a:prstGeom>
                  </pic:spPr>
                </pic:pic>
              </a:graphicData>
            </a:graphic>
          </wp:inline>
        </w:drawing>
      </w:r>
    </w:p>
    <w:p w14:paraId="675AD97F" w14:textId="2356CB49" w:rsidR="002E202C" w:rsidRDefault="002E202C">
      <w:pPr>
        <w:rPr>
          <w:rFonts w:ascii="Tw Cen MT" w:hAnsi="Tw Cen MT"/>
          <w:b/>
          <w:bCs/>
          <w:caps/>
          <w:color w:val="C45911" w:themeColor="accent2" w:themeShade="BF"/>
          <w:sz w:val="24"/>
          <w:szCs w:val="24"/>
        </w:rPr>
      </w:pPr>
      <w:r w:rsidRPr="00B96F99">
        <w:rPr>
          <w:rFonts w:ascii="Tw Cen MT" w:hAnsi="Tw Cen MT" w:cstheme="minorHAnsi"/>
          <w:bCs/>
          <w:noProof/>
          <w:sz w:val="24"/>
          <w:szCs w:val="24"/>
          <w:lang w:eastAsia="en-AU"/>
        </w:rPr>
        <w:drawing>
          <wp:inline distT="0" distB="0" distL="0" distR="0" wp14:anchorId="53C16372" wp14:editId="3D10E188">
            <wp:extent cx="5205070" cy="7477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543" cy="7484986"/>
                    </a:xfrm>
                    <a:prstGeom prst="rect">
                      <a:avLst/>
                    </a:prstGeom>
                  </pic:spPr>
                </pic:pic>
              </a:graphicData>
            </a:graphic>
          </wp:inline>
        </w:drawing>
      </w:r>
    </w:p>
    <w:p w14:paraId="29D3D4A2" w14:textId="26CF7085" w:rsidR="002E202C" w:rsidRDefault="002E202C">
      <w:pPr>
        <w:rPr>
          <w:rFonts w:ascii="Tw Cen MT" w:hAnsi="Tw Cen MT"/>
          <w:b/>
          <w:bCs/>
          <w:caps/>
          <w:color w:val="C45911" w:themeColor="accent2" w:themeShade="BF"/>
          <w:sz w:val="24"/>
          <w:szCs w:val="24"/>
        </w:rPr>
      </w:pPr>
    </w:p>
    <w:p w14:paraId="0722E34E" w14:textId="121E273C" w:rsidR="00B658CA" w:rsidRPr="00B658CA" w:rsidRDefault="008D6F72" w:rsidP="00B658CA">
      <w:pPr>
        <w:pStyle w:val="NoSpacing"/>
        <w:rPr>
          <w:rFonts w:ascii="Tw Cen MT" w:hAnsi="Tw Cen MT"/>
          <w:b/>
          <w:bCs/>
          <w:caps/>
          <w:color w:val="C45911" w:themeColor="accent2" w:themeShade="BF"/>
          <w:sz w:val="24"/>
          <w:szCs w:val="24"/>
        </w:rPr>
      </w:pPr>
      <w:r>
        <w:rPr>
          <w:rFonts w:ascii="Tw Cen MT" w:hAnsi="Tw Cen MT"/>
          <w:b/>
          <w:bCs/>
          <w:caps/>
          <w:color w:val="C45911" w:themeColor="accent2" w:themeShade="BF"/>
          <w:sz w:val="24"/>
          <w:szCs w:val="24"/>
        </w:rPr>
        <w:t>for further information</w:t>
      </w:r>
    </w:p>
    <w:p w14:paraId="6076CE72" w14:textId="2CA4EAD5" w:rsidR="00B658CA" w:rsidRPr="00B658CA" w:rsidRDefault="00B658CA" w:rsidP="00B658CA">
      <w:pPr>
        <w:pStyle w:val="NoSpacing"/>
        <w:rPr>
          <w:rFonts w:ascii="Tw Cen MT" w:hAnsi="Tw Cen MT"/>
          <w:b/>
          <w:bCs/>
          <w:caps/>
          <w:color w:val="C45911" w:themeColor="accent2" w:themeShade="BF"/>
          <w:sz w:val="24"/>
          <w:szCs w:val="24"/>
        </w:rPr>
      </w:pPr>
    </w:p>
    <w:p w14:paraId="48DAE493" w14:textId="2850BA8D" w:rsidR="00B658CA" w:rsidRPr="00B658CA" w:rsidRDefault="00B658CA" w:rsidP="00B658CA">
      <w:pPr>
        <w:pStyle w:val="NoSpacing"/>
        <w:rPr>
          <w:rFonts w:ascii="Tw Cen MT" w:hAnsi="Tw Cen MT"/>
          <w:sz w:val="24"/>
          <w:szCs w:val="24"/>
        </w:rPr>
      </w:pPr>
      <w:r w:rsidRPr="00B658CA">
        <w:rPr>
          <w:rFonts w:ascii="Tw Cen MT" w:hAnsi="Tw Cen MT"/>
          <w:sz w:val="24"/>
          <w:szCs w:val="24"/>
        </w:rPr>
        <w:t>For more information regarding the Gascoyne Gateway Ltd:</w:t>
      </w:r>
    </w:p>
    <w:p w14:paraId="107FAA3B" w14:textId="77777777" w:rsidR="00B658CA" w:rsidRPr="00B658CA" w:rsidRDefault="00B658CA" w:rsidP="00B658CA">
      <w:pPr>
        <w:pStyle w:val="NoSpacing"/>
        <w:rPr>
          <w:rFonts w:ascii="Tw Cen MT" w:hAnsi="Tw Cen MT"/>
          <w:sz w:val="24"/>
          <w:szCs w:val="24"/>
        </w:rPr>
      </w:pPr>
    </w:p>
    <w:p w14:paraId="0CB25036" w14:textId="77777777" w:rsidR="00B658CA" w:rsidRPr="00B658CA" w:rsidRDefault="00B658CA" w:rsidP="00B658CA">
      <w:pPr>
        <w:pStyle w:val="NoSpacing"/>
        <w:rPr>
          <w:rFonts w:ascii="Tw Cen MT" w:hAnsi="Tw Cen MT"/>
          <w:sz w:val="24"/>
          <w:szCs w:val="24"/>
        </w:rPr>
      </w:pPr>
      <w:r w:rsidRPr="00B658CA">
        <w:rPr>
          <w:rFonts w:ascii="Tw Cen MT" w:hAnsi="Tw Cen MT"/>
          <w:b/>
          <w:bCs/>
          <w:sz w:val="24"/>
          <w:szCs w:val="24"/>
        </w:rPr>
        <w:t>E:</w:t>
      </w:r>
      <w:r w:rsidRPr="00B658CA">
        <w:rPr>
          <w:rFonts w:ascii="Tw Cen MT" w:hAnsi="Tw Cen MT"/>
          <w:sz w:val="24"/>
          <w:szCs w:val="24"/>
        </w:rPr>
        <w:t xml:space="preserve"> </w:t>
      </w:r>
      <w:hyperlink r:id="rId27" w:history="1">
        <w:r w:rsidRPr="00B658CA">
          <w:rPr>
            <w:rStyle w:val="Hyperlink"/>
            <w:rFonts w:ascii="Tw Cen MT" w:hAnsi="Tw Cen MT"/>
            <w:sz w:val="24"/>
            <w:szCs w:val="24"/>
          </w:rPr>
          <w:t>info@gascoynegateway.com.au</w:t>
        </w:r>
      </w:hyperlink>
    </w:p>
    <w:p w14:paraId="2FBBD2A1" w14:textId="77777777" w:rsidR="00B658CA" w:rsidRPr="00B658CA" w:rsidRDefault="00B658CA" w:rsidP="00B658CA">
      <w:pPr>
        <w:pStyle w:val="NoSpacing"/>
        <w:rPr>
          <w:rFonts w:ascii="Tw Cen MT" w:hAnsi="Tw Cen MT"/>
          <w:sz w:val="24"/>
          <w:szCs w:val="24"/>
        </w:rPr>
      </w:pPr>
      <w:r w:rsidRPr="00B658CA">
        <w:rPr>
          <w:rFonts w:ascii="Tw Cen MT" w:hAnsi="Tw Cen MT"/>
          <w:sz w:val="24"/>
          <w:szCs w:val="24"/>
        </w:rPr>
        <w:t xml:space="preserve"> </w:t>
      </w:r>
    </w:p>
    <w:p w14:paraId="538C2801" w14:textId="77777777" w:rsidR="00B658CA" w:rsidRPr="00B658CA" w:rsidRDefault="00B658CA" w:rsidP="00B658CA">
      <w:pPr>
        <w:pStyle w:val="NoSpacing"/>
        <w:rPr>
          <w:rStyle w:val="Hyperlink"/>
          <w:rFonts w:ascii="Tw Cen MT" w:hAnsi="Tw Cen MT"/>
          <w:sz w:val="24"/>
          <w:szCs w:val="24"/>
        </w:rPr>
      </w:pPr>
      <w:r w:rsidRPr="00B658CA">
        <w:rPr>
          <w:rFonts w:ascii="Tw Cen MT" w:hAnsi="Tw Cen MT"/>
          <w:b/>
          <w:bCs/>
          <w:sz w:val="24"/>
          <w:szCs w:val="24"/>
        </w:rPr>
        <w:t>W:</w:t>
      </w:r>
      <w:r w:rsidRPr="00B658CA">
        <w:rPr>
          <w:rFonts w:ascii="Tw Cen MT" w:hAnsi="Tw Cen MT"/>
          <w:sz w:val="24"/>
          <w:szCs w:val="24"/>
        </w:rPr>
        <w:t xml:space="preserve"> </w:t>
      </w:r>
      <w:hyperlink r:id="rId28" w:history="1">
        <w:r w:rsidRPr="00B658CA">
          <w:rPr>
            <w:rStyle w:val="Hyperlink"/>
            <w:rFonts w:ascii="Tw Cen MT" w:hAnsi="Tw Cen MT"/>
            <w:sz w:val="24"/>
            <w:szCs w:val="24"/>
          </w:rPr>
          <w:t>www.gascoynegateway.com.au</w:t>
        </w:r>
      </w:hyperlink>
    </w:p>
    <w:p w14:paraId="42E78D13" w14:textId="77777777" w:rsidR="00B658CA" w:rsidRPr="00B658CA" w:rsidRDefault="00B658CA" w:rsidP="00B658CA">
      <w:pPr>
        <w:pStyle w:val="NoSpacing"/>
        <w:rPr>
          <w:rFonts w:ascii="Tw Cen MT" w:hAnsi="Tw Cen MT"/>
          <w:sz w:val="24"/>
          <w:szCs w:val="24"/>
        </w:rPr>
      </w:pPr>
    </w:p>
    <w:p w14:paraId="481BDC28" w14:textId="77777777" w:rsidR="00B658CA" w:rsidRPr="00B658CA" w:rsidRDefault="00B658CA" w:rsidP="00B658CA">
      <w:pPr>
        <w:pStyle w:val="NoSpacing"/>
        <w:rPr>
          <w:rFonts w:ascii="Tw Cen MT" w:hAnsi="Tw Cen MT"/>
          <w:sz w:val="24"/>
          <w:szCs w:val="24"/>
        </w:rPr>
      </w:pPr>
      <w:r w:rsidRPr="00B658CA">
        <w:rPr>
          <w:rFonts w:ascii="Tw Cen MT" w:hAnsi="Tw Cen MT"/>
          <w:b/>
          <w:bCs/>
          <w:sz w:val="24"/>
          <w:szCs w:val="24"/>
        </w:rPr>
        <w:t xml:space="preserve">P: </w:t>
      </w:r>
      <w:r w:rsidRPr="00B658CA">
        <w:rPr>
          <w:rFonts w:ascii="Tw Cen MT" w:hAnsi="Tw Cen MT"/>
          <w:sz w:val="24"/>
          <w:szCs w:val="24"/>
        </w:rPr>
        <w:t>Gascoyne Gateway Ltd</w:t>
      </w:r>
      <w:r w:rsidRPr="00B658CA">
        <w:rPr>
          <w:rFonts w:ascii="Tw Cen MT" w:hAnsi="Tw Cen MT"/>
          <w:b/>
          <w:bCs/>
          <w:sz w:val="24"/>
          <w:szCs w:val="24"/>
        </w:rPr>
        <w:t xml:space="preserve">, </w:t>
      </w:r>
      <w:r w:rsidRPr="00B658CA">
        <w:rPr>
          <w:rFonts w:ascii="Tw Cen MT" w:hAnsi="Tw Cen MT"/>
          <w:sz w:val="24"/>
          <w:szCs w:val="24"/>
        </w:rPr>
        <w:t>Unit 38/145 Stirling Highway</w:t>
      </w:r>
      <w:r w:rsidRPr="00B658CA">
        <w:rPr>
          <w:rFonts w:ascii="Tw Cen MT" w:hAnsi="Tw Cen MT"/>
          <w:b/>
          <w:bCs/>
          <w:sz w:val="24"/>
          <w:szCs w:val="24"/>
        </w:rPr>
        <w:t xml:space="preserve">, </w:t>
      </w:r>
      <w:r w:rsidRPr="00B658CA">
        <w:rPr>
          <w:rFonts w:ascii="Tw Cen MT" w:hAnsi="Tw Cen MT"/>
          <w:sz w:val="24"/>
          <w:szCs w:val="24"/>
        </w:rPr>
        <w:t>NEDLANDS  WA  6009</w:t>
      </w:r>
    </w:p>
    <w:p w14:paraId="6FD9C498" w14:textId="77777777" w:rsidR="00B658CA" w:rsidRPr="00B658CA" w:rsidRDefault="00B658CA" w:rsidP="00B658CA">
      <w:pPr>
        <w:pStyle w:val="NoSpacing"/>
        <w:rPr>
          <w:rFonts w:ascii="Tw Cen MT" w:hAnsi="Tw Cen MT"/>
          <w:b/>
          <w:bCs/>
          <w:sz w:val="24"/>
          <w:szCs w:val="24"/>
        </w:rPr>
      </w:pPr>
    </w:p>
    <w:p w14:paraId="1057E1CC" w14:textId="77777777" w:rsidR="00B658CA" w:rsidRPr="00B658CA" w:rsidRDefault="00B658CA" w:rsidP="00B658CA">
      <w:pPr>
        <w:pStyle w:val="NoSpacing"/>
        <w:rPr>
          <w:rFonts w:ascii="Tw Cen MT" w:hAnsi="Tw Cen MT"/>
          <w:sz w:val="24"/>
          <w:szCs w:val="24"/>
        </w:rPr>
      </w:pPr>
      <w:r w:rsidRPr="00B658CA">
        <w:rPr>
          <w:rFonts w:ascii="Tw Cen MT" w:hAnsi="Tw Cen MT"/>
          <w:b/>
          <w:bCs/>
          <w:sz w:val="24"/>
          <w:szCs w:val="24"/>
        </w:rPr>
        <w:t xml:space="preserve">ABN: </w:t>
      </w:r>
      <w:r w:rsidRPr="00B658CA">
        <w:rPr>
          <w:rFonts w:ascii="Tw Cen MT" w:hAnsi="Tw Cen MT"/>
          <w:sz w:val="24"/>
          <w:szCs w:val="24"/>
        </w:rPr>
        <w:t>72 638 151 747</w:t>
      </w:r>
    </w:p>
    <w:p w14:paraId="167E1C37" w14:textId="77777777" w:rsidR="00B658CA" w:rsidRPr="00B658CA" w:rsidRDefault="00B658CA" w:rsidP="00B658CA">
      <w:pPr>
        <w:pStyle w:val="NoSpacing"/>
        <w:rPr>
          <w:rFonts w:ascii="Tw Cen MT" w:hAnsi="Tw Cen MT"/>
          <w:sz w:val="24"/>
          <w:szCs w:val="24"/>
        </w:rPr>
      </w:pPr>
    </w:p>
    <w:p w14:paraId="7F0D19EE" w14:textId="77777777" w:rsidR="00B658CA" w:rsidRPr="00B658CA" w:rsidRDefault="00B658CA" w:rsidP="00B658CA">
      <w:pPr>
        <w:pStyle w:val="NoSpacing"/>
        <w:rPr>
          <w:rFonts w:ascii="Tw Cen MT" w:hAnsi="Tw Cen MT"/>
          <w:sz w:val="24"/>
          <w:szCs w:val="24"/>
        </w:rPr>
      </w:pPr>
      <w:r w:rsidRPr="00B658CA">
        <w:rPr>
          <w:rFonts w:ascii="Tw Cen MT" w:hAnsi="Tw Cen MT"/>
          <w:b/>
          <w:bCs/>
          <w:sz w:val="24"/>
          <w:szCs w:val="24"/>
        </w:rPr>
        <w:t>ACN</w:t>
      </w:r>
      <w:r w:rsidRPr="00B658CA">
        <w:rPr>
          <w:rFonts w:ascii="Tw Cen MT" w:hAnsi="Tw Cen MT"/>
          <w:sz w:val="24"/>
          <w:szCs w:val="24"/>
        </w:rPr>
        <w:t>: 638 151 747</w:t>
      </w:r>
    </w:p>
    <w:p w14:paraId="34A8C941" w14:textId="6D772AFA" w:rsidR="00B658CA" w:rsidRDefault="00B658CA" w:rsidP="00B658CA"/>
    <w:p w14:paraId="0FB8AA44" w14:textId="77777777" w:rsidR="00AF440E" w:rsidRDefault="00AF440E" w:rsidP="00B658CA"/>
    <w:p w14:paraId="7F380ADC" w14:textId="77777777" w:rsidR="002E202C" w:rsidRDefault="002E202C">
      <w:pPr>
        <w:rPr>
          <w:rFonts w:ascii="Tw Cen MT" w:hAnsi="Tw Cen MT" w:cstheme="minorHAnsi"/>
          <w:b/>
          <w:bCs/>
          <w:caps/>
          <w:color w:val="C45911" w:themeColor="accent2" w:themeShade="BF"/>
          <w:sz w:val="24"/>
          <w:szCs w:val="24"/>
          <w:lang w:val="en-GB"/>
        </w:rPr>
      </w:pPr>
      <w:r>
        <w:rPr>
          <w:rFonts w:ascii="Tw Cen MT" w:hAnsi="Tw Cen MT" w:cstheme="minorHAnsi"/>
          <w:b/>
          <w:bCs/>
          <w:caps/>
          <w:color w:val="C45911" w:themeColor="accent2" w:themeShade="BF"/>
          <w:sz w:val="24"/>
          <w:szCs w:val="24"/>
          <w:lang w:val="en-GB"/>
        </w:rPr>
        <w:br w:type="page"/>
      </w:r>
    </w:p>
    <w:p w14:paraId="04B49DDC" w14:textId="77777777" w:rsidR="002E202C" w:rsidRDefault="002E202C" w:rsidP="003A776F">
      <w:pPr>
        <w:pStyle w:val="NoSpacing"/>
        <w:rPr>
          <w:rFonts w:ascii="Tw Cen MT" w:hAnsi="Tw Cen MT" w:cstheme="minorHAnsi"/>
          <w:b/>
          <w:bCs/>
          <w:caps/>
          <w:color w:val="C45911" w:themeColor="accent2" w:themeShade="BF"/>
          <w:sz w:val="24"/>
          <w:szCs w:val="24"/>
          <w:lang w:val="en-GB"/>
        </w:rPr>
      </w:pPr>
    </w:p>
    <w:p w14:paraId="72BAE8B8" w14:textId="240591BC" w:rsidR="003A776F" w:rsidRPr="003A776F" w:rsidRDefault="003A776F" w:rsidP="003A776F">
      <w:pPr>
        <w:pStyle w:val="NoSpacing"/>
        <w:rPr>
          <w:rFonts w:ascii="Tw Cen MT" w:hAnsi="Tw Cen MT" w:cstheme="minorHAnsi"/>
          <w:b/>
          <w:bCs/>
          <w:caps/>
          <w:color w:val="C45911" w:themeColor="accent2" w:themeShade="BF"/>
          <w:sz w:val="24"/>
          <w:szCs w:val="24"/>
          <w:lang w:val="en-GB"/>
        </w:rPr>
      </w:pPr>
      <w:r w:rsidRPr="003A776F">
        <w:rPr>
          <w:rFonts w:ascii="Tw Cen MT" w:hAnsi="Tw Cen MT" w:cstheme="minorHAnsi"/>
          <w:b/>
          <w:bCs/>
          <w:caps/>
          <w:color w:val="C45911" w:themeColor="accent2" w:themeShade="BF"/>
          <w:sz w:val="24"/>
          <w:szCs w:val="24"/>
          <w:lang w:val="en-GB"/>
        </w:rPr>
        <w:t>Who We Are</w:t>
      </w:r>
    </w:p>
    <w:p w14:paraId="077ED1E9" w14:textId="77777777" w:rsidR="003A776F" w:rsidRPr="00037B44" w:rsidRDefault="003A776F" w:rsidP="003A776F">
      <w:pPr>
        <w:pStyle w:val="NoSpacing"/>
        <w:rPr>
          <w:rFonts w:cstheme="minorHAnsi"/>
          <w:bCs/>
          <w:sz w:val="24"/>
          <w:szCs w:val="24"/>
        </w:rPr>
      </w:pPr>
    </w:p>
    <w:p w14:paraId="27477CE3" w14:textId="77777777"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 xml:space="preserve">Michael D Edwards OAM – Co-Founder and Managing Director </w:t>
      </w:r>
    </w:p>
    <w:p w14:paraId="7C8ECE81" w14:textId="77777777" w:rsidR="003A776F" w:rsidRPr="003A776F" w:rsidRDefault="003A776F" w:rsidP="003A776F">
      <w:pPr>
        <w:pStyle w:val="NoSpacing"/>
        <w:rPr>
          <w:rFonts w:ascii="Tw Cen MT" w:hAnsi="Tw Cen MT" w:cstheme="minorHAnsi"/>
          <w:b/>
          <w:sz w:val="24"/>
          <w:szCs w:val="24"/>
          <w:u w:val="single"/>
        </w:rPr>
      </w:pPr>
    </w:p>
    <w:p w14:paraId="0D9513FE"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noProof/>
          <w:sz w:val="24"/>
          <w:szCs w:val="24"/>
          <w:lang w:eastAsia="en-AU"/>
        </w:rPr>
        <w:drawing>
          <wp:anchor distT="0" distB="0" distL="114300" distR="114300" simplePos="0" relativeHeight="251658245" behindDoc="0" locked="0" layoutInCell="1" allowOverlap="1" wp14:anchorId="2C2177DA" wp14:editId="1AFFC189">
            <wp:simplePos x="0" y="0"/>
            <wp:positionH relativeFrom="margin">
              <wp:align>left</wp:align>
            </wp:positionH>
            <wp:positionV relativeFrom="paragraph">
              <wp:posOffset>116205</wp:posOffset>
            </wp:positionV>
            <wp:extent cx="1296035" cy="1488440"/>
            <wp:effectExtent l="114300" t="114300" r="151765" b="149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extLst>
                        <a:ext uri="{28A0092B-C50C-407E-A947-70E740481C1C}">
                          <a14:useLocalDpi xmlns:a14="http://schemas.microsoft.com/office/drawing/2010/main" val="0"/>
                        </a:ext>
                      </a:extLst>
                    </a:blip>
                    <a:stretch>
                      <a:fillRect/>
                    </a:stretch>
                  </pic:blipFill>
                  <pic:spPr>
                    <a:xfrm>
                      <a:off x="0" y="0"/>
                      <a:ext cx="1296035" cy="148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 xml:space="preserve">Michael is experienced in world-wide operations whilst leading and managing teams of 15-350 personnel, delivering a range of experiences and breadth of knowledge that have the capacity to strengthen any commercial project or operation. </w:t>
      </w:r>
    </w:p>
    <w:p w14:paraId="2B2CA4C2" w14:textId="77777777" w:rsidR="003A776F" w:rsidRPr="003A776F" w:rsidRDefault="003A776F" w:rsidP="003A776F">
      <w:pPr>
        <w:pStyle w:val="NoSpacing"/>
        <w:jc w:val="both"/>
        <w:rPr>
          <w:rFonts w:ascii="Tw Cen MT" w:hAnsi="Tw Cen MT" w:cstheme="minorHAnsi"/>
          <w:bCs/>
          <w:sz w:val="24"/>
          <w:szCs w:val="24"/>
        </w:rPr>
      </w:pPr>
    </w:p>
    <w:p w14:paraId="6AB963C4"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He is a professional mariner with over forty years’ experience in both Naval (formal Clearance Diver) and Commercial operations, where driving innovation and efficiency were paramount to successful business outcomes. </w:t>
      </w:r>
    </w:p>
    <w:p w14:paraId="6535465E" w14:textId="77777777" w:rsidR="003A776F" w:rsidRPr="003A776F" w:rsidRDefault="003A776F" w:rsidP="003A776F">
      <w:pPr>
        <w:pStyle w:val="NoSpacing"/>
        <w:jc w:val="both"/>
        <w:rPr>
          <w:rFonts w:ascii="Tw Cen MT" w:hAnsi="Tw Cen MT" w:cstheme="minorHAnsi"/>
          <w:bCs/>
          <w:sz w:val="24"/>
          <w:szCs w:val="24"/>
        </w:rPr>
      </w:pPr>
    </w:p>
    <w:p w14:paraId="47D98121"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In the last 15 years, his provision of technological and process innovation has delivered outstanding results in efficiency and commercial advantage to significant resources and Government clients in Western Australia. </w:t>
      </w:r>
    </w:p>
    <w:p w14:paraId="7E3BA7ED" w14:textId="77777777" w:rsidR="003A776F" w:rsidRPr="003A776F" w:rsidRDefault="003A776F" w:rsidP="003A776F">
      <w:pPr>
        <w:pStyle w:val="NoSpacing"/>
        <w:jc w:val="both"/>
        <w:rPr>
          <w:rFonts w:ascii="Tw Cen MT" w:hAnsi="Tw Cen MT" w:cstheme="minorHAnsi"/>
          <w:bCs/>
          <w:sz w:val="24"/>
          <w:szCs w:val="24"/>
        </w:rPr>
      </w:pPr>
    </w:p>
    <w:p w14:paraId="51A6203D"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Michael has stepped away from his executive director role within Oropesa Port Management Pty Ltd, where he is also a major shareholder so that he can concentrate on his role at GGL. Michael is a Founding Director of Gascoyne Gateway Limited and a major shareholder. </w:t>
      </w:r>
    </w:p>
    <w:p w14:paraId="6D2FA8C9" w14:textId="77777777" w:rsidR="003A776F" w:rsidRPr="003A776F" w:rsidRDefault="003A776F" w:rsidP="003A776F">
      <w:pPr>
        <w:pStyle w:val="NoSpacing"/>
        <w:rPr>
          <w:rFonts w:ascii="Tw Cen MT" w:hAnsi="Tw Cen MT" w:cstheme="minorHAnsi"/>
          <w:bCs/>
          <w:sz w:val="24"/>
          <w:szCs w:val="24"/>
        </w:rPr>
      </w:pPr>
    </w:p>
    <w:p w14:paraId="1CEC8F4A" w14:textId="77777777" w:rsidR="008D6F72" w:rsidRDefault="008D6F72" w:rsidP="003A776F">
      <w:pPr>
        <w:pStyle w:val="NoSpacing"/>
        <w:rPr>
          <w:rFonts w:ascii="Tw Cen MT" w:hAnsi="Tw Cen MT" w:cstheme="minorHAnsi"/>
          <w:b/>
          <w:color w:val="C45911" w:themeColor="accent2" w:themeShade="BF"/>
          <w:sz w:val="24"/>
          <w:szCs w:val="24"/>
        </w:rPr>
      </w:pPr>
    </w:p>
    <w:p w14:paraId="586B250C" w14:textId="03A3EC17"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Daniel Jackson – Chief Operating Officer</w:t>
      </w:r>
    </w:p>
    <w:p w14:paraId="21792B48" w14:textId="77777777" w:rsidR="003A776F" w:rsidRPr="003A776F" w:rsidRDefault="003A776F" w:rsidP="003A776F">
      <w:pPr>
        <w:pStyle w:val="NoSpacing"/>
        <w:rPr>
          <w:rFonts w:ascii="Tw Cen MT" w:hAnsi="Tw Cen MT" w:cstheme="minorHAnsi"/>
          <w:b/>
          <w:sz w:val="24"/>
          <w:szCs w:val="24"/>
          <w:u w:val="single"/>
        </w:rPr>
      </w:pPr>
    </w:p>
    <w:p w14:paraId="407E2E8A"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noProof/>
          <w:sz w:val="24"/>
          <w:szCs w:val="24"/>
          <w:lang w:eastAsia="en-AU"/>
        </w:rPr>
        <w:drawing>
          <wp:anchor distT="0" distB="0" distL="114300" distR="114300" simplePos="0" relativeHeight="251658246" behindDoc="0" locked="0" layoutInCell="1" allowOverlap="1" wp14:anchorId="60B0685A" wp14:editId="6AA03EC0">
            <wp:simplePos x="0" y="0"/>
            <wp:positionH relativeFrom="margin">
              <wp:align>left</wp:align>
            </wp:positionH>
            <wp:positionV relativeFrom="paragraph">
              <wp:posOffset>117475</wp:posOffset>
            </wp:positionV>
            <wp:extent cx="1190625" cy="1384935"/>
            <wp:effectExtent l="133350" t="114300" r="142875" b="158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extLst>
                        <a:ext uri="{28A0092B-C50C-407E-A947-70E740481C1C}">
                          <a14:useLocalDpi xmlns:a14="http://schemas.microsoft.com/office/drawing/2010/main" val="0"/>
                        </a:ext>
                      </a:extLst>
                    </a:blip>
                    <a:stretch>
                      <a:fillRect/>
                    </a:stretch>
                  </pic:blipFill>
                  <pic:spPr>
                    <a:xfrm>
                      <a:off x="0" y="0"/>
                      <a:ext cx="1190625" cy="138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 xml:space="preserve">Before embarking on the Gascoyne Gateway journey, Daniel built an impressive career in Defence and the Private Sector, including more than 14 years of highly accomplished and commended service as a Clearance Diver and Electronics Engineering Technician, specialising in sensors and detection systems within the Royal Australian Navy. </w:t>
      </w:r>
    </w:p>
    <w:p w14:paraId="43CC459D" w14:textId="77777777" w:rsidR="003A776F" w:rsidRPr="003A776F" w:rsidRDefault="003A776F" w:rsidP="003A776F">
      <w:pPr>
        <w:pStyle w:val="NoSpacing"/>
        <w:jc w:val="both"/>
        <w:rPr>
          <w:rFonts w:ascii="Tw Cen MT" w:hAnsi="Tw Cen MT" w:cstheme="minorHAnsi"/>
          <w:bCs/>
          <w:sz w:val="24"/>
          <w:szCs w:val="24"/>
        </w:rPr>
      </w:pPr>
    </w:p>
    <w:p w14:paraId="0E977DF1"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Upon transition from the Navy and a distinguished tenure embedded with Australian Special Forces, Daniel has spent the last 10 years in senior management and executive roles, designing, and deploying operational strategies to deter threats, mitigate risk, respond to change and build business resilience. </w:t>
      </w:r>
    </w:p>
    <w:p w14:paraId="64C73B39" w14:textId="77777777" w:rsidR="003A776F" w:rsidRPr="003A776F" w:rsidRDefault="003A776F" w:rsidP="003A776F">
      <w:pPr>
        <w:pStyle w:val="NoSpacing"/>
        <w:jc w:val="both"/>
        <w:rPr>
          <w:rFonts w:ascii="Tw Cen MT" w:hAnsi="Tw Cen MT" w:cstheme="minorHAnsi"/>
          <w:bCs/>
          <w:sz w:val="24"/>
          <w:szCs w:val="24"/>
        </w:rPr>
      </w:pPr>
    </w:p>
    <w:p w14:paraId="4A37EE25"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Daniel is a member of the Edith Cowan University Quality, Audit and Risk Committee and has a board experience leading and delivering projects through cross-function teams within mineral exploration, mining, construction, heavy industry, training and technology. Daniel’s creative and entrepreneurial passion, evident in his depth of business acumen and experience in governance and compliance, has led to co-founding and growing a number of start-up companies.</w:t>
      </w:r>
    </w:p>
    <w:p w14:paraId="5EB7E59E" w14:textId="77777777" w:rsidR="003A776F" w:rsidRPr="003A776F" w:rsidRDefault="003A776F" w:rsidP="003A776F">
      <w:pPr>
        <w:pStyle w:val="NoSpacing"/>
        <w:jc w:val="both"/>
        <w:rPr>
          <w:rFonts w:ascii="Tw Cen MT" w:hAnsi="Tw Cen MT" w:cstheme="minorHAnsi"/>
          <w:bCs/>
          <w:sz w:val="24"/>
          <w:szCs w:val="24"/>
        </w:rPr>
      </w:pPr>
    </w:p>
    <w:p w14:paraId="38FD9EBE" w14:textId="77777777" w:rsidR="008D6F72" w:rsidRDefault="008D6F72" w:rsidP="003A776F">
      <w:pPr>
        <w:pStyle w:val="NoSpacing"/>
        <w:rPr>
          <w:rFonts w:ascii="Tw Cen MT" w:hAnsi="Tw Cen MT" w:cstheme="minorHAnsi"/>
          <w:b/>
          <w:color w:val="C45911" w:themeColor="accent2" w:themeShade="BF"/>
          <w:sz w:val="24"/>
          <w:szCs w:val="24"/>
        </w:rPr>
      </w:pPr>
    </w:p>
    <w:p w14:paraId="6FF59167" w14:textId="77777777" w:rsidR="002E202C" w:rsidRDefault="002E202C" w:rsidP="003A776F">
      <w:pPr>
        <w:pStyle w:val="NoSpacing"/>
        <w:rPr>
          <w:rFonts w:ascii="Tw Cen MT" w:hAnsi="Tw Cen MT" w:cstheme="minorHAnsi"/>
          <w:b/>
          <w:color w:val="C45911" w:themeColor="accent2" w:themeShade="BF"/>
          <w:sz w:val="24"/>
          <w:szCs w:val="24"/>
        </w:rPr>
      </w:pPr>
    </w:p>
    <w:p w14:paraId="0F5EB67B" w14:textId="77777777" w:rsidR="002E202C" w:rsidRDefault="002E202C" w:rsidP="003A776F">
      <w:pPr>
        <w:pStyle w:val="NoSpacing"/>
        <w:rPr>
          <w:rFonts w:ascii="Tw Cen MT" w:hAnsi="Tw Cen MT" w:cstheme="minorHAnsi"/>
          <w:b/>
          <w:color w:val="C45911" w:themeColor="accent2" w:themeShade="BF"/>
          <w:sz w:val="24"/>
          <w:szCs w:val="24"/>
        </w:rPr>
      </w:pPr>
    </w:p>
    <w:p w14:paraId="4FF0D8FB" w14:textId="3AD819B3"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Denise Goldsworthy – Independent Non-Executive Chair</w:t>
      </w:r>
    </w:p>
    <w:p w14:paraId="65C0F551" w14:textId="77777777" w:rsidR="003A776F" w:rsidRPr="003A776F" w:rsidRDefault="003A776F" w:rsidP="003A776F">
      <w:pPr>
        <w:pStyle w:val="NoSpacing"/>
        <w:rPr>
          <w:rFonts w:ascii="Tw Cen MT" w:hAnsi="Tw Cen MT" w:cstheme="minorHAnsi"/>
          <w:b/>
          <w:sz w:val="24"/>
          <w:szCs w:val="24"/>
          <w:u w:val="single"/>
        </w:rPr>
      </w:pPr>
    </w:p>
    <w:p w14:paraId="368FFFFD"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noProof/>
          <w:sz w:val="24"/>
          <w:szCs w:val="24"/>
          <w:lang w:eastAsia="en-AU"/>
        </w:rPr>
        <w:drawing>
          <wp:anchor distT="0" distB="0" distL="114300" distR="114300" simplePos="0" relativeHeight="251658247" behindDoc="0" locked="0" layoutInCell="1" allowOverlap="1" wp14:anchorId="209447D5" wp14:editId="7394886C">
            <wp:simplePos x="0" y="0"/>
            <wp:positionH relativeFrom="margin">
              <wp:align>left</wp:align>
            </wp:positionH>
            <wp:positionV relativeFrom="paragraph">
              <wp:posOffset>5774</wp:posOffset>
            </wp:positionV>
            <wp:extent cx="1206500" cy="1301750"/>
            <wp:effectExtent l="133350" t="114300" r="127000" b="165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206500" cy="130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Denise is a metallurgist, commencing her career with BHP Steel, then various roles across the mining industry and innovation sectors and eventually becoming Managing Director of Dampier Salt (Rio Tinto Limited) where she is credited with both expanding and invigorating this division’s returns across the three mines, processing facilities and three port-based supply chains.</w:t>
      </w:r>
    </w:p>
    <w:p w14:paraId="4D5C6566" w14:textId="77777777" w:rsidR="003A776F" w:rsidRPr="003A776F" w:rsidRDefault="003A776F" w:rsidP="003A776F">
      <w:pPr>
        <w:pStyle w:val="NoSpacing"/>
        <w:jc w:val="both"/>
        <w:rPr>
          <w:rFonts w:ascii="Tw Cen MT" w:hAnsi="Tw Cen MT" w:cstheme="minorHAnsi"/>
          <w:bCs/>
          <w:sz w:val="24"/>
          <w:szCs w:val="24"/>
        </w:rPr>
      </w:pPr>
    </w:p>
    <w:p w14:paraId="6CAAE7BF"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Denise is an experienced non-executive director and experienced chair. Since leaving executive management roles Denise has devoted herself to lending her expertise, experience and energy to many company and charitable boards she helps steward.</w:t>
      </w:r>
    </w:p>
    <w:p w14:paraId="73898797" w14:textId="77777777" w:rsidR="003A776F" w:rsidRPr="003A776F" w:rsidRDefault="003A776F" w:rsidP="003A776F">
      <w:pPr>
        <w:pStyle w:val="NoSpacing"/>
        <w:jc w:val="both"/>
        <w:rPr>
          <w:rFonts w:ascii="Tw Cen MT" w:hAnsi="Tw Cen MT" w:cstheme="minorHAnsi"/>
          <w:bCs/>
          <w:sz w:val="24"/>
          <w:szCs w:val="24"/>
        </w:rPr>
      </w:pPr>
    </w:p>
    <w:p w14:paraId="7E2399C6"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She is Chair of the Navy Clearance Divers Trust which helps support service personal in their transition to civilian life, to recover and live with injury as well as providing support to Clearance Diver’s families.</w:t>
      </w:r>
    </w:p>
    <w:p w14:paraId="36CF2CC1" w14:textId="77777777" w:rsidR="003A776F" w:rsidRPr="003A776F" w:rsidRDefault="003A776F" w:rsidP="003A776F">
      <w:pPr>
        <w:pStyle w:val="NoSpacing"/>
        <w:jc w:val="both"/>
        <w:rPr>
          <w:rFonts w:ascii="Tw Cen MT" w:hAnsi="Tw Cen MT" w:cstheme="minorHAnsi"/>
          <w:bCs/>
          <w:sz w:val="24"/>
          <w:szCs w:val="24"/>
        </w:rPr>
      </w:pPr>
    </w:p>
    <w:p w14:paraId="44F4AA46"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Denise is well known as master of constructive questioning that has delivered a track record of driving rapid, yet sustainable step change in business performance, ranging from cash/earnings and safety, to productivity and product quality through a complementary combination of cultural, systems and technology changes. Externally recognised as a high-quality director utilising expertise in business engagement and system design to achieve reliable outcomes.</w:t>
      </w:r>
    </w:p>
    <w:p w14:paraId="7935282D" w14:textId="77777777" w:rsidR="003A776F" w:rsidRPr="003A776F" w:rsidRDefault="003A776F" w:rsidP="003A776F">
      <w:pPr>
        <w:pStyle w:val="NoSpacing"/>
        <w:jc w:val="both"/>
        <w:rPr>
          <w:rFonts w:ascii="Tw Cen MT" w:hAnsi="Tw Cen MT" w:cstheme="minorHAnsi"/>
          <w:bCs/>
          <w:sz w:val="24"/>
          <w:szCs w:val="24"/>
        </w:rPr>
      </w:pPr>
    </w:p>
    <w:p w14:paraId="07534402"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Denise has been an advisory mentor to the Founding Directors of Gascoyne Gateway Limited for many years, became a director within a month of incorporation and is a shareholder of the Company who provided early and essential working capital.</w:t>
      </w:r>
    </w:p>
    <w:p w14:paraId="2064A55E" w14:textId="77777777" w:rsidR="003A776F" w:rsidRPr="003A776F" w:rsidRDefault="003A776F" w:rsidP="003A776F">
      <w:pPr>
        <w:pStyle w:val="NoSpacing"/>
        <w:rPr>
          <w:rFonts w:ascii="Tw Cen MT" w:hAnsi="Tw Cen MT" w:cstheme="minorHAnsi"/>
          <w:bCs/>
          <w:sz w:val="24"/>
          <w:szCs w:val="24"/>
        </w:rPr>
      </w:pPr>
    </w:p>
    <w:p w14:paraId="0706551D" w14:textId="77777777" w:rsidR="008D6F72" w:rsidRDefault="008D6F72" w:rsidP="003A776F">
      <w:pPr>
        <w:pStyle w:val="NoSpacing"/>
        <w:rPr>
          <w:rFonts w:ascii="Tw Cen MT" w:hAnsi="Tw Cen MT" w:cstheme="minorHAnsi"/>
          <w:b/>
          <w:color w:val="C45911" w:themeColor="accent2" w:themeShade="BF"/>
          <w:sz w:val="24"/>
          <w:szCs w:val="24"/>
        </w:rPr>
      </w:pPr>
    </w:p>
    <w:p w14:paraId="4A46875A" w14:textId="350B2139"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 xml:space="preserve">Adam Mc Phail – Co-Founder and Non-Executive Director </w:t>
      </w:r>
    </w:p>
    <w:p w14:paraId="0EC35879" w14:textId="77777777" w:rsidR="003A776F" w:rsidRPr="003A776F" w:rsidRDefault="003A776F" w:rsidP="003A776F">
      <w:pPr>
        <w:pStyle w:val="NoSpacing"/>
        <w:rPr>
          <w:rFonts w:ascii="Tw Cen MT" w:hAnsi="Tw Cen MT" w:cstheme="minorHAnsi"/>
          <w:bCs/>
          <w:sz w:val="24"/>
          <w:szCs w:val="24"/>
        </w:rPr>
      </w:pPr>
    </w:p>
    <w:p w14:paraId="7725C616"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noProof/>
          <w:sz w:val="24"/>
          <w:szCs w:val="24"/>
          <w:lang w:eastAsia="en-AU"/>
        </w:rPr>
        <w:drawing>
          <wp:anchor distT="0" distB="0" distL="114300" distR="114300" simplePos="0" relativeHeight="251658248" behindDoc="0" locked="0" layoutInCell="1" allowOverlap="1" wp14:anchorId="24429378" wp14:editId="29201C5D">
            <wp:simplePos x="0" y="0"/>
            <wp:positionH relativeFrom="margin">
              <wp:align>left</wp:align>
            </wp:positionH>
            <wp:positionV relativeFrom="paragraph">
              <wp:posOffset>12124</wp:posOffset>
            </wp:positionV>
            <wp:extent cx="1233170" cy="1440180"/>
            <wp:effectExtent l="133350" t="114300" r="138430" b="140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36646" cy="1444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 xml:space="preserve">Adam has had a professional maritime career spanning thirty five years across defence (former Clearance Diver, leadership and command roles) and commercial industries, delivering a broad perspective and significant depth to the variety of influences challenging the business of maritime operations in the modern economy. </w:t>
      </w:r>
    </w:p>
    <w:p w14:paraId="7F2D39AB" w14:textId="77777777" w:rsidR="003A776F" w:rsidRPr="003A776F" w:rsidRDefault="003A776F" w:rsidP="003A776F">
      <w:pPr>
        <w:pStyle w:val="NoSpacing"/>
        <w:jc w:val="both"/>
        <w:rPr>
          <w:rFonts w:ascii="Tw Cen MT" w:hAnsi="Tw Cen MT" w:cstheme="minorHAnsi"/>
          <w:bCs/>
          <w:sz w:val="24"/>
          <w:szCs w:val="24"/>
        </w:rPr>
      </w:pPr>
    </w:p>
    <w:p w14:paraId="050A42BF"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Adam has spent the last 15 years as a commercial Marine Pilot, Marine Surveyor, and Port Operations Contractor, providing services to industry as the lead consultant on green field port design and existing port operational efficiency, management and review. </w:t>
      </w:r>
    </w:p>
    <w:p w14:paraId="75AF42F8" w14:textId="77777777" w:rsidR="003A776F" w:rsidRPr="003A776F" w:rsidRDefault="003A776F" w:rsidP="003A776F">
      <w:pPr>
        <w:pStyle w:val="NoSpacing"/>
        <w:jc w:val="both"/>
        <w:rPr>
          <w:rFonts w:ascii="Tw Cen MT" w:hAnsi="Tw Cen MT" w:cstheme="minorHAnsi"/>
          <w:bCs/>
          <w:sz w:val="24"/>
          <w:szCs w:val="24"/>
        </w:rPr>
      </w:pPr>
    </w:p>
    <w:p w14:paraId="5FA91D07"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He focuses on the engagement of leading-edge technology to maximize the safety and efficiency of today’s port functions and has frequently been used as a subject matter expert for government submissions, reports and analysis. </w:t>
      </w:r>
    </w:p>
    <w:p w14:paraId="75CB75F9" w14:textId="77777777" w:rsidR="003A776F" w:rsidRPr="003A776F" w:rsidRDefault="003A776F" w:rsidP="003A776F">
      <w:pPr>
        <w:pStyle w:val="NoSpacing"/>
        <w:jc w:val="both"/>
        <w:rPr>
          <w:rFonts w:ascii="Tw Cen MT" w:hAnsi="Tw Cen MT" w:cstheme="minorHAnsi"/>
          <w:bCs/>
          <w:sz w:val="24"/>
          <w:szCs w:val="24"/>
        </w:rPr>
      </w:pPr>
    </w:p>
    <w:p w14:paraId="1A324A1A" w14:textId="6B6755EC"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Adam continues to deliver advantage to various projects in coastal development and port operations via his executive director role within Oropesa Port Management Pty Ltd where he is also a major shareholder.</w:t>
      </w:r>
      <w:r>
        <w:rPr>
          <w:rFonts w:ascii="Tw Cen MT" w:hAnsi="Tw Cen MT" w:cstheme="minorHAnsi"/>
          <w:bCs/>
          <w:sz w:val="24"/>
          <w:szCs w:val="24"/>
        </w:rPr>
        <w:t xml:space="preserve">  </w:t>
      </w:r>
      <w:r w:rsidRPr="003A776F">
        <w:rPr>
          <w:rFonts w:ascii="Tw Cen MT" w:hAnsi="Tw Cen MT" w:cstheme="minorHAnsi"/>
          <w:bCs/>
          <w:sz w:val="24"/>
          <w:szCs w:val="24"/>
        </w:rPr>
        <w:t>Adam is a Founding Director of Gascoyne Gateway Limited and a major shareholder.</w:t>
      </w:r>
    </w:p>
    <w:p w14:paraId="1651881C" w14:textId="77777777" w:rsidR="003A776F" w:rsidRPr="003A776F" w:rsidRDefault="003A776F" w:rsidP="003A776F">
      <w:pPr>
        <w:pStyle w:val="NoSpacing"/>
        <w:rPr>
          <w:rFonts w:ascii="Tw Cen MT" w:hAnsi="Tw Cen MT" w:cstheme="minorHAnsi"/>
          <w:b/>
          <w:sz w:val="24"/>
          <w:szCs w:val="24"/>
          <w:u w:val="single"/>
        </w:rPr>
      </w:pPr>
    </w:p>
    <w:p w14:paraId="11A6D5F3" w14:textId="77777777" w:rsidR="008D6F72" w:rsidRDefault="008D6F72" w:rsidP="003A776F">
      <w:pPr>
        <w:pStyle w:val="NoSpacing"/>
        <w:rPr>
          <w:rFonts w:ascii="Tw Cen MT" w:hAnsi="Tw Cen MT" w:cstheme="minorHAnsi"/>
          <w:b/>
          <w:color w:val="C45911" w:themeColor="accent2" w:themeShade="BF"/>
          <w:sz w:val="24"/>
          <w:szCs w:val="24"/>
        </w:rPr>
      </w:pPr>
    </w:p>
    <w:p w14:paraId="260B18EE" w14:textId="18FBDF01"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Alistair MacKinley – Independent Non-Executive Director</w:t>
      </w:r>
    </w:p>
    <w:p w14:paraId="12C825E6" w14:textId="77777777" w:rsidR="003A776F" w:rsidRPr="003A776F" w:rsidRDefault="003A776F" w:rsidP="003A776F">
      <w:pPr>
        <w:pStyle w:val="NoSpacing"/>
        <w:rPr>
          <w:rFonts w:ascii="Tw Cen MT" w:hAnsi="Tw Cen MT" w:cstheme="minorHAnsi"/>
          <w:bCs/>
          <w:sz w:val="24"/>
          <w:szCs w:val="24"/>
        </w:rPr>
      </w:pPr>
    </w:p>
    <w:p w14:paraId="2362AE51"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noProof/>
          <w:sz w:val="24"/>
          <w:szCs w:val="24"/>
          <w:lang w:eastAsia="en-AU"/>
        </w:rPr>
        <w:drawing>
          <wp:anchor distT="0" distB="0" distL="114300" distR="114300" simplePos="0" relativeHeight="251658249" behindDoc="1" locked="0" layoutInCell="1" allowOverlap="1" wp14:anchorId="4FECF759" wp14:editId="50D9E9D2">
            <wp:simplePos x="0" y="0"/>
            <wp:positionH relativeFrom="margin">
              <wp:align>left</wp:align>
            </wp:positionH>
            <wp:positionV relativeFrom="paragraph">
              <wp:posOffset>11489</wp:posOffset>
            </wp:positionV>
            <wp:extent cx="1209675" cy="1336675"/>
            <wp:effectExtent l="133350" t="114300" r="123825" b="1682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209675" cy="133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 xml:space="preserve">Alistair was a lawyer running his own large successful legal practice for 30 years specialising in corporate commercial and transactional advice. </w:t>
      </w:r>
    </w:p>
    <w:p w14:paraId="1BC61106" w14:textId="77777777" w:rsidR="003A776F" w:rsidRPr="003A776F" w:rsidRDefault="003A776F" w:rsidP="003A776F">
      <w:pPr>
        <w:pStyle w:val="NoSpacing"/>
        <w:jc w:val="both"/>
        <w:rPr>
          <w:rFonts w:ascii="Tw Cen MT" w:hAnsi="Tw Cen MT" w:cstheme="minorHAnsi"/>
          <w:bCs/>
          <w:sz w:val="24"/>
          <w:szCs w:val="24"/>
        </w:rPr>
      </w:pPr>
    </w:p>
    <w:p w14:paraId="1887E47B"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He has been director of a number of listed and unlisted public companies including start-ups as well as not for profits. </w:t>
      </w:r>
    </w:p>
    <w:p w14:paraId="3054F93C" w14:textId="77777777" w:rsidR="003A776F" w:rsidRPr="003A776F" w:rsidRDefault="003A776F" w:rsidP="003A776F">
      <w:pPr>
        <w:pStyle w:val="NoSpacing"/>
        <w:jc w:val="both"/>
        <w:rPr>
          <w:rFonts w:ascii="Tw Cen MT" w:hAnsi="Tw Cen MT" w:cstheme="minorHAnsi"/>
          <w:bCs/>
          <w:sz w:val="24"/>
          <w:szCs w:val="24"/>
        </w:rPr>
      </w:pPr>
    </w:p>
    <w:p w14:paraId="46EA2F44"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In recent years he has acquired and operated a number of successful commercial businesses. </w:t>
      </w:r>
    </w:p>
    <w:p w14:paraId="21240D96" w14:textId="77777777" w:rsidR="003A776F" w:rsidRPr="003A776F" w:rsidRDefault="003A776F" w:rsidP="003A776F">
      <w:pPr>
        <w:pStyle w:val="NoSpacing"/>
        <w:jc w:val="both"/>
        <w:rPr>
          <w:rFonts w:ascii="Tw Cen MT" w:hAnsi="Tw Cen MT" w:cstheme="minorHAnsi"/>
          <w:bCs/>
          <w:sz w:val="24"/>
          <w:szCs w:val="24"/>
        </w:rPr>
      </w:pPr>
    </w:p>
    <w:p w14:paraId="7F29EAB6"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Alistair has also been a legal advisor and mentor to the Founding Directors of Gascoyne Gateway Limited and became a director during the incorporation period.  He is also a shareholder of the Company who provided early and essential working capital.</w:t>
      </w:r>
    </w:p>
    <w:p w14:paraId="061E434E" w14:textId="77777777" w:rsidR="003A776F" w:rsidRPr="003A776F" w:rsidRDefault="003A776F" w:rsidP="003A776F">
      <w:pPr>
        <w:pStyle w:val="NoSpacing"/>
        <w:jc w:val="both"/>
        <w:rPr>
          <w:rFonts w:ascii="Tw Cen MT" w:hAnsi="Tw Cen MT" w:cstheme="minorHAnsi"/>
          <w:bCs/>
          <w:sz w:val="24"/>
          <w:szCs w:val="24"/>
        </w:rPr>
      </w:pPr>
    </w:p>
    <w:p w14:paraId="5208AC20" w14:textId="3469D1A4" w:rsidR="003A776F" w:rsidRDefault="003A776F" w:rsidP="003A776F">
      <w:pPr>
        <w:pStyle w:val="NoSpacing"/>
        <w:jc w:val="both"/>
        <w:rPr>
          <w:rFonts w:ascii="Tw Cen MT" w:hAnsi="Tw Cen MT" w:cstheme="minorHAnsi"/>
          <w:bCs/>
          <w:sz w:val="24"/>
          <w:szCs w:val="24"/>
        </w:rPr>
      </w:pPr>
    </w:p>
    <w:p w14:paraId="31C02895" w14:textId="77777777" w:rsidR="003A776F" w:rsidRPr="003A776F" w:rsidRDefault="003A776F" w:rsidP="003A776F">
      <w:pPr>
        <w:pStyle w:val="NoSpacing"/>
        <w:rPr>
          <w:rFonts w:ascii="Tw Cen MT" w:hAnsi="Tw Cen MT" w:cstheme="minorHAnsi"/>
          <w:b/>
          <w:color w:val="C45911" w:themeColor="accent2" w:themeShade="BF"/>
          <w:sz w:val="24"/>
          <w:szCs w:val="24"/>
        </w:rPr>
      </w:pPr>
      <w:r w:rsidRPr="003A776F">
        <w:rPr>
          <w:rFonts w:ascii="Tw Cen MT" w:hAnsi="Tw Cen MT" w:cstheme="minorHAnsi"/>
          <w:b/>
          <w:color w:val="C45911" w:themeColor="accent2" w:themeShade="BF"/>
          <w:sz w:val="24"/>
          <w:szCs w:val="24"/>
        </w:rPr>
        <w:t>Tony Brun – Independent Non-Executive Director</w:t>
      </w:r>
    </w:p>
    <w:p w14:paraId="33E1B79E" w14:textId="77777777" w:rsidR="003A776F" w:rsidRPr="003A776F" w:rsidRDefault="003A776F" w:rsidP="003A776F">
      <w:pPr>
        <w:pStyle w:val="NoSpacing"/>
        <w:rPr>
          <w:rFonts w:ascii="Tw Cen MT" w:hAnsi="Tw Cen MT" w:cstheme="minorHAnsi"/>
          <w:b/>
          <w:sz w:val="24"/>
          <w:szCs w:val="24"/>
          <w:u w:val="single"/>
        </w:rPr>
      </w:pPr>
    </w:p>
    <w:p w14:paraId="754DF9EB"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eastAsia="Times New Roman" w:hAnsi="Tw Cen MT"/>
          <w:noProof/>
          <w:sz w:val="24"/>
          <w:szCs w:val="24"/>
          <w:lang w:eastAsia="en-AU"/>
        </w:rPr>
        <w:drawing>
          <wp:anchor distT="0" distB="0" distL="114300" distR="114300" simplePos="0" relativeHeight="251658250" behindDoc="0" locked="0" layoutInCell="1" allowOverlap="1" wp14:anchorId="52EC0AFC" wp14:editId="446E3C64">
            <wp:simplePos x="0" y="0"/>
            <wp:positionH relativeFrom="margin">
              <wp:align>left</wp:align>
            </wp:positionH>
            <wp:positionV relativeFrom="paragraph">
              <wp:posOffset>11430</wp:posOffset>
            </wp:positionV>
            <wp:extent cx="1169035" cy="1169035"/>
            <wp:effectExtent l="133350" t="114300" r="145415" b="164465"/>
            <wp:wrapSquare wrapText="bothSides"/>
            <wp:docPr id="24" name="Picture 24" descr="https://media-exp1.licdn.com/dms/image/C5603AQEZkxsy0qgQMw/profile-displayphoto-shrink_200_200/0?e=1586390400&amp;v=beta&amp;t=HHBdTwprdtvc8bOIQ_LR4pI_eCcUy8PIb_gkhF6Pn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202" descr="https://media-exp1.licdn.com/dms/image/C5603AQEZkxsy0qgQMw/profile-displayphoto-shrink_200_200/0?e=1586390400&amp;v=beta&amp;t=HHBdTwprdtvc8bOIQ_LR4pI_eCcUy8PIb_gkhF6PnBM"/>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170914" cy="1170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A776F">
        <w:rPr>
          <w:rFonts w:ascii="Tw Cen MT" w:hAnsi="Tw Cen MT" w:cstheme="minorHAnsi"/>
          <w:bCs/>
          <w:sz w:val="24"/>
          <w:szCs w:val="24"/>
        </w:rPr>
        <w:t xml:space="preserve">Tony is currently the Head of Planning across Melbourne Airport. </w:t>
      </w:r>
    </w:p>
    <w:p w14:paraId="4B799E30"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Previously he was the Chief Strategy Officer at Perth Airports and Chief Executive Officer at the City of Greater Geraldton. </w:t>
      </w:r>
    </w:p>
    <w:p w14:paraId="13B66DFC" w14:textId="77777777" w:rsidR="003A776F" w:rsidRPr="003A776F" w:rsidRDefault="003A776F" w:rsidP="003A776F">
      <w:pPr>
        <w:pStyle w:val="NoSpacing"/>
        <w:jc w:val="both"/>
        <w:rPr>
          <w:rFonts w:ascii="Tw Cen MT" w:hAnsi="Tw Cen MT" w:cstheme="minorHAnsi"/>
          <w:bCs/>
          <w:sz w:val="24"/>
          <w:szCs w:val="24"/>
        </w:rPr>
      </w:pPr>
    </w:p>
    <w:p w14:paraId="58A60827"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 xml:space="preserve">He has served on various Boards including South West Catchments Council as Chairman, and also the RAAF Association of WA as a non-executive director. He is also a Fellow of the Australian Institute of Company Directors. </w:t>
      </w:r>
    </w:p>
    <w:p w14:paraId="7493B56E" w14:textId="77777777" w:rsidR="003A776F" w:rsidRPr="003A776F" w:rsidRDefault="003A776F" w:rsidP="003A776F">
      <w:pPr>
        <w:pStyle w:val="NoSpacing"/>
        <w:jc w:val="both"/>
        <w:rPr>
          <w:rFonts w:ascii="Tw Cen MT" w:hAnsi="Tw Cen MT" w:cstheme="minorHAnsi"/>
          <w:bCs/>
          <w:sz w:val="24"/>
          <w:szCs w:val="24"/>
        </w:rPr>
      </w:pPr>
    </w:p>
    <w:p w14:paraId="61A42110" w14:textId="77777777" w:rsidR="003A776F" w:rsidRPr="003A776F" w:rsidRDefault="003A776F" w:rsidP="003A776F">
      <w:pPr>
        <w:pStyle w:val="NoSpacing"/>
        <w:jc w:val="both"/>
        <w:rPr>
          <w:rFonts w:ascii="Tw Cen MT" w:hAnsi="Tw Cen MT" w:cstheme="minorHAnsi"/>
          <w:bCs/>
          <w:sz w:val="24"/>
          <w:szCs w:val="24"/>
        </w:rPr>
      </w:pPr>
      <w:r w:rsidRPr="003A776F">
        <w:rPr>
          <w:rFonts w:ascii="Tw Cen MT" w:hAnsi="Tw Cen MT" w:cstheme="minorHAnsi"/>
          <w:bCs/>
          <w:sz w:val="24"/>
          <w:szCs w:val="24"/>
        </w:rPr>
        <w:t>He continues to serve as an Adjunct Professor – Sustainability at Curtin University.</w:t>
      </w:r>
    </w:p>
    <w:p w14:paraId="3DEE1C27" w14:textId="77777777" w:rsidR="003A776F" w:rsidRPr="003C7E3B" w:rsidRDefault="003A776F" w:rsidP="007C2CD9">
      <w:pPr>
        <w:rPr>
          <w:rFonts w:ascii="Tw Cen MT" w:hAnsi="Tw Cen MT" w:cstheme="minorHAnsi"/>
          <w:bCs/>
          <w:sz w:val="24"/>
          <w:szCs w:val="24"/>
        </w:rPr>
      </w:pPr>
    </w:p>
    <w:sectPr w:rsidR="003A776F" w:rsidRPr="003C7E3B" w:rsidSect="00BE11AE">
      <w:headerReference w:type="default" r:id="rId35"/>
      <w:footerReference w:type="default" r:id="rId36"/>
      <w:pgSz w:w="11906" w:h="16838"/>
      <w:pgMar w:top="1304" w:right="1304" w:bottom="1191" w:left="1361" w:header="3175"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CC0B1" w14:textId="77777777" w:rsidR="00001F46" w:rsidRDefault="00001F46" w:rsidP="007E3E8B">
      <w:pPr>
        <w:spacing w:after="0" w:line="240" w:lineRule="auto"/>
      </w:pPr>
      <w:r>
        <w:separator/>
      </w:r>
    </w:p>
  </w:endnote>
  <w:endnote w:type="continuationSeparator" w:id="0">
    <w:p w14:paraId="3F2363AF" w14:textId="77777777" w:rsidR="00001F46" w:rsidRDefault="00001F46" w:rsidP="007E3E8B">
      <w:pPr>
        <w:spacing w:after="0" w:line="240" w:lineRule="auto"/>
      </w:pPr>
      <w:r>
        <w:continuationSeparator/>
      </w:r>
    </w:p>
  </w:endnote>
  <w:endnote w:type="continuationNotice" w:id="1">
    <w:p w14:paraId="5373A807" w14:textId="77777777" w:rsidR="00001F46" w:rsidRDefault="00001F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815560"/>
      <w:docPartObj>
        <w:docPartGallery w:val="Page Numbers (Bottom of Page)"/>
        <w:docPartUnique/>
      </w:docPartObj>
    </w:sdtPr>
    <w:sdtEndPr>
      <w:rPr>
        <w:rFonts w:ascii="Tw Cen MT" w:hAnsi="Tw Cen MT"/>
        <w:sz w:val="16"/>
        <w:szCs w:val="16"/>
      </w:rPr>
    </w:sdtEndPr>
    <w:sdtContent>
      <w:sdt>
        <w:sdtPr>
          <w:id w:val="-1769616900"/>
          <w:docPartObj>
            <w:docPartGallery w:val="Page Numbers (Top of Page)"/>
            <w:docPartUnique/>
          </w:docPartObj>
        </w:sdtPr>
        <w:sdtEndPr>
          <w:rPr>
            <w:rFonts w:ascii="Tw Cen MT" w:hAnsi="Tw Cen MT"/>
            <w:sz w:val="16"/>
            <w:szCs w:val="16"/>
          </w:rPr>
        </w:sdtEndPr>
        <w:sdtContent>
          <w:p w14:paraId="2CB24B63" w14:textId="7A30AA9F" w:rsidR="008D62C0" w:rsidRPr="002E5D59" w:rsidRDefault="008D62C0">
            <w:pPr>
              <w:pStyle w:val="Footer"/>
              <w:jc w:val="right"/>
              <w:rPr>
                <w:rFonts w:ascii="Tw Cen MT" w:hAnsi="Tw Cen MT"/>
                <w:sz w:val="16"/>
                <w:szCs w:val="16"/>
              </w:rPr>
            </w:pPr>
            <w:r w:rsidRPr="002E5D59">
              <w:rPr>
                <w:rFonts w:ascii="Tw Cen MT" w:hAnsi="Tw Cen MT"/>
                <w:sz w:val="16"/>
                <w:szCs w:val="16"/>
              </w:rPr>
              <w:t xml:space="preserve"> </w:t>
            </w:r>
            <w:r w:rsidRPr="002E5D59">
              <w:rPr>
                <w:rFonts w:ascii="Tw Cen MT" w:hAnsi="Tw Cen MT"/>
                <w:b/>
                <w:bCs/>
                <w:sz w:val="16"/>
                <w:szCs w:val="16"/>
              </w:rPr>
              <w:fldChar w:fldCharType="begin"/>
            </w:r>
            <w:r w:rsidRPr="002E5D59">
              <w:rPr>
                <w:rFonts w:ascii="Tw Cen MT" w:hAnsi="Tw Cen MT"/>
                <w:b/>
                <w:bCs/>
                <w:sz w:val="16"/>
                <w:szCs w:val="16"/>
              </w:rPr>
              <w:instrText xml:space="preserve"> PAGE </w:instrText>
            </w:r>
            <w:r w:rsidRPr="002E5D59">
              <w:rPr>
                <w:rFonts w:ascii="Tw Cen MT" w:hAnsi="Tw Cen MT"/>
                <w:b/>
                <w:bCs/>
                <w:sz w:val="16"/>
                <w:szCs w:val="16"/>
              </w:rPr>
              <w:fldChar w:fldCharType="separate"/>
            </w:r>
            <w:r w:rsidR="007A68B0">
              <w:rPr>
                <w:rFonts w:ascii="Tw Cen MT" w:hAnsi="Tw Cen MT"/>
                <w:b/>
                <w:bCs/>
                <w:noProof/>
                <w:sz w:val="16"/>
                <w:szCs w:val="16"/>
              </w:rPr>
              <w:t>25</w:t>
            </w:r>
            <w:r w:rsidRPr="002E5D59">
              <w:rPr>
                <w:rFonts w:ascii="Tw Cen MT" w:hAnsi="Tw Cen MT"/>
                <w:b/>
                <w:bCs/>
                <w:sz w:val="16"/>
                <w:szCs w:val="16"/>
              </w:rPr>
              <w:fldChar w:fldCharType="end"/>
            </w:r>
            <w:r w:rsidRPr="002E5D59">
              <w:rPr>
                <w:rFonts w:ascii="Tw Cen MT" w:hAnsi="Tw Cen MT"/>
                <w:sz w:val="16"/>
                <w:szCs w:val="16"/>
              </w:rPr>
              <w:t xml:space="preserve"> of </w:t>
            </w:r>
            <w:r w:rsidRPr="002E5D59">
              <w:rPr>
                <w:rFonts w:ascii="Tw Cen MT" w:hAnsi="Tw Cen MT"/>
                <w:b/>
                <w:bCs/>
                <w:sz w:val="16"/>
                <w:szCs w:val="16"/>
              </w:rPr>
              <w:fldChar w:fldCharType="begin"/>
            </w:r>
            <w:r w:rsidRPr="002E5D59">
              <w:rPr>
                <w:rFonts w:ascii="Tw Cen MT" w:hAnsi="Tw Cen MT"/>
                <w:b/>
                <w:bCs/>
                <w:sz w:val="16"/>
                <w:szCs w:val="16"/>
              </w:rPr>
              <w:instrText xml:space="preserve"> NUMPAGES  </w:instrText>
            </w:r>
            <w:r w:rsidRPr="002E5D59">
              <w:rPr>
                <w:rFonts w:ascii="Tw Cen MT" w:hAnsi="Tw Cen MT"/>
                <w:b/>
                <w:bCs/>
                <w:sz w:val="16"/>
                <w:szCs w:val="16"/>
              </w:rPr>
              <w:fldChar w:fldCharType="separate"/>
            </w:r>
            <w:r w:rsidR="007A68B0">
              <w:rPr>
                <w:rFonts w:ascii="Tw Cen MT" w:hAnsi="Tw Cen MT"/>
                <w:b/>
                <w:bCs/>
                <w:noProof/>
                <w:sz w:val="16"/>
                <w:szCs w:val="16"/>
              </w:rPr>
              <w:t>25</w:t>
            </w:r>
            <w:r w:rsidRPr="002E5D59">
              <w:rPr>
                <w:rFonts w:ascii="Tw Cen MT" w:hAnsi="Tw Cen MT"/>
                <w:b/>
                <w:bCs/>
                <w:sz w:val="16"/>
                <w:szCs w:val="16"/>
              </w:rPr>
              <w:fldChar w:fldCharType="end"/>
            </w:r>
          </w:p>
        </w:sdtContent>
      </w:sdt>
    </w:sdtContent>
  </w:sdt>
  <w:p w14:paraId="1A755C49" w14:textId="77777777" w:rsidR="008D62C0" w:rsidRDefault="008D6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94CCA" w14:textId="77777777" w:rsidR="00001F46" w:rsidRDefault="00001F46" w:rsidP="007E3E8B">
      <w:pPr>
        <w:spacing w:after="0" w:line="240" w:lineRule="auto"/>
      </w:pPr>
      <w:r>
        <w:separator/>
      </w:r>
    </w:p>
  </w:footnote>
  <w:footnote w:type="continuationSeparator" w:id="0">
    <w:p w14:paraId="0780AF23" w14:textId="77777777" w:rsidR="00001F46" w:rsidRDefault="00001F46" w:rsidP="007E3E8B">
      <w:pPr>
        <w:spacing w:after="0" w:line="240" w:lineRule="auto"/>
      </w:pPr>
      <w:r>
        <w:continuationSeparator/>
      </w:r>
    </w:p>
  </w:footnote>
  <w:footnote w:type="continuationNotice" w:id="1">
    <w:p w14:paraId="11D28E31" w14:textId="77777777" w:rsidR="00001F46" w:rsidRDefault="00001F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10043" w14:textId="3FF1E2C3" w:rsidR="008D62C0" w:rsidRDefault="008D62C0">
    <w:pPr>
      <w:pStyle w:val="Header"/>
    </w:pPr>
    <w:r>
      <w:rPr>
        <w:noProof/>
        <w:lang w:eastAsia="en-AU"/>
      </w:rPr>
      <w:drawing>
        <wp:anchor distT="0" distB="0" distL="114300" distR="114300" simplePos="0" relativeHeight="251658240" behindDoc="1" locked="0" layoutInCell="1" allowOverlap="1" wp14:anchorId="3D9519F3" wp14:editId="60F79581">
          <wp:simplePos x="0" y="0"/>
          <wp:positionH relativeFrom="margin">
            <wp:align>center</wp:align>
          </wp:positionH>
          <wp:positionV relativeFrom="page">
            <wp:align>bottom</wp:align>
          </wp:positionV>
          <wp:extent cx="7549199" cy="106703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A Letter head.jpg"/>
                  <pic:cNvPicPr/>
                </pic:nvPicPr>
                <pic:blipFill>
                  <a:blip r:embed="rId1">
                    <a:extLst>
                      <a:ext uri="{28A0092B-C50C-407E-A947-70E740481C1C}">
                        <a14:useLocalDpi xmlns:a14="http://schemas.microsoft.com/office/drawing/2010/main" val="0"/>
                      </a:ext>
                    </a:extLst>
                  </a:blip>
                  <a:stretch>
                    <a:fillRect/>
                  </a:stretch>
                </pic:blipFill>
                <pic:spPr>
                  <a:xfrm>
                    <a:off x="0" y="0"/>
                    <a:ext cx="7549199" cy="106703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47882"/>
    <w:multiLevelType w:val="hybridMultilevel"/>
    <w:tmpl w:val="D54EB4BE"/>
    <w:lvl w:ilvl="0" w:tplc="644C2722">
      <w:start w:val="1"/>
      <w:numFmt w:val="bullet"/>
      <w:lvlText w:val=""/>
      <w:lvlJc w:val="left"/>
      <w:pPr>
        <w:ind w:left="360" w:hanging="360"/>
      </w:pPr>
      <w:rPr>
        <w:rFonts w:ascii="Wingdings" w:hAnsi="Wingdings" w:hint="default"/>
        <w:color w:val="C45911"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1B57DB"/>
    <w:multiLevelType w:val="multilevel"/>
    <w:tmpl w:val="E3C23D0C"/>
    <w:lvl w:ilvl="0">
      <w:start w:val="3"/>
      <w:numFmt w:val="decimal"/>
      <w:lvlText w:val="%1."/>
      <w:lvlJc w:val="left"/>
      <w:pPr>
        <w:tabs>
          <w:tab w:val="num" w:pos="360"/>
        </w:tabs>
        <w:ind w:left="360" w:hanging="360"/>
      </w:pPr>
      <w:rPr>
        <w:rFonts w:hint="default"/>
        <w:b w:val="0"/>
        <w:bCs w:val="0"/>
        <w:color w:val="FFFFFF" w:themeColor="background1"/>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 w15:restartNumberingAfterBreak="0">
    <w:nsid w:val="0E90668F"/>
    <w:multiLevelType w:val="hybridMultilevel"/>
    <w:tmpl w:val="769825DA"/>
    <w:lvl w:ilvl="0" w:tplc="A72486E8">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064D89"/>
    <w:multiLevelType w:val="multilevel"/>
    <w:tmpl w:val="67D601A4"/>
    <w:lvl w:ilvl="0">
      <w:start w:val="1"/>
      <w:numFmt w:val="bullet"/>
      <w:lvlText w:val=""/>
      <w:lvlJc w:val="left"/>
      <w:pPr>
        <w:tabs>
          <w:tab w:val="num" w:pos="360"/>
        </w:tabs>
        <w:ind w:left="360" w:hanging="360"/>
      </w:pPr>
      <w:rPr>
        <w:rFonts w:ascii="Wingdings" w:hAnsi="Wingdings" w:hint="default"/>
        <w:color w:val="C45911" w:themeColor="accent2" w:themeShade="BF"/>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67242C6"/>
    <w:multiLevelType w:val="hybridMultilevel"/>
    <w:tmpl w:val="C5444FF4"/>
    <w:lvl w:ilvl="0" w:tplc="644C2722">
      <w:start w:val="1"/>
      <w:numFmt w:val="bullet"/>
      <w:lvlText w:val=""/>
      <w:lvlJc w:val="left"/>
      <w:pPr>
        <w:ind w:left="360" w:hanging="360"/>
      </w:pPr>
      <w:rPr>
        <w:rFonts w:ascii="Wingdings" w:hAnsi="Wingdings" w:hint="default"/>
        <w:color w:val="C45911"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0F4B24"/>
    <w:multiLevelType w:val="hybridMultilevel"/>
    <w:tmpl w:val="BAD8AB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B95D9A"/>
    <w:multiLevelType w:val="hybridMultilevel"/>
    <w:tmpl w:val="25466340"/>
    <w:lvl w:ilvl="0" w:tplc="8D58146A">
      <w:start w:val="1"/>
      <w:numFmt w:val="decimal"/>
      <w:lvlText w:val="%1."/>
      <w:lvlJc w:val="left"/>
      <w:pPr>
        <w:ind w:left="360" w:hanging="360"/>
      </w:pPr>
      <w:rPr>
        <w:rFonts w:hint="default"/>
        <w:color w:val="C45911" w:themeColor="accent2" w:themeShade="BF"/>
        <w:u w:color="C45911" w:themeColor="accent2" w:themeShade="BF"/>
      </w:rPr>
    </w:lvl>
    <w:lvl w:ilvl="1" w:tplc="8D58146A">
      <w:start w:val="1"/>
      <w:numFmt w:val="decimal"/>
      <w:lvlText w:val="%2."/>
      <w:lvlJc w:val="left"/>
      <w:pPr>
        <w:ind w:left="1080" w:hanging="360"/>
      </w:pPr>
      <w:rPr>
        <w:rFonts w:hint="default"/>
        <w:color w:val="C45911" w:themeColor="accent2" w:themeShade="BF"/>
        <w:u w:color="C45911" w:themeColor="accent2" w:themeShade="BF"/>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2DF7097"/>
    <w:multiLevelType w:val="multilevel"/>
    <w:tmpl w:val="2FB8FE66"/>
    <w:lvl w:ilvl="0">
      <w:start w:val="1"/>
      <w:numFmt w:val="bullet"/>
      <w:lvlText w:val=""/>
      <w:lvlJc w:val="left"/>
      <w:pPr>
        <w:tabs>
          <w:tab w:val="num" w:pos="360"/>
        </w:tabs>
        <w:ind w:left="360" w:hanging="360"/>
      </w:pPr>
      <w:rPr>
        <w:rFonts w:ascii="Wingdings" w:hAnsi="Wingdings" w:hint="default"/>
        <w:color w:val="C45911" w:themeColor="accent2" w:themeShade="BF"/>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45168D9"/>
    <w:multiLevelType w:val="hybridMultilevel"/>
    <w:tmpl w:val="2EA61F1E"/>
    <w:lvl w:ilvl="0" w:tplc="8D58146A">
      <w:start w:val="1"/>
      <w:numFmt w:val="decimal"/>
      <w:lvlText w:val="%1."/>
      <w:lvlJc w:val="left"/>
      <w:pPr>
        <w:ind w:left="360" w:hanging="360"/>
      </w:pPr>
      <w:rPr>
        <w:rFonts w:hint="default"/>
        <w:color w:val="C45911" w:themeColor="accent2" w:themeShade="BF"/>
        <w:u w:color="C45911" w:themeColor="accent2"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D21C77"/>
    <w:multiLevelType w:val="hybridMultilevel"/>
    <w:tmpl w:val="698EE6DA"/>
    <w:lvl w:ilvl="0" w:tplc="5DFABF66">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09D2B76"/>
    <w:multiLevelType w:val="hybridMultilevel"/>
    <w:tmpl w:val="45BA6F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47F1C22"/>
    <w:multiLevelType w:val="multilevel"/>
    <w:tmpl w:val="33162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2" w15:restartNumberingAfterBreak="0">
    <w:nsid w:val="39413B63"/>
    <w:multiLevelType w:val="hybridMultilevel"/>
    <w:tmpl w:val="FAC28EEA"/>
    <w:lvl w:ilvl="0" w:tplc="76AAF8AC">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FB0F39"/>
    <w:multiLevelType w:val="multilevel"/>
    <w:tmpl w:val="A4164F5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3DB4509F"/>
    <w:multiLevelType w:val="hybridMultilevel"/>
    <w:tmpl w:val="532E75B0"/>
    <w:lvl w:ilvl="0" w:tplc="644C2722">
      <w:start w:val="1"/>
      <w:numFmt w:val="bullet"/>
      <w:lvlText w:val=""/>
      <w:lvlJc w:val="left"/>
      <w:pPr>
        <w:ind w:left="720" w:hanging="360"/>
      </w:pPr>
      <w:rPr>
        <w:rFonts w:ascii="Wingdings" w:hAnsi="Wingdings" w:hint="default"/>
        <w:color w:val="C45911"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15609E"/>
    <w:multiLevelType w:val="hybridMultilevel"/>
    <w:tmpl w:val="2B4EBF94"/>
    <w:lvl w:ilvl="0" w:tplc="F0E2B0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EF0B3F"/>
    <w:multiLevelType w:val="multilevel"/>
    <w:tmpl w:val="F9083B8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15:restartNumberingAfterBreak="0">
    <w:nsid w:val="44D26655"/>
    <w:multiLevelType w:val="hybridMultilevel"/>
    <w:tmpl w:val="4EBE5196"/>
    <w:lvl w:ilvl="0" w:tplc="644C2722">
      <w:start w:val="1"/>
      <w:numFmt w:val="bullet"/>
      <w:lvlText w:val=""/>
      <w:lvlJc w:val="left"/>
      <w:pPr>
        <w:ind w:left="360" w:hanging="360"/>
      </w:pPr>
      <w:rPr>
        <w:rFonts w:ascii="Wingdings" w:hAnsi="Wingdings" w:hint="default"/>
        <w:color w:val="C45911"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E0379E"/>
    <w:multiLevelType w:val="hybridMultilevel"/>
    <w:tmpl w:val="EF4015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4D77B9A"/>
    <w:multiLevelType w:val="hybridMultilevel"/>
    <w:tmpl w:val="A5C0614A"/>
    <w:lvl w:ilvl="0" w:tplc="8D58146A">
      <w:start w:val="1"/>
      <w:numFmt w:val="decimal"/>
      <w:lvlText w:val="%1."/>
      <w:lvlJc w:val="left"/>
      <w:pPr>
        <w:ind w:left="360" w:hanging="360"/>
      </w:pPr>
      <w:rPr>
        <w:rFonts w:hint="default"/>
        <w:color w:val="C45911" w:themeColor="accent2" w:themeShade="BF"/>
        <w:u w:color="C45911" w:themeColor="accent2"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6402240"/>
    <w:multiLevelType w:val="hybridMultilevel"/>
    <w:tmpl w:val="6F5EF450"/>
    <w:lvl w:ilvl="0" w:tplc="8D58146A">
      <w:start w:val="1"/>
      <w:numFmt w:val="decimal"/>
      <w:lvlText w:val="%1."/>
      <w:lvlJc w:val="left"/>
      <w:pPr>
        <w:ind w:left="720" w:hanging="360"/>
      </w:pPr>
      <w:rPr>
        <w:rFonts w:hint="default"/>
        <w:color w:val="C45911" w:themeColor="accent2" w:themeShade="BF"/>
        <w:u w:color="C45911" w:themeColor="accent2" w:themeShade="B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850759"/>
    <w:multiLevelType w:val="hybridMultilevel"/>
    <w:tmpl w:val="3B326C44"/>
    <w:lvl w:ilvl="0" w:tplc="8D58146A">
      <w:start w:val="1"/>
      <w:numFmt w:val="decimal"/>
      <w:lvlText w:val="%1."/>
      <w:lvlJc w:val="left"/>
      <w:pPr>
        <w:ind w:left="360" w:hanging="360"/>
      </w:pPr>
      <w:rPr>
        <w:rFonts w:hint="default"/>
        <w:color w:val="C45911" w:themeColor="accent2" w:themeShade="BF"/>
        <w:u w:color="C45911" w:themeColor="accent2" w:themeShade="B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E2A33E7"/>
    <w:multiLevelType w:val="multilevel"/>
    <w:tmpl w:val="AD260682"/>
    <w:lvl w:ilvl="0">
      <w:start w:val="1"/>
      <w:numFmt w:val="bullet"/>
      <w:lvlText w:val="»"/>
      <w:lvlJc w:val="left"/>
      <w:pPr>
        <w:tabs>
          <w:tab w:val="num" w:pos="720"/>
        </w:tabs>
        <w:ind w:left="720" w:hanging="360"/>
      </w:pPr>
      <w:rPr>
        <w:rFonts w:ascii="Courier New" w:hAnsi="Courier New" w:hint="default"/>
        <w:color w:val="C45911" w:themeColor="accent2" w:themeShade="BF"/>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3" w15:restartNumberingAfterBreak="0">
    <w:nsid w:val="62C97262"/>
    <w:multiLevelType w:val="multilevel"/>
    <w:tmpl w:val="EFECD8D2"/>
    <w:lvl w:ilvl="0">
      <w:start w:val="1"/>
      <w:numFmt w:val="bullet"/>
      <w:lvlText w:val="»"/>
      <w:lvlJc w:val="left"/>
      <w:pPr>
        <w:tabs>
          <w:tab w:val="num" w:pos="720"/>
        </w:tabs>
        <w:ind w:left="720" w:hanging="360"/>
      </w:pPr>
      <w:rPr>
        <w:rFonts w:ascii="Courier New" w:hAnsi="Courier New" w:hint="default"/>
        <w:color w:val="00FFFF"/>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4" w15:restartNumberingAfterBreak="0">
    <w:nsid w:val="68683816"/>
    <w:multiLevelType w:val="multilevel"/>
    <w:tmpl w:val="43FEF41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5" w15:restartNumberingAfterBreak="0">
    <w:nsid w:val="6AC55039"/>
    <w:multiLevelType w:val="hybridMultilevel"/>
    <w:tmpl w:val="B686E02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9E4893"/>
    <w:multiLevelType w:val="hybridMultilevel"/>
    <w:tmpl w:val="D8BC28C8"/>
    <w:lvl w:ilvl="0" w:tplc="225EB928">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D563A9"/>
    <w:multiLevelType w:val="hybridMultilevel"/>
    <w:tmpl w:val="25466340"/>
    <w:lvl w:ilvl="0" w:tplc="8D58146A">
      <w:start w:val="1"/>
      <w:numFmt w:val="decimal"/>
      <w:lvlText w:val="%1."/>
      <w:lvlJc w:val="left"/>
      <w:pPr>
        <w:ind w:left="360" w:hanging="360"/>
      </w:pPr>
      <w:rPr>
        <w:rFonts w:hint="default"/>
        <w:color w:val="C45911" w:themeColor="accent2" w:themeShade="BF"/>
        <w:u w:color="C45911" w:themeColor="accent2" w:themeShade="BF"/>
      </w:rPr>
    </w:lvl>
    <w:lvl w:ilvl="1" w:tplc="8D58146A">
      <w:start w:val="1"/>
      <w:numFmt w:val="decimal"/>
      <w:lvlText w:val="%2."/>
      <w:lvlJc w:val="left"/>
      <w:pPr>
        <w:ind w:left="1080" w:hanging="360"/>
      </w:pPr>
      <w:rPr>
        <w:rFonts w:hint="default"/>
        <w:color w:val="C45911" w:themeColor="accent2" w:themeShade="BF"/>
        <w:u w:color="C45911" w:themeColor="accent2" w:themeShade="BF"/>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6817D73"/>
    <w:multiLevelType w:val="multilevel"/>
    <w:tmpl w:val="15C8D758"/>
    <w:lvl w:ilvl="0">
      <w:start w:val="1"/>
      <w:numFmt w:val="bullet"/>
      <w:lvlText w:val=""/>
      <w:lvlJc w:val="left"/>
      <w:pPr>
        <w:tabs>
          <w:tab w:val="num" w:pos="360"/>
        </w:tabs>
        <w:ind w:left="360" w:hanging="360"/>
      </w:pPr>
      <w:rPr>
        <w:rFonts w:ascii="Wingdings" w:hAnsi="Wingdings" w:hint="default"/>
        <w:color w:val="C45911" w:themeColor="accent2" w:themeShade="BF"/>
      </w:rPr>
    </w:lvl>
    <w:lvl w:ilvl="1" w:tentative="1">
      <w:start w:val="1"/>
      <w:numFmt w:val="decimal"/>
      <w:lvlText w:val="%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29" w15:restartNumberingAfterBreak="0">
    <w:nsid w:val="780B1678"/>
    <w:multiLevelType w:val="multilevel"/>
    <w:tmpl w:val="4490C73A"/>
    <w:lvl w:ilvl="0">
      <w:start w:val="1"/>
      <w:numFmt w:val="bullet"/>
      <w:lvlText w:val=""/>
      <w:lvlJc w:val="left"/>
      <w:pPr>
        <w:tabs>
          <w:tab w:val="num" w:pos="360"/>
        </w:tabs>
        <w:ind w:left="360" w:hanging="360"/>
      </w:pPr>
      <w:rPr>
        <w:rFonts w:ascii="Wingdings" w:hAnsi="Wingdings" w:hint="default"/>
        <w:color w:val="C45911" w:themeColor="accent2" w:themeShade="BF"/>
      </w:rPr>
    </w:lvl>
    <w:lvl w:ilvl="1" w:tentative="1">
      <w:start w:val="1"/>
      <w:numFmt w:val="decimal"/>
      <w:lvlText w:val="%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30" w15:restartNumberingAfterBreak="0">
    <w:nsid w:val="79144830"/>
    <w:multiLevelType w:val="multilevel"/>
    <w:tmpl w:val="33162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3E60CF"/>
    <w:multiLevelType w:val="hybridMultilevel"/>
    <w:tmpl w:val="6B8E9DC2"/>
    <w:lvl w:ilvl="0" w:tplc="644C2722">
      <w:start w:val="1"/>
      <w:numFmt w:val="bullet"/>
      <w:lvlText w:val=""/>
      <w:lvlJc w:val="left"/>
      <w:pPr>
        <w:ind w:left="360" w:hanging="360"/>
      </w:pPr>
      <w:rPr>
        <w:rFonts w:ascii="Wingdings" w:hAnsi="Wingdings" w:hint="default"/>
        <w:color w:val="C45911"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B972D36"/>
    <w:multiLevelType w:val="hybridMultilevel"/>
    <w:tmpl w:val="9C948A1A"/>
    <w:lvl w:ilvl="0" w:tplc="865269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C692D2E"/>
    <w:multiLevelType w:val="hybridMultilevel"/>
    <w:tmpl w:val="9C948A1A"/>
    <w:lvl w:ilvl="0" w:tplc="865269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E3637D3"/>
    <w:multiLevelType w:val="multilevel"/>
    <w:tmpl w:val="C0DAE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0"/>
  </w:num>
  <w:num w:numId="3">
    <w:abstractNumId w:val="15"/>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0"/>
  </w:num>
  <w:num w:numId="14">
    <w:abstractNumId w:val="32"/>
  </w:num>
  <w:num w:numId="15">
    <w:abstractNumId w:val="33"/>
  </w:num>
  <w:num w:numId="16">
    <w:abstractNumId w:val="2"/>
  </w:num>
  <w:num w:numId="17">
    <w:abstractNumId w:val="9"/>
  </w:num>
  <w:num w:numId="18">
    <w:abstractNumId w:val="17"/>
  </w:num>
  <w:num w:numId="19">
    <w:abstractNumId w:val="19"/>
  </w:num>
  <w:num w:numId="20">
    <w:abstractNumId w:val="31"/>
  </w:num>
  <w:num w:numId="21">
    <w:abstractNumId w:val="0"/>
  </w:num>
  <w:num w:numId="22">
    <w:abstractNumId w:val="29"/>
  </w:num>
  <w:num w:numId="23">
    <w:abstractNumId w:val="14"/>
  </w:num>
  <w:num w:numId="24">
    <w:abstractNumId w:val="4"/>
  </w:num>
  <w:num w:numId="25">
    <w:abstractNumId w:val="7"/>
  </w:num>
  <w:num w:numId="26">
    <w:abstractNumId w:val="8"/>
  </w:num>
  <w:num w:numId="27">
    <w:abstractNumId w:val="28"/>
  </w:num>
  <w:num w:numId="28">
    <w:abstractNumId w:val="3"/>
  </w:num>
  <w:num w:numId="29">
    <w:abstractNumId w:val="23"/>
  </w:num>
  <w:num w:numId="30">
    <w:abstractNumId w:val="22"/>
  </w:num>
  <w:num w:numId="31">
    <w:abstractNumId w:val="26"/>
  </w:num>
  <w:num w:numId="32">
    <w:abstractNumId w:val="12"/>
  </w:num>
  <w:num w:numId="33">
    <w:abstractNumId w:val="20"/>
  </w:num>
  <w:num w:numId="34">
    <w:abstractNumId w:val="27"/>
  </w:num>
  <w:num w:numId="35">
    <w:abstractNumId w:val="21"/>
  </w:num>
  <w:num w:numId="3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36C"/>
    <w:rsid w:val="00001F46"/>
    <w:rsid w:val="00003664"/>
    <w:rsid w:val="00055780"/>
    <w:rsid w:val="000604D3"/>
    <w:rsid w:val="0007620D"/>
    <w:rsid w:val="00086F5F"/>
    <w:rsid w:val="000A0C20"/>
    <w:rsid w:val="000A25A9"/>
    <w:rsid w:val="000A65BD"/>
    <w:rsid w:val="000A6802"/>
    <w:rsid w:val="000B50A3"/>
    <w:rsid w:val="000C4430"/>
    <w:rsid w:val="000D45FF"/>
    <w:rsid w:val="000D55C9"/>
    <w:rsid w:val="000F3979"/>
    <w:rsid w:val="00106696"/>
    <w:rsid w:val="00135F03"/>
    <w:rsid w:val="0014720E"/>
    <w:rsid w:val="0016221B"/>
    <w:rsid w:val="00175597"/>
    <w:rsid w:val="00176196"/>
    <w:rsid w:val="00185E1C"/>
    <w:rsid w:val="00196835"/>
    <w:rsid w:val="001B0E34"/>
    <w:rsid w:val="001B307E"/>
    <w:rsid w:val="001B3CFF"/>
    <w:rsid w:val="001C336C"/>
    <w:rsid w:val="00201119"/>
    <w:rsid w:val="00202392"/>
    <w:rsid w:val="002029C7"/>
    <w:rsid w:val="00203429"/>
    <w:rsid w:val="00207432"/>
    <w:rsid w:val="00210737"/>
    <w:rsid w:val="0026498F"/>
    <w:rsid w:val="002656ED"/>
    <w:rsid w:val="00270945"/>
    <w:rsid w:val="0028695A"/>
    <w:rsid w:val="002A1BC1"/>
    <w:rsid w:val="002C52F0"/>
    <w:rsid w:val="002D3F42"/>
    <w:rsid w:val="002E202C"/>
    <w:rsid w:val="002E5D59"/>
    <w:rsid w:val="002F04ED"/>
    <w:rsid w:val="002F3D52"/>
    <w:rsid w:val="0030178C"/>
    <w:rsid w:val="00315024"/>
    <w:rsid w:val="00317A9B"/>
    <w:rsid w:val="003219D5"/>
    <w:rsid w:val="0032233C"/>
    <w:rsid w:val="00325ECB"/>
    <w:rsid w:val="00330A69"/>
    <w:rsid w:val="00344962"/>
    <w:rsid w:val="003607A1"/>
    <w:rsid w:val="00376361"/>
    <w:rsid w:val="00377EB8"/>
    <w:rsid w:val="0038526C"/>
    <w:rsid w:val="00396DBF"/>
    <w:rsid w:val="003A0C01"/>
    <w:rsid w:val="003A5F8C"/>
    <w:rsid w:val="003A69AA"/>
    <w:rsid w:val="003A776F"/>
    <w:rsid w:val="003C1282"/>
    <w:rsid w:val="003C24CD"/>
    <w:rsid w:val="003C7E3B"/>
    <w:rsid w:val="003F03A6"/>
    <w:rsid w:val="003F3A81"/>
    <w:rsid w:val="00407946"/>
    <w:rsid w:val="004109C5"/>
    <w:rsid w:val="00435D3F"/>
    <w:rsid w:val="0043712B"/>
    <w:rsid w:val="00441EAD"/>
    <w:rsid w:val="00441F06"/>
    <w:rsid w:val="004501F2"/>
    <w:rsid w:val="00465263"/>
    <w:rsid w:val="00474E8B"/>
    <w:rsid w:val="0047739A"/>
    <w:rsid w:val="00487035"/>
    <w:rsid w:val="00487C9E"/>
    <w:rsid w:val="004A08B0"/>
    <w:rsid w:val="004B1703"/>
    <w:rsid w:val="004B171E"/>
    <w:rsid w:val="004C1A50"/>
    <w:rsid w:val="004C6ABB"/>
    <w:rsid w:val="004D1EBF"/>
    <w:rsid w:val="004D35C8"/>
    <w:rsid w:val="004E370D"/>
    <w:rsid w:val="005006F4"/>
    <w:rsid w:val="00504341"/>
    <w:rsid w:val="005174B1"/>
    <w:rsid w:val="005215C9"/>
    <w:rsid w:val="00525FF4"/>
    <w:rsid w:val="00537B88"/>
    <w:rsid w:val="00540E1F"/>
    <w:rsid w:val="00544B0C"/>
    <w:rsid w:val="00551FD5"/>
    <w:rsid w:val="0055491C"/>
    <w:rsid w:val="00554AE3"/>
    <w:rsid w:val="00560ABA"/>
    <w:rsid w:val="005651E8"/>
    <w:rsid w:val="0057689C"/>
    <w:rsid w:val="005769FC"/>
    <w:rsid w:val="00583AAD"/>
    <w:rsid w:val="0059676E"/>
    <w:rsid w:val="005A38FA"/>
    <w:rsid w:val="005B425F"/>
    <w:rsid w:val="005C57B1"/>
    <w:rsid w:val="005E0695"/>
    <w:rsid w:val="005E7253"/>
    <w:rsid w:val="005F1A04"/>
    <w:rsid w:val="005F5C1F"/>
    <w:rsid w:val="00600281"/>
    <w:rsid w:val="006019C9"/>
    <w:rsid w:val="006042B8"/>
    <w:rsid w:val="00605319"/>
    <w:rsid w:val="0061246B"/>
    <w:rsid w:val="00620F03"/>
    <w:rsid w:val="00660558"/>
    <w:rsid w:val="00664534"/>
    <w:rsid w:val="00671F50"/>
    <w:rsid w:val="00680D62"/>
    <w:rsid w:val="0068113B"/>
    <w:rsid w:val="00683B66"/>
    <w:rsid w:val="006A4594"/>
    <w:rsid w:val="006A532A"/>
    <w:rsid w:val="006B26D8"/>
    <w:rsid w:val="006C1F44"/>
    <w:rsid w:val="006C229B"/>
    <w:rsid w:val="00707D65"/>
    <w:rsid w:val="0071289A"/>
    <w:rsid w:val="00717789"/>
    <w:rsid w:val="00717E95"/>
    <w:rsid w:val="007358E8"/>
    <w:rsid w:val="00761D8B"/>
    <w:rsid w:val="0079028D"/>
    <w:rsid w:val="007A05F0"/>
    <w:rsid w:val="007A262E"/>
    <w:rsid w:val="007A5EDA"/>
    <w:rsid w:val="007A68B0"/>
    <w:rsid w:val="007B0BB9"/>
    <w:rsid w:val="007B4206"/>
    <w:rsid w:val="007C2CD9"/>
    <w:rsid w:val="007C6B0A"/>
    <w:rsid w:val="007D3258"/>
    <w:rsid w:val="007E2A5E"/>
    <w:rsid w:val="007E34D6"/>
    <w:rsid w:val="007E3E8B"/>
    <w:rsid w:val="007E599F"/>
    <w:rsid w:val="007F3A1D"/>
    <w:rsid w:val="008027DB"/>
    <w:rsid w:val="00822D75"/>
    <w:rsid w:val="008244D1"/>
    <w:rsid w:val="008336E5"/>
    <w:rsid w:val="00846211"/>
    <w:rsid w:val="00847AE7"/>
    <w:rsid w:val="00857389"/>
    <w:rsid w:val="008578B1"/>
    <w:rsid w:val="00875233"/>
    <w:rsid w:val="0087669E"/>
    <w:rsid w:val="00885966"/>
    <w:rsid w:val="00887BA6"/>
    <w:rsid w:val="00890218"/>
    <w:rsid w:val="008C27B8"/>
    <w:rsid w:val="008C6E01"/>
    <w:rsid w:val="008D05A9"/>
    <w:rsid w:val="008D62C0"/>
    <w:rsid w:val="008D6F72"/>
    <w:rsid w:val="008D756B"/>
    <w:rsid w:val="009213CF"/>
    <w:rsid w:val="00921BC1"/>
    <w:rsid w:val="00936EE3"/>
    <w:rsid w:val="00943969"/>
    <w:rsid w:val="00947954"/>
    <w:rsid w:val="00950E2B"/>
    <w:rsid w:val="00965F78"/>
    <w:rsid w:val="009752A7"/>
    <w:rsid w:val="00976A78"/>
    <w:rsid w:val="009A4A6E"/>
    <w:rsid w:val="009B54A7"/>
    <w:rsid w:val="009C0CA3"/>
    <w:rsid w:val="009E156D"/>
    <w:rsid w:val="009F4054"/>
    <w:rsid w:val="00A1054F"/>
    <w:rsid w:val="00A11B3B"/>
    <w:rsid w:val="00A131A2"/>
    <w:rsid w:val="00A2658E"/>
    <w:rsid w:val="00A27D7E"/>
    <w:rsid w:val="00A332CB"/>
    <w:rsid w:val="00A61738"/>
    <w:rsid w:val="00A646BC"/>
    <w:rsid w:val="00A710D0"/>
    <w:rsid w:val="00A752B5"/>
    <w:rsid w:val="00A859D9"/>
    <w:rsid w:val="00A954A9"/>
    <w:rsid w:val="00AA62DB"/>
    <w:rsid w:val="00AD3972"/>
    <w:rsid w:val="00AD47FE"/>
    <w:rsid w:val="00AE55CE"/>
    <w:rsid w:val="00AE58AA"/>
    <w:rsid w:val="00AF0D11"/>
    <w:rsid w:val="00AF440E"/>
    <w:rsid w:val="00B02408"/>
    <w:rsid w:val="00B063A0"/>
    <w:rsid w:val="00B10752"/>
    <w:rsid w:val="00B148BE"/>
    <w:rsid w:val="00B2603E"/>
    <w:rsid w:val="00B34147"/>
    <w:rsid w:val="00B41B98"/>
    <w:rsid w:val="00B42999"/>
    <w:rsid w:val="00B450C6"/>
    <w:rsid w:val="00B65173"/>
    <w:rsid w:val="00B658CA"/>
    <w:rsid w:val="00B73AC7"/>
    <w:rsid w:val="00B80247"/>
    <w:rsid w:val="00B80D05"/>
    <w:rsid w:val="00B93214"/>
    <w:rsid w:val="00B93737"/>
    <w:rsid w:val="00B94500"/>
    <w:rsid w:val="00B97C1E"/>
    <w:rsid w:val="00BA5916"/>
    <w:rsid w:val="00BA77E6"/>
    <w:rsid w:val="00BC049D"/>
    <w:rsid w:val="00BD0C02"/>
    <w:rsid w:val="00BE11AE"/>
    <w:rsid w:val="00BE371B"/>
    <w:rsid w:val="00C052CE"/>
    <w:rsid w:val="00C10F91"/>
    <w:rsid w:val="00C20489"/>
    <w:rsid w:val="00C21D53"/>
    <w:rsid w:val="00C435C2"/>
    <w:rsid w:val="00C56212"/>
    <w:rsid w:val="00C758B3"/>
    <w:rsid w:val="00C8034F"/>
    <w:rsid w:val="00CA4AE0"/>
    <w:rsid w:val="00CA6991"/>
    <w:rsid w:val="00CB06DE"/>
    <w:rsid w:val="00CC475E"/>
    <w:rsid w:val="00CE295C"/>
    <w:rsid w:val="00CE45A1"/>
    <w:rsid w:val="00CF1067"/>
    <w:rsid w:val="00CF4BC9"/>
    <w:rsid w:val="00D073F0"/>
    <w:rsid w:val="00D1199B"/>
    <w:rsid w:val="00D31031"/>
    <w:rsid w:val="00D562EB"/>
    <w:rsid w:val="00D567B8"/>
    <w:rsid w:val="00D72411"/>
    <w:rsid w:val="00D87C78"/>
    <w:rsid w:val="00DB5788"/>
    <w:rsid w:val="00DC1F0D"/>
    <w:rsid w:val="00DC34CA"/>
    <w:rsid w:val="00DC6C66"/>
    <w:rsid w:val="00DD30E2"/>
    <w:rsid w:val="00DD3273"/>
    <w:rsid w:val="00DE3279"/>
    <w:rsid w:val="00DF1C17"/>
    <w:rsid w:val="00E01121"/>
    <w:rsid w:val="00E22AC7"/>
    <w:rsid w:val="00E30EEA"/>
    <w:rsid w:val="00E33CEA"/>
    <w:rsid w:val="00E43294"/>
    <w:rsid w:val="00E7343A"/>
    <w:rsid w:val="00E75205"/>
    <w:rsid w:val="00E84828"/>
    <w:rsid w:val="00EA3B13"/>
    <w:rsid w:val="00EC25AB"/>
    <w:rsid w:val="00EC31CD"/>
    <w:rsid w:val="00F027ED"/>
    <w:rsid w:val="00F263D7"/>
    <w:rsid w:val="00F552B0"/>
    <w:rsid w:val="00F632E2"/>
    <w:rsid w:val="00F63628"/>
    <w:rsid w:val="00F7136C"/>
    <w:rsid w:val="00F768E7"/>
    <w:rsid w:val="00F7736C"/>
    <w:rsid w:val="00F8523D"/>
    <w:rsid w:val="00FC1F30"/>
    <w:rsid w:val="00FC24A6"/>
    <w:rsid w:val="00FC34D7"/>
    <w:rsid w:val="00FF133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0FEE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E8B"/>
  </w:style>
  <w:style w:type="paragraph" w:styleId="Heading1">
    <w:name w:val="heading 1"/>
    <w:basedOn w:val="Normal"/>
    <w:next w:val="Normal"/>
    <w:link w:val="Heading1Char"/>
    <w:uiPriority w:val="9"/>
    <w:qFormat/>
    <w:rsid w:val="007C2C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336C"/>
    <w:pPr>
      <w:spacing w:after="0" w:line="240" w:lineRule="auto"/>
    </w:pPr>
  </w:style>
  <w:style w:type="paragraph" w:styleId="Header">
    <w:name w:val="header"/>
    <w:basedOn w:val="Normal"/>
    <w:link w:val="HeaderChar"/>
    <w:uiPriority w:val="99"/>
    <w:unhideWhenUsed/>
    <w:rsid w:val="007E3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E8B"/>
  </w:style>
  <w:style w:type="paragraph" w:styleId="Footer">
    <w:name w:val="footer"/>
    <w:basedOn w:val="Normal"/>
    <w:link w:val="FooterChar"/>
    <w:uiPriority w:val="99"/>
    <w:unhideWhenUsed/>
    <w:rsid w:val="007E3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E8B"/>
  </w:style>
  <w:style w:type="character" w:styleId="Hyperlink">
    <w:name w:val="Hyperlink"/>
    <w:basedOn w:val="DefaultParagraphFont"/>
    <w:uiPriority w:val="99"/>
    <w:unhideWhenUsed/>
    <w:rsid w:val="0055491C"/>
    <w:rPr>
      <w:color w:val="0563C1" w:themeColor="hyperlink"/>
      <w:u w:val="single"/>
    </w:rPr>
  </w:style>
  <w:style w:type="character" w:customStyle="1" w:styleId="UnresolvedMention1">
    <w:name w:val="Unresolved Mention1"/>
    <w:basedOn w:val="DefaultParagraphFont"/>
    <w:uiPriority w:val="99"/>
    <w:semiHidden/>
    <w:unhideWhenUsed/>
    <w:rsid w:val="0055491C"/>
    <w:rPr>
      <w:color w:val="605E5C"/>
      <w:shd w:val="clear" w:color="auto" w:fill="E1DFDD"/>
    </w:rPr>
  </w:style>
  <w:style w:type="paragraph" w:styleId="ListParagraph">
    <w:name w:val="List Paragraph"/>
    <w:basedOn w:val="Normal"/>
    <w:uiPriority w:val="34"/>
    <w:qFormat/>
    <w:rsid w:val="000604D3"/>
    <w:pPr>
      <w:ind w:left="720"/>
      <w:contextualSpacing/>
    </w:pPr>
  </w:style>
  <w:style w:type="table" w:styleId="GridTable5Dark-Accent1">
    <w:name w:val="Grid Table 5 Dark Accent 1"/>
    <w:basedOn w:val="TableNormal"/>
    <w:uiPriority w:val="50"/>
    <w:rsid w:val="000604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2">
    <w:name w:val="Body Text 2"/>
    <w:basedOn w:val="Normal"/>
    <w:link w:val="BodyText2Char"/>
    <w:autoRedefine/>
    <w:uiPriority w:val="99"/>
    <w:unhideWhenUsed/>
    <w:qFormat/>
    <w:rsid w:val="00B02408"/>
    <w:pPr>
      <w:widowControl w:val="0"/>
      <w:autoSpaceDE w:val="0"/>
      <w:autoSpaceDN w:val="0"/>
      <w:adjustRightInd w:val="0"/>
      <w:spacing w:after="0" w:line="240" w:lineRule="auto"/>
      <w:ind w:right="-29"/>
      <w:jc w:val="both"/>
    </w:pPr>
    <w:rPr>
      <w:rFonts w:eastAsia="Calibri" w:cstheme="minorHAnsi"/>
      <w:b/>
      <w:bCs/>
      <w:color w:val="C45911" w:themeColor="accent2" w:themeShade="BF"/>
      <w:lang w:eastAsia="en-AU" w:bidi="en-AU"/>
    </w:rPr>
  </w:style>
  <w:style w:type="character" w:customStyle="1" w:styleId="BodyText2Char">
    <w:name w:val="Body Text 2 Char"/>
    <w:basedOn w:val="DefaultParagraphFont"/>
    <w:link w:val="BodyText2"/>
    <w:uiPriority w:val="99"/>
    <w:rsid w:val="00B02408"/>
    <w:rPr>
      <w:rFonts w:eastAsia="Calibri" w:cstheme="minorHAnsi"/>
      <w:b/>
      <w:bCs/>
      <w:color w:val="C45911" w:themeColor="accent2" w:themeShade="BF"/>
      <w:lang w:eastAsia="en-AU" w:bidi="en-AU"/>
    </w:rPr>
  </w:style>
  <w:style w:type="paragraph" w:styleId="BodyText">
    <w:name w:val="Body Text"/>
    <w:basedOn w:val="Normal"/>
    <w:link w:val="BodyTextChar"/>
    <w:uiPriority w:val="99"/>
    <w:semiHidden/>
    <w:unhideWhenUsed/>
    <w:rsid w:val="00707D65"/>
    <w:pPr>
      <w:spacing w:after="120"/>
    </w:pPr>
  </w:style>
  <w:style w:type="character" w:customStyle="1" w:styleId="BodyTextChar">
    <w:name w:val="Body Text Char"/>
    <w:basedOn w:val="DefaultParagraphFont"/>
    <w:link w:val="BodyText"/>
    <w:uiPriority w:val="99"/>
    <w:semiHidden/>
    <w:rsid w:val="00707D65"/>
  </w:style>
  <w:style w:type="character" w:customStyle="1" w:styleId="NoSpacingChar">
    <w:name w:val="No Spacing Char"/>
    <w:basedOn w:val="DefaultParagraphFont"/>
    <w:link w:val="NoSpacing"/>
    <w:uiPriority w:val="1"/>
    <w:rsid w:val="00BE11AE"/>
  </w:style>
  <w:style w:type="character" w:customStyle="1" w:styleId="Heading1Char">
    <w:name w:val="Heading 1 Char"/>
    <w:basedOn w:val="DefaultParagraphFont"/>
    <w:link w:val="Heading1"/>
    <w:uiPriority w:val="9"/>
    <w:rsid w:val="007C2C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2CD9"/>
    <w:pPr>
      <w:outlineLvl w:val="9"/>
    </w:pPr>
    <w:rPr>
      <w:lang w:val="en-US"/>
    </w:rPr>
  </w:style>
  <w:style w:type="paragraph" w:styleId="TOC2">
    <w:name w:val="toc 2"/>
    <w:basedOn w:val="Normal"/>
    <w:next w:val="Normal"/>
    <w:autoRedefine/>
    <w:uiPriority w:val="39"/>
    <w:unhideWhenUsed/>
    <w:rsid w:val="007C2CD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C2CD9"/>
    <w:pPr>
      <w:spacing w:after="100"/>
    </w:pPr>
    <w:rPr>
      <w:rFonts w:eastAsiaTheme="minorEastAsia" w:cs="Times New Roman"/>
      <w:lang w:val="en-US"/>
    </w:rPr>
  </w:style>
  <w:style w:type="paragraph" w:styleId="TOC3">
    <w:name w:val="toc 3"/>
    <w:basedOn w:val="Normal"/>
    <w:next w:val="Normal"/>
    <w:autoRedefine/>
    <w:uiPriority w:val="39"/>
    <w:unhideWhenUsed/>
    <w:rsid w:val="007C2CD9"/>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DC6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C66"/>
    <w:rPr>
      <w:rFonts w:ascii="Segoe UI" w:hAnsi="Segoe UI" w:cs="Segoe UI"/>
      <w:sz w:val="18"/>
      <w:szCs w:val="18"/>
    </w:rPr>
  </w:style>
  <w:style w:type="paragraph" w:styleId="Revision">
    <w:name w:val="Revision"/>
    <w:hidden/>
    <w:uiPriority w:val="99"/>
    <w:semiHidden/>
    <w:rsid w:val="00DC6C66"/>
    <w:pPr>
      <w:spacing w:after="0" w:line="240" w:lineRule="auto"/>
    </w:pPr>
  </w:style>
  <w:style w:type="paragraph" w:customStyle="1" w:styleId="Default">
    <w:name w:val="Default"/>
    <w:rsid w:val="00887BA6"/>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7A262E"/>
    <w:pPr>
      <w:spacing w:after="0" w:line="240" w:lineRule="auto"/>
    </w:pPr>
    <w:rPr>
      <w:rFonts w:ascii="Calibri" w:hAnsi="Calibri" w:cs="Calibri"/>
      <w:sz w:val="24"/>
      <w:szCs w:val="24"/>
      <w:lang w:eastAsia="en-AU"/>
    </w:rPr>
  </w:style>
  <w:style w:type="table" w:styleId="TableGrid">
    <w:name w:val="Table Grid"/>
    <w:basedOn w:val="TableNormal"/>
    <w:uiPriority w:val="39"/>
    <w:rsid w:val="00F2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263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323237">
      <w:bodyDiv w:val="1"/>
      <w:marLeft w:val="0"/>
      <w:marRight w:val="0"/>
      <w:marTop w:val="0"/>
      <w:marBottom w:val="0"/>
      <w:divBdr>
        <w:top w:val="none" w:sz="0" w:space="0" w:color="auto"/>
        <w:left w:val="none" w:sz="0" w:space="0" w:color="auto"/>
        <w:bottom w:val="none" w:sz="0" w:space="0" w:color="auto"/>
        <w:right w:val="none" w:sz="0" w:space="0" w:color="auto"/>
      </w:divBdr>
    </w:div>
    <w:div w:id="653417559">
      <w:bodyDiv w:val="1"/>
      <w:marLeft w:val="0"/>
      <w:marRight w:val="0"/>
      <w:marTop w:val="0"/>
      <w:marBottom w:val="0"/>
      <w:divBdr>
        <w:top w:val="none" w:sz="0" w:space="0" w:color="auto"/>
        <w:left w:val="none" w:sz="0" w:space="0" w:color="auto"/>
        <w:bottom w:val="none" w:sz="0" w:space="0" w:color="auto"/>
        <w:right w:val="none" w:sz="0" w:space="0" w:color="auto"/>
      </w:divBdr>
    </w:div>
    <w:div w:id="834303977">
      <w:bodyDiv w:val="1"/>
      <w:marLeft w:val="0"/>
      <w:marRight w:val="0"/>
      <w:marTop w:val="0"/>
      <w:marBottom w:val="0"/>
      <w:divBdr>
        <w:top w:val="none" w:sz="0" w:space="0" w:color="auto"/>
        <w:left w:val="none" w:sz="0" w:space="0" w:color="auto"/>
        <w:bottom w:val="none" w:sz="0" w:space="0" w:color="auto"/>
        <w:right w:val="none" w:sz="0" w:space="0" w:color="auto"/>
      </w:divBdr>
    </w:div>
    <w:div w:id="981037371">
      <w:bodyDiv w:val="1"/>
      <w:marLeft w:val="0"/>
      <w:marRight w:val="0"/>
      <w:marTop w:val="0"/>
      <w:marBottom w:val="0"/>
      <w:divBdr>
        <w:top w:val="none" w:sz="0" w:space="0" w:color="auto"/>
        <w:left w:val="none" w:sz="0" w:space="0" w:color="auto"/>
        <w:bottom w:val="none" w:sz="0" w:space="0" w:color="auto"/>
        <w:right w:val="none" w:sz="0" w:space="0" w:color="auto"/>
      </w:divBdr>
    </w:div>
    <w:div w:id="1290668135">
      <w:bodyDiv w:val="1"/>
      <w:marLeft w:val="0"/>
      <w:marRight w:val="0"/>
      <w:marTop w:val="0"/>
      <w:marBottom w:val="0"/>
      <w:divBdr>
        <w:top w:val="none" w:sz="0" w:space="0" w:color="auto"/>
        <w:left w:val="none" w:sz="0" w:space="0" w:color="auto"/>
        <w:bottom w:val="none" w:sz="0" w:space="0" w:color="auto"/>
        <w:right w:val="none" w:sz="0" w:space="0" w:color="auto"/>
      </w:divBdr>
    </w:div>
    <w:div w:id="1658729055">
      <w:bodyDiv w:val="1"/>
      <w:marLeft w:val="0"/>
      <w:marRight w:val="0"/>
      <w:marTop w:val="0"/>
      <w:marBottom w:val="0"/>
      <w:divBdr>
        <w:top w:val="none" w:sz="0" w:space="0" w:color="auto"/>
        <w:left w:val="none" w:sz="0" w:space="0" w:color="auto"/>
        <w:bottom w:val="none" w:sz="0" w:space="0" w:color="auto"/>
        <w:right w:val="none" w:sz="0" w:space="0" w:color="auto"/>
      </w:divBdr>
    </w:div>
    <w:div w:id="206451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gascoynegateway.com.au" TargetMode="External"/><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www.gascoynegateway.com.au" TargetMode="External"/><Relationship Id="rId36" Type="http://schemas.openxmlformats.org/officeDocument/2006/relationships/footer" Target="footer1.xml"/><Relationship Id="rId10" Type="http://schemas.openxmlformats.org/officeDocument/2006/relationships/settings" Target="settings.xml"/><Relationship Id="rId19" Type="http://schemas.microsoft.com/office/2007/relationships/hdphoto" Target="media/hdphoto1.wdp"/><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mailto:info@gascoynegateway.com.au" TargetMode="External"/><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2021FG-108-10048</_dlc_DocId>
    <_dlc_DocIdUrl xmlns="0f563589-9cf9-4143-b1eb-fb0534803d38">
      <Url>http://tweb/sites/fg/bpd/_layouts/15/DocIdRedir.aspx?ID=2021FG-108-10048</Url>
      <Description>2021FG-108-10048</Description>
    </_dlc_DocIdUrl>
  </documentManagement>
</p:properti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Props1.xml><?xml version="1.0" encoding="utf-8"?>
<ds:datastoreItem xmlns:ds="http://schemas.openxmlformats.org/officeDocument/2006/customXml" ds:itemID="{F1F1D9BB-DC85-45FC-B6B0-0E0F7F6A3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80667E-ED88-4FBD-B703-5B9D88F15F46}">
  <ds:schemaRefs>
    <ds:schemaRef ds:uri="http://schemas.openxmlformats.org/officeDocument/2006/bibliography"/>
  </ds:schemaRefs>
</ds:datastoreItem>
</file>

<file path=customXml/itemProps3.xml><?xml version="1.0" encoding="utf-8"?>
<ds:datastoreItem xmlns:ds="http://schemas.openxmlformats.org/officeDocument/2006/customXml" ds:itemID="{21D5C2FA-C2A6-4E4B-BFEC-82E9D010266F}">
  <ds:schemaRefs>
    <ds:schemaRef ds:uri="http://schemas.microsoft.com/sharepoint/v3/contenttype/forms"/>
  </ds:schemaRefs>
</ds:datastoreItem>
</file>

<file path=customXml/itemProps4.xml><?xml version="1.0" encoding="utf-8"?>
<ds:datastoreItem xmlns:ds="http://schemas.openxmlformats.org/officeDocument/2006/customXml" ds:itemID="{C50BCF04-1362-4DCA-BC7C-99138DB0017A}">
  <ds:schemaRef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B1F8B553-27EC-4660-BD0D-023D547E753F}">
  <ds:schemaRefs>
    <ds:schemaRef ds:uri="office.server.policy"/>
  </ds:schemaRefs>
</ds:datastoreItem>
</file>

<file path=customXml/itemProps6.xml><?xml version="1.0" encoding="utf-8"?>
<ds:datastoreItem xmlns:ds="http://schemas.openxmlformats.org/officeDocument/2006/customXml" ds:itemID="{AF9B3757-96E3-4A8D-8E3C-B1E7A41B3E41}">
  <ds:schemaRefs>
    <ds:schemaRef ds:uri="http://schemas.microsoft.com/sharepoint/events"/>
  </ds:schemaRefs>
</ds:datastoreItem>
</file>

<file path=customXml/itemProps7.xml><?xml version="1.0" encoding="utf-8"?>
<ds:datastoreItem xmlns:ds="http://schemas.openxmlformats.org/officeDocument/2006/customXml" ds:itemID="{2738CAEE-FE9B-488B-8379-4672C387DE4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5816</Words>
  <Characters>32809</Characters>
  <Application>Microsoft Office Word</Application>
  <DocSecurity>0</DocSecurity>
  <Lines>851</Lines>
  <Paragraphs>312</Paragraphs>
  <ScaleCrop>false</ScaleCrop>
  <Company/>
  <LinksUpToDate>false</LinksUpToDate>
  <CharactersWithSpaces>38494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Gascoyne Gateway Pty Ltd - 2021-22 Pre-Budget Submissions</dc:title>
  <dc:subject/>
  <dc:creator/>
  <cp:keywords/>
  <dc:description/>
  <cp:lastModifiedBy/>
  <cp:revision>1</cp:revision>
  <dcterms:created xsi:type="dcterms:W3CDTF">2021-05-06T00:44:00Z</dcterms:created>
  <dcterms:modified xsi:type="dcterms:W3CDTF">2021-05-06T00:44:00Z</dcterms:modified>
  <dc:language>English</dc:language>
</cp:coreProperties>
</file>