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4985E" w14:textId="7BEE5140" w:rsidR="0029277E" w:rsidRPr="00E80B3B" w:rsidRDefault="009C5E79" w:rsidP="00E80B3B">
      <w:pPr>
        <w:pStyle w:val="Title"/>
      </w:pPr>
      <w:bookmarkStart w:id="0" w:name="_Toc147485073"/>
      <w:bookmarkStart w:id="1" w:name="_Toc147485201"/>
      <w:bookmarkStart w:id="2" w:name="_Toc147497656"/>
      <w:r>
        <w:rPr>
          <w:noProof/>
        </w:rPr>
        <w:drawing>
          <wp:anchor distT="0" distB="0" distL="114300" distR="114300" simplePos="0" relativeHeight="251658240" behindDoc="0" locked="1" layoutInCell="1" allowOverlap="1" wp14:anchorId="00AFF638" wp14:editId="5C211C04">
            <wp:simplePos x="899032" y="1167973"/>
            <wp:positionH relativeFrom="page">
              <wp:align>center</wp:align>
            </wp:positionH>
            <wp:positionV relativeFrom="page">
              <wp:align>center</wp:align>
            </wp:positionV>
            <wp:extent cx="7560000" cy="10692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984B31" w:rsidRPr="00E80B3B">
        <w:t xml:space="preserve">Measuring </w:t>
      </w:r>
      <w:r w:rsidR="00E80B3B" w:rsidRPr="00E80B3B">
        <w:t>W</w:t>
      </w:r>
      <w:r w:rsidR="00984B31" w:rsidRPr="00E80B3B">
        <w:t xml:space="preserve">hat </w:t>
      </w:r>
      <w:r w:rsidR="00E80B3B" w:rsidRPr="00E80B3B">
        <w:t>M</w:t>
      </w:r>
      <w:r w:rsidR="00984B31" w:rsidRPr="00E80B3B">
        <w:t>atters</w:t>
      </w:r>
      <w:bookmarkEnd w:id="0"/>
      <w:bookmarkEnd w:id="1"/>
      <w:bookmarkEnd w:id="2"/>
    </w:p>
    <w:bookmarkStart w:id="3" w:name="_Toc147497657" w:displacedByCustomXml="next"/>
    <w:bookmarkStart w:id="4" w:name="_Toc147485202" w:displacedByCustomXml="next"/>
    <w:bookmarkStart w:id="5" w:name="_Toc147485074" w:displacedByCustomXml="next"/>
    <w:sdt>
      <w:sdtPr>
        <w:rPr>
          <w:rFonts w:eastAsia="Times New Roman" w:cs="Times New Roman"/>
          <w:iCs w:val="0"/>
          <w:color w:val="auto"/>
          <w:sz w:val="22"/>
          <w:szCs w:val="20"/>
        </w:rPr>
        <w:id w:val="-1442289537"/>
        <w:docPartObj>
          <w:docPartGallery w:val="Cover Pages"/>
          <w:docPartUnique/>
        </w:docPartObj>
      </w:sdtPr>
      <w:sdtEndPr>
        <w:rPr>
          <w:rFonts w:ascii="Calibri" w:hAnsi="Calibri" w:cs="Calibri"/>
        </w:rPr>
      </w:sdtEndPr>
      <w:sdtContent>
        <w:p w14:paraId="09431B34" w14:textId="2884C4CD" w:rsidR="00A97160" w:rsidRDefault="00984B31" w:rsidP="00984B31">
          <w:pPr>
            <w:pStyle w:val="Subtitle"/>
          </w:pPr>
          <w:r>
            <w:t>Australia</w:t>
          </w:r>
          <w:r w:rsidR="00135DEA">
            <w:t>’</w:t>
          </w:r>
          <w:r>
            <w:t>s first wellbeing framework</w:t>
          </w:r>
          <w:bookmarkEnd w:id="5"/>
          <w:bookmarkEnd w:id="4"/>
          <w:bookmarkEnd w:id="3"/>
        </w:p>
        <w:p w14:paraId="34887F57" w14:textId="2E9E91FE" w:rsidR="00984B31" w:rsidRPr="00984B31" w:rsidRDefault="00984B31" w:rsidP="00984B31">
          <w:pPr>
            <w:pStyle w:val="Subtitle"/>
          </w:pPr>
          <w:bookmarkStart w:id="6" w:name="_Toc147485075"/>
          <w:bookmarkStart w:id="7" w:name="_Toc147485203"/>
          <w:bookmarkStart w:id="8" w:name="_Toc147497658"/>
          <w:r>
            <w:t>July 2023</w:t>
          </w:r>
          <w:bookmarkEnd w:id="6"/>
          <w:bookmarkEnd w:id="7"/>
          <w:bookmarkEnd w:id="8"/>
        </w:p>
        <w:p w14:paraId="0CBB8E6A" w14:textId="77777777" w:rsidR="00E80B3B" w:rsidRDefault="00E80B3B" w:rsidP="0069427E">
          <w:pPr>
            <w:rPr>
              <w:rFonts w:ascii="Calibri" w:hAnsi="Calibri" w:cs="Calibri"/>
            </w:rPr>
          </w:pPr>
        </w:p>
        <w:p w14:paraId="1CD5C0F7" w14:textId="3908413D" w:rsidR="00A85AB4" w:rsidRDefault="00A85AB4" w:rsidP="0069427E">
          <w:pPr>
            <w:rPr>
              <w:rFonts w:ascii="Calibri" w:hAnsi="Calibri" w:cs="Calibri"/>
            </w:rPr>
            <w:sectPr w:rsidR="00A85AB4" w:rsidSect="00DA302B">
              <w:endnotePr>
                <w:numFmt w:val="decimal"/>
              </w:endnotePr>
              <w:pgSz w:w="11906" w:h="16838" w:code="9"/>
              <w:pgMar w:top="1843" w:right="1418" w:bottom="1418" w:left="1418" w:header="851" w:footer="851" w:gutter="0"/>
              <w:pgNumType w:fmt="lowerRoman" w:start="0"/>
              <w:cols w:space="708"/>
              <w:docGrid w:linePitch="360"/>
            </w:sectPr>
          </w:pPr>
        </w:p>
        <w:p w14:paraId="13185867" w14:textId="07E67E3F" w:rsidR="00E80B3B" w:rsidRDefault="00D47794" w:rsidP="005A0912">
          <w:pPr>
            <w:rPr>
              <w:rFonts w:ascii="Calibri" w:hAnsi="Calibri" w:cs="Calibri"/>
            </w:rPr>
          </w:pPr>
        </w:p>
      </w:sdtContent>
    </w:sdt>
    <w:p w14:paraId="6BAF2C6D" w14:textId="1934A12F" w:rsidR="000E0B74" w:rsidRPr="00E80B3B" w:rsidRDefault="000E0B74" w:rsidP="005A0912">
      <w:pPr>
        <w:rPr>
          <w:rFonts w:ascii="Calibri" w:hAnsi="Calibri" w:cs="Calibri"/>
        </w:rPr>
      </w:pPr>
      <w:r w:rsidRPr="009764EE">
        <w:t xml:space="preserve">© Commonwealth </w:t>
      </w:r>
      <w:r w:rsidRPr="004324AC">
        <w:t>of Australia 20</w:t>
      </w:r>
      <w:r w:rsidR="005F0CF9" w:rsidRPr="004324AC">
        <w:t>23</w:t>
      </w:r>
    </w:p>
    <w:p w14:paraId="3A4853E6" w14:textId="3B8A6DF6" w:rsidR="006469CC" w:rsidRPr="009764EE" w:rsidRDefault="006469CC" w:rsidP="005A0912">
      <w:r w:rsidRPr="009764EE">
        <w:t xml:space="preserve">ISBN: </w:t>
      </w:r>
      <w:r w:rsidR="00DC11A5" w:rsidRPr="00DC11A5">
        <w:t>978</w:t>
      </w:r>
      <w:r w:rsidR="00135DEA">
        <w:noBreakHyphen/>
      </w:r>
      <w:r w:rsidR="00DC11A5" w:rsidRPr="00DC11A5">
        <w:t>1</w:t>
      </w:r>
      <w:r w:rsidR="00135DEA">
        <w:noBreakHyphen/>
      </w:r>
      <w:r w:rsidR="00DC11A5" w:rsidRPr="00DC11A5">
        <w:t>925832</w:t>
      </w:r>
      <w:r w:rsidR="00135DEA">
        <w:noBreakHyphen/>
      </w:r>
      <w:r w:rsidR="00DC11A5" w:rsidRPr="00DC11A5">
        <w:t>78</w:t>
      </w:r>
      <w:r w:rsidR="00135DEA">
        <w:noBreakHyphen/>
      </w:r>
      <w:r w:rsidR="00DC11A5" w:rsidRPr="00DC11A5">
        <w:t>5</w:t>
      </w:r>
    </w:p>
    <w:p w14:paraId="03C7739A" w14:textId="4F38206C" w:rsidR="000E0B74" w:rsidRPr="009764EE" w:rsidRDefault="000E0B74" w:rsidP="005A0912">
      <w:pPr>
        <w:rPr>
          <w:szCs w:val="22"/>
        </w:rPr>
      </w:pPr>
      <w:r w:rsidRPr="009764EE">
        <w:t>This publication is available for your use under a</w:t>
      </w:r>
      <w:r w:rsidRPr="009764EE">
        <w:rPr>
          <w:szCs w:val="22"/>
        </w:rPr>
        <w:t xml:space="preserve"> </w:t>
      </w:r>
      <w:hyperlink r:id="rId13" w:history="1">
        <w:r w:rsidRPr="009764EE">
          <w:t>Creative Commons Attribution 3.0 Australia</w:t>
        </w:r>
      </w:hyperlink>
      <w:r w:rsidRPr="009764EE">
        <w:rPr>
          <w:szCs w:val="22"/>
        </w:rPr>
        <w:t xml:space="preserve"> </w:t>
      </w:r>
      <w:r w:rsidRPr="009764EE">
        <w:t>licence, with the exception of the Commonwealth Coat of Arms, the Treasury logo, photographs, images, signatures and where otherwise stated. The full licence terms are available from</w:t>
      </w:r>
      <w:r w:rsidRPr="009764EE">
        <w:rPr>
          <w:szCs w:val="22"/>
        </w:rPr>
        <w:t xml:space="preserve"> </w:t>
      </w:r>
      <w:hyperlink r:id="rId14" w:history="1">
        <w:r w:rsidRPr="009764EE">
          <w:t>http://creativecommons.org/licenses/by/3.0/au/legalcode</w:t>
        </w:r>
      </w:hyperlink>
      <w:r w:rsidRPr="009764EE">
        <w:t>.</w:t>
      </w:r>
      <w:r w:rsidRPr="009764EE">
        <w:rPr>
          <w:szCs w:val="22"/>
        </w:rPr>
        <w:t xml:space="preserve"> </w:t>
      </w:r>
    </w:p>
    <w:p w14:paraId="15AA94A5" w14:textId="77777777" w:rsidR="000E0B74" w:rsidRPr="009764EE" w:rsidRDefault="000E0B74" w:rsidP="00FA24A3">
      <w:r w:rsidRPr="009764EE">
        <w:rPr>
          <w:noProof/>
        </w:rPr>
        <w:drawing>
          <wp:inline distT="0" distB="0" distL="0" distR="0" wp14:anchorId="6B2AFB5C" wp14:editId="6AF9E48B">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C152C2C" w14:textId="64E4F2AA" w:rsidR="000E0B74" w:rsidRPr="009764EE" w:rsidRDefault="000E0B74" w:rsidP="005A0912">
      <w:r w:rsidRPr="009764EE">
        <w:t>Use of Treasury material under a</w:t>
      </w:r>
      <w:r w:rsidRPr="009764EE">
        <w:rPr>
          <w:szCs w:val="22"/>
        </w:rPr>
        <w:t xml:space="preserve"> </w:t>
      </w:r>
      <w:hyperlink r:id="rId16" w:history="1">
        <w:r w:rsidRPr="009764EE">
          <w:t>Creative Commons Attribution 3.0 Australia</w:t>
        </w:r>
      </w:hyperlink>
      <w:r w:rsidR="00A155F0" w:rsidRPr="009764EE">
        <w:t xml:space="preserve"> l</w:t>
      </w:r>
      <w:r w:rsidRPr="009764EE">
        <w:t>icence requires you to attribute the work (but not in any way that suggests that the Treasury endorses you or your use of the work).</w:t>
      </w:r>
    </w:p>
    <w:p w14:paraId="634C7098" w14:textId="4356CEFC" w:rsidR="000E0B74" w:rsidRPr="005A0912" w:rsidRDefault="000E0B74" w:rsidP="005A0912">
      <w:pPr>
        <w:rPr>
          <w:rStyle w:val="Strong"/>
        </w:rPr>
      </w:pPr>
      <w:r w:rsidRPr="005A0912">
        <w:rPr>
          <w:rStyle w:val="Strong"/>
        </w:rPr>
        <w:t xml:space="preserve">Treasury material used </w:t>
      </w:r>
      <w:r w:rsidR="00135DEA">
        <w:rPr>
          <w:rStyle w:val="Strong"/>
        </w:rPr>
        <w:t>‘</w:t>
      </w:r>
      <w:r w:rsidRPr="005A0912">
        <w:rPr>
          <w:rStyle w:val="Strong"/>
        </w:rPr>
        <w:t>as supplied</w:t>
      </w:r>
      <w:r w:rsidR="00135DEA">
        <w:rPr>
          <w:rStyle w:val="Strong"/>
        </w:rPr>
        <w:t>’</w:t>
      </w:r>
    </w:p>
    <w:p w14:paraId="0688648B" w14:textId="2233CE8A" w:rsidR="000E0B74" w:rsidRPr="009764EE" w:rsidRDefault="000E0B74" w:rsidP="005A0912">
      <w:r w:rsidRPr="009764EE">
        <w:t>Provided you have not modified or transformed Treasury material in any way including, for example, by changing the Treasury text; calculating percentage changes; graphing or charting data; or deriving new statistics from published Treasury statistics</w:t>
      </w:r>
      <w:r w:rsidR="001524A0">
        <w:t xml:space="preserve"> – </w:t>
      </w:r>
      <w:r w:rsidRPr="009764EE">
        <w:t xml:space="preserve">then Treasury prefers the following attribution: </w:t>
      </w:r>
    </w:p>
    <w:p w14:paraId="3985DC7F" w14:textId="722F7C8C" w:rsidR="000E0B74" w:rsidRPr="009764EE" w:rsidRDefault="000E0B74" w:rsidP="005A0912">
      <w:pPr>
        <w:ind w:left="567"/>
      </w:pPr>
      <w:r w:rsidRPr="009764EE">
        <w:t xml:space="preserve">Source: </w:t>
      </w:r>
      <w:r w:rsidR="000F0E17" w:rsidRPr="000F0E17">
        <w:t>The Commonwealth of Australia</w:t>
      </w:r>
    </w:p>
    <w:p w14:paraId="5F68D039" w14:textId="77777777" w:rsidR="000E0B74" w:rsidRPr="005A0912" w:rsidRDefault="000E0B74" w:rsidP="005A0912">
      <w:pPr>
        <w:rPr>
          <w:rStyle w:val="Strong"/>
        </w:rPr>
      </w:pPr>
      <w:r w:rsidRPr="005A0912">
        <w:rPr>
          <w:rStyle w:val="Strong"/>
        </w:rPr>
        <w:t>Derivative material</w:t>
      </w:r>
    </w:p>
    <w:p w14:paraId="5308FD9D" w14:textId="77777777" w:rsidR="000E0B74" w:rsidRPr="009764EE" w:rsidRDefault="000E0B74" w:rsidP="005A0912">
      <w:r w:rsidRPr="009764EE">
        <w:t xml:space="preserve">If you have modified or transformed Treasury material, or derived new material from those of the Treasury in any way, then Treasury prefers the following attribution: </w:t>
      </w:r>
    </w:p>
    <w:p w14:paraId="07A56E6F" w14:textId="77777777" w:rsidR="00796A46" w:rsidRDefault="00796A46" w:rsidP="005A0912">
      <w:pPr>
        <w:ind w:left="567"/>
      </w:pPr>
      <w:r w:rsidRPr="00796A46">
        <w:t>Based on Commonwealth of Australia data</w:t>
      </w:r>
    </w:p>
    <w:p w14:paraId="7423F790" w14:textId="044935E6" w:rsidR="000E0B74" w:rsidRPr="005A0912" w:rsidRDefault="000E0B74" w:rsidP="005A0912">
      <w:pPr>
        <w:rPr>
          <w:rStyle w:val="Strong"/>
        </w:rPr>
      </w:pPr>
      <w:r w:rsidRPr="005A0912">
        <w:rPr>
          <w:rStyle w:val="Strong"/>
        </w:rPr>
        <w:t>Use of the Coat of Arms</w:t>
      </w:r>
    </w:p>
    <w:p w14:paraId="22DD4ADF" w14:textId="02EB53A1" w:rsidR="005C503A" w:rsidRPr="009764EE" w:rsidRDefault="005C503A" w:rsidP="005A0912">
      <w:r w:rsidRPr="009764EE">
        <w:t xml:space="preserve">The terms under which the Coat of Arms can be used are set out on the Department of the Prime Minister and Cabinet website (see </w:t>
      </w:r>
      <w:hyperlink r:id="rId17" w:history="1">
        <w:r w:rsidR="00314667" w:rsidRPr="00963CC4">
          <w:rPr>
            <w:rStyle w:val="Hyperlink"/>
          </w:rPr>
          <w:t>http://www.pmc.gov.au/government/commonwealth-coat-arms</w:t>
        </w:r>
      </w:hyperlink>
      <w:r w:rsidRPr="009764EE">
        <w:t>).</w:t>
      </w:r>
    </w:p>
    <w:p w14:paraId="1E8E14B8" w14:textId="77777777" w:rsidR="000E0B74" w:rsidRPr="005A0912" w:rsidRDefault="000E0B74" w:rsidP="005A0912">
      <w:pPr>
        <w:rPr>
          <w:rStyle w:val="Strong"/>
        </w:rPr>
      </w:pPr>
      <w:r w:rsidRPr="005A0912">
        <w:rPr>
          <w:rStyle w:val="Strong"/>
        </w:rPr>
        <w:t>Other uses</w:t>
      </w:r>
    </w:p>
    <w:p w14:paraId="4BBDAA2A" w14:textId="0485F133" w:rsidR="000E0B74" w:rsidRPr="009764EE" w:rsidRDefault="000E0B74" w:rsidP="005A0912">
      <w:r w:rsidRPr="009764EE">
        <w:t>Enquiries regarding this licence and any other use of this document are welcome at:</w:t>
      </w:r>
    </w:p>
    <w:p w14:paraId="2F6E1B98" w14:textId="287B71C7" w:rsidR="000E0B74" w:rsidRPr="005A0912" w:rsidRDefault="000E0B74" w:rsidP="005A0912">
      <w:pPr>
        <w:ind w:left="567"/>
      </w:pPr>
      <w:r w:rsidRPr="009764EE">
        <w:t>Manager</w:t>
      </w:r>
      <w:r w:rsidR="00A72960" w:rsidRPr="009764EE">
        <w:br/>
      </w:r>
      <w:r w:rsidRPr="009764EE">
        <w:t>Media Unit</w:t>
      </w:r>
      <w:r w:rsidRPr="009764EE">
        <w:br/>
        <w:t>The Treasury</w:t>
      </w:r>
      <w:r w:rsidRPr="009764EE">
        <w:br/>
        <w:t xml:space="preserve">Langton Crescent </w:t>
      </w:r>
      <w:r w:rsidRPr="009764EE">
        <w:br/>
        <w:t>Parkes</w:t>
      </w:r>
      <w:r w:rsidR="00314667">
        <w:t> </w:t>
      </w:r>
      <w:r w:rsidRPr="009764EE">
        <w:t>ACT</w:t>
      </w:r>
      <w:r w:rsidR="00314667">
        <w:t> </w:t>
      </w:r>
      <w:r w:rsidRPr="009764EE">
        <w:t>2600</w:t>
      </w:r>
      <w:r w:rsidRPr="009764EE">
        <w:br/>
        <w:t xml:space="preserve">Email: </w:t>
      </w:r>
      <w:hyperlink r:id="rId18" w:history="1">
        <w:r w:rsidR="00386297" w:rsidRPr="009764EE">
          <w:t>media@treasury.gov.au</w:t>
        </w:r>
      </w:hyperlink>
    </w:p>
    <w:p w14:paraId="193AB6A8" w14:textId="54DBDA03" w:rsidR="009674B2" w:rsidRPr="005A0912" w:rsidRDefault="009674B2" w:rsidP="00037C32">
      <w:pPr>
        <w:pStyle w:val="Quote"/>
      </w:pPr>
      <w:r w:rsidRPr="005A0912">
        <w:t xml:space="preserve">Treasury acknowledges the Traditional Custodians of country throughout Australia and their connections to land, sea and community. We pay our respects to their Elders past and present and extend that respect to all Aboriginal and </w:t>
      </w:r>
      <w:r w:rsidR="001524A0">
        <w:t>Torres Strait</w:t>
      </w:r>
      <w:r w:rsidRPr="005A0912">
        <w:t xml:space="preserve"> Islander peoples today.</w:t>
      </w:r>
    </w:p>
    <w:p w14:paraId="1CD87CCA" w14:textId="285FC7E0" w:rsidR="009674B2" w:rsidRPr="009764EE" w:rsidRDefault="009674B2" w:rsidP="00F12794">
      <w:pPr>
        <w:rPr>
          <w:rFonts w:ascii="Calibri" w:hAnsi="Calibri" w:cs="Calibri"/>
        </w:rPr>
        <w:sectPr w:rsidR="009674B2" w:rsidRPr="009764EE" w:rsidSect="00DA302B">
          <w:endnotePr>
            <w:numFmt w:val="decimal"/>
          </w:endnotePr>
          <w:pgSz w:w="11906" w:h="16838" w:code="9"/>
          <w:pgMar w:top="1843" w:right="1418" w:bottom="1418" w:left="1418" w:header="851" w:footer="851" w:gutter="0"/>
          <w:pgNumType w:fmt="lowerRoman" w:start="0"/>
          <w:cols w:space="708"/>
          <w:docGrid w:linePitch="360"/>
        </w:sectPr>
      </w:pPr>
    </w:p>
    <w:p w14:paraId="45858402" w14:textId="43AC8338" w:rsidR="00D766D8" w:rsidRPr="009764EE" w:rsidRDefault="000E0B74" w:rsidP="00037C32">
      <w:pPr>
        <w:pStyle w:val="Heading1"/>
      </w:pPr>
      <w:bookmarkStart w:id="9" w:name="_Toc147485076"/>
      <w:bookmarkStart w:id="10" w:name="_Toc147485204"/>
      <w:bookmarkStart w:id="11" w:name="_Toc147497659"/>
      <w:bookmarkStart w:id="12" w:name="_Toc111026801"/>
      <w:bookmarkStart w:id="13" w:name="_Toc136615535"/>
      <w:r w:rsidRPr="009764EE">
        <w:lastRenderedPageBreak/>
        <w:t>Contents</w:t>
      </w:r>
      <w:bookmarkEnd w:id="9"/>
      <w:bookmarkEnd w:id="10"/>
      <w:bookmarkEnd w:id="11"/>
    </w:p>
    <w:bookmarkEnd w:id="13" w:displacedByCustomXml="next"/>
    <w:bookmarkEnd w:id="12" w:displacedByCustomXml="next"/>
    <w:bookmarkStart w:id="14" w:name="_Toc452635030" w:displacedByCustomXml="next"/>
    <w:bookmarkStart w:id="15" w:name="_Toc432067103" w:displacedByCustomXml="next"/>
    <w:sdt>
      <w:sdtPr>
        <w:id w:val="1686252192"/>
        <w:docPartObj>
          <w:docPartGallery w:val="Table of Contents"/>
          <w:docPartUnique/>
        </w:docPartObj>
      </w:sdtPr>
      <w:sdtEndPr>
        <w:rPr>
          <w:b w:val="0"/>
          <w:bCs/>
        </w:rPr>
      </w:sdtEndPr>
      <w:sdtContent>
        <w:p w14:paraId="7B53746C" w14:textId="63695A84" w:rsidR="00C239AD" w:rsidRDefault="00C239AD">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147497660" w:history="1">
            <w:r w:rsidRPr="009D64C6">
              <w:rPr>
                <w:rStyle w:val="Hyperlink"/>
              </w:rPr>
              <w:t>Treasurer’s Foreword</w:t>
            </w:r>
            <w:r>
              <w:rPr>
                <w:webHidden/>
              </w:rPr>
              <w:tab/>
            </w:r>
            <w:r>
              <w:rPr>
                <w:webHidden/>
              </w:rPr>
              <w:fldChar w:fldCharType="begin"/>
            </w:r>
            <w:r>
              <w:rPr>
                <w:webHidden/>
              </w:rPr>
              <w:instrText xml:space="preserve"> PAGEREF _Toc147497660 \h </w:instrText>
            </w:r>
            <w:r>
              <w:rPr>
                <w:webHidden/>
              </w:rPr>
            </w:r>
            <w:r>
              <w:rPr>
                <w:webHidden/>
              </w:rPr>
              <w:fldChar w:fldCharType="separate"/>
            </w:r>
            <w:r w:rsidR="00B91AF7">
              <w:rPr>
                <w:webHidden/>
              </w:rPr>
              <w:t>1</w:t>
            </w:r>
            <w:r>
              <w:rPr>
                <w:webHidden/>
              </w:rPr>
              <w:fldChar w:fldCharType="end"/>
            </w:r>
          </w:hyperlink>
        </w:p>
        <w:p w14:paraId="4BA653E3" w14:textId="118F65AA" w:rsidR="00C239AD" w:rsidRDefault="00D47794">
          <w:pPr>
            <w:pStyle w:val="TOC1"/>
            <w:rPr>
              <w:rFonts w:asciiTheme="minorHAnsi" w:eastAsiaTheme="minorEastAsia" w:hAnsiTheme="minorHAnsi" w:cstheme="minorBidi"/>
              <w:b w:val="0"/>
              <w:color w:val="auto"/>
            </w:rPr>
          </w:pPr>
          <w:hyperlink w:anchor="_Toc147497661" w:history="1">
            <w:r w:rsidR="00C239AD" w:rsidRPr="009D64C6">
              <w:rPr>
                <w:rStyle w:val="Hyperlink"/>
              </w:rPr>
              <w:t>Executive Summary</w:t>
            </w:r>
            <w:r w:rsidR="00C239AD">
              <w:rPr>
                <w:webHidden/>
              </w:rPr>
              <w:tab/>
            </w:r>
            <w:r w:rsidR="00C239AD">
              <w:rPr>
                <w:webHidden/>
              </w:rPr>
              <w:fldChar w:fldCharType="begin"/>
            </w:r>
            <w:r w:rsidR="00C239AD">
              <w:rPr>
                <w:webHidden/>
              </w:rPr>
              <w:instrText xml:space="preserve"> PAGEREF _Toc147497661 \h </w:instrText>
            </w:r>
            <w:r w:rsidR="00C239AD">
              <w:rPr>
                <w:webHidden/>
              </w:rPr>
            </w:r>
            <w:r w:rsidR="00C239AD">
              <w:rPr>
                <w:webHidden/>
              </w:rPr>
              <w:fldChar w:fldCharType="separate"/>
            </w:r>
            <w:r w:rsidR="00B91AF7">
              <w:rPr>
                <w:webHidden/>
              </w:rPr>
              <w:t>2</w:t>
            </w:r>
            <w:r w:rsidR="00C239AD">
              <w:rPr>
                <w:webHidden/>
              </w:rPr>
              <w:fldChar w:fldCharType="end"/>
            </w:r>
          </w:hyperlink>
        </w:p>
        <w:p w14:paraId="46ED00A9" w14:textId="44F47EFE" w:rsidR="00C239AD" w:rsidRDefault="00D47794">
          <w:pPr>
            <w:pStyle w:val="TOC1"/>
            <w:rPr>
              <w:rFonts w:asciiTheme="minorHAnsi" w:eastAsiaTheme="minorEastAsia" w:hAnsiTheme="minorHAnsi" w:cstheme="minorBidi"/>
              <w:b w:val="0"/>
              <w:color w:val="auto"/>
            </w:rPr>
          </w:pPr>
          <w:hyperlink w:anchor="_Toc147497662" w:history="1">
            <w:r w:rsidR="00C239AD" w:rsidRPr="009D64C6">
              <w:rPr>
                <w:rStyle w:val="Hyperlink"/>
              </w:rPr>
              <w:t>Measuring What Matters</w:t>
            </w:r>
            <w:r w:rsidR="00C239AD">
              <w:rPr>
                <w:webHidden/>
              </w:rPr>
              <w:tab/>
            </w:r>
            <w:r w:rsidR="00C239AD">
              <w:rPr>
                <w:webHidden/>
              </w:rPr>
              <w:fldChar w:fldCharType="begin"/>
            </w:r>
            <w:r w:rsidR="00C239AD">
              <w:rPr>
                <w:webHidden/>
              </w:rPr>
              <w:instrText xml:space="preserve"> PAGEREF _Toc147497662 \h </w:instrText>
            </w:r>
            <w:r w:rsidR="00C239AD">
              <w:rPr>
                <w:webHidden/>
              </w:rPr>
            </w:r>
            <w:r w:rsidR="00C239AD">
              <w:rPr>
                <w:webHidden/>
              </w:rPr>
              <w:fldChar w:fldCharType="separate"/>
            </w:r>
            <w:r w:rsidR="00B91AF7">
              <w:rPr>
                <w:webHidden/>
              </w:rPr>
              <w:t>4</w:t>
            </w:r>
            <w:r w:rsidR="00C239AD">
              <w:rPr>
                <w:webHidden/>
              </w:rPr>
              <w:fldChar w:fldCharType="end"/>
            </w:r>
          </w:hyperlink>
        </w:p>
        <w:p w14:paraId="0D3F1B08" w14:textId="50A06A5C" w:rsidR="00C239AD" w:rsidRDefault="00D47794">
          <w:pPr>
            <w:pStyle w:val="TOC1"/>
            <w:rPr>
              <w:rFonts w:asciiTheme="minorHAnsi" w:eastAsiaTheme="minorEastAsia" w:hAnsiTheme="minorHAnsi" w:cstheme="minorBidi"/>
              <w:b w:val="0"/>
              <w:color w:val="auto"/>
            </w:rPr>
          </w:pPr>
          <w:hyperlink w:anchor="_Toc147497663" w:history="1">
            <w:r w:rsidR="00C239AD" w:rsidRPr="009D64C6">
              <w:rPr>
                <w:rStyle w:val="Hyperlink"/>
              </w:rPr>
              <w:t>Understanding What Matters to Australians</w:t>
            </w:r>
            <w:r w:rsidR="00C239AD">
              <w:rPr>
                <w:webHidden/>
              </w:rPr>
              <w:tab/>
            </w:r>
            <w:r w:rsidR="00C239AD">
              <w:rPr>
                <w:webHidden/>
              </w:rPr>
              <w:fldChar w:fldCharType="begin"/>
            </w:r>
            <w:r w:rsidR="00C239AD">
              <w:rPr>
                <w:webHidden/>
              </w:rPr>
              <w:instrText xml:space="preserve"> PAGEREF _Toc147497663 \h </w:instrText>
            </w:r>
            <w:r w:rsidR="00C239AD">
              <w:rPr>
                <w:webHidden/>
              </w:rPr>
            </w:r>
            <w:r w:rsidR="00C239AD">
              <w:rPr>
                <w:webHidden/>
              </w:rPr>
              <w:fldChar w:fldCharType="separate"/>
            </w:r>
            <w:r w:rsidR="00B91AF7">
              <w:rPr>
                <w:webHidden/>
              </w:rPr>
              <w:t>5</w:t>
            </w:r>
            <w:r w:rsidR="00C239AD">
              <w:rPr>
                <w:webHidden/>
              </w:rPr>
              <w:fldChar w:fldCharType="end"/>
            </w:r>
          </w:hyperlink>
        </w:p>
        <w:p w14:paraId="48FCA7E5" w14:textId="27E88029" w:rsidR="00C239AD" w:rsidRDefault="00D47794">
          <w:pPr>
            <w:pStyle w:val="TOC1"/>
            <w:rPr>
              <w:rFonts w:asciiTheme="minorHAnsi" w:eastAsiaTheme="minorEastAsia" w:hAnsiTheme="minorHAnsi" w:cstheme="minorBidi"/>
              <w:b w:val="0"/>
              <w:color w:val="auto"/>
            </w:rPr>
          </w:pPr>
          <w:hyperlink w:anchor="_Toc147497664" w:history="1">
            <w:r w:rsidR="00C239AD" w:rsidRPr="009D64C6">
              <w:rPr>
                <w:rStyle w:val="Hyperlink"/>
              </w:rPr>
              <w:t>The Framework</w:t>
            </w:r>
            <w:r w:rsidR="00C239AD">
              <w:rPr>
                <w:webHidden/>
              </w:rPr>
              <w:tab/>
            </w:r>
            <w:r w:rsidR="00C239AD">
              <w:rPr>
                <w:webHidden/>
              </w:rPr>
              <w:fldChar w:fldCharType="begin"/>
            </w:r>
            <w:r w:rsidR="00C239AD">
              <w:rPr>
                <w:webHidden/>
              </w:rPr>
              <w:instrText xml:space="preserve"> PAGEREF _Toc147497664 \h </w:instrText>
            </w:r>
            <w:r w:rsidR="00C239AD">
              <w:rPr>
                <w:webHidden/>
              </w:rPr>
            </w:r>
            <w:r w:rsidR="00C239AD">
              <w:rPr>
                <w:webHidden/>
              </w:rPr>
              <w:fldChar w:fldCharType="separate"/>
            </w:r>
            <w:r w:rsidR="00B91AF7">
              <w:rPr>
                <w:webHidden/>
              </w:rPr>
              <w:t>7</w:t>
            </w:r>
            <w:r w:rsidR="00C239AD">
              <w:rPr>
                <w:webHidden/>
              </w:rPr>
              <w:fldChar w:fldCharType="end"/>
            </w:r>
          </w:hyperlink>
        </w:p>
        <w:p w14:paraId="1FC1D98E" w14:textId="7A6F5462" w:rsidR="00C239AD" w:rsidRDefault="00D47794">
          <w:pPr>
            <w:pStyle w:val="TOC1"/>
            <w:rPr>
              <w:rFonts w:asciiTheme="minorHAnsi" w:eastAsiaTheme="minorEastAsia" w:hAnsiTheme="minorHAnsi" w:cstheme="minorBidi"/>
              <w:b w:val="0"/>
              <w:color w:val="auto"/>
            </w:rPr>
          </w:pPr>
          <w:hyperlink w:anchor="_Toc147497665" w:history="1">
            <w:r w:rsidR="00C239AD" w:rsidRPr="009D64C6">
              <w:rPr>
                <w:rStyle w:val="Hyperlink"/>
                <w:rFonts w:cs="Calibri"/>
              </w:rPr>
              <w:t>Overall progress on Australian wellbeing</w:t>
            </w:r>
            <w:r w:rsidR="00C239AD">
              <w:rPr>
                <w:webHidden/>
              </w:rPr>
              <w:tab/>
            </w:r>
            <w:r w:rsidR="00C239AD">
              <w:rPr>
                <w:webHidden/>
              </w:rPr>
              <w:fldChar w:fldCharType="begin"/>
            </w:r>
            <w:r w:rsidR="00C239AD">
              <w:rPr>
                <w:webHidden/>
              </w:rPr>
              <w:instrText xml:space="preserve"> PAGEREF _Toc147497665 \h </w:instrText>
            </w:r>
            <w:r w:rsidR="00C239AD">
              <w:rPr>
                <w:webHidden/>
              </w:rPr>
            </w:r>
            <w:r w:rsidR="00C239AD">
              <w:rPr>
                <w:webHidden/>
              </w:rPr>
              <w:fldChar w:fldCharType="separate"/>
            </w:r>
            <w:r w:rsidR="00B91AF7">
              <w:rPr>
                <w:webHidden/>
              </w:rPr>
              <w:t>12</w:t>
            </w:r>
            <w:r w:rsidR="00C239AD">
              <w:rPr>
                <w:webHidden/>
              </w:rPr>
              <w:fldChar w:fldCharType="end"/>
            </w:r>
          </w:hyperlink>
        </w:p>
        <w:p w14:paraId="6AC3DC7F" w14:textId="4901D953" w:rsidR="00C239AD" w:rsidRDefault="00D47794">
          <w:pPr>
            <w:pStyle w:val="TOC1"/>
            <w:rPr>
              <w:rFonts w:asciiTheme="minorHAnsi" w:eastAsiaTheme="minorEastAsia" w:hAnsiTheme="minorHAnsi" w:cstheme="minorBidi"/>
              <w:b w:val="0"/>
              <w:color w:val="auto"/>
            </w:rPr>
          </w:pPr>
          <w:hyperlink w:anchor="_Toc147497666" w:history="1">
            <w:r w:rsidR="00C239AD" w:rsidRPr="009D64C6">
              <w:rPr>
                <w:rStyle w:val="Hyperlink"/>
              </w:rPr>
              <w:t>Healthy</w:t>
            </w:r>
            <w:r w:rsidR="00C239AD">
              <w:rPr>
                <w:webHidden/>
              </w:rPr>
              <w:tab/>
            </w:r>
            <w:r w:rsidR="00C239AD">
              <w:rPr>
                <w:webHidden/>
              </w:rPr>
              <w:fldChar w:fldCharType="begin"/>
            </w:r>
            <w:r w:rsidR="00C239AD">
              <w:rPr>
                <w:webHidden/>
              </w:rPr>
              <w:instrText xml:space="preserve"> PAGEREF _Toc147497666 \h </w:instrText>
            </w:r>
            <w:r w:rsidR="00C239AD">
              <w:rPr>
                <w:webHidden/>
              </w:rPr>
            </w:r>
            <w:r w:rsidR="00C239AD">
              <w:rPr>
                <w:webHidden/>
              </w:rPr>
              <w:fldChar w:fldCharType="separate"/>
            </w:r>
            <w:r w:rsidR="00B91AF7">
              <w:rPr>
                <w:webHidden/>
              </w:rPr>
              <w:t>13</w:t>
            </w:r>
            <w:r w:rsidR="00C239AD">
              <w:rPr>
                <w:webHidden/>
              </w:rPr>
              <w:fldChar w:fldCharType="end"/>
            </w:r>
          </w:hyperlink>
        </w:p>
        <w:p w14:paraId="76EEF203" w14:textId="4DAD7327" w:rsidR="00C239AD" w:rsidRDefault="00D47794">
          <w:pPr>
            <w:pStyle w:val="TOC2"/>
            <w:rPr>
              <w:rFonts w:asciiTheme="minorHAnsi" w:eastAsiaTheme="minorEastAsia" w:hAnsiTheme="minorHAnsi" w:cstheme="minorBidi"/>
              <w:color w:val="auto"/>
              <w:szCs w:val="22"/>
            </w:rPr>
          </w:pPr>
          <w:hyperlink w:anchor="_Toc147497667" w:history="1">
            <w:r w:rsidR="00C239AD" w:rsidRPr="009D64C6">
              <w:rPr>
                <w:rStyle w:val="Hyperlink"/>
              </w:rPr>
              <w:t>Healthy throughout life</w:t>
            </w:r>
            <w:r w:rsidR="00C239AD">
              <w:rPr>
                <w:webHidden/>
              </w:rPr>
              <w:tab/>
            </w:r>
            <w:r w:rsidR="00C239AD">
              <w:rPr>
                <w:webHidden/>
              </w:rPr>
              <w:fldChar w:fldCharType="begin"/>
            </w:r>
            <w:r w:rsidR="00C239AD">
              <w:rPr>
                <w:webHidden/>
              </w:rPr>
              <w:instrText xml:space="preserve"> PAGEREF _Toc147497667 \h </w:instrText>
            </w:r>
            <w:r w:rsidR="00C239AD">
              <w:rPr>
                <w:webHidden/>
              </w:rPr>
            </w:r>
            <w:r w:rsidR="00C239AD">
              <w:rPr>
                <w:webHidden/>
              </w:rPr>
              <w:fldChar w:fldCharType="separate"/>
            </w:r>
            <w:r w:rsidR="00B91AF7">
              <w:rPr>
                <w:webHidden/>
              </w:rPr>
              <w:t>13</w:t>
            </w:r>
            <w:r w:rsidR="00C239AD">
              <w:rPr>
                <w:webHidden/>
              </w:rPr>
              <w:fldChar w:fldCharType="end"/>
            </w:r>
          </w:hyperlink>
        </w:p>
        <w:p w14:paraId="47C76349" w14:textId="4FBC5866" w:rsidR="00C239AD" w:rsidRDefault="00D47794">
          <w:pPr>
            <w:pStyle w:val="TOC2"/>
            <w:rPr>
              <w:rFonts w:asciiTheme="minorHAnsi" w:eastAsiaTheme="minorEastAsia" w:hAnsiTheme="minorHAnsi" w:cstheme="minorBidi"/>
              <w:color w:val="auto"/>
              <w:szCs w:val="22"/>
            </w:rPr>
          </w:pPr>
          <w:hyperlink w:anchor="_Toc147497668" w:history="1">
            <w:r w:rsidR="00C239AD" w:rsidRPr="009D64C6">
              <w:rPr>
                <w:rStyle w:val="Hyperlink"/>
              </w:rPr>
              <w:t>Equitable access to quality health and care services</w:t>
            </w:r>
            <w:r w:rsidR="00C239AD">
              <w:rPr>
                <w:webHidden/>
              </w:rPr>
              <w:tab/>
            </w:r>
            <w:r w:rsidR="00C239AD">
              <w:rPr>
                <w:webHidden/>
              </w:rPr>
              <w:fldChar w:fldCharType="begin"/>
            </w:r>
            <w:r w:rsidR="00C239AD">
              <w:rPr>
                <w:webHidden/>
              </w:rPr>
              <w:instrText xml:space="preserve"> PAGEREF _Toc147497668 \h </w:instrText>
            </w:r>
            <w:r w:rsidR="00C239AD">
              <w:rPr>
                <w:webHidden/>
              </w:rPr>
            </w:r>
            <w:r w:rsidR="00C239AD">
              <w:rPr>
                <w:webHidden/>
              </w:rPr>
              <w:fldChar w:fldCharType="separate"/>
            </w:r>
            <w:r w:rsidR="00B91AF7">
              <w:rPr>
                <w:webHidden/>
              </w:rPr>
              <w:t>17</w:t>
            </w:r>
            <w:r w:rsidR="00C239AD">
              <w:rPr>
                <w:webHidden/>
              </w:rPr>
              <w:fldChar w:fldCharType="end"/>
            </w:r>
          </w:hyperlink>
        </w:p>
        <w:p w14:paraId="4738CDA6" w14:textId="39C851F2" w:rsidR="00C239AD" w:rsidRDefault="00D47794">
          <w:pPr>
            <w:pStyle w:val="TOC1"/>
            <w:rPr>
              <w:rFonts w:asciiTheme="minorHAnsi" w:eastAsiaTheme="minorEastAsia" w:hAnsiTheme="minorHAnsi" w:cstheme="minorBidi"/>
              <w:b w:val="0"/>
              <w:color w:val="auto"/>
            </w:rPr>
          </w:pPr>
          <w:hyperlink w:anchor="_Toc147497669" w:history="1">
            <w:r w:rsidR="00C239AD" w:rsidRPr="009D64C6">
              <w:rPr>
                <w:rStyle w:val="Hyperlink"/>
              </w:rPr>
              <w:t>Secure</w:t>
            </w:r>
            <w:r w:rsidR="00C239AD">
              <w:rPr>
                <w:webHidden/>
              </w:rPr>
              <w:tab/>
            </w:r>
            <w:r w:rsidR="00C239AD">
              <w:rPr>
                <w:webHidden/>
              </w:rPr>
              <w:fldChar w:fldCharType="begin"/>
            </w:r>
            <w:r w:rsidR="00C239AD">
              <w:rPr>
                <w:webHidden/>
              </w:rPr>
              <w:instrText xml:space="preserve"> PAGEREF _Toc147497669 \h </w:instrText>
            </w:r>
            <w:r w:rsidR="00C239AD">
              <w:rPr>
                <w:webHidden/>
              </w:rPr>
            </w:r>
            <w:r w:rsidR="00C239AD">
              <w:rPr>
                <w:webHidden/>
              </w:rPr>
              <w:fldChar w:fldCharType="separate"/>
            </w:r>
            <w:r w:rsidR="00B91AF7">
              <w:rPr>
                <w:webHidden/>
              </w:rPr>
              <w:t>22</w:t>
            </w:r>
            <w:r w:rsidR="00C239AD">
              <w:rPr>
                <w:webHidden/>
              </w:rPr>
              <w:fldChar w:fldCharType="end"/>
            </w:r>
          </w:hyperlink>
        </w:p>
        <w:p w14:paraId="693622E2" w14:textId="64A2C3EE" w:rsidR="00C239AD" w:rsidRDefault="00D47794">
          <w:pPr>
            <w:pStyle w:val="TOC2"/>
            <w:rPr>
              <w:rFonts w:asciiTheme="minorHAnsi" w:eastAsiaTheme="minorEastAsia" w:hAnsiTheme="minorHAnsi" w:cstheme="minorBidi"/>
              <w:color w:val="auto"/>
              <w:szCs w:val="22"/>
            </w:rPr>
          </w:pPr>
          <w:hyperlink w:anchor="_Toc147497670" w:history="1">
            <w:r w:rsidR="00C239AD" w:rsidRPr="009D64C6">
              <w:rPr>
                <w:rStyle w:val="Hyperlink"/>
              </w:rPr>
              <w:t>Living peacefully and feeling safe</w:t>
            </w:r>
            <w:r w:rsidR="00C239AD">
              <w:rPr>
                <w:webHidden/>
              </w:rPr>
              <w:tab/>
            </w:r>
            <w:r w:rsidR="00C239AD">
              <w:rPr>
                <w:webHidden/>
              </w:rPr>
              <w:fldChar w:fldCharType="begin"/>
            </w:r>
            <w:r w:rsidR="00C239AD">
              <w:rPr>
                <w:webHidden/>
              </w:rPr>
              <w:instrText xml:space="preserve"> PAGEREF _Toc147497670 \h </w:instrText>
            </w:r>
            <w:r w:rsidR="00C239AD">
              <w:rPr>
                <w:webHidden/>
              </w:rPr>
            </w:r>
            <w:r w:rsidR="00C239AD">
              <w:rPr>
                <w:webHidden/>
              </w:rPr>
              <w:fldChar w:fldCharType="separate"/>
            </w:r>
            <w:r w:rsidR="00B91AF7">
              <w:rPr>
                <w:webHidden/>
              </w:rPr>
              <w:t>22</w:t>
            </w:r>
            <w:r w:rsidR="00C239AD">
              <w:rPr>
                <w:webHidden/>
              </w:rPr>
              <w:fldChar w:fldCharType="end"/>
            </w:r>
          </w:hyperlink>
        </w:p>
        <w:p w14:paraId="5CE5202D" w14:textId="73FE9B29" w:rsidR="00C239AD" w:rsidRDefault="00D47794">
          <w:pPr>
            <w:pStyle w:val="TOC2"/>
            <w:rPr>
              <w:rFonts w:asciiTheme="minorHAnsi" w:eastAsiaTheme="minorEastAsia" w:hAnsiTheme="minorHAnsi" w:cstheme="minorBidi"/>
              <w:color w:val="auto"/>
              <w:szCs w:val="22"/>
            </w:rPr>
          </w:pPr>
          <w:hyperlink w:anchor="_Toc147497671" w:history="1">
            <w:r w:rsidR="00C239AD" w:rsidRPr="009D64C6">
              <w:rPr>
                <w:rStyle w:val="Hyperlink"/>
              </w:rPr>
              <w:t>Having financial security and access to housing</w:t>
            </w:r>
            <w:r w:rsidR="00C239AD">
              <w:rPr>
                <w:webHidden/>
              </w:rPr>
              <w:tab/>
            </w:r>
            <w:r w:rsidR="00C239AD">
              <w:rPr>
                <w:webHidden/>
              </w:rPr>
              <w:fldChar w:fldCharType="begin"/>
            </w:r>
            <w:r w:rsidR="00C239AD">
              <w:rPr>
                <w:webHidden/>
              </w:rPr>
              <w:instrText xml:space="preserve"> PAGEREF _Toc147497671 \h </w:instrText>
            </w:r>
            <w:r w:rsidR="00C239AD">
              <w:rPr>
                <w:webHidden/>
              </w:rPr>
            </w:r>
            <w:r w:rsidR="00C239AD">
              <w:rPr>
                <w:webHidden/>
              </w:rPr>
              <w:fldChar w:fldCharType="separate"/>
            </w:r>
            <w:r w:rsidR="00B91AF7">
              <w:rPr>
                <w:webHidden/>
              </w:rPr>
              <w:t>27</w:t>
            </w:r>
            <w:r w:rsidR="00C239AD">
              <w:rPr>
                <w:webHidden/>
              </w:rPr>
              <w:fldChar w:fldCharType="end"/>
            </w:r>
          </w:hyperlink>
        </w:p>
        <w:p w14:paraId="5D1043A6" w14:textId="7FBB54BC" w:rsidR="00C239AD" w:rsidRDefault="00D47794">
          <w:pPr>
            <w:pStyle w:val="TOC1"/>
            <w:rPr>
              <w:rFonts w:asciiTheme="minorHAnsi" w:eastAsiaTheme="minorEastAsia" w:hAnsiTheme="minorHAnsi" w:cstheme="minorBidi"/>
              <w:b w:val="0"/>
              <w:color w:val="auto"/>
            </w:rPr>
          </w:pPr>
          <w:hyperlink w:anchor="_Toc147497672" w:history="1">
            <w:r w:rsidR="00C239AD" w:rsidRPr="009D64C6">
              <w:rPr>
                <w:rStyle w:val="Hyperlink"/>
              </w:rPr>
              <w:t>Sustainable</w:t>
            </w:r>
            <w:r w:rsidR="00C239AD">
              <w:rPr>
                <w:webHidden/>
              </w:rPr>
              <w:tab/>
            </w:r>
            <w:r w:rsidR="00C239AD">
              <w:rPr>
                <w:webHidden/>
              </w:rPr>
              <w:fldChar w:fldCharType="begin"/>
            </w:r>
            <w:r w:rsidR="00C239AD">
              <w:rPr>
                <w:webHidden/>
              </w:rPr>
              <w:instrText xml:space="preserve"> PAGEREF _Toc147497672 \h </w:instrText>
            </w:r>
            <w:r w:rsidR="00C239AD">
              <w:rPr>
                <w:webHidden/>
              </w:rPr>
            </w:r>
            <w:r w:rsidR="00C239AD">
              <w:rPr>
                <w:webHidden/>
              </w:rPr>
              <w:fldChar w:fldCharType="separate"/>
            </w:r>
            <w:r w:rsidR="00B91AF7">
              <w:rPr>
                <w:webHidden/>
              </w:rPr>
              <w:t>31</w:t>
            </w:r>
            <w:r w:rsidR="00C239AD">
              <w:rPr>
                <w:webHidden/>
              </w:rPr>
              <w:fldChar w:fldCharType="end"/>
            </w:r>
          </w:hyperlink>
        </w:p>
        <w:p w14:paraId="54002752" w14:textId="2CF678FB" w:rsidR="00C239AD" w:rsidRDefault="00D47794">
          <w:pPr>
            <w:pStyle w:val="TOC2"/>
            <w:rPr>
              <w:rFonts w:asciiTheme="minorHAnsi" w:eastAsiaTheme="minorEastAsia" w:hAnsiTheme="minorHAnsi" w:cstheme="minorBidi"/>
              <w:color w:val="auto"/>
              <w:szCs w:val="22"/>
            </w:rPr>
          </w:pPr>
          <w:hyperlink w:anchor="_Toc147497673" w:history="1">
            <w:r w:rsidR="00C239AD" w:rsidRPr="009D64C6">
              <w:rPr>
                <w:rStyle w:val="Hyperlink"/>
              </w:rPr>
              <w:t>Protect, repair and manage the environment</w:t>
            </w:r>
            <w:r w:rsidR="00C239AD">
              <w:rPr>
                <w:webHidden/>
              </w:rPr>
              <w:tab/>
            </w:r>
            <w:r w:rsidR="00C239AD">
              <w:rPr>
                <w:webHidden/>
              </w:rPr>
              <w:fldChar w:fldCharType="begin"/>
            </w:r>
            <w:r w:rsidR="00C239AD">
              <w:rPr>
                <w:webHidden/>
              </w:rPr>
              <w:instrText xml:space="preserve"> PAGEREF _Toc147497673 \h </w:instrText>
            </w:r>
            <w:r w:rsidR="00C239AD">
              <w:rPr>
                <w:webHidden/>
              </w:rPr>
            </w:r>
            <w:r w:rsidR="00C239AD">
              <w:rPr>
                <w:webHidden/>
              </w:rPr>
              <w:fldChar w:fldCharType="separate"/>
            </w:r>
            <w:r w:rsidR="00B91AF7">
              <w:rPr>
                <w:webHidden/>
              </w:rPr>
              <w:t>31</w:t>
            </w:r>
            <w:r w:rsidR="00C239AD">
              <w:rPr>
                <w:webHidden/>
              </w:rPr>
              <w:fldChar w:fldCharType="end"/>
            </w:r>
          </w:hyperlink>
        </w:p>
        <w:p w14:paraId="24F163D6" w14:textId="5A0A4C86" w:rsidR="00C239AD" w:rsidRDefault="00D47794">
          <w:pPr>
            <w:pStyle w:val="TOC2"/>
            <w:rPr>
              <w:rFonts w:asciiTheme="minorHAnsi" w:eastAsiaTheme="minorEastAsia" w:hAnsiTheme="minorHAnsi" w:cstheme="minorBidi"/>
              <w:color w:val="auto"/>
              <w:szCs w:val="22"/>
            </w:rPr>
          </w:pPr>
          <w:hyperlink w:anchor="_Toc147497674" w:history="1">
            <w:r w:rsidR="00C239AD" w:rsidRPr="009D64C6">
              <w:rPr>
                <w:rStyle w:val="Hyperlink"/>
              </w:rPr>
              <w:t>Resilient and sustainable nation</w:t>
            </w:r>
            <w:r w:rsidR="00C239AD">
              <w:rPr>
                <w:webHidden/>
              </w:rPr>
              <w:tab/>
            </w:r>
            <w:r w:rsidR="00C239AD">
              <w:rPr>
                <w:webHidden/>
              </w:rPr>
              <w:fldChar w:fldCharType="begin"/>
            </w:r>
            <w:r w:rsidR="00C239AD">
              <w:rPr>
                <w:webHidden/>
              </w:rPr>
              <w:instrText xml:space="preserve"> PAGEREF _Toc147497674 \h </w:instrText>
            </w:r>
            <w:r w:rsidR="00C239AD">
              <w:rPr>
                <w:webHidden/>
              </w:rPr>
            </w:r>
            <w:r w:rsidR="00C239AD">
              <w:rPr>
                <w:webHidden/>
              </w:rPr>
              <w:fldChar w:fldCharType="separate"/>
            </w:r>
            <w:r w:rsidR="00B91AF7">
              <w:rPr>
                <w:webHidden/>
              </w:rPr>
              <w:t>37</w:t>
            </w:r>
            <w:r w:rsidR="00C239AD">
              <w:rPr>
                <w:webHidden/>
              </w:rPr>
              <w:fldChar w:fldCharType="end"/>
            </w:r>
          </w:hyperlink>
        </w:p>
        <w:p w14:paraId="5B8FC38F" w14:textId="6E7D65F7" w:rsidR="00C239AD" w:rsidRDefault="00D47794">
          <w:pPr>
            <w:pStyle w:val="TOC1"/>
            <w:rPr>
              <w:rFonts w:asciiTheme="minorHAnsi" w:eastAsiaTheme="minorEastAsia" w:hAnsiTheme="minorHAnsi" w:cstheme="minorBidi"/>
              <w:b w:val="0"/>
              <w:color w:val="auto"/>
            </w:rPr>
          </w:pPr>
          <w:hyperlink w:anchor="_Toc147497675" w:history="1">
            <w:r w:rsidR="00C239AD" w:rsidRPr="009D64C6">
              <w:rPr>
                <w:rStyle w:val="Hyperlink"/>
              </w:rPr>
              <w:t>Cohesive</w:t>
            </w:r>
            <w:r w:rsidR="00C239AD">
              <w:rPr>
                <w:webHidden/>
              </w:rPr>
              <w:tab/>
            </w:r>
            <w:r w:rsidR="00C239AD">
              <w:rPr>
                <w:webHidden/>
              </w:rPr>
              <w:fldChar w:fldCharType="begin"/>
            </w:r>
            <w:r w:rsidR="00C239AD">
              <w:rPr>
                <w:webHidden/>
              </w:rPr>
              <w:instrText xml:space="preserve"> PAGEREF _Toc147497675 \h </w:instrText>
            </w:r>
            <w:r w:rsidR="00C239AD">
              <w:rPr>
                <w:webHidden/>
              </w:rPr>
            </w:r>
            <w:r w:rsidR="00C239AD">
              <w:rPr>
                <w:webHidden/>
              </w:rPr>
              <w:fldChar w:fldCharType="separate"/>
            </w:r>
            <w:r w:rsidR="00B91AF7">
              <w:rPr>
                <w:webHidden/>
              </w:rPr>
              <w:t>40</w:t>
            </w:r>
            <w:r w:rsidR="00C239AD">
              <w:rPr>
                <w:webHidden/>
              </w:rPr>
              <w:fldChar w:fldCharType="end"/>
            </w:r>
          </w:hyperlink>
        </w:p>
        <w:p w14:paraId="354E3558" w14:textId="4FAC2729" w:rsidR="00C239AD" w:rsidRDefault="00D47794">
          <w:pPr>
            <w:pStyle w:val="TOC2"/>
            <w:rPr>
              <w:rFonts w:asciiTheme="minorHAnsi" w:eastAsiaTheme="minorEastAsia" w:hAnsiTheme="minorHAnsi" w:cstheme="minorBidi"/>
              <w:color w:val="auto"/>
              <w:szCs w:val="22"/>
            </w:rPr>
          </w:pPr>
          <w:hyperlink w:anchor="_Toc147497676" w:history="1">
            <w:r w:rsidR="00C239AD" w:rsidRPr="009D64C6">
              <w:rPr>
                <w:rStyle w:val="Hyperlink"/>
              </w:rPr>
              <w:t>Having time for family and community</w:t>
            </w:r>
            <w:r w:rsidR="00C239AD">
              <w:rPr>
                <w:webHidden/>
              </w:rPr>
              <w:tab/>
            </w:r>
            <w:r w:rsidR="00C239AD">
              <w:rPr>
                <w:webHidden/>
              </w:rPr>
              <w:fldChar w:fldCharType="begin"/>
            </w:r>
            <w:r w:rsidR="00C239AD">
              <w:rPr>
                <w:webHidden/>
              </w:rPr>
              <w:instrText xml:space="preserve"> PAGEREF _Toc147497676 \h </w:instrText>
            </w:r>
            <w:r w:rsidR="00C239AD">
              <w:rPr>
                <w:webHidden/>
              </w:rPr>
            </w:r>
            <w:r w:rsidR="00C239AD">
              <w:rPr>
                <w:webHidden/>
              </w:rPr>
              <w:fldChar w:fldCharType="separate"/>
            </w:r>
            <w:r w:rsidR="00B91AF7">
              <w:rPr>
                <w:webHidden/>
              </w:rPr>
              <w:t>40</w:t>
            </w:r>
            <w:r w:rsidR="00C239AD">
              <w:rPr>
                <w:webHidden/>
              </w:rPr>
              <w:fldChar w:fldCharType="end"/>
            </w:r>
          </w:hyperlink>
        </w:p>
        <w:p w14:paraId="14613621" w14:textId="01A12916" w:rsidR="00C239AD" w:rsidRDefault="00D47794">
          <w:pPr>
            <w:pStyle w:val="TOC2"/>
            <w:rPr>
              <w:rFonts w:asciiTheme="minorHAnsi" w:eastAsiaTheme="minorEastAsia" w:hAnsiTheme="minorHAnsi" w:cstheme="minorBidi"/>
              <w:color w:val="auto"/>
              <w:szCs w:val="22"/>
            </w:rPr>
          </w:pPr>
          <w:hyperlink w:anchor="_Toc147497677" w:history="1">
            <w:r w:rsidR="00C239AD" w:rsidRPr="009D64C6">
              <w:rPr>
                <w:rStyle w:val="Hyperlink"/>
              </w:rPr>
              <w:t>Valuing diversity, belonging and culture</w:t>
            </w:r>
            <w:r w:rsidR="00C239AD">
              <w:rPr>
                <w:webHidden/>
              </w:rPr>
              <w:tab/>
            </w:r>
            <w:r w:rsidR="00C239AD">
              <w:rPr>
                <w:webHidden/>
              </w:rPr>
              <w:fldChar w:fldCharType="begin"/>
            </w:r>
            <w:r w:rsidR="00C239AD">
              <w:rPr>
                <w:webHidden/>
              </w:rPr>
              <w:instrText xml:space="preserve"> PAGEREF _Toc147497677 \h </w:instrText>
            </w:r>
            <w:r w:rsidR="00C239AD">
              <w:rPr>
                <w:webHidden/>
              </w:rPr>
            </w:r>
            <w:r w:rsidR="00C239AD">
              <w:rPr>
                <w:webHidden/>
              </w:rPr>
              <w:fldChar w:fldCharType="separate"/>
            </w:r>
            <w:r w:rsidR="00B91AF7">
              <w:rPr>
                <w:webHidden/>
              </w:rPr>
              <w:t>44</w:t>
            </w:r>
            <w:r w:rsidR="00C239AD">
              <w:rPr>
                <w:webHidden/>
              </w:rPr>
              <w:fldChar w:fldCharType="end"/>
            </w:r>
          </w:hyperlink>
        </w:p>
        <w:p w14:paraId="70665C90" w14:textId="228921FC" w:rsidR="00C239AD" w:rsidRDefault="00D47794">
          <w:pPr>
            <w:pStyle w:val="TOC2"/>
            <w:rPr>
              <w:rFonts w:asciiTheme="minorHAnsi" w:eastAsiaTheme="minorEastAsia" w:hAnsiTheme="minorHAnsi" w:cstheme="minorBidi"/>
              <w:color w:val="auto"/>
              <w:szCs w:val="22"/>
            </w:rPr>
          </w:pPr>
          <w:hyperlink w:anchor="_Toc147497678" w:history="1">
            <w:r w:rsidR="00C239AD" w:rsidRPr="009D64C6">
              <w:rPr>
                <w:rStyle w:val="Hyperlink"/>
              </w:rPr>
              <w:t>Trust in institutions</w:t>
            </w:r>
            <w:r w:rsidR="00C239AD">
              <w:rPr>
                <w:webHidden/>
              </w:rPr>
              <w:tab/>
            </w:r>
            <w:r w:rsidR="00C239AD">
              <w:rPr>
                <w:webHidden/>
              </w:rPr>
              <w:fldChar w:fldCharType="begin"/>
            </w:r>
            <w:r w:rsidR="00C239AD">
              <w:rPr>
                <w:webHidden/>
              </w:rPr>
              <w:instrText xml:space="preserve"> PAGEREF _Toc147497678 \h </w:instrText>
            </w:r>
            <w:r w:rsidR="00C239AD">
              <w:rPr>
                <w:webHidden/>
              </w:rPr>
            </w:r>
            <w:r w:rsidR="00C239AD">
              <w:rPr>
                <w:webHidden/>
              </w:rPr>
              <w:fldChar w:fldCharType="separate"/>
            </w:r>
            <w:r w:rsidR="00B91AF7">
              <w:rPr>
                <w:webHidden/>
              </w:rPr>
              <w:t>48</w:t>
            </w:r>
            <w:r w:rsidR="00C239AD">
              <w:rPr>
                <w:webHidden/>
              </w:rPr>
              <w:fldChar w:fldCharType="end"/>
            </w:r>
          </w:hyperlink>
        </w:p>
        <w:p w14:paraId="21F9F295" w14:textId="48D6DFF5" w:rsidR="00C239AD" w:rsidRDefault="00D47794">
          <w:pPr>
            <w:pStyle w:val="TOC1"/>
            <w:rPr>
              <w:rFonts w:asciiTheme="minorHAnsi" w:eastAsiaTheme="minorEastAsia" w:hAnsiTheme="minorHAnsi" w:cstheme="minorBidi"/>
              <w:b w:val="0"/>
              <w:color w:val="auto"/>
            </w:rPr>
          </w:pPr>
          <w:hyperlink w:anchor="_Toc147497679" w:history="1">
            <w:r w:rsidR="00C239AD" w:rsidRPr="009D64C6">
              <w:rPr>
                <w:rStyle w:val="Hyperlink"/>
              </w:rPr>
              <w:t>Prosperous</w:t>
            </w:r>
            <w:r w:rsidR="00C239AD">
              <w:rPr>
                <w:webHidden/>
              </w:rPr>
              <w:tab/>
            </w:r>
            <w:r w:rsidR="00C239AD">
              <w:rPr>
                <w:webHidden/>
              </w:rPr>
              <w:fldChar w:fldCharType="begin"/>
            </w:r>
            <w:r w:rsidR="00C239AD">
              <w:rPr>
                <w:webHidden/>
              </w:rPr>
              <w:instrText xml:space="preserve"> PAGEREF _Toc147497679 \h </w:instrText>
            </w:r>
            <w:r w:rsidR="00C239AD">
              <w:rPr>
                <w:webHidden/>
              </w:rPr>
            </w:r>
            <w:r w:rsidR="00C239AD">
              <w:rPr>
                <w:webHidden/>
              </w:rPr>
              <w:fldChar w:fldCharType="separate"/>
            </w:r>
            <w:r w:rsidR="00B91AF7">
              <w:rPr>
                <w:webHidden/>
              </w:rPr>
              <w:t>51</w:t>
            </w:r>
            <w:r w:rsidR="00C239AD">
              <w:rPr>
                <w:webHidden/>
              </w:rPr>
              <w:fldChar w:fldCharType="end"/>
            </w:r>
          </w:hyperlink>
        </w:p>
        <w:p w14:paraId="0CDBF1C2" w14:textId="04D8A8D0" w:rsidR="00C239AD" w:rsidRDefault="00D47794">
          <w:pPr>
            <w:pStyle w:val="TOC2"/>
            <w:rPr>
              <w:rFonts w:asciiTheme="minorHAnsi" w:eastAsiaTheme="minorEastAsia" w:hAnsiTheme="minorHAnsi" w:cstheme="minorBidi"/>
              <w:color w:val="auto"/>
              <w:szCs w:val="22"/>
            </w:rPr>
          </w:pPr>
          <w:hyperlink w:anchor="_Toc147497680" w:history="1">
            <w:r w:rsidR="00C239AD" w:rsidRPr="009D64C6">
              <w:rPr>
                <w:rStyle w:val="Hyperlink"/>
              </w:rPr>
              <w:t>Dynamic economy that shares prosperity</w:t>
            </w:r>
            <w:r w:rsidR="00C239AD">
              <w:rPr>
                <w:webHidden/>
              </w:rPr>
              <w:tab/>
            </w:r>
            <w:r w:rsidR="00C239AD">
              <w:rPr>
                <w:webHidden/>
              </w:rPr>
              <w:fldChar w:fldCharType="begin"/>
            </w:r>
            <w:r w:rsidR="00C239AD">
              <w:rPr>
                <w:webHidden/>
              </w:rPr>
              <w:instrText xml:space="preserve"> PAGEREF _Toc147497680 \h </w:instrText>
            </w:r>
            <w:r w:rsidR="00C239AD">
              <w:rPr>
                <w:webHidden/>
              </w:rPr>
            </w:r>
            <w:r w:rsidR="00C239AD">
              <w:rPr>
                <w:webHidden/>
              </w:rPr>
              <w:fldChar w:fldCharType="separate"/>
            </w:r>
            <w:r w:rsidR="00B91AF7">
              <w:rPr>
                <w:webHidden/>
              </w:rPr>
              <w:t>51</w:t>
            </w:r>
            <w:r w:rsidR="00C239AD">
              <w:rPr>
                <w:webHidden/>
              </w:rPr>
              <w:fldChar w:fldCharType="end"/>
            </w:r>
          </w:hyperlink>
        </w:p>
        <w:p w14:paraId="6CD658B8" w14:textId="4E9DA243" w:rsidR="00C239AD" w:rsidRDefault="00D47794">
          <w:pPr>
            <w:pStyle w:val="TOC2"/>
            <w:rPr>
              <w:rFonts w:asciiTheme="minorHAnsi" w:eastAsiaTheme="minorEastAsia" w:hAnsiTheme="minorHAnsi" w:cstheme="minorBidi"/>
              <w:color w:val="auto"/>
              <w:szCs w:val="22"/>
            </w:rPr>
          </w:pPr>
          <w:hyperlink w:anchor="_Toc147497681" w:history="1">
            <w:r w:rsidR="00C239AD" w:rsidRPr="009D64C6">
              <w:rPr>
                <w:rStyle w:val="Hyperlink"/>
              </w:rPr>
              <w:t>Access to education, skills development and learning throughout life</w:t>
            </w:r>
            <w:r w:rsidR="00C239AD">
              <w:rPr>
                <w:webHidden/>
              </w:rPr>
              <w:tab/>
            </w:r>
            <w:r w:rsidR="00C239AD">
              <w:rPr>
                <w:webHidden/>
              </w:rPr>
              <w:fldChar w:fldCharType="begin"/>
            </w:r>
            <w:r w:rsidR="00C239AD">
              <w:rPr>
                <w:webHidden/>
              </w:rPr>
              <w:instrText xml:space="preserve"> PAGEREF _Toc147497681 \h </w:instrText>
            </w:r>
            <w:r w:rsidR="00C239AD">
              <w:rPr>
                <w:webHidden/>
              </w:rPr>
            </w:r>
            <w:r w:rsidR="00C239AD">
              <w:rPr>
                <w:webHidden/>
              </w:rPr>
              <w:fldChar w:fldCharType="separate"/>
            </w:r>
            <w:r w:rsidR="00B91AF7">
              <w:rPr>
                <w:webHidden/>
              </w:rPr>
              <w:t>55</w:t>
            </w:r>
            <w:r w:rsidR="00C239AD">
              <w:rPr>
                <w:webHidden/>
              </w:rPr>
              <w:fldChar w:fldCharType="end"/>
            </w:r>
          </w:hyperlink>
        </w:p>
        <w:p w14:paraId="7616825A" w14:textId="25400FD9" w:rsidR="00C239AD" w:rsidRDefault="00D47794">
          <w:pPr>
            <w:pStyle w:val="TOC2"/>
            <w:rPr>
              <w:rFonts w:asciiTheme="minorHAnsi" w:eastAsiaTheme="minorEastAsia" w:hAnsiTheme="minorHAnsi" w:cstheme="minorBidi"/>
              <w:color w:val="auto"/>
              <w:szCs w:val="22"/>
            </w:rPr>
          </w:pPr>
          <w:hyperlink w:anchor="_Toc147497682" w:history="1">
            <w:r w:rsidR="00C239AD" w:rsidRPr="009D64C6">
              <w:rPr>
                <w:rStyle w:val="Hyperlink"/>
              </w:rPr>
              <w:t>Broad opportunities for employment and well</w:t>
            </w:r>
            <w:r w:rsidR="00C239AD" w:rsidRPr="009D64C6">
              <w:rPr>
                <w:rStyle w:val="Hyperlink"/>
              </w:rPr>
              <w:noBreakHyphen/>
              <w:t>paid, secure jobs</w:t>
            </w:r>
            <w:r w:rsidR="00C239AD">
              <w:rPr>
                <w:webHidden/>
              </w:rPr>
              <w:tab/>
            </w:r>
            <w:r w:rsidR="00C239AD">
              <w:rPr>
                <w:webHidden/>
              </w:rPr>
              <w:fldChar w:fldCharType="begin"/>
            </w:r>
            <w:r w:rsidR="00C239AD">
              <w:rPr>
                <w:webHidden/>
              </w:rPr>
              <w:instrText xml:space="preserve"> PAGEREF _Toc147497682 \h </w:instrText>
            </w:r>
            <w:r w:rsidR="00C239AD">
              <w:rPr>
                <w:webHidden/>
              </w:rPr>
            </w:r>
            <w:r w:rsidR="00C239AD">
              <w:rPr>
                <w:webHidden/>
              </w:rPr>
              <w:fldChar w:fldCharType="separate"/>
            </w:r>
            <w:r w:rsidR="00B91AF7">
              <w:rPr>
                <w:webHidden/>
              </w:rPr>
              <w:t>60</w:t>
            </w:r>
            <w:r w:rsidR="00C239AD">
              <w:rPr>
                <w:webHidden/>
              </w:rPr>
              <w:fldChar w:fldCharType="end"/>
            </w:r>
          </w:hyperlink>
        </w:p>
        <w:p w14:paraId="5893AC1B" w14:textId="626BD454" w:rsidR="00C239AD" w:rsidRDefault="00D47794">
          <w:pPr>
            <w:pStyle w:val="TOC1"/>
            <w:rPr>
              <w:rFonts w:asciiTheme="minorHAnsi" w:eastAsiaTheme="minorEastAsia" w:hAnsiTheme="minorHAnsi" w:cstheme="minorBidi"/>
              <w:b w:val="0"/>
              <w:color w:val="auto"/>
            </w:rPr>
          </w:pPr>
          <w:hyperlink w:anchor="_Toc147497683" w:history="1">
            <w:r w:rsidR="00C239AD" w:rsidRPr="009D64C6">
              <w:rPr>
                <w:rStyle w:val="Hyperlink"/>
              </w:rPr>
              <w:t>The early years of a child’s life and wellbeing</w:t>
            </w:r>
            <w:r w:rsidR="00C239AD">
              <w:rPr>
                <w:webHidden/>
              </w:rPr>
              <w:tab/>
            </w:r>
            <w:r w:rsidR="00C239AD">
              <w:rPr>
                <w:webHidden/>
              </w:rPr>
              <w:fldChar w:fldCharType="begin"/>
            </w:r>
            <w:r w:rsidR="00C239AD">
              <w:rPr>
                <w:webHidden/>
              </w:rPr>
              <w:instrText xml:space="preserve"> PAGEREF _Toc147497683 \h </w:instrText>
            </w:r>
            <w:r w:rsidR="00C239AD">
              <w:rPr>
                <w:webHidden/>
              </w:rPr>
            </w:r>
            <w:r w:rsidR="00C239AD">
              <w:rPr>
                <w:webHidden/>
              </w:rPr>
              <w:fldChar w:fldCharType="separate"/>
            </w:r>
            <w:r w:rsidR="00B91AF7">
              <w:rPr>
                <w:webHidden/>
              </w:rPr>
              <w:t>65</w:t>
            </w:r>
            <w:r w:rsidR="00C239AD">
              <w:rPr>
                <w:webHidden/>
              </w:rPr>
              <w:fldChar w:fldCharType="end"/>
            </w:r>
          </w:hyperlink>
        </w:p>
        <w:p w14:paraId="343E79ED" w14:textId="4CD7C862" w:rsidR="00C239AD" w:rsidRDefault="00D47794">
          <w:pPr>
            <w:pStyle w:val="TOC2"/>
            <w:rPr>
              <w:rFonts w:asciiTheme="minorHAnsi" w:eastAsiaTheme="minorEastAsia" w:hAnsiTheme="minorHAnsi" w:cstheme="minorBidi"/>
              <w:color w:val="auto"/>
              <w:szCs w:val="22"/>
            </w:rPr>
          </w:pPr>
          <w:hyperlink w:anchor="_Toc147497684" w:history="1">
            <w:r w:rsidR="00C239AD" w:rsidRPr="009D64C6">
              <w:rPr>
                <w:rStyle w:val="Hyperlink"/>
                <w:rFonts w:eastAsia="Calibri Light"/>
                <w:lang w:eastAsia="en-US"/>
              </w:rPr>
              <w:t>Child wellbeing</w:t>
            </w:r>
            <w:r w:rsidR="00C239AD">
              <w:rPr>
                <w:webHidden/>
              </w:rPr>
              <w:tab/>
            </w:r>
            <w:r w:rsidR="00C239AD">
              <w:rPr>
                <w:webHidden/>
              </w:rPr>
              <w:fldChar w:fldCharType="begin"/>
            </w:r>
            <w:r w:rsidR="00C239AD">
              <w:rPr>
                <w:webHidden/>
              </w:rPr>
              <w:instrText xml:space="preserve"> PAGEREF _Toc147497684 \h </w:instrText>
            </w:r>
            <w:r w:rsidR="00C239AD">
              <w:rPr>
                <w:webHidden/>
              </w:rPr>
            </w:r>
            <w:r w:rsidR="00C239AD">
              <w:rPr>
                <w:webHidden/>
              </w:rPr>
              <w:fldChar w:fldCharType="separate"/>
            </w:r>
            <w:r w:rsidR="00B91AF7">
              <w:rPr>
                <w:webHidden/>
              </w:rPr>
              <w:t>65</w:t>
            </w:r>
            <w:r w:rsidR="00C239AD">
              <w:rPr>
                <w:webHidden/>
              </w:rPr>
              <w:fldChar w:fldCharType="end"/>
            </w:r>
          </w:hyperlink>
        </w:p>
        <w:p w14:paraId="5BD84513" w14:textId="746ACA2D" w:rsidR="00C239AD" w:rsidRDefault="00D47794">
          <w:pPr>
            <w:pStyle w:val="TOC2"/>
            <w:rPr>
              <w:rFonts w:asciiTheme="minorHAnsi" w:eastAsiaTheme="minorEastAsia" w:hAnsiTheme="minorHAnsi" w:cstheme="minorBidi"/>
              <w:color w:val="auto"/>
              <w:szCs w:val="22"/>
            </w:rPr>
          </w:pPr>
          <w:hyperlink w:anchor="_Toc147497685" w:history="1">
            <w:r w:rsidR="00C239AD" w:rsidRPr="009D64C6">
              <w:rPr>
                <w:rStyle w:val="Hyperlink"/>
                <w:rFonts w:eastAsia="Calibri Light"/>
                <w:lang w:eastAsia="en-US"/>
              </w:rPr>
              <w:t>Government support for children in the earl</w:t>
            </w:r>
            <w:r w:rsidR="00C239AD" w:rsidRPr="009D64C6">
              <w:rPr>
                <w:rStyle w:val="Hyperlink"/>
                <w:rFonts w:eastAsia="Calibri Light"/>
              </w:rPr>
              <w:t>y years and their families</w:t>
            </w:r>
            <w:r w:rsidR="00C239AD">
              <w:rPr>
                <w:webHidden/>
              </w:rPr>
              <w:tab/>
            </w:r>
            <w:r w:rsidR="00C239AD">
              <w:rPr>
                <w:webHidden/>
              </w:rPr>
              <w:fldChar w:fldCharType="begin"/>
            </w:r>
            <w:r w:rsidR="00C239AD">
              <w:rPr>
                <w:webHidden/>
              </w:rPr>
              <w:instrText xml:space="preserve"> PAGEREF _Toc147497685 \h </w:instrText>
            </w:r>
            <w:r w:rsidR="00C239AD">
              <w:rPr>
                <w:webHidden/>
              </w:rPr>
            </w:r>
            <w:r w:rsidR="00C239AD">
              <w:rPr>
                <w:webHidden/>
              </w:rPr>
              <w:fldChar w:fldCharType="separate"/>
            </w:r>
            <w:r w:rsidR="00B91AF7">
              <w:rPr>
                <w:webHidden/>
              </w:rPr>
              <w:t>66</w:t>
            </w:r>
            <w:r w:rsidR="00C239AD">
              <w:rPr>
                <w:webHidden/>
              </w:rPr>
              <w:fldChar w:fldCharType="end"/>
            </w:r>
          </w:hyperlink>
        </w:p>
        <w:p w14:paraId="12DECACA" w14:textId="33D220DF" w:rsidR="00C239AD" w:rsidRDefault="00D47794">
          <w:pPr>
            <w:pStyle w:val="TOC1"/>
            <w:rPr>
              <w:rFonts w:asciiTheme="minorHAnsi" w:eastAsiaTheme="minorEastAsia" w:hAnsiTheme="minorHAnsi" w:cstheme="minorBidi"/>
              <w:b w:val="0"/>
              <w:color w:val="auto"/>
            </w:rPr>
          </w:pPr>
          <w:hyperlink w:anchor="_Toc147497686" w:history="1">
            <w:r w:rsidR="00C239AD" w:rsidRPr="009D64C6">
              <w:rPr>
                <w:rStyle w:val="Hyperlink"/>
              </w:rPr>
              <w:t>The way ahead</w:t>
            </w:r>
            <w:r w:rsidR="00C239AD">
              <w:rPr>
                <w:webHidden/>
              </w:rPr>
              <w:tab/>
            </w:r>
            <w:r w:rsidR="00C239AD">
              <w:rPr>
                <w:webHidden/>
              </w:rPr>
              <w:fldChar w:fldCharType="begin"/>
            </w:r>
            <w:r w:rsidR="00C239AD">
              <w:rPr>
                <w:webHidden/>
              </w:rPr>
              <w:instrText xml:space="preserve"> PAGEREF _Toc147497686 \h </w:instrText>
            </w:r>
            <w:r w:rsidR="00C239AD">
              <w:rPr>
                <w:webHidden/>
              </w:rPr>
            </w:r>
            <w:r w:rsidR="00C239AD">
              <w:rPr>
                <w:webHidden/>
              </w:rPr>
              <w:fldChar w:fldCharType="separate"/>
            </w:r>
            <w:r w:rsidR="00B91AF7">
              <w:rPr>
                <w:webHidden/>
              </w:rPr>
              <w:t>68</w:t>
            </w:r>
            <w:r w:rsidR="00C239AD">
              <w:rPr>
                <w:webHidden/>
              </w:rPr>
              <w:fldChar w:fldCharType="end"/>
            </w:r>
          </w:hyperlink>
        </w:p>
        <w:p w14:paraId="0816558B" w14:textId="178F7FD3" w:rsidR="00C239AD" w:rsidRDefault="00D47794">
          <w:pPr>
            <w:pStyle w:val="TOC2"/>
            <w:rPr>
              <w:rFonts w:asciiTheme="minorHAnsi" w:eastAsiaTheme="minorEastAsia" w:hAnsiTheme="minorHAnsi" w:cstheme="minorBidi"/>
              <w:color w:val="auto"/>
              <w:szCs w:val="22"/>
            </w:rPr>
          </w:pPr>
          <w:hyperlink w:anchor="_Toc147497687" w:history="1">
            <w:r w:rsidR="00C239AD" w:rsidRPr="009D64C6">
              <w:rPr>
                <w:rStyle w:val="Hyperlink"/>
              </w:rPr>
              <w:t>Next steps</w:t>
            </w:r>
            <w:r w:rsidR="00C239AD">
              <w:rPr>
                <w:webHidden/>
              </w:rPr>
              <w:tab/>
            </w:r>
            <w:r w:rsidR="00C239AD">
              <w:rPr>
                <w:webHidden/>
              </w:rPr>
              <w:fldChar w:fldCharType="begin"/>
            </w:r>
            <w:r w:rsidR="00C239AD">
              <w:rPr>
                <w:webHidden/>
              </w:rPr>
              <w:instrText xml:space="preserve"> PAGEREF _Toc147497687 \h </w:instrText>
            </w:r>
            <w:r w:rsidR="00C239AD">
              <w:rPr>
                <w:webHidden/>
              </w:rPr>
            </w:r>
            <w:r w:rsidR="00C239AD">
              <w:rPr>
                <w:webHidden/>
              </w:rPr>
              <w:fldChar w:fldCharType="separate"/>
            </w:r>
            <w:r w:rsidR="00B91AF7">
              <w:rPr>
                <w:webHidden/>
              </w:rPr>
              <w:t>68</w:t>
            </w:r>
            <w:r w:rsidR="00C239AD">
              <w:rPr>
                <w:webHidden/>
              </w:rPr>
              <w:fldChar w:fldCharType="end"/>
            </w:r>
          </w:hyperlink>
        </w:p>
        <w:p w14:paraId="5BDC64C6" w14:textId="051023B3" w:rsidR="00C239AD" w:rsidRDefault="00D47794">
          <w:pPr>
            <w:pStyle w:val="TOC1"/>
            <w:rPr>
              <w:rFonts w:asciiTheme="minorHAnsi" w:eastAsiaTheme="minorEastAsia" w:hAnsiTheme="minorHAnsi" w:cstheme="minorBidi"/>
              <w:b w:val="0"/>
              <w:color w:val="auto"/>
            </w:rPr>
          </w:pPr>
          <w:hyperlink w:anchor="_Toc147497688" w:history="1">
            <w:r w:rsidR="00C239AD" w:rsidRPr="009D64C6">
              <w:rPr>
                <w:rStyle w:val="Hyperlink"/>
                <w:rFonts w:cs="Calibri"/>
              </w:rPr>
              <w:t>Appendix A:</w:t>
            </w:r>
            <w:r w:rsidR="00314667">
              <w:rPr>
                <w:rStyle w:val="Hyperlink"/>
                <w:rFonts w:cs="Calibri"/>
              </w:rPr>
              <w:t xml:space="preserve"> </w:t>
            </w:r>
            <w:r w:rsidR="00C239AD" w:rsidRPr="009D64C6">
              <w:rPr>
                <w:rStyle w:val="Hyperlink"/>
              </w:rPr>
              <w:t>Strengthening the indicators</w:t>
            </w:r>
            <w:r w:rsidR="00C239AD">
              <w:rPr>
                <w:webHidden/>
              </w:rPr>
              <w:tab/>
            </w:r>
            <w:r w:rsidR="00C239AD">
              <w:rPr>
                <w:webHidden/>
              </w:rPr>
              <w:fldChar w:fldCharType="begin"/>
            </w:r>
            <w:r w:rsidR="00C239AD">
              <w:rPr>
                <w:webHidden/>
              </w:rPr>
              <w:instrText xml:space="preserve"> PAGEREF _Toc147497688 \h </w:instrText>
            </w:r>
            <w:r w:rsidR="00C239AD">
              <w:rPr>
                <w:webHidden/>
              </w:rPr>
            </w:r>
            <w:r w:rsidR="00C239AD">
              <w:rPr>
                <w:webHidden/>
              </w:rPr>
              <w:fldChar w:fldCharType="separate"/>
            </w:r>
            <w:r w:rsidR="00B91AF7">
              <w:rPr>
                <w:webHidden/>
              </w:rPr>
              <w:t>69</w:t>
            </w:r>
            <w:r w:rsidR="00C239AD">
              <w:rPr>
                <w:webHidden/>
              </w:rPr>
              <w:fldChar w:fldCharType="end"/>
            </w:r>
          </w:hyperlink>
        </w:p>
        <w:p w14:paraId="3112F15F" w14:textId="0E7A2551" w:rsidR="00C239AD" w:rsidRDefault="00D47794">
          <w:pPr>
            <w:pStyle w:val="TOC1"/>
            <w:rPr>
              <w:rFonts w:asciiTheme="minorHAnsi" w:eastAsiaTheme="minorEastAsia" w:hAnsiTheme="minorHAnsi" w:cstheme="minorBidi"/>
              <w:b w:val="0"/>
              <w:color w:val="auto"/>
            </w:rPr>
          </w:pPr>
          <w:hyperlink w:anchor="_Toc147497689" w:history="1">
            <w:r w:rsidR="00C239AD" w:rsidRPr="009D64C6">
              <w:rPr>
                <w:rStyle w:val="Hyperlink"/>
              </w:rPr>
              <w:t>Appendix B: International approaches</w:t>
            </w:r>
            <w:r w:rsidR="00C239AD">
              <w:rPr>
                <w:webHidden/>
              </w:rPr>
              <w:tab/>
            </w:r>
            <w:r w:rsidR="00C239AD">
              <w:rPr>
                <w:webHidden/>
              </w:rPr>
              <w:fldChar w:fldCharType="begin"/>
            </w:r>
            <w:r w:rsidR="00C239AD">
              <w:rPr>
                <w:webHidden/>
              </w:rPr>
              <w:instrText xml:space="preserve"> PAGEREF _Toc147497689 \h </w:instrText>
            </w:r>
            <w:r w:rsidR="00C239AD">
              <w:rPr>
                <w:webHidden/>
              </w:rPr>
            </w:r>
            <w:r w:rsidR="00C239AD">
              <w:rPr>
                <w:webHidden/>
              </w:rPr>
              <w:fldChar w:fldCharType="separate"/>
            </w:r>
            <w:r w:rsidR="00B91AF7">
              <w:rPr>
                <w:webHidden/>
              </w:rPr>
              <w:t>71</w:t>
            </w:r>
            <w:r w:rsidR="00C239AD">
              <w:rPr>
                <w:webHidden/>
              </w:rPr>
              <w:fldChar w:fldCharType="end"/>
            </w:r>
          </w:hyperlink>
        </w:p>
        <w:p w14:paraId="3EC2A380" w14:textId="2E27509B" w:rsidR="00C239AD" w:rsidRDefault="00D47794">
          <w:pPr>
            <w:pStyle w:val="TOC1"/>
            <w:rPr>
              <w:rFonts w:asciiTheme="minorHAnsi" w:eastAsiaTheme="minorEastAsia" w:hAnsiTheme="minorHAnsi" w:cstheme="minorBidi"/>
              <w:b w:val="0"/>
              <w:color w:val="auto"/>
            </w:rPr>
          </w:pPr>
          <w:hyperlink w:anchor="_Toc147497690" w:history="1">
            <w:r w:rsidR="00C239AD" w:rsidRPr="009D64C6">
              <w:rPr>
                <w:rStyle w:val="Hyperlink"/>
              </w:rPr>
              <w:t>Appendix C: Consultation</w:t>
            </w:r>
            <w:r w:rsidR="00C239AD">
              <w:rPr>
                <w:webHidden/>
              </w:rPr>
              <w:tab/>
            </w:r>
            <w:r w:rsidR="00C239AD">
              <w:rPr>
                <w:webHidden/>
              </w:rPr>
              <w:fldChar w:fldCharType="begin"/>
            </w:r>
            <w:r w:rsidR="00C239AD">
              <w:rPr>
                <w:webHidden/>
              </w:rPr>
              <w:instrText xml:space="preserve"> PAGEREF _Toc147497690 \h </w:instrText>
            </w:r>
            <w:r w:rsidR="00C239AD">
              <w:rPr>
                <w:webHidden/>
              </w:rPr>
            </w:r>
            <w:r w:rsidR="00C239AD">
              <w:rPr>
                <w:webHidden/>
              </w:rPr>
              <w:fldChar w:fldCharType="separate"/>
            </w:r>
            <w:r w:rsidR="00B91AF7">
              <w:rPr>
                <w:webHidden/>
              </w:rPr>
              <w:t>72</w:t>
            </w:r>
            <w:r w:rsidR="00C239AD">
              <w:rPr>
                <w:webHidden/>
              </w:rPr>
              <w:fldChar w:fldCharType="end"/>
            </w:r>
          </w:hyperlink>
        </w:p>
        <w:p w14:paraId="4C07451C" w14:textId="4B51F634" w:rsidR="00C239AD" w:rsidRDefault="00D47794">
          <w:pPr>
            <w:pStyle w:val="TOC2"/>
            <w:rPr>
              <w:rFonts w:asciiTheme="minorHAnsi" w:eastAsiaTheme="minorEastAsia" w:hAnsiTheme="minorHAnsi" w:cstheme="minorBidi"/>
              <w:color w:val="auto"/>
              <w:szCs w:val="22"/>
            </w:rPr>
          </w:pPr>
          <w:hyperlink w:anchor="_Toc147497691" w:history="1">
            <w:r w:rsidR="00C239AD" w:rsidRPr="009D64C6">
              <w:rPr>
                <w:rStyle w:val="Hyperlink"/>
              </w:rPr>
              <w:t>Public Submissions on Measuring What Matters</w:t>
            </w:r>
            <w:r w:rsidR="00C239AD">
              <w:rPr>
                <w:webHidden/>
              </w:rPr>
              <w:tab/>
            </w:r>
            <w:r w:rsidR="00C239AD">
              <w:rPr>
                <w:webHidden/>
              </w:rPr>
              <w:fldChar w:fldCharType="begin"/>
            </w:r>
            <w:r w:rsidR="00C239AD">
              <w:rPr>
                <w:webHidden/>
              </w:rPr>
              <w:instrText xml:space="preserve"> PAGEREF _Toc147497691 \h </w:instrText>
            </w:r>
            <w:r w:rsidR="00C239AD">
              <w:rPr>
                <w:webHidden/>
              </w:rPr>
            </w:r>
            <w:r w:rsidR="00C239AD">
              <w:rPr>
                <w:webHidden/>
              </w:rPr>
              <w:fldChar w:fldCharType="separate"/>
            </w:r>
            <w:r w:rsidR="00B91AF7">
              <w:rPr>
                <w:webHidden/>
              </w:rPr>
              <w:t>73</w:t>
            </w:r>
            <w:r w:rsidR="00C239AD">
              <w:rPr>
                <w:webHidden/>
              </w:rPr>
              <w:fldChar w:fldCharType="end"/>
            </w:r>
          </w:hyperlink>
        </w:p>
        <w:p w14:paraId="4DF31452" w14:textId="3847185E" w:rsidR="00C239AD" w:rsidRDefault="00D47794">
          <w:pPr>
            <w:pStyle w:val="TOC1"/>
            <w:rPr>
              <w:rFonts w:asciiTheme="minorHAnsi" w:eastAsiaTheme="minorEastAsia" w:hAnsiTheme="minorHAnsi" w:cstheme="minorBidi"/>
              <w:b w:val="0"/>
              <w:color w:val="auto"/>
            </w:rPr>
          </w:pPr>
          <w:hyperlink w:anchor="_Toc147497692" w:history="1">
            <w:r w:rsidR="00C239AD" w:rsidRPr="009D64C6">
              <w:rPr>
                <w:rStyle w:val="Hyperlink"/>
              </w:rPr>
              <w:t>Appendix D: Selection of indicators</w:t>
            </w:r>
            <w:r w:rsidR="00C239AD">
              <w:rPr>
                <w:webHidden/>
              </w:rPr>
              <w:tab/>
            </w:r>
            <w:r w:rsidR="00C239AD">
              <w:rPr>
                <w:webHidden/>
              </w:rPr>
              <w:fldChar w:fldCharType="begin"/>
            </w:r>
            <w:r w:rsidR="00C239AD">
              <w:rPr>
                <w:webHidden/>
              </w:rPr>
              <w:instrText xml:space="preserve"> PAGEREF _Toc147497692 \h </w:instrText>
            </w:r>
            <w:r w:rsidR="00C239AD">
              <w:rPr>
                <w:webHidden/>
              </w:rPr>
            </w:r>
            <w:r w:rsidR="00C239AD">
              <w:rPr>
                <w:webHidden/>
              </w:rPr>
              <w:fldChar w:fldCharType="separate"/>
            </w:r>
            <w:r w:rsidR="00B91AF7">
              <w:rPr>
                <w:webHidden/>
              </w:rPr>
              <w:t>76</w:t>
            </w:r>
            <w:r w:rsidR="00C239AD">
              <w:rPr>
                <w:webHidden/>
              </w:rPr>
              <w:fldChar w:fldCharType="end"/>
            </w:r>
          </w:hyperlink>
        </w:p>
        <w:p w14:paraId="015F5CC5" w14:textId="3B0E1CFB" w:rsidR="00C239AD" w:rsidRDefault="00D47794">
          <w:pPr>
            <w:pStyle w:val="TOC1"/>
            <w:rPr>
              <w:rFonts w:asciiTheme="minorHAnsi" w:eastAsiaTheme="minorEastAsia" w:hAnsiTheme="minorHAnsi" w:cstheme="minorBidi"/>
              <w:b w:val="0"/>
              <w:color w:val="auto"/>
            </w:rPr>
          </w:pPr>
          <w:hyperlink w:anchor="_Toc147497693" w:history="1">
            <w:r w:rsidR="00C239AD" w:rsidRPr="009D64C6">
              <w:rPr>
                <w:rStyle w:val="Hyperlink"/>
                <w:rFonts w:cs="Calibri"/>
              </w:rPr>
              <w:t>Glossary</w:t>
            </w:r>
            <w:r w:rsidR="00C239AD">
              <w:rPr>
                <w:webHidden/>
              </w:rPr>
              <w:tab/>
            </w:r>
            <w:r w:rsidR="00C239AD">
              <w:rPr>
                <w:webHidden/>
              </w:rPr>
              <w:fldChar w:fldCharType="begin"/>
            </w:r>
            <w:r w:rsidR="00C239AD">
              <w:rPr>
                <w:webHidden/>
              </w:rPr>
              <w:instrText xml:space="preserve"> PAGEREF _Toc147497693 \h </w:instrText>
            </w:r>
            <w:r w:rsidR="00C239AD">
              <w:rPr>
                <w:webHidden/>
              </w:rPr>
            </w:r>
            <w:r w:rsidR="00C239AD">
              <w:rPr>
                <w:webHidden/>
              </w:rPr>
              <w:fldChar w:fldCharType="separate"/>
            </w:r>
            <w:r w:rsidR="00B91AF7">
              <w:rPr>
                <w:webHidden/>
              </w:rPr>
              <w:t>77</w:t>
            </w:r>
            <w:r w:rsidR="00C239AD">
              <w:rPr>
                <w:webHidden/>
              </w:rPr>
              <w:fldChar w:fldCharType="end"/>
            </w:r>
          </w:hyperlink>
        </w:p>
        <w:p w14:paraId="42768FEA" w14:textId="5D87BFF3" w:rsidR="00C239AD" w:rsidRDefault="00D47794">
          <w:pPr>
            <w:pStyle w:val="TOC1"/>
            <w:rPr>
              <w:rFonts w:asciiTheme="minorHAnsi" w:eastAsiaTheme="minorEastAsia" w:hAnsiTheme="minorHAnsi" w:cstheme="minorBidi"/>
              <w:b w:val="0"/>
              <w:color w:val="auto"/>
            </w:rPr>
          </w:pPr>
          <w:hyperlink w:anchor="_Toc147497694" w:history="1">
            <w:r w:rsidR="00C239AD" w:rsidRPr="009D64C6">
              <w:rPr>
                <w:rStyle w:val="Hyperlink"/>
              </w:rPr>
              <w:t>Data dictionary</w:t>
            </w:r>
            <w:r w:rsidR="00C239AD">
              <w:rPr>
                <w:webHidden/>
              </w:rPr>
              <w:tab/>
            </w:r>
            <w:r w:rsidR="00C239AD">
              <w:rPr>
                <w:webHidden/>
              </w:rPr>
              <w:fldChar w:fldCharType="begin"/>
            </w:r>
            <w:r w:rsidR="00C239AD">
              <w:rPr>
                <w:webHidden/>
              </w:rPr>
              <w:instrText xml:space="preserve"> PAGEREF _Toc147497694 \h </w:instrText>
            </w:r>
            <w:r w:rsidR="00C239AD">
              <w:rPr>
                <w:webHidden/>
              </w:rPr>
            </w:r>
            <w:r w:rsidR="00C239AD">
              <w:rPr>
                <w:webHidden/>
              </w:rPr>
              <w:fldChar w:fldCharType="separate"/>
            </w:r>
            <w:r w:rsidR="00B91AF7">
              <w:rPr>
                <w:webHidden/>
              </w:rPr>
              <w:t>80</w:t>
            </w:r>
            <w:r w:rsidR="00C239AD">
              <w:rPr>
                <w:webHidden/>
              </w:rPr>
              <w:fldChar w:fldCharType="end"/>
            </w:r>
          </w:hyperlink>
        </w:p>
        <w:p w14:paraId="7FE1E459" w14:textId="34393D20" w:rsidR="00725348" w:rsidRPr="00A85AB4" w:rsidRDefault="00D47794" w:rsidP="00C239AD">
          <w:pPr>
            <w:pStyle w:val="TOC1"/>
          </w:pPr>
          <w:hyperlink w:anchor="_Toc147497695" w:history="1">
            <w:r w:rsidR="00C239AD" w:rsidRPr="009D64C6">
              <w:rPr>
                <w:rStyle w:val="Hyperlink"/>
                <w:rFonts w:cs="Calibri"/>
              </w:rPr>
              <w:t>End Notes</w:t>
            </w:r>
            <w:r w:rsidR="00C239AD">
              <w:rPr>
                <w:webHidden/>
              </w:rPr>
              <w:tab/>
            </w:r>
            <w:r w:rsidR="00C239AD">
              <w:rPr>
                <w:webHidden/>
              </w:rPr>
              <w:fldChar w:fldCharType="begin"/>
            </w:r>
            <w:r w:rsidR="00C239AD">
              <w:rPr>
                <w:webHidden/>
              </w:rPr>
              <w:instrText xml:space="preserve"> PAGEREF _Toc147497695 \h </w:instrText>
            </w:r>
            <w:r w:rsidR="00C239AD">
              <w:rPr>
                <w:webHidden/>
              </w:rPr>
            </w:r>
            <w:r w:rsidR="00C239AD">
              <w:rPr>
                <w:webHidden/>
              </w:rPr>
              <w:fldChar w:fldCharType="separate"/>
            </w:r>
            <w:r w:rsidR="00B91AF7">
              <w:rPr>
                <w:webHidden/>
              </w:rPr>
              <w:t>86</w:t>
            </w:r>
            <w:r w:rsidR="00C239AD">
              <w:rPr>
                <w:webHidden/>
              </w:rPr>
              <w:fldChar w:fldCharType="end"/>
            </w:r>
          </w:hyperlink>
          <w:r w:rsidR="00C239AD">
            <w:fldChar w:fldCharType="end"/>
          </w:r>
        </w:p>
      </w:sdtContent>
    </w:sdt>
    <w:p w14:paraId="2AE4974B" w14:textId="77777777" w:rsidR="00A85AB4" w:rsidRPr="009764EE" w:rsidRDefault="00A85AB4" w:rsidP="009C5E79">
      <w:pPr>
        <w:pStyle w:val="SingleParagraph"/>
      </w:pPr>
    </w:p>
    <w:p w14:paraId="2A9BA028" w14:textId="40DB8873" w:rsidR="00B775EE" w:rsidRPr="009764EE" w:rsidRDefault="00B775EE" w:rsidP="009C5E79">
      <w:pPr>
        <w:pStyle w:val="SingleParagraph"/>
        <w:sectPr w:rsidR="00B775EE" w:rsidRPr="009764EE" w:rsidSect="00DA302B">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843" w:right="1418" w:bottom="1418" w:left="1418" w:header="851" w:footer="851" w:gutter="0"/>
          <w:pgNumType w:fmt="lowerRoman" w:start="3"/>
          <w:cols w:space="708"/>
          <w:docGrid w:linePitch="360"/>
        </w:sectPr>
      </w:pPr>
    </w:p>
    <w:p w14:paraId="2F5BE6EA" w14:textId="5692B781" w:rsidR="00475085" w:rsidRPr="002D27F5" w:rsidRDefault="003A7154" w:rsidP="00037C32">
      <w:pPr>
        <w:pStyle w:val="Heading1"/>
      </w:pPr>
      <w:bookmarkStart w:id="16" w:name="_Toc138295723"/>
      <w:bookmarkStart w:id="17" w:name="_Toc140164486"/>
      <w:bookmarkStart w:id="18" w:name="_Toc147497660"/>
      <w:r w:rsidRPr="009764EE">
        <w:lastRenderedPageBreak/>
        <w:t>Treasurer</w:t>
      </w:r>
      <w:r w:rsidR="00135DEA">
        <w:t>’</w:t>
      </w:r>
      <w:r w:rsidRPr="009764EE">
        <w:t xml:space="preserve">s </w:t>
      </w:r>
      <w:r w:rsidR="00475085" w:rsidRPr="009764EE">
        <w:t>Foreword</w:t>
      </w:r>
      <w:bookmarkEnd w:id="16"/>
      <w:bookmarkEnd w:id="17"/>
      <w:bookmarkEnd w:id="18"/>
      <w:bookmarkEnd w:id="15"/>
      <w:bookmarkEnd w:id="14"/>
    </w:p>
    <w:p w14:paraId="46FDF507" w14:textId="795D54AD" w:rsidR="008D620A" w:rsidRPr="008D620A" w:rsidRDefault="008D620A" w:rsidP="008D620A">
      <w:r w:rsidRPr="008D620A">
        <w:t>I</w:t>
      </w:r>
      <w:r w:rsidR="00135DEA">
        <w:t>’</w:t>
      </w:r>
      <w:r w:rsidRPr="008D620A">
        <w:t xml:space="preserve">m really pleased to be releasing </w:t>
      </w:r>
      <w:r w:rsidRPr="00FB6842">
        <w:rPr>
          <w:rStyle w:val="Emphasis"/>
        </w:rPr>
        <w:t>Measuring What Matters</w:t>
      </w:r>
      <w:r w:rsidR="001524A0">
        <w:rPr>
          <w:rStyle w:val="Emphasis"/>
        </w:rPr>
        <w:t xml:space="preserve"> – </w:t>
      </w:r>
      <w:r w:rsidRPr="008D620A">
        <w:t>Australia</w:t>
      </w:r>
      <w:r w:rsidR="00135DEA">
        <w:t>’</w:t>
      </w:r>
      <w:r w:rsidRPr="008D620A">
        <w:t>s first ever national wellbeing framework. It</w:t>
      </w:r>
      <w:r w:rsidR="00135DEA">
        <w:t>’</w:t>
      </w:r>
      <w:r w:rsidRPr="008D620A">
        <w:t>s all about tracking our progress so we can better align our economic and social goals in our communities and right across our country.</w:t>
      </w:r>
    </w:p>
    <w:p w14:paraId="17ADE9EF" w14:textId="17CE8162" w:rsidR="008D620A" w:rsidRPr="008D620A" w:rsidRDefault="008D620A" w:rsidP="008D620A">
      <w:r w:rsidRPr="00FB6842">
        <w:rPr>
          <w:rStyle w:val="Emphasis"/>
        </w:rPr>
        <w:t xml:space="preserve">Measuring What Matters </w:t>
      </w:r>
      <w:r w:rsidRPr="008D620A">
        <w:t>helps us put people and progress, fairness and opportunity at the very core of our thinking about our economy and our society, now and into the future. We</w:t>
      </w:r>
      <w:r w:rsidR="00135DEA">
        <w:t>’</w:t>
      </w:r>
      <w:r w:rsidRPr="008D620A">
        <w:t>ve chosen 50</w:t>
      </w:r>
      <w:r w:rsidR="00287842">
        <w:t> </w:t>
      </w:r>
      <w:r w:rsidRPr="008D620A">
        <w:t>different indicators to help us better understand how we are faring as we pursue a more healthy, secure, sustainable, cohesive and prosperous Australia. These measures are in addition to, not instead of, all the other traditional ways we measure our economy, like GDP and employment.</w:t>
      </w:r>
    </w:p>
    <w:p w14:paraId="05F427E1" w14:textId="77777777" w:rsidR="008D620A" w:rsidRPr="008D620A" w:rsidRDefault="008D620A" w:rsidP="008D620A">
      <w:r w:rsidRPr="008D620A">
        <w:t>This will be an iterative process as we continue to consult and refine the Framework based on ongoing and welcome feedback as we go.</w:t>
      </w:r>
    </w:p>
    <w:p w14:paraId="02AAA31B" w14:textId="77777777" w:rsidR="008D620A" w:rsidRPr="008D620A" w:rsidRDefault="008D620A" w:rsidP="008D620A">
      <w:r w:rsidRPr="008D620A">
        <w:t>Our hope is that we can provide a better, more comprehensive foundation for understanding our economy and our society in ways that inform, interact with and underpin our policy making at all levels, including for example the Employment White Paper, the Intergenerational Report, and the National Strategy to Achieve Gender Equality, as well as our approach to Closing the Gap and the Early Years Strategy.</w:t>
      </w:r>
    </w:p>
    <w:p w14:paraId="673FF768" w14:textId="5AB8D129" w:rsidR="008D620A" w:rsidRPr="008D620A" w:rsidRDefault="008D620A" w:rsidP="008D620A">
      <w:r w:rsidRPr="008D620A">
        <w:t>I</w:t>
      </w:r>
      <w:r w:rsidR="00135DEA">
        <w:t>’</w:t>
      </w:r>
      <w:r w:rsidRPr="008D620A">
        <w:t>m delighted with the level of engagement and encouragement we</w:t>
      </w:r>
      <w:r w:rsidR="00135DEA">
        <w:t>’</w:t>
      </w:r>
      <w:r w:rsidRPr="008D620A">
        <w:t>ve seen from around the country and around the world in recent years, as we worked towards this first wellbeing framework. I thank the hundreds of people and organisations who provided the submissions and participated in the roundtables that made it possible, my ministerial colleagues, and the dedicated Treasury team and officials from across the government who put it together.</w:t>
      </w:r>
    </w:p>
    <w:p w14:paraId="57253CB5" w14:textId="0DA939D8" w:rsidR="002E7E0C" w:rsidRPr="009764EE" w:rsidRDefault="003017DA" w:rsidP="00287842">
      <w:pPr>
        <w:spacing w:before="480"/>
        <w:rPr>
          <w:rFonts w:ascii="Calibri" w:hAnsi="Calibri" w:cs="Calibri"/>
        </w:rPr>
      </w:pPr>
      <w:r w:rsidRPr="009764EE">
        <w:rPr>
          <w:rFonts w:ascii="Calibri" w:hAnsi="Calibri" w:cs="Calibri"/>
          <w:noProof/>
        </w:rPr>
        <w:drawing>
          <wp:inline distT="0" distB="0" distL="0" distR="0" wp14:anchorId="5990E6E5" wp14:editId="521EE90F">
            <wp:extent cx="1360800" cy="1360800"/>
            <wp:effectExtent l="0" t="0" r="0" b="0"/>
            <wp:docPr id="8" name="Picture 8" descr="Image of the Hon Jim Chalmers MP,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Hon Jim Chalmers MP, Treasur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0800" cy="1360800"/>
                    </a:xfrm>
                    <a:prstGeom prst="rect">
                      <a:avLst/>
                    </a:prstGeom>
                    <a:noFill/>
                  </pic:spPr>
                </pic:pic>
              </a:graphicData>
            </a:graphic>
          </wp:inline>
        </w:drawing>
      </w:r>
    </w:p>
    <w:p w14:paraId="46DB4E36" w14:textId="181F3889" w:rsidR="00475085" w:rsidRPr="009764EE" w:rsidRDefault="00065A16" w:rsidP="00287842">
      <w:pPr>
        <w:spacing w:before="240"/>
        <w:rPr>
          <w:rFonts w:ascii="Calibri" w:hAnsi="Calibri" w:cs="Calibri"/>
          <w:b/>
        </w:rPr>
      </w:pPr>
      <w:r w:rsidRPr="009764EE">
        <w:rPr>
          <w:rFonts w:ascii="Calibri" w:hAnsi="Calibri" w:cs="Calibri"/>
        </w:rPr>
        <w:t xml:space="preserve">The Hon </w:t>
      </w:r>
      <w:r w:rsidR="00B2200E" w:rsidRPr="009764EE">
        <w:rPr>
          <w:rFonts w:ascii="Calibri" w:hAnsi="Calibri" w:cs="Calibri"/>
        </w:rPr>
        <w:t xml:space="preserve">Jim Chalmers </w:t>
      </w:r>
      <w:r w:rsidRPr="009764EE">
        <w:rPr>
          <w:rFonts w:ascii="Calibri" w:hAnsi="Calibri" w:cs="Calibri"/>
        </w:rPr>
        <w:t>MP</w:t>
      </w:r>
    </w:p>
    <w:p w14:paraId="13CB9208" w14:textId="61E8D5A5" w:rsidR="000B237E" w:rsidRDefault="00B2200E" w:rsidP="004E4E24">
      <w:pPr>
        <w:rPr>
          <w:rFonts w:ascii="Calibri" w:hAnsi="Calibri" w:cs="Calibri"/>
        </w:rPr>
      </w:pPr>
      <w:r w:rsidRPr="009764EE">
        <w:rPr>
          <w:rFonts w:ascii="Calibri" w:hAnsi="Calibri" w:cs="Calibri"/>
        </w:rPr>
        <w:t>Treasurer</w:t>
      </w:r>
      <w:bookmarkStart w:id="19" w:name="_Toc432067104"/>
      <w:bookmarkStart w:id="20" w:name="_Toc452635031"/>
    </w:p>
    <w:p w14:paraId="499E6F7D" w14:textId="77777777" w:rsidR="00E727E9" w:rsidRDefault="00E727E9" w:rsidP="004E4E24">
      <w:pPr>
        <w:rPr>
          <w:rFonts w:ascii="Calibri" w:hAnsi="Calibri" w:cs="Calibri"/>
        </w:rPr>
      </w:pPr>
    </w:p>
    <w:p w14:paraId="3C3721AE" w14:textId="1174D1B9" w:rsidR="00E727E9" w:rsidRDefault="00E727E9" w:rsidP="004E4E24">
      <w:pPr>
        <w:rPr>
          <w:rFonts w:ascii="Calibri" w:hAnsi="Calibri" w:cs="Calibri"/>
        </w:rPr>
        <w:sectPr w:rsidR="00E727E9" w:rsidSect="00DA302B">
          <w:headerReference w:type="even" r:id="rId26"/>
          <w:headerReference w:type="default" r:id="rId27"/>
          <w:footerReference w:type="even" r:id="rId28"/>
          <w:headerReference w:type="first" r:id="rId29"/>
          <w:footerReference w:type="first" r:id="rId30"/>
          <w:endnotePr>
            <w:numFmt w:val="decimal"/>
          </w:endnotePr>
          <w:pgSz w:w="11906" w:h="16838" w:code="9"/>
          <w:pgMar w:top="1843" w:right="1418" w:bottom="1418" w:left="1418" w:header="851" w:footer="851" w:gutter="0"/>
          <w:pgNumType w:start="1"/>
          <w:cols w:space="567"/>
          <w:docGrid w:linePitch="360"/>
        </w:sectPr>
      </w:pPr>
    </w:p>
    <w:p w14:paraId="284B0AC4" w14:textId="7ACD6A8F" w:rsidR="000B237E" w:rsidRDefault="000B237E" w:rsidP="00037C32">
      <w:pPr>
        <w:pStyle w:val="Heading1"/>
      </w:pPr>
      <w:bookmarkStart w:id="21" w:name="_Toc140164487"/>
      <w:bookmarkStart w:id="22" w:name="_Toc147497661"/>
      <w:r w:rsidRPr="009764EE">
        <w:lastRenderedPageBreak/>
        <w:t>Executive Summary</w:t>
      </w:r>
      <w:bookmarkEnd w:id="21"/>
      <w:bookmarkEnd w:id="22"/>
    </w:p>
    <w:p w14:paraId="1A928C6C" w14:textId="63AD091B" w:rsidR="0096493F" w:rsidRDefault="000B237E" w:rsidP="00037C32">
      <w:pPr>
        <w:pStyle w:val="IntrotextMWM"/>
        <w:rPr>
          <w:noProof/>
          <w:lang w:val="en-GB"/>
        </w:rPr>
      </w:pPr>
      <w:r w:rsidRPr="00D1307F">
        <w:t xml:space="preserve">To be sure of our progress towards a more healthy, secure, sustainable, cohesive and prosperous Australia, we need to measure it. This </w:t>
      </w:r>
      <w:r w:rsidR="00577DFC">
        <w:t>S</w:t>
      </w:r>
      <w:r w:rsidRPr="00D1307F">
        <w:t>tatement is our first attempt at outlining a framework that can help us to better understand how we</w:t>
      </w:r>
      <w:r w:rsidR="00135DEA">
        <w:t>’</w:t>
      </w:r>
      <w:r w:rsidRPr="00D1307F">
        <w:t>re tracking and inform how, as a country, we can make progress to improve wellbeing outcomes.</w:t>
      </w:r>
      <w:bookmarkStart w:id="23" w:name="_Toc138698323"/>
      <w:r w:rsidR="0096493F" w:rsidRPr="0096493F">
        <w:rPr>
          <w:noProof/>
          <w:lang w:val="en-GB"/>
        </w:rPr>
        <w:t xml:space="preserve"> </w:t>
      </w:r>
    </w:p>
    <w:p w14:paraId="528200EC" w14:textId="60684100" w:rsidR="000B237E" w:rsidRPr="00E570E5" w:rsidRDefault="0096493F" w:rsidP="0096493F">
      <w:pPr>
        <w:pStyle w:val="ChartGraphic"/>
      </w:pPr>
      <w:r w:rsidRPr="009764EE">
        <w:rPr>
          <w:noProof/>
          <w:lang w:val="en-GB"/>
        </w:rPr>
        <w:drawing>
          <wp:inline distT="0" distB="0" distL="0" distR="0" wp14:anchorId="53C127F9" wp14:editId="50394146">
            <wp:extent cx="2337865" cy="2340000"/>
            <wp:effectExtent l="0" t="0" r="5715" b="3175"/>
            <wp:docPr id="186513181" name="Picture 186513181" descr="The diagram is a circle comprising 5 colours representing the 5 themes around the words Measuring What Matters for all Australia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3181" name="Picture 186513181" descr="The diagram is a circle comprising 5 colours representing the 5 themes around the words Measuring What Matters for all Australians.">
                      <a:extLst>
                        <a:ext uri="{C183D7F6-B498-43B3-948B-1728B52AA6E4}">
                          <adec:decorative xmlns:adec="http://schemas.microsoft.com/office/drawing/2017/decorative" val="0"/>
                        </a:ext>
                      </a:extLst>
                    </pic:cNvPr>
                    <pic:cNvPicPr/>
                  </pic:nvPicPr>
                  <pic:blipFill rotWithShape="1">
                    <a:blip r:embed="rId31"/>
                    <a:srcRect l="7532" t="3420" r="4755" b="6277"/>
                    <a:stretch/>
                  </pic:blipFill>
                  <pic:spPr bwMode="auto">
                    <a:xfrm>
                      <a:off x="0" y="0"/>
                      <a:ext cx="2337865" cy="2340000"/>
                    </a:xfrm>
                    <a:prstGeom prst="rect">
                      <a:avLst/>
                    </a:prstGeom>
                    <a:ln>
                      <a:noFill/>
                    </a:ln>
                    <a:extLst>
                      <a:ext uri="{53640926-AAD7-44D8-BBD7-CCE9431645EC}">
                        <a14:shadowObscured xmlns:a14="http://schemas.microsoft.com/office/drawing/2010/main"/>
                      </a:ext>
                    </a:extLst>
                  </pic:spPr>
                </pic:pic>
              </a:graphicData>
            </a:graphic>
          </wp:inline>
        </w:drawing>
      </w:r>
      <w:bookmarkEnd w:id="23"/>
    </w:p>
    <w:bookmarkEnd w:id="19"/>
    <w:bookmarkEnd w:id="20"/>
    <w:p w14:paraId="39303073" w14:textId="77777777" w:rsidR="002D27F5" w:rsidRDefault="002D27F5" w:rsidP="00A77655"/>
    <w:p w14:paraId="4AE5E7AD" w14:textId="36E98F6E" w:rsidR="002D27F5" w:rsidRDefault="002D27F5" w:rsidP="00A77655">
      <w:pPr>
        <w:sectPr w:rsidR="002D27F5" w:rsidSect="00DA302B">
          <w:endnotePr>
            <w:numFmt w:val="decimal"/>
          </w:endnotePr>
          <w:pgSz w:w="11906" w:h="16838" w:code="9"/>
          <w:pgMar w:top="1843" w:right="1418" w:bottom="1418" w:left="1418" w:header="851" w:footer="851" w:gutter="0"/>
          <w:cols w:space="567"/>
          <w:docGrid w:linePitch="360"/>
        </w:sectPr>
      </w:pPr>
    </w:p>
    <w:p w14:paraId="2984E523" w14:textId="77777777" w:rsidR="002B3BE6" w:rsidRPr="009C5E79" w:rsidRDefault="002B3BE6" w:rsidP="00A77655">
      <w:pPr>
        <w:rPr>
          <w:spacing w:val="-2"/>
        </w:rPr>
      </w:pPr>
      <w:r w:rsidRPr="009C5E79">
        <w:rPr>
          <w:spacing w:val="-2"/>
        </w:rPr>
        <w:t>Traditional economic indicators have long been the focus of public debate and remain a vital part of measuring progress, but they are far from the whole story. Making use of additional metrics will deepen our understanding of how Australians are faring, support more informed discussions about what needs to be done to improve the lives of Australians and help better inform policy making across all levels of government.</w:t>
      </w:r>
    </w:p>
    <w:p w14:paraId="5EC7DF6C" w14:textId="77777777" w:rsidR="00F104C0" w:rsidRPr="009764EE" w:rsidRDefault="00F104C0" w:rsidP="00F104C0">
      <w:pPr>
        <w:pStyle w:val="Heading3"/>
        <w:rPr>
          <w:rFonts w:cs="Calibri"/>
          <w:szCs w:val="28"/>
        </w:rPr>
      </w:pPr>
      <w:bookmarkStart w:id="24" w:name="_Toc140164488"/>
      <w:r w:rsidRPr="009764EE">
        <w:rPr>
          <w:rFonts w:cs="Calibri"/>
        </w:rPr>
        <w:t>The</w:t>
      </w:r>
      <w:r w:rsidRPr="009764EE">
        <w:rPr>
          <w:rFonts w:cs="Calibri"/>
          <w:szCs w:val="28"/>
        </w:rPr>
        <w:t xml:space="preserve"> </w:t>
      </w:r>
      <w:r w:rsidRPr="00FB6842">
        <w:rPr>
          <w:rStyle w:val="Emphasis"/>
        </w:rPr>
        <w:t>Measuring What Matters</w:t>
      </w:r>
      <w:r w:rsidRPr="009764EE">
        <w:rPr>
          <w:rFonts w:cs="Calibri"/>
          <w:szCs w:val="28"/>
        </w:rPr>
        <w:t xml:space="preserve"> Framework</w:t>
      </w:r>
    </w:p>
    <w:p w14:paraId="34D30D0C" w14:textId="5540A3E1" w:rsidR="00F104C0" w:rsidRDefault="00F104C0" w:rsidP="00A77655">
      <w:r w:rsidRPr="00242443">
        <w:t>The Measuring What Matters Framework (the Framework) has been developed through extensive research and consultation to identify the best available indicators of Australia</w:t>
      </w:r>
      <w:r w:rsidR="00135DEA">
        <w:t>’</w:t>
      </w:r>
      <w:r w:rsidRPr="00242443">
        <w:t>s wellbeing. The consultation process, which included over 280 submissions from people and organisations and more than</w:t>
      </w:r>
      <w:r>
        <w:t xml:space="preserve"> </w:t>
      </w:r>
      <w:r w:rsidRPr="00242443">
        <w:t>65 meetings, including with other countries and international organisations, has informed the Framework with five wellbeing themes:</w:t>
      </w:r>
    </w:p>
    <w:p w14:paraId="1FA864E5" w14:textId="77777777" w:rsidR="00F104C0" w:rsidRPr="009764EE" w:rsidRDefault="00F104C0" w:rsidP="00F31738">
      <w:pPr>
        <w:pStyle w:val="Bullet"/>
      </w:pPr>
      <w:r w:rsidRPr="009764EE">
        <w:rPr>
          <w:b/>
        </w:rPr>
        <w:t>Healthy:</w:t>
      </w:r>
      <w:r w:rsidRPr="009764EE">
        <w:t xml:space="preserve"> </w:t>
      </w:r>
      <w:r w:rsidRPr="00570CDD">
        <w:t xml:space="preserve">A society in which people feel well and are in good physical and mental health, can access services when they need, and </w:t>
      </w:r>
      <w:r w:rsidRPr="00570CDD">
        <w:t>have the information they require to take action to improve their health.</w:t>
      </w:r>
    </w:p>
    <w:p w14:paraId="1A336F60" w14:textId="77777777" w:rsidR="00F104C0" w:rsidRDefault="00F104C0" w:rsidP="00F31738">
      <w:pPr>
        <w:pStyle w:val="Bullet"/>
      </w:pPr>
      <w:r w:rsidRPr="0038140D">
        <w:rPr>
          <w:b/>
        </w:rPr>
        <w:t>Secure:</w:t>
      </w:r>
      <w:r w:rsidRPr="0038140D">
        <w:t xml:space="preserve"> A society where people live peacefully, feel safe, have financial security and access to housing.</w:t>
      </w:r>
    </w:p>
    <w:p w14:paraId="4244629B" w14:textId="77777777" w:rsidR="00F104C0" w:rsidRPr="004F57A1" w:rsidRDefault="00F104C0" w:rsidP="00F31738">
      <w:pPr>
        <w:pStyle w:val="Bullet"/>
      </w:pPr>
      <w:r w:rsidRPr="0038140D">
        <w:rPr>
          <w:b/>
        </w:rPr>
        <w:t>Sustainable:</w:t>
      </w:r>
      <w:r w:rsidRPr="0038140D">
        <w:t xml:space="preserve"> </w:t>
      </w:r>
      <w:r w:rsidRPr="004F57A1">
        <w:t xml:space="preserve">A society that </w:t>
      </w:r>
      <w:r w:rsidRPr="007A1CCA">
        <w:t>sustainably</w:t>
      </w:r>
      <w:r w:rsidRPr="004F57A1">
        <w:t xml:space="preserve"> uses natural and financial resources, protects and repairs the environment and builds resilience to combat challenges.</w:t>
      </w:r>
    </w:p>
    <w:p w14:paraId="5487BF01" w14:textId="77777777" w:rsidR="00F104C0" w:rsidRPr="00525F4A" w:rsidRDefault="00F104C0" w:rsidP="00F31738">
      <w:pPr>
        <w:pStyle w:val="Bullet"/>
      </w:pPr>
      <w:r w:rsidRPr="009764EE">
        <w:rPr>
          <w:b/>
        </w:rPr>
        <w:t>Cohesive:</w:t>
      </w:r>
      <w:r w:rsidRPr="009764EE">
        <w:t xml:space="preserve"> </w:t>
      </w:r>
      <w:r w:rsidRPr="00525F4A">
        <w:t>A society that supports connections with family, friends and the community, values diversity, and promotes belonging and culture.</w:t>
      </w:r>
    </w:p>
    <w:p w14:paraId="76B77C60" w14:textId="28D5F102" w:rsidR="00F104C0" w:rsidRPr="009764EE" w:rsidRDefault="00F104C0" w:rsidP="00F31738">
      <w:pPr>
        <w:pStyle w:val="Bullet"/>
      </w:pPr>
      <w:r w:rsidRPr="009764EE">
        <w:rPr>
          <w:b/>
        </w:rPr>
        <w:t>Prosperous:</w:t>
      </w:r>
      <w:r w:rsidRPr="009764EE">
        <w:t xml:space="preserve"> </w:t>
      </w:r>
      <w:r w:rsidRPr="00A724EA">
        <w:t>A society that has a dynamic, strong economy, invests in people</w:t>
      </w:r>
      <w:r w:rsidR="00135DEA">
        <w:t>’</w:t>
      </w:r>
      <w:r w:rsidRPr="00A724EA">
        <w:t>s skills and education, and provides broad opportunities for employment and well</w:t>
      </w:r>
      <w:r w:rsidR="00135DEA">
        <w:noBreakHyphen/>
      </w:r>
      <w:r w:rsidRPr="00A724EA">
        <w:t>paid, secure jobs.</w:t>
      </w:r>
    </w:p>
    <w:p w14:paraId="782B681B" w14:textId="3418977D" w:rsidR="00F104C0" w:rsidRPr="00DC72FD" w:rsidRDefault="00F104C0" w:rsidP="00F104C0">
      <w:r w:rsidRPr="00DC72FD">
        <w:t>We need to pursue good outcomes in all of these themes if we</w:t>
      </w:r>
      <w:r w:rsidR="00135DEA">
        <w:t>’</w:t>
      </w:r>
      <w:r w:rsidRPr="00DC72FD">
        <w:t>re to succeed in creating a society in which all Australians can thrive.</w:t>
      </w:r>
    </w:p>
    <w:p w14:paraId="3445D01E" w14:textId="0E15C44A" w:rsidR="00F104C0" w:rsidRPr="00DC72FD" w:rsidRDefault="00F104C0" w:rsidP="00F104C0">
      <w:r w:rsidRPr="00DC72FD">
        <w:t>Our consultations also underscored the importance of inclusion, equity and fairness which are relevant to outcomes across all five</w:t>
      </w:r>
      <w:r w:rsidR="009C5E79">
        <w:t> </w:t>
      </w:r>
      <w:r w:rsidRPr="00DC72FD">
        <w:t>themes.</w:t>
      </w:r>
    </w:p>
    <w:p w14:paraId="754DCF8F" w14:textId="77777777" w:rsidR="00F104C0" w:rsidRPr="00DC72FD" w:rsidRDefault="00F104C0" w:rsidP="00F104C0">
      <w:r w:rsidRPr="00DC72FD">
        <w:lastRenderedPageBreak/>
        <w:t>These themes of the Framework are supported by 12 dimensions that describe aspects of the wellbeing themes and 50 key indicators, to monitor and track progress, which will be updated over time. The indicators have been selected for having consistent, comparable and reliable data, including logical alignment with available indicators already captured through existing strategies and plans.</w:t>
      </w:r>
    </w:p>
    <w:p w14:paraId="452097C9" w14:textId="3150D531" w:rsidR="00F104C0" w:rsidRPr="009764EE" w:rsidRDefault="00F104C0" w:rsidP="00F104C0">
      <w:r w:rsidRPr="00DC72FD">
        <w:t>Just like other countries around the world, Australia</w:t>
      </w:r>
      <w:r w:rsidR="00135DEA">
        <w:t>’</w:t>
      </w:r>
      <w:r w:rsidRPr="00DC72FD">
        <w:t>s approach to Measuring What Matters will be an iterative, ongoing one</w:t>
      </w:r>
      <w:r w:rsidR="001524A0">
        <w:t xml:space="preserve"> – </w:t>
      </w:r>
      <w:r w:rsidRPr="00DC72FD">
        <w:t xml:space="preserve">moulded through continuous conversation </w:t>
      </w:r>
      <w:r w:rsidRPr="00AE767D">
        <w:t>with the community and developments in how we collect and capture data. As part of this process, we will take feedback on how often the statement should be released.</w:t>
      </w:r>
      <w:r>
        <w:t xml:space="preserve"> </w:t>
      </w:r>
    </w:p>
    <w:p w14:paraId="0E6BD729" w14:textId="77777777" w:rsidR="00F104C0" w:rsidRPr="001410C0" w:rsidRDefault="00F104C0" w:rsidP="00F104C0">
      <w:r w:rsidRPr="001410C0">
        <w:t>Current indicators are available on an online dashboard which will be updated annually, and Appendix A discusses potential opportunities to improve the indicators.</w:t>
      </w:r>
    </w:p>
    <w:p w14:paraId="5A29EAE7" w14:textId="3ED422BB" w:rsidR="00F104C0" w:rsidRPr="001410C0" w:rsidRDefault="00314667" w:rsidP="00F104C0">
      <w:r>
        <w:br w:type="column"/>
      </w:r>
      <w:r w:rsidR="00F104C0" w:rsidRPr="001410C0">
        <w:t>As we refine our approach in future statements, the Government will also consider ways to better link policy decisions with consideration of wellbeing metrics and the broad set of considerations captured in this Framework. The impact of the Framework should also extend beyond the public sector, shaping the community</w:t>
      </w:r>
      <w:r w:rsidR="00135DEA">
        <w:t>’</w:t>
      </w:r>
      <w:r w:rsidR="00F104C0" w:rsidRPr="001410C0">
        <w:t>s understanding of Australia</w:t>
      </w:r>
      <w:r w:rsidR="00135DEA">
        <w:t>’</w:t>
      </w:r>
      <w:r w:rsidR="00F104C0" w:rsidRPr="001410C0">
        <w:t>s wellbeing and highlighting opportunities for improvement.</w:t>
      </w:r>
    </w:p>
    <w:p w14:paraId="152583CD" w14:textId="77777777" w:rsidR="00F104C0" w:rsidRDefault="00F104C0" w:rsidP="00F104C0">
      <w:r w:rsidRPr="001410C0">
        <w:t>By providing an overarching national framework for understanding and tracking wellbeing outcomes, the Government hopes that this statement will underpin the broader efforts of business, community groups and others, to deliver better outcomes and opportunities for Australians.</w:t>
      </w:r>
      <w:r>
        <w:t xml:space="preserve"> </w:t>
      </w:r>
    </w:p>
    <w:p w14:paraId="29D2F6C3" w14:textId="77777777" w:rsidR="00515B31" w:rsidRDefault="00515B31" w:rsidP="00515B31">
      <w:pPr>
        <w:pStyle w:val="SingleParagraph"/>
      </w:pPr>
    </w:p>
    <w:tbl>
      <w:tblPr>
        <w:tblStyle w:val="Style1"/>
        <w:tblW w:w="5000" w:type="pct"/>
        <w:tblLook w:val="0620" w:firstRow="1" w:lastRow="0" w:firstColumn="0" w:lastColumn="0" w:noHBand="1" w:noVBand="1"/>
      </w:tblPr>
      <w:tblGrid>
        <w:gridCol w:w="4251"/>
      </w:tblGrid>
      <w:tr w:rsidR="00F104C0" w14:paraId="33E02790" w14:textId="77777777" w:rsidTr="0096493F">
        <w:trPr>
          <w:cnfStyle w:val="100000000000" w:firstRow="1" w:lastRow="0" w:firstColumn="0" w:lastColumn="0" w:oddVBand="0" w:evenVBand="0" w:oddHBand="0" w:evenHBand="0" w:firstRowFirstColumn="0" w:firstRowLastColumn="0" w:lastRowFirstColumn="0" w:lastRowLastColumn="0"/>
        </w:trPr>
        <w:tc>
          <w:tcPr>
            <w:tcW w:w="5000" w:type="pct"/>
            <w:hideMark/>
          </w:tcPr>
          <w:p w14:paraId="5B3E07D1" w14:textId="77777777" w:rsidR="00F104C0" w:rsidRPr="004F431E" w:rsidRDefault="00F104C0" w:rsidP="004F431E">
            <w:pPr>
              <w:pStyle w:val="BoxHeading"/>
            </w:pPr>
            <w:r w:rsidRPr="004F431E">
              <w:t>View the online dashboard</w:t>
            </w:r>
          </w:p>
          <w:p w14:paraId="75BECD8A" w14:textId="5B78CF32" w:rsidR="00F104C0" w:rsidRDefault="00F104C0" w:rsidP="0096493F">
            <w:pPr>
              <w:pStyle w:val="BoxText"/>
              <w:rPr>
                <w:lang w:eastAsia="en-US"/>
              </w:rPr>
            </w:pPr>
            <w:r w:rsidRPr="003169AF">
              <w:rPr>
                <w:lang w:eastAsia="en-US"/>
              </w:rPr>
              <w:t>https://treasury.gov.au/policy</w:t>
            </w:r>
            <w:r w:rsidR="00135DEA">
              <w:rPr>
                <w:lang w:eastAsia="en-US"/>
              </w:rPr>
              <w:noBreakHyphen/>
            </w:r>
            <w:r w:rsidRPr="003169AF">
              <w:rPr>
                <w:lang w:eastAsia="en-US"/>
              </w:rPr>
              <w:t>topics/ measuring</w:t>
            </w:r>
            <w:r w:rsidR="00135DEA">
              <w:rPr>
                <w:lang w:eastAsia="en-US"/>
              </w:rPr>
              <w:noBreakHyphen/>
            </w:r>
            <w:r w:rsidRPr="003169AF">
              <w:rPr>
                <w:lang w:eastAsia="en-US"/>
              </w:rPr>
              <w:t>what</w:t>
            </w:r>
            <w:r w:rsidR="00135DEA">
              <w:rPr>
                <w:lang w:eastAsia="en-US"/>
              </w:rPr>
              <w:noBreakHyphen/>
            </w:r>
            <w:r w:rsidRPr="003169AF">
              <w:rPr>
                <w:lang w:eastAsia="en-US"/>
              </w:rPr>
              <w:t>matters/dashboard</w:t>
            </w:r>
            <w:r>
              <w:rPr>
                <w:lang w:eastAsia="en-US"/>
              </w:rPr>
              <w:t xml:space="preserve"> </w:t>
            </w:r>
          </w:p>
        </w:tc>
      </w:tr>
    </w:tbl>
    <w:p w14:paraId="5EC8BCAC" w14:textId="77777777" w:rsidR="004F431E" w:rsidRDefault="004F431E" w:rsidP="00BF6823">
      <w:pPr>
        <w:pStyle w:val="SingleParagraph"/>
      </w:pPr>
    </w:p>
    <w:p w14:paraId="2C259979" w14:textId="52FD7EBE" w:rsidR="004F431E" w:rsidRDefault="004F431E" w:rsidP="004F431E">
      <w:pPr>
        <w:sectPr w:rsidR="004F431E" w:rsidSect="006E64B8">
          <w:footerReference w:type="default" r:id="rId32"/>
          <w:endnotePr>
            <w:numFmt w:val="decimal"/>
          </w:endnotePr>
          <w:type w:val="continuous"/>
          <w:pgSz w:w="11906" w:h="16838" w:code="9"/>
          <w:pgMar w:top="1843" w:right="1418" w:bottom="1418" w:left="1418" w:header="851" w:footer="851" w:gutter="0"/>
          <w:cols w:num="2" w:space="567"/>
          <w:docGrid w:linePitch="360"/>
        </w:sectPr>
      </w:pPr>
    </w:p>
    <w:p w14:paraId="5A3EE9DD" w14:textId="337B0A8E" w:rsidR="000B237E" w:rsidRPr="009764EE" w:rsidRDefault="000B237E" w:rsidP="00037C32">
      <w:pPr>
        <w:pStyle w:val="Heading1"/>
      </w:pPr>
      <w:bookmarkStart w:id="25" w:name="_Toc147497662"/>
      <w:r w:rsidRPr="009764EE" w:rsidDel="00DA5B20">
        <w:lastRenderedPageBreak/>
        <w:t>Measuring What Matters</w:t>
      </w:r>
      <w:bookmarkEnd w:id="24"/>
      <w:bookmarkEnd w:id="25"/>
    </w:p>
    <w:p w14:paraId="5A3A820D" w14:textId="77777777" w:rsidR="00DF5D0E" w:rsidRDefault="000B237E" w:rsidP="00037C32">
      <w:pPr>
        <w:pStyle w:val="IntrotextMWM"/>
      </w:pPr>
      <w:r w:rsidRPr="008A056C">
        <w:t>Measures beyond Gross Domestic Product (GDP), employment and other traditional economic indicators capture what is important to people, communities, and the country both now and in the future. The way we measure wellbeing drives public discussions and influences how we drive progress. The Framework can help inform discussions of the type of society we want to live in and how that may be achieved.</w:t>
      </w:r>
    </w:p>
    <w:p w14:paraId="3A9E9A21" w14:textId="119C0A9C" w:rsidR="000B237E" w:rsidRDefault="000B237E" w:rsidP="009C5E79"/>
    <w:p w14:paraId="55B7F0F7" w14:textId="77777777" w:rsidR="00190D61" w:rsidRPr="009764EE" w:rsidRDefault="00190D61" w:rsidP="009C5E79">
      <w:pPr>
        <w:sectPr w:rsidR="00190D61" w:rsidRPr="009764EE" w:rsidSect="00DA302B">
          <w:endnotePr>
            <w:numFmt w:val="decimal"/>
          </w:endnotePr>
          <w:pgSz w:w="11906" w:h="16838" w:code="9"/>
          <w:pgMar w:top="1843" w:right="1418" w:bottom="1418" w:left="1418" w:header="851" w:footer="851" w:gutter="0"/>
          <w:cols w:space="567"/>
          <w:docGrid w:linePitch="360"/>
        </w:sectPr>
      </w:pPr>
      <w:bookmarkStart w:id="26" w:name="_Toc138953857"/>
      <w:bookmarkStart w:id="27" w:name="_Toc138959695"/>
      <w:bookmarkStart w:id="28" w:name="_Toc138953859"/>
      <w:bookmarkStart w:id="29" w:name="_Toc138959697"/>
      <w:bookmarkStart w:id="30" w:name="_Toc138953860"/>
      <w:bookmarkStart w:id="31" w:name="_Toc138959698"/>
      <w:bookmarkEnd w:id="26"/>
      <w:bookmarkEnd w:id="27"/>
      <w:bookmarkEnd w:id="28"/>
      <w:bookmarkEnd w:id="29"/>
      <w:bookmarkEnd w:id="30"/>
      <w:bookmarkEnd w:id="31"/>
    </w:p>
    <w:p w14:paraId="6E891244" w14:textId="1DBB3FC0" w:rsidR="00ED7D9B" w:rsidRPr="00ED7D9B" w:rsidRDefault="00ED7D9B" w:rsidP="00ED7D9B">
      <w:r w:rsidRPr="00ED7D9B">
        <w:t>Traditional economic measures</w:t>
      </w:r>
      <w:r w:rsidR="001524A0">
        <w:t xml:space="preserve"> – </w:t>
      </w:r>
      <w:r w:rsidRPr="00ED7D9B">
        <w:t>such as GDP, inflation and employment</w:t>
      </w:r>
      <w:r w:rsidR="001524A0">
        <w:t xml:space="preserve"> – </w:t>
      </w:r>
      <w:r w:rsidRPr="00ED7D9B">
        <w:t>capture significant aspects of national wellbeing, including our overall prosperity and living standards. It is right that they receive significant attention.</w:t>
      </w:r>
    </w:p>
    <w:p w14:paraId="4A552E1B" w14:textId="15E61EF5" w:rsidR="00ED7D9B" w:rsidRPr="00ED7D9B" w:rsidRDefault="00ED7D9B" w:rsidP="00ED7D9B">
      <w:r w:rsidRPr="00ED7D9B">
        <w:t>But they are not the only factors that determine wellbeing in Australian society. For example, economic measures do not always adequately incorporate social or environmental outcomes, capture domestic and international risks, or show whether all</w:t>
      </w:r>
      <w:r w:rsidR="006404CB">
        <w:t xml:space="preserve"> </w:t>
      </w:r>
      <w:r w:rsidRPr="00ED7D9B">
        <w:t>Australians can access opportunities. It is also important to recognise that improvement in some of these broader measures</w:t>
      </w:r>
      <w:r w:rsidR="001524A0">
        <w:t xml:space="preserve"> – </w:t>
      </w:r>
      <w:r w:rsidRPr="00ED7D9B">
        <w:t>such as health outcomes</w:t>
      </w:r>
      <w:r w:rsidR="001524A0">
        <w:t xml:space="preserve"> – </w:t>
      </w:r>
      <w:r w:rsidRPr="00ED7D9B">
        <w:t>also support improved economic prosperity.</w:t>
      </w:r>
    </w:p>
    <w:p w14:paraId="40D68F49" w14:textId="5D359F11" w:rsidR="00ED7D9B" w:rsidRPr="00ED7D9B" w:rsidRDefault="00ED7D9B" w:rsidP="00ED7D9B">
      <w:r w:rsidRPr="00ED7D9B">
        <w:t xml:space="preserve">Internationally, governments have been slowly but increasingly recognising the value of broader measures of wellbeing. Countries such as Scotland, Wales, Canada, </w:t>
      </w:r>
      <w:r w:rsidR="001524A0">
        <w:t>New Zealand</w:t>
      </w:r>
      <w:r w:rsidRPr="00ED7D9B">
        <w:t xml:space="preserve"> and Germany have used wellbeing frameworks to raise the profile of non</w:t>
      </w:r>
      <w:r w:rsidR="00135DEA">
        <w:noBreakHyphen/>
      </w:r>
      <w:r w:rsidRPr="00ED7D9B">
        <w:t>economic outcomes and to improve policy making.</w:t>
      </w:r>
    </w:p>
    <w:p w14:paraId="7AB6103F" w14:textId="3E30E807" w:rsidR="00ED7D9B" w:rsidRPr="00ED7D9B" w:rsidRDefault="00ED7D9B" w:rsidP="00ED7D9B">
      <w:r w:rsidRPr="00ED7D9B">
        <w:t>Australia has played a significant role in shaping global dialogue and international frameworks, including through our commitment to the United Nations 2030 Agenda for Sustainable Development, including the Sustainable Development Goals, and the Organisation for Economic Co</w:t>
      </w:r>
      <w:r w:rsidR="00135DEA">
        <w:noBreakHyphen/>
      </w:r>
      <w:r w:rsidRPr="00ED7D9B">
        <w:t>operation and Development (OECD)</w:t>
      </w:r>
      <w:r w:rsidR="001D2F84">
        <w:t xml:space="preserve"> </w:t>
      </w:r>
      <w:r w:rsidRPr="00ED7D9B">
        <w:t>frameworks. Appendix B provides an overview of international developments.</w:t>
      </w:r>
    </w:p>
    <w:p w14:paraId="7A3E7256" w14:textId="71FAC69E" w:rsidR="00ED7D9B" w:rsidRPr="00ED7D9B" w:rsidRDefault="00314667" w:rsidP="00ED7D9B">
      <w:r>
        <w:br w:type="column"/>
      </w:r>
      <w:r w:rsidR="00ED7D9B" w:rsidRPr="00ED7D9B">
        <w:t>Across Australia, some states and territories have also developed frameworks that acknowledge the breadth of what matters to their citizens. A national approach will complement these efforts, help us better understand our society, and support more informed policy making.</w:t>
      </w:r>
    </w:p>
    <w:p w14:paraId="38413F63" w14:textId="041498A5" w:rsidR="008259FE" w:rsidRPr="009764EE" w:rsidRDefault="00ED7D9B" w:rsidP="00ED7D9B">
      <w:r w:rsidRPr="00ED7D9B">
        <w:t>The way we measure wellbeing drives public discussions and brings attention to how we are progressing in areas valued by the community that are important for longer</w:t>
      </w:r>
      <w:r w:rsidR="00135DEA">
        <w:noBreakHyphen/>
      </w:r>
      <w:r w:rsidRPr="00ED7D9B">
        <w:t>term prosperity. That is why the Government is committed to refining the</w:t>
      </w:r>
      <w:r w:rsidR="00076A73">
        <w:t xml:space="preserve"> </w:t>
      </w:r>
      <w:r w:rsidRPr="00ED7D9B">
        <w:t>Framework over time, so that we properly take account of changing public perspectives, and developments in how we collect, analyse and use data</w:t>
      </w:r>
      <w:r w:rsidR="004C0C7C" w:rsidRPr="009764EE">
        <w:t>.</w:t>
      </w:r>
    </w:p>
    <w:p w14:paraId="566DE105" w14:textId="77777777" w:rsidR="00927ABD" w:rsidRDefault="00927ABD" w:rsidP="00B8112E">
      <w:bookmarkStart w:id="32" w:name="_Toc136937107"/>
    </w:p>
    <w:p w14:paraId="2F0511C4" w14:textId="3CC7C218" w:rsidR="00515B31" w:rsidRPr="009764EE" w:rsidRDefault="00515B31" w:rsidP="00B8112E">
      <w:pPr>
        <w:sectPr w:rsidR="00515B31" w:rsidRPr="009764EE" w:rsidSect="00DA302B">
          <w:endnotePr>
            <w:numFmt w:val="decimal"/>
          </w:endnotePr>
          <w:type w:val="continuous"/>
          <w:pgSz w:w="11906" w:h="16838" w:code="9"/>
          <w:pgMar w:top="1843" w:right="1418" w:bottom="1418" w:left="1418" w:header="851" w:footer="851" w:gutter="0"/>
          <w:cols w:num="2" w:space="567"/>
          <w:docGrid w:linePitch="360"/>
        </w:sectPr>
      </w:pPr>
    </w:p>
    <w:p w14:paraId="3B2BCD57" w14:textId="6450599B" w:rsidR="00D4063A" w:rsidRPr="009764EE" w:rsidRDefault="00D4063A" w:rsidP="00037C32">
      <w:pPr>
        <w:pStyle w:val="Heading1"/>
        <w:rPr>
          <w:szCs w:val="40"/>
        </w:rPr>
      </w:pPr>
      <w:bookmarkStart w:id="33" w:name="_Toc138629867"/>
      <w:bookmarkStart w:id="34" w:name="_Toc147497663"/>
      <w:bookmarkStart w:id="35" w:name="_Hlk142484922"/>
      <w:bookmarkStart w:id="36" w:name="_Toc140164489"/>
      <w:bookmarkEnd w:id="32"/>
      <w:bookmarkEnd w:id="33"/>
      <w:r w:rsidRPr="009764EE" w:rsidDel="007C37FC">
        <w:lastRenderedPageBreak/>
        <w:t xml:space="preserve">Understanding </w:t>
      </w:r>
      <w:r w:rsidRPr="009764EE">
        <w:t xml:space="preserve">What Matters </w:t>
      </w:r>
      <w:r w:rsidRPr="009764EE" w:rsidDel="007C37FC">
        <w:t xml:space="preserve">to </w:t>
      </w:r>
      <w:r w:rsidRPr="009764EE">
        <w:t>A</w:t>
      </w:r>
      <w:r w:rsidRPr="009764EE" w:rsidDel="007C37FC">
        <w:t>ustralians</w:t>
      </w:r>
      <w:bookmarkEnd w:id="34"/>
    </w:p>
    <w:p w14:paraId="767B9B69" w14:textId="3D358948" w:rsidR="00D4063A" w:rsidRDefault="00D4063A" w:rsidP="00037C32">
      <w:pPr>
        <w:pStyle w:val="IntrotextMWM"/>
      </w:pPr>
      <w:r w:rsidRPr="00347CF9">
        <w:t>Australians told us that a broad and diverse set of factors are important to their wellbeing, and this Framework reflects that. The Framework is based on public consultations and the findings of other national and international wellbeing frameworks.</w:t>
      </w:r>
      <w:bookmarkEnd w:id="35"/>
    </w:p>
    <w:p w14:paraId="4EE640B5" w14:textId="77777777" w:rsidR="008127A0" w:rsidRDefault="008127A0" w:rsidP="008127A0"/>
    <w:bookmarkEnd w:id="36"/>
    <w:p w14:paraId="2F01C882" w14:textId="481017F8" w:rsidR="00347CF9" w:rsidRPr="009764EE" w:rsidRDefault="00347CF9" w:rsidP="00B8112E">
      <w:pPr>
        <w:sectPr w:rsidR="00347CF9" w:rsidRPr="009764EE" w:rsidSect="00DA302B">
          <w:endnotePr>
            <w:numFmt w:val="decimal"/>
          </w:endnotePr>
          <w:pgSz w:w="11906" w:h="16838" w:code="9"/>
          <w:pgMar w:top="1843" w:right="1418" w:bottom="1418" w:left="1418" w:header="851" w:footer="851" w:gutter="0"/>
          <w:cols w:space="567"/>
          <w:docGrid w:linePitch="360"/>
        </w:sectPr>
      </w:pPr>
    </w:p>
    <w:p w14:paraId="6622E6C0" w14:textId="72113E66" w:rsidR="00A61B1A" w:rsidRPr="00A61B1A" w:rsidRDefault="00A61B1A" w:rsidP="00A61B1A">
      <w:r w:rsidRPr="00A61B1A">
        <w:t>The 2022</w:t>
      </w:r>
      <w:r w:rsidR="00151999">
        <w:t>–</w:t>
      </w:r>
      <w:r w:rsidRPr="00A61B1A">
        <w:t xml:space="preserve">23 October Budget explored what we can learn from international approaches to </w:t>
      </w:r>
      <w:r w:rsidRPr="00FB6842">
        <w:rPr>
          <w:rStyle w:val="Emphasis"/>
        </w:rPr>
        <w:t>Measuring What Matters</w:t>
      </w:r>
      <w:r w:rsidRPr="00A61B1A">
        <w:t>. It found that progress and wellbeing frameworks typically include a suite of objectives and indicators to monitor them, developed through extensive consultation over time.</w:t>
      </w:r>
    </w:p>
    <w:p w14:paraId="63FB354E" w14:textId="0D078372" w:rsidR="00A61B1A" w:rsidRPr="00A61B1A" w:rsidRDefault="00A61B1A" w:rsidP="00A61B1A">
      <w:r w:rsidRPr="00A61B1A">
        <w:t>Australia has a strong history of incorporating measurements of progress into policy making. Past efforts include the Treasury Wellbeing Framework and the Australian Bureau of Statistics</w:t>
      </w:r>
      <w:r w:rsidR="00135DEA">
        <w:t>’</w:t>
      </w:r>
      <w:r w:rsidRPr="00A61B1A">
        <w:t xml:space="preserve"> (ABS) Measures of Australia</w:t>
      </w:r>
      <w:r w:rsidR="00135DEA">
        <w:t>’</w:t>
      </w:r>
      <w:r w:rsidRPr="00A61B1A">
        <w:t>s Progress. A new integrated Framework will help us to build on these past efforts and complement other initiatives, such as the National Agreement on Closing the Gap and State of the Environment reports.</w:t>
      </w:r>
    </w:p>
    <w:p w14:paraId="3738DE35" w14:textId="66C5E30C" w:rsidR="00A61B1A" w:rsidRPr="00A61B1A" w:rsidRDefault="00A61B1A" w:rsidP="00A61B1A">
      <w:r w:rsidRPr="00A61B1A">
        <w:t>The OECD Framework for Measuring Well</w:t>
      </w:r>
      <w:r w:rsidR="00135DEA">
        <w:noBreakHyphen/>
      </w:r>
      <w:r w:rsidRPr="00A61B1A">
        <w:t>being and Progress and the UN Sustainable Development Goals have provided a useful foundation for Australia</w:t>
      </w:r>
      <w:r w:rsidR="00135DEA">
        <w:t>’</w:t>
      </w:r>
      <w:r w:rsidRPr="00A61B1A">
        <w:t>s Framework, which has been tailored to our own circumstances.</w:t>
      </w:r>
    </w:p>
    <w:p w14:paraId="09AE0403" w14:textId="77777777" w:rsidR="00932D3F" w:rsidRPr="009764EE" w:rsidRDefault="00932D3F" w:rsidP="00932D3F">
      <w:pPr>
        <w:pStyle w:val="Heading3"/>
        <w:rPr>
          <w:rFonts w:cs="Calibri"/>
        </w:rPr>
      </w:pPr>
      <w:r w:rsidRPr="009764EE">
        <w:rPr>
          <w:rFonts w:cs="Calibri"/>
        </w:rPr>
        <w:t>Consultation process</w:t>
      </w:r>
    </w:p>
    <w:p w14:paraId="48F7DE69" w14:textId="77777777" w:rsidR="00815C18" w:rsidRPr="00815C18" w:rsidRDefault="00815C18" w:rsidP="00815C18">
      <w:r w:rsidRPr="00815C18">
        <w:t>The Government has listened to the views of a broad range of people to capture the diversity of what different parts of our community value. This has involved discussions with various levels of government, private organisations, community groups, people, and international bodies. See Appendix C for a list of formal submissions.</w:t>
      </w:r>
    </w:p>
    <w:p w14:paraId="4435BC5B" w14:textId="45F5DB48" w:rsidR="00AD0E33" w:rsidRPr="00AD0E33" w:rsidRDefault="009C5E79" w:rsidP="00AD0E33">
      <w:r>
        <w:br w:type="column"/>
      </w:r>
      <w:r w:rsidR="00AD0E33" w:rsidRPr="00AD0E33">
        <w:t>The process has also included two phases of public consultation.</w:t>
      </w:r>
    </w:p>
    <w:p w14:paraId="5C87DACE" w14:textId="4DE98760" w:rsidR="00AD0E33" w:rsidRPr="001461C7" w:rsidRDefault="00AD0E33" w:rsidP="004077C6">
      <w:pPr>
        <w:pStyle w:val="Bullet"/>
      </w:pPr>
      <w:r w:rsidRPr="009F168B">
        <w:t xml:space="preserve">The </w:t>
      </w:r>
      <w:r w:rsidRPr="001461C7">
        <w:t>first submission process commenced with the 2022</w:t>
      </w:r>
      <w:r w:rsidR="00151999">
        <w:t>–</w:t>
      </w:r>
      <w:r w:rsidRPr="001461C7">
        <w:t>23 October Budget and ran to 31 January 2023. 165</w:t>
      </w:r>
      <w:r w:rsidR="001461C7" w:rsidRPr="001461C7">
        <w:t xml:space="preserve"> </w:t>
      </w:r>
      <w:r w:rsidRPr="001461C7">
        <w:t xml:space="preserve">submissions were received in this initial phase. </w:t>
      </w:r>
    </w:p>
    <w:p w14:paraId="62E1F251" w14:textId="0FA53053" w:rsidR="00AD0E33" w:rsidRPr="009F168B" w:rsidRDefault="00AD0E33" w:rsidP="004077C6">
      <w:pPr>
        <w:pStyle w:val="Bullet"/>
      </w:pPr>
      <w:r w:rsidRPr="001461C7">
        <w:t>The second phase of public consultation ran from</w:t>
      </w:r>
      <w:r w:rsidRPr="009F168B">
        <w:t xml:space="preserve"> 14 April to 26 May 2023 and sought feedback on the emerging wellbeing themes. Around</w:t>
      </w:r>
      <w:r w:rsidR="00FA2A66">
        <w:t xml:space="preserve"> </w:t>
      </w:r>
      <w:r w:rsidRPr="009F168B">
        <w:t>120</w:t>
      </w:r>
      <w:r w:rsidR="00FD36F4">
        <w:t xml:space="preserve"> </w:t>
      </w:r>
      <w:r w:rsidRPr="009F168B">
        <w:t>submissions were received. As part of this phase, community groups, members of parliament and other organisations were asked to hold meetings to discuss whether the emerging wellbeing themes resonated.</w:t>
      </w:r>
    </w:p>
    <w:p w14:paraId="1119F355" w14:textId="77777777" w:rsidR="00AD0E33" w:rsidRPr="00AD0E33" w:rsidRDefault="00AD0E33" w:rsidP="00AD0E33">
      <w:r w:rsidRPr="00AD0E33">
        <w:t>Overall, submissions and stakeholder consultations supported the introduction of Measuring What Matters and the prospect of a role for the Government in monitoring and advancing progress across a broad range of wellbeing indicators.</w:t>
      </w:r>
    </w:p>
    <w:p w14:paraId="2B98B88E" w14:textId="5352714C" w:rsidR="00AD0E33" w:rsidRPr="00AD0E33" w:rsidRDefault="00AD0E33" w:rsidP="00AD0E33">
      <w:r w:rsidRPr="00AD0E33">
        <w:t>The submissions emphasised the importance of including the experiences of different groups</w:t>
      </w:r>
      <w:r w:rsidR="001524A0">
        <w:t xml:space="preserve"> – </w:t>
      </w:r>
      <w:r w:rsidRPr="00AD0E33">
        <w:t xml:space="preserve">such as women, </w:t>
      </w:r>
      <w:r w:rsidR="001524A0">
        <w:t>First Nation</w:t>
      </w:r>
      <w:r w:rsidRPr="00AD0E33">
        <w:t>s people, veterans, people with disability, and age cohorts</w:t>
      </w:r>
      <w:r w:rsidR="001524A0">
        <w:t xml:space="preserve"> – </w:t>
      </w:r>
      <w:r w:rsidRPr="00AD0E33">
        <w:t>and different geographic locations, across all themes.</w:t>
      </w:r>
    </w:p>
    <w:p w14:paraId="340F0208" w14:textId="7840E9DD" w:rsidR="00932D3F" w:rsidRDefault="00AD0E33" w:rsidP="00C411A4">
      <w:r w:rsidRPr="00AD0E33">
        <w:t xml:space="preserve">The statement provides a chapter with a </w:t>
      </w:r>
      <w:r w:rsidR="00042822" w:rsidRPr="00AD0E33">
        <w:t>one</w:t>
      </w:r>
      <w:r w:rsidR="00135DEA">
        <w:noBreakHyphen/>
      </w:r>
      <w:r w:rsidR="00042822" w:rsidRPr="00AD0E33">
        <w:t>off</w:t>
      </w:r>
      <w:r w:rsidRPr="00AD0E33">
        <w:t xml:space="preserve"> spotlight on wellbeing as it relates to children in their early years. This spotlight has been chosen in response to a recurring view in the submissions that early childhood outcomes play an important role in driving wellbeing over a person</w:t>
      </w:r>
      <w:r w:rsidR="00135DEA">
        <w:t>’</w:t>
      </w:r>
      <w:r w:rsidRPr="00AD0E33">
        <w:t>s lifetime and across generations</w:t>
      </w:r>
    </w:p>
    <w:p w14:paraId="72CB9EDB" w14:textId="77777777" w:rsidR="008127A0" w:rsidRDefault="008127A0" w:rsidP="00C411A4"/>
    <w:p w14:paraId="054505D8" w14:textId="044F570F" w:rsidR="008127A0" w:rsidRPr="008127A0" w:rsidRDefault="008127A0" w:rsidP="00C411A4">
      <w:pPr>
        <w:sectPr w:rsidR="008127A0" w:rsidRPr="008127A0" w:rsidSect="00DA302B">
          <w:endnotePr>
            <w:numFmt w:val="decimal"/>
          </w:endnotePr>
          <w:type w:val="continuous"/>
          <w:pgSz w:w="11906" w:h="16838" w:code="9"/>
          <w:pgMar w:top="1843" w:right="1418" w:bottom="1418" w:left="1418" w:header="851" w:footer="851" w:gutter="0"/>
          <w:cols w:num="2" w:space="567"/>
          <w:docGrid w:linePitch="360"/>
        </w:sectPr>
      </w:pPr>
    </w:p>
    <w:p w14:paraId="68985D9A" w14:textId="4F719365" w:rsidR="0005718C" w:rsidRPr="009764EE" w:rsidRDefault="0005718C" w:rsidP="008127A0">
      <w:pPr>
        <w:pStyle w:val="ChartGraphic"/>
      </w:pPr>
      <w:r>
        <w:rPr>
          <w:noProof/>
        </w:rPr>
        <w:lastRenderedPageBreak/>
        <w:drawing>
          <wp:inline distT="0" distB="0" distL="0" distR="0" wp14:anchorId="5330622E" wp14:editId="18573078">
            <wp:extent cx="5731510" cy="5286375"/>
            <wp:effectExtent l="0" t="0" r="2540" b="9525"/>
            <wp:docPr id="24" name="Picture 24" descr="This diagram shows the relationship between Measuring What Matters, the cross-cutting dimensions of inclusion, equity and fairness and the 5 wellbeing themes of Healthy, Secure, Sustainable, Cohesive and Prosperous. The diagram is a circle comprising 5 colours representing the 5 themes around the words Measuring What Matters for all Australians. Below the circle is a box with the cross-cutting dimensions of inclusion, equity and fairness enclosing the text descriptors for the 5 th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diagram shows the relationship between Measuring What Matters, the cross-cutting dimensions of inclusion, equity and fairness and the 5 wellbeing themes of Healthy, Secure, Sustainable, Cohesive and Prosperous. The diagram is a circle comprising 5 colours representing the 5 themes around the words Measuring What Matters for all Australians. Below the circle is a box with the cross-cutting dimensions of inclusion, equity and fairness enclosing the text descriptors for the 5 theme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5286375"/>
                    </a:xfrm>
                    <a:prstGeom prst="rect">
                      <a:avLst/>
                    </a:prstGeom>
                  </pic:spPr>
                </pic:pic>
              </a:graphicData>
            </a:graphic>
          </wp:inline>
        </w:drawing>
      </w:r>
    </w:p>
    <w:p w14:paraId="2468B6DA" w14:textId="77777777" w:rsidR="008127A0" w:rsidRDefault="008127A0" w:rsidP="00B8112E"/>
    <w:p w14:paraId="3E9EA0C9" w14:textId="3392DE58" w:rsidR="008127A0" w:rsidRDefault="008127A0" w:rsidP="008127A0">
      <w:pPr>
        <w:sectPr w:rsidR="008127A0" w:rsidSect="00DA302B">
          <w:endnotePr>
            <w:numFmt w:val="decimal"/>
          </w:endnotePr>
          <w:type w:val="continuous"/>
          <w:pgSz w:w="11906" w:h="16838" w:code="9"/>
          <w:pgMar w:top="1843" w:right="1418" w:bottom="1418" w:left="1418" w:header="851" w:footer="851" w:gutter="0"/>
          <w:cols w:space="567"/>
          <w:docGrid w:linePitch="360"/>
        </w:sectPr>
      </w:pPr>
    </w:p>
    <w:p w14:paraId="4A383D78" w14:textId="440BB011" w:rsidR="008303F1" w:rsidRPr="009764EE" w:rsidRDefault="008303F1" w:rsidP="00037C32">
      <w:pPr>
        <w:pStyle w:val="Heading1"/>
        <w:rPr>
          <w:szCs w:val="40"/>
        </w:rPr>
      </w:pPr>
      <w:bookmarkStart w:id="37" w:name="_Toc147497664"/>
      <w:bookmarkStart w:id="38" w:name="_Toc140164491"/>
      <w:r w:rsidRPr="009764EE">
        <w:lastRenderedPageBreak/>
        <w:t>The Framework</w:t>
      </w:r>
      <w:bookmarkEnd w:id="37"/>
    </w:p>
    <w:p w14:paraId="7C82E2C9" w14:textId="31C2DC81" w:rsidR="00DF5D0E" w:rsidRDefault="008303F1" w:rsidP="00037C32">
      <w:pPr>
        <w:pStyle w:val="IntrotextMWM"/>
      </w:pPr>
      <w:r w:rsidRPr="00E90200">
        <w:t>Based on public consultations and the findings of other national and international wellbeing frameworks, this Framework focuses on five wellbeing themes</w:t>
      </w:r>
      <w:r w:rsidR="001524A0">
        <w:t xml:space="preserve"> – </w:t>
      </w:r>
      <w:r w:rsidRPr="00E90200">
        <w:t>healthy, secure, sustainable, cohesive and prosperous. Inclusion, equity and fairness underpin each theme and are relevant to them all.</w:t>
      </w:r>
      <w:r>
        <w:t xml:space="preserve"> </w:t>
      </w:r>
    </w:p>
    <w:p w14:paraId="72DB9AFB" w14:textId="44434656" w:rsidR="008303F1" w:rsidRDefault="008303F1" w:rsidP="00DF5D0E"/>
    <w:bookmarkEnd w:id="38"/>
    <w:p w14:paraId="3F1FACA4" w14:textId="77777777" w:rsidR="00DF3928" w:rsidRDefault="00DF3928" w:rsidP="00B8112E">
      <w:pPr>
        <w:sectPr w:rsidR="00DF3928" w:rsidSect="00DA302B">
          <w:endnotePr>
            <w:numFmt w:val="decimal"/>
          </w:endnotePr>
          <w:pgSz w:w="11906" w:h="16838" w:code="9"/>
          <w:pgMar w:top="1843" w:right="1418" w:bottom="1418" w:left="1418" w:header="851" w:footer="851" w:gutter="0"/>
          <w:cols w:space="567"/>
          <w:docGrid w:linePitch="360"/>
        </w:sectPr>
      </w:pPr>
    </w:p>
    <w:p w14:paraId="6743DC41" w14:textId="6DAA6417" w:rsidR="00BF5057" w:rsidRPr="00BF5057" w:rsidRDefault="00BF5057" w:rsidP="00BF5057">
      <w:r w:rsidRPr="00BF5057">
        <w:t>The Framework sets out the factors that are important to Australians</w:t>
      </w:r>
      <w:r w:rsidR="00135DEA">
        <w:t>’</w:t>
      </w:r>
      <w:r w:rsidRPr="00BF5057">
        <w:t xml:space="preserve"> individual and collective wellbeing across all phases of life in five broad themes</w:t>
      </w:r>
      <w:r w:rsidR="001524A0">
        <w:t xml:space="preserve"> – </w:t>
      </w:r>
      <w:r w:rsidRPr="00BF5057">
        <w:rPr>
          <w:b/>
        </w:rPr>
        <w:t xml:space="preserve">healthy, secure, sustainable, cohesive </w:t>
      </w:r>
      <w:r w:rsidRPr="004077C6">
        <w:rPr>
          <w:bCs/>
        </w:rPr>
        <w:t>and</w:t>
      </w:r>
      <w:r w:rsidRPr="00BF5057">
        <w:rPr>
          <w:b/>
        </w:rPr>
        <w:t xml:space="preserve"> prosperous.</w:t>
      </w:r>
    </w:p>
    <w:p w14:paraId="316588A0" w14:textId="77777777" w:rsidR="00BF5057" w:rsidRPr="002C3081" w:rsidRDefault="00BF5057" w:rsidP="00D04D5B">
      <w:pPr>
        <w:rPr>
          <w:spacing w:val="-2"/>
        </w:rPr>
      </w:pPr>
      <w:r w:rsidRPr="002C3081">
        <w:rPr>
          <w:spacing w:val="-2"/>
        </w:rPr>
        <w:t>All the themes are important and success in one can influence success in the others. For example, maximising the health of Australians will be helped by increasing prosperity, cohesion and promoting a sustainable environment.</w:t>
      </w:r>
    </w:p>
    <w:p w14:paraId="1F3721E4" w14:textId="77777777" w:rsidR="00BF5057" w:rsidRPr="00BF5057" w:rsidRDefault="00BF5057" w:rsidP="00BF5057">
      <w:r w:rsidRPr="00BF5057">
        <w:t>The themes are supported by 12 dimensions which describe further aspects of wellbeing within the theme.</w:t>
      </w:r>
    </w:p>
    <w:p w14:paraId="37240D17" w14:textId="1F7181C4" w:rsidR="008259FE" w:rsidRPr="009764EE" w:rsidRDefault="000C422E" w:rsidP="000C422E">
      <w:pPr>
        <w:pStyle w:val="Heading3"/>
        <w:rPr>
          <w:rFonts w:cs="Calibri"/>
        </w:rPr>
      </w:pPr>
      <w:r w:rsidRPr="009764EE">
        <w:rPr>
          <w:rFonts w:cs="Calibri"/>
        </w:rPr>
        <w:t>Cross</w:t>
      </w:r>
      <w:r w:rsidR="00135DEA">
        <w:rPr>
          <w:rFonts w:cs="Calibri"/>
        </w:rPr>
        <w:noBreakHyphen/>
      </w:r>
      <w:r w:rsidRPr="009764EE">
        <w:rPr>
          <w:rFonts w:cs="Calibri"/>
        </w:rPr>
        <w:t>cutting dimension</w:t>
      </w:r>
    </w:p>
    <w:p w14:paraId="65246CE5" w14:textId="06F3E741" w:rsidR="00E069FD" w:rsidRPr="00E069FD" w:rsidRDefault="00E069FD" w:rsidP="00E069FD">
      <w:r w:rsidRPr="00E069FD">
        <w:t>Inclusion, equity and fairness are cross</w:t>
      </w:r>
      <w:r w:rsidR="00135DEA">
        <w:noBreakHyphen/>
      </w:r>
      <w:r w:rsidRPr="00E069FD">
        <w:t>cutting dimensions of the Framework. This reflects the need to ensure that wellbeing outcomes are fairly shared amongst the population. The alternative</w:t>
      </w:r>
      <w:r w:rsidR="001524A0">
        <w:t xml:space="preserve"> – </w:t>
      </w:r>
      <w:r w:rsidRPr="00E069FD">
        <w:t>high inequality and entrenched disadvantage</w:t>
      </w:r>
      <w:r w:rsidR="001524A0">
        <w:t xml:space="preserve"> – </w:t>
      </w:r>
      <w:r w:rsidRPr="00E069FD">
        <w:t>affects social cohesion and may hinder economic growth by limiting access to education and perpetuating disadvantage within communities and across generations.</w:t>
      </w:r>
      <w:r w:rsidRPr="005049F1">
        <w:rPr>
          <w:rStyle w:val="FootnoteReference"/>
        </w:rPr>
        <w:endnoteReference w:id="2"/>
      </w:r>
    </w:p>
    <w:p w14:paraId="41726F59" w14:textId="741D5F96" w:rsidR="00E069FD" w:rsidRPr="00E069FD" w:rsidRDefault="00E069FD" w:rsidP="00E069FD">
      <w:r w:rsidRPr="00E069FD">
        <w:t xml:space="preserve">Aggregate indicators can, at times, mask different experiences and outcomes for different groups of people in our society. Recognising this, indicators and metrics have been disaggregated by age, gender, ethnicity (including for </w:t>
      </w:r>
      <w:r w:rsidR="001524A0">
        <w:t>First Nation</w:t>
      </w:r>
      <w:r w:rsidRPr="00E069FD">
        <w:t>s people), where reliable data is available to highlight distributional differences. The Government will look to include further disaggregation in future iterations of the Framework, website and dashboard</w:t>
      </w:r>
      <w:r w:rsidR="001524A0">
        <w:t xml:space="preserve"> – </w:t>
      </w:r>
      <w:r w:rsidRPr="00E069FD">
        <w:t>which could include a more comprehensive regional lens.</w:t>
      </w:r>
    </w:p>
    <w:p w14:paraId="5E268139" w14:textId="66AE00EB" w:rsidR="00E069FD" w:rsidRPr="001E21F6" w:rsidRDefault="009C5E79" w:rsidP="00314667">
      <w:pPr>
        <w:rPr>
          <w:spacing w:val="-3"/>
        </w:rPr>
      </w:pPr>
      <w:r w:rsidRPr="001E21F6">
        <w:rPr>
          <w:spacing w:val="-3"/>
        </w:rPr>
        <w:br w:type="column"/>
      </w:r>
      <w:r w:rsidR="00E069FD" w:rsidRPr="001E21F6">
        <w:rPr>
          <w:spacing w:val="-3"/>
        </w:rPr>
        <w:t>City and regional data will remain available through the Progress in Australian Regions and Cities dashboard.</w:t>
      </w:r>
      <w:r w:rsidR="00615F40" w:rsidRPr="001E21F6">
        <w:rPr>
          <w:rStyle w:val="FootnoteReference"/>
          <w:rFonts w:ascii="Calibri Light" w:hAnsi="Calibri Light"/>
          <w:spacing w:val="-3"/>
        </w:rPr>
        <w:endnoteReference w:id="3"/>
      </w:r>
      <w:r w:rsidR="00615F40" w:rsidRPr="001E21F6">
        <w:rPr>
          <w:spacing w:val="-3"/>
        </w:rPr>
        <w:t xml:space="preserve"> </w:t>
      </w:r>
      <w:r w:rsidR="00E069FD" w:rsidRPr="001E21F6">
        <w:rPr>
          <w:spacing w:val="-3"/>
        </w:rPr>
        <w:t xml:space="preserve">Box 1 provides some additional detail on </w:t>
      </w:r>
      <w:r w:rsidR="001524A0" w:rsidRPr="001E21F6">
        <w:rPr>
          <w:spacing w:val="-3"/>
        </w:rPr>
        <w:t>First Nation</w:t>
      </w:r>
      <w:r w:rsidR="00E069FD" w:rsidRPr="001E21F6">
        <w:rPr>
          <w:spacing w:val="-3"/>
        </w:rPr>
        <w:t>s Australian</w:t>
      </w:r>
      <w:r w:rsidR="00135DEA" w:rsidRPr="001E21F6">
        <w:rPr>
          <w:spacing w:val="-3"/>
        </w:rPr>
        <w:t>’</w:t>
      </w:r>
      <w:r w:rsidR="00E069FD" w:rsidRPr="001E21F6">
        <w:rPr>
          <w:spacing w:val="-3"/>
        </w:rPr>
        <w:t>s wellbeing.</w:t>
      </w:r>
    </w:p>
    <w:p w14:paraId="5401F88D" w14:textId="4BB8E270" w:rsidR="000C422E" w:rsidRPr="009764EE" w:rsidRDefault="000C422E" w:rsidP="00EF36A2">
      <w:pPr>
        <w:pStyle w:val="Heading3"/>
        <w:rPr>
          <w:rFonts w:cs="Calibri"/>
        </w:rPr>
      </w:pPr>
      <w:r w:rsidRPr="009764EE">
        <w:rPr>
          <w:rFonts w:cs="Calibri"/>
        </w:rPr>
        <w:t>Indicators</w:t>
      </w:r>
    </w:p>
    <w:p w14:paraId="2A0FAC1E" w14:textId="62BC60B7" w:rsidR="0083047A" w:rsidRPr="0083047A" w:rsidRDefault="0083047A" w:rsidP="0083047A">
      <w:r w:rsidRPr="0083047A">
        <w:t>The Framework consists of 50 indicators of the current status and long</w:t>
      </w:r>
      <w:r w:rsidR="00135DEA">
        <w:noBreakHyphen/>
      </w:r>
      <w:r w:rsidRPr="0083047A">
        <w:t>term trends in Australian wellbeing</w:t>
      </w:r>
      <w:r w:rsidR="001524A0">
        <w:t xml:space="preserve"> – </w:t>
      </w:r>
      <w:r w:rsidRPr="0083047A">
        <w:t>including a self</w:t>
      </w:r>
      <w:r w:rsidR="00135DEA">
        <w:noBreakHyphen/>
      </w:r>
      <w:r w:rsidRPr="0083047A">
        <w:t>reported life satisfaction indicator</w:t>
      </w:r>
      <w:r w:rsidR="001524A0">
        <w:t xml:space="preserve"> – </w:t>
      </w:r>
      <w:r w:rsidRPr="0083047A">
        <w:t>which is relevant to all themes (see Box 2).</w:t>
      </w:r>
    </w:p>
    <w:p w14:paraId="364AB87E" w14:textId="1AD5CEB6" w:rsidR="0083047A" w:rsidRPr="00314667" w:rsidRDefault="0083047A" w:rsidP="00D04D5B">
      <w:r w:rsidRPr="00314667">
        <w:t>While the indicators are organised according to the wellbeing themes in the Framework, they can often be relevant to more than one theme. The</w:t>
      </w:r>
      <w:r w:rsidR="00EB2C74">
        <w:t> </w:t>
      </w:r>
      <w:r w:rsidR="00135DEA" w:rsidRPr="00314667">
        <w:t>‘</w:t>
      </w:r>
      <w:r w:rsidRPr="00314667">
        <w:t>making ends meet</w:t>
      </w:r>
      <w:r w:rsidR="00135DEA" w:rsidRPr="00314667">
        <w:t>’</w:t>
      </w:r>
      <w:r w:rsidRPr="00314667">
        <w:t xml:space="preserve"> indicator, for example, provides a measure of financial security in the secure theme but could equally provide a</w:t>
      </w:r>
      <w:r w:rsidR="00314667" w:rsidRPr="00314667">
        <w:t> </w:t>
      </w:r>
      <w:r w:rsidRPr="00314667">
        <w:t>measure of shared prosperity in the prosperous theme.</w:t>
      </w:r>
    </w:p>
    <w:p w14:paraId="6B947916" w14:textId="77777777" w:rsidR="0083047A" w:rsidRPr="0083047A" w:rsidRDefault="0083047A" w:rsidP="0083047A">
      <w:r w:rsidRPr="0083047A">
        <w:t>International experience highlights that to be most useful, wellbeing indicators should be readily understood, limited in number, measurable, comparable, reliable, and timely.</w:t>
      </w:r>
    </w:p>
    <w:p w14:paraId="39F62D7D" w14:textId="77777777" w:rsidR="0083047A" w:rsidRPr="0083047A" w:rsidRDefault="0083047A" w:rsidP="00D04D5B">
      <w:r w:rsidRPr="0083047A">
        <w:t>The indicators have been selected with those lessons in mind and with the aim of ensuring their logical alignment with available indicators already captured through existing strategies and plans. Appendix D details the criteria that was applied in the selection of indicators.</w:t>
      </w:r>
    </w:p>
    <w:p w14:paraId="7F2D4D5E" w14:textId="3F04FB5E" w:rsidR="0083047A" w:rsidRPr="009C5E79" w:rsidRDefault="0083047A" w:rsidP="001E21F6">
      <w:r w:rsidRPr="009C5E79">
        <w:t>The table and discussion for each dimension provides an assessment of progress against each indicator. The assessment of progress for each indicator is generally the trend over the past two</w:t>
      </w:r>
      <w:r w:rsidR="00D04D5B" w:rsidRPr="009C5E79">
        <w:t> </w:t>
      </w:r>
      <w:r w:rsidRPr="009C5E79">
        <w:t>decades or from the first available comparison point. Where appropriate, progress is also assessed against historical and international benchmarks or towards agreed</w:t>
      </w:r>
      <w:r w:rsidR="001E21F6">
        <w:t> </w:t>
      </w:r>
      <w:r w:rsidRPr="009C5E79">
        <w:t>goals.</w:t>
      </w:r>
    </w:p>
    <w:p w14:paraId="367F40F2" w14:textId="77777777" w:rsidR="000C422E" w:rsidRPr="009764EE" w:rsidRDefault="000C422E" w:rsidP="000C422E">
      <w:pPr>
        <w:pStyle w:val="Heading3"/>
        <w:rPr>
          <w:rFonts w:cs="Calibri"/>
        </w:rPr>
      </w:pPr>
      <w:r w:rsidRPr="009764EE">
        <w:rPr>
          <w:rFonts w:cs="Calibri"/>
        </w:rPr>
        <w:lastRenderedPageBreak/>
        <w:t>Managing complexity</w:t>
      </w:r>
    </w:p>
    <w:p w14:paraId="1B7C6A69" w14:textId="461108EC" w:rsidR="00A12A58" w:rsidRPr="00A12A58" w:rsidRDefault="00A12A58" w:rsidP="00A12A58">
      <w:r w:rsidRPr="00A12A58">
        <w:t>The richness of what matters to Australians extends beyond the 50 indicators, and some things that matter do not always have quality and timely metrics. However, the more indicators that are included in the Framework, the harder it becomes to provide an understandable picture of our economy and society. Because of this, the Framework has been designed to be high</w:t>
      </w:r>
      <w:r w:rsidR="00135DEA">
        <w:noBreakHyphen/>
      </w:r>
      <w:r w:rsidRPr="00A12A58">
        <w:t>level and concise to ensure that it is accessible and meaningful to as many people as possible.</w:t>
      </w:r>
    </w:p>
    <w:p w14:paraId="0F0B0AB9" w14:textId="467B34D9" w:rsidR="00A12A58" w:rsidRPr="00A12A58" w:rsidRDefault="00A12A58" w:rsidP="00A12A58">
      <w:r w:rsidRPr="00A12A58">
        <w:t>The Framework does not rank or weight wellbeing themes, dimensions or indicators. Nor does it create a composite index that expresses all metrics in equivalent terms (for example, GDP equivalence).</w:t>
      </w:r>
    </w:p>
    <w:p w14:paraId="5249BB60" w14:textId="7082581E" w:rsidR="000C422E" w:rsidRPr="009764EE" w:rsidRDefault="00314667" w:rsidP="00774321">
      <w:pPr>
        <w:pStyle w:val="Heading3"/>
      </w:pPr>
      <w:r>
        <w:br w:type="column"/>
      </w:r>
      <w:r w:rsidR="000C422E" w:rsidRPr="009764EE">
        <w:t xml:space="preserve">The relationship between the Framework and other </w:t>
      </w:r>
      <w:r w:rsidR="000C422E" w:rsidRPr="00774321">
        <w:t>wellbeing</w:t>
      </w:r>
      <w:r w:rsidR="000C422E" w:rsidRPr="009764EE">
        <w:t xml:space="preserve"> frameworks</w:t>
      </w:r>
    </w:p>
    <w:p w14:paraId="507B1116" w14:textId="77777777" w:rsidR="005C559D" w:rsidRPr="005C559D" w:rsidRDefault="005C559D" w:rsidP="005C559D">
      <w:r w:rsidRPr="005C559D">
        <w:t>The Framework does not canvas every aspect of wellbeing. Instead, it complements existing frameworks by providing an overarching national view of how our country and society is faring.</w:t>
      </w:r>
    </w:p>
    <w:p w14:paraId="1C4B57B4" w14:textId="77777777" w:rsidR="005C559D" w:rsidRPr="005C559D" w:rsidRDefault="005C559D" w:rsidP="005C559D">
      <w:r w:rsidRPr="005C559D">
        <w:t>This Framework draws on, but does not replace, more detailed level indicator frameworks, including on:</w:t>
      </w:r>
    </w:p>
    <w:p w14:paraId="004A4921" w14:textId="01054806" w:rsidR="00E64242" w:rsidRPr="00E12B94" w:rsidRDefault="00E64242" w:rsidP="0047569E">
      <w:pPr>
        <w:pStyle w:val="Bullet"/>
      </w:pPr>
      <w:r w:rsidRPr="00E12B94">
        <w:t xml:space="preserve">tailored indicators developed for life outcomes of </w:t>
      </w:r>
      <w:r w:rsidR="001524A0">
        <w:t>First Nation</w:t>
      </w:r>
      <w:r w:rsidRPr="00E12B94">
        <w:t>s peoples (the National Agreement on Closing the Gap) and the natural environment (the State of the Environment Report).</w:t>
      </w:r>
    </w:p>
    <w:p w14:paraId="19717B12" w14:textId="1FAB50A6" w:rsidR="00E64242" w:rsidRPr="00E12B94" w:rsidRDefault="00E64242" w:rsidP="0047569E">
      <w:pPr>
        <w:pStyle w:val="Bullet"/>
      </w:pPr>
      <w:r w:rsidRPr="00E12B94">
        <w:t>existing indicators on the equity, effectiveness and efficiency of government services in Australia (such as those included in the Report on Government Services).</w:t>
      </w:r>
    </w:p>
    <w:p w14:paraId="4A05ADA8" w14:textId="51781052" w:rsidR="00FE63A5" w:rsidRPr="00E12B94" w:rsidRDefault="00E64242" w:rsidP="0047569E">
      <w:pPr>
        <w:pStyle w:val="Bullet"/>
      </w:pPr>
      <w:r w:rsidRPr="00E12B94">
        <w:t>work on different areas across Australia (such as the State of the Cities and State of the Regions reports which are currently under development).</w:t>
      </w:r>
    </w:p>
    <w:p w14:paraId="79E4C79D" w14:textId="77777777" w:rsidR="00DF3928" w:rsidRDefault="00DF3928" w:rsidP="001A57B0"/>
    <w:p w14:paraId="3D2EDA48" w14:textId="64B11E50" w:rsidR="00774321" w:rsidRDefault="00774321" w:rsidP="001A57B0">
      <w:pPr>
        <w:sectPr w:rsidR="00774321" w:rsidSect="00DA302B">
          <w:endnotePr>
            <w:numFmt w:val="decimal"/>
          </w:endnotePr>
          <w:type w:val="continuous"/>
          <w:pgSz w:w="11906" w:h="16838" w:code="9"/>
          <w:pgMar w:top="1843" w:right="1418" w:bottom="1418" w:left="1418" w:header="851" w:footer="851" w:gutter="0"/>
          <w:cols w:num="2" w:space="567"/>
          <w:docGrid w:linePitch="360"/>
        </w:sectPr>
      </w:pPr>
    </w:p>
    <w:p w14:paraId="562D8883" w14:textId="3C7B6ACD" w:rsidR="00D74183" w:rsidRPr="009764EE" w:rsidRDefault="00D74183" w:rsidP="00B8112E"/>
    <w:p w14:paraId="573EF632" w14:textId="3A23D2DC" w:rsidR="00D073C5" w:rsidRPr="009764EE" w:rsidRDefault="00D073C5" w:rsidP="00774321">
      <w:pPr>
        <w:pStyle w:val="ChartGraphic"/>
      </w:pPr>
      <w:r>
        <w:rPr>
          <w:noProof/>
        </w:rPr>
        <w:lastRenderedPageBreak/>
        <w:drawing>
          <wp:inline distT="0" distB="0" distL="0" distR="0" wp14:anchorId="564F80FB" wp14:editId="0B7256DF">
            <wp:extent cx="5730875" cy="7953375"/>
            <wp:effectExtent l="0" t="0" r="3175" b="9525"/>
            <wp:docPr id="26" name="Picture 26" descr="This diagram shows the relationship between Measuring What Matters, the cross-cutting dimensions of inclusion, equity and fairness, the 5 wellbeing themes of Healthy, Secure, Sustainable, Cohesive and Prosperous, the 12 dimensions and the 50 indicators. The diagram shows a circle around the words Measuring What Matters for all Australians, with the 5 colours making up the circle representing the 5 themes of Healthy, Secure, Sustainable, Cohesive and Prosperous. Below the circle is a box with the cross-cutting dimensions of inclusion, equity and fairness enclosing the 5 themes with their related dimensions and the indicators within each dim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diagram shows the relationship between Measuring What Matters, the cross-cutting dimensions of inclusion, equity and fairness, the 5 wellbeing themes of Healthy, Secure, Sustainable, Cohesive and Prosperous, the 12 dimensions and the 50 indicators. The diagram shows a circle around the words Measuring What Matters for all Australians, with the 5 colours making up the circle representing the 5 themes of Healthy, Secure, Sustainable, Cohesive and Prosperous. Below the circle is a box with the cross-cutting dimensions of inclusion, equity and fairness enclosing the 5 themes with their related dimensions and the indicators within each dimens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875" cy="7953375"/>
                    </a:xfrm>
                    <a:prstGeom prst="rect">
                      <a:avLst/>
                    </a:prstGeom>
                    <a:noFill/>
                    <a:ln>
                      <a:noFill/>
                    </a:ln>
                  </pic:spPr>
                </pic:pic>
              </a:graphicData>
            </a:graphic>
          </wp:inline>
        </w:drawing>
      </w:r>
    </w:p>
    <w:tbl>
      <w:tblPr>
        <w:tblStyle w:val="Style1"/>
        <w:tblW w:w="5000" w:type="pct"/>
        <w:tblLook w:val="0620" w:firstRow="1" w:lastRow="0" w:firstColumn="0" w:lastColumn="0" w:noHBand="1" w:noVBand="1"/>
      </w:tblPr>
      <w:tblGrid>
        <w:gridCol w:w="9070"/>
      </w:tblGrid>
      <w:tr w:rsidR="000C422E" w:rsidRPr="009764EE" w14:paraId="290A57EC" w14:textId="77777777" w:rsidTr="00B8120C">
        <w:trPr>
          <w:cnfStyle w:val="100000000000" w:firstRow="1" w:lastRow="0" w:firstColumn="0" w:lastColumn="0" w:oddVBand="0" w:evenVBand="0" w:oddHBand="0" w:evenHBand="0" w:firstRowFirstColumn="0" w:firstRowLastColumn="0" w:lastRowFirstColumn="0" w:lastRowLastColumn="0"/>
          <w:trHeight w:val="1191"/>
        </w:trPr>
        <w:tc>
          <w:tcPr>
            <w:tcW w:w="5000" w:type="pct"/>
          </w:tcPr>
          <w:p w14:paraId="183D0076" w14:textId="3D068FB6" w:rsidR="000C422E" w:rsidRPr="009764EE" w:rsidRDefault="000C422E" w:rsidP="00D37F8E">
            <w:pPr>
              <w:pStyle w:val="BoxHeading"/>
              <w:rPr>
                <w:lang w:val="en-GB"/>
              </w:rPr>
            </w:pPr>
            <w:r w:rsidRPr="009764EE">
              <w:rPr>
                <w:lang w:val="en-GB"/>
              </w:rPr>
              <w:lastRenderedPageBreak/>
              <w:t xml:space="preserve">Box 1: </w:t>
            </w:r>
            <w:r w:rsidRPr="009764EE">
              <w:t xml:space="preserve">Aboriginal and </w:t>
            </w:r>
            <w:r w:rsidR="001524A0">
              <w:t>Torres Strait</w:t>
            </w:r>
            <w:r w:rsidRPr="009764EE">
              <w:t xml:space="preserve"> Islander people</w:t>
            </w:r>
            <w:r w:rsidR="00135DEA">
              <w:t>’</w:t>
            </w:r>
            <w:r w:rsidRPr="009764EE">
              <w:t>s wellbeing</w:t>
            </w:r>
          </w:p>
          <w:p w14:paraId="4A6FD325" w14:textId="5F259B2F" w:rsidR="00553C09" w:rsidRPr="00D37F8E" w:rsidRDefault="00553C09" w:rsidP="00D37F8E">
            <w:pPr>
              <w:pStyle w:val="BoxText"/>
              <w:rPr>
                <w:rFonts w:eastAsia="Calibri Light"/>
              </w:rPr>
            </w:pPr>
            <w:r w:rsidRPr="00D37F8E">
              <w:rPr>
                <w:rFonts w:eastAsia="Calibri Light"/>
              </w:rPr>
              <w:t xml:space="preserve">For </w:t>
            </w:r>
            <w:r w:rsidR="001524A0">
              <w:rPr>
                <w:rFonts w:eastAsia="Calibri Light"/>
              </w:rPr>
              <w:t>First Nation</w:t>
            </w:r>
            <w:r w:rsidRPr="00D37F8E">
              <w:rPr>
                <w:rFonts w:eastAsia="Calibri Light"/>
              </w:rPr>
              <w:t>s people, the concept of wellbeing has always been the result of preserving and maintaining culture, which directly affects mental, physical and spiritual health.</w:t>
            </w:r>
          </w:p>
          <w:p w14:paraId="1697492F" w14:textId="3F0408FC" w:rsidR="008259FE" w:rsidRPr="00D37F8E" w:rsidRDefault="00553C09" w:rsidP="00D37F8E">
            <w:pPr>
              <w:pStyle w:val="BoxText"/>
            </w:pPr>
            <w:r w:rsidRPr="00D37F8E">
              <w:rPr>
                <w:rFonts w:eastAsia="Calibri Light"/>
              </w:rPr>
              <w:t>This is anchored in ways of knowing and being that have existed and continued for tens of thousands of years, shared through complex kinship systems, and passed down through systems of law, lore, ceremony, and song.</w:t>
            </w:r>
            <w:r w:rsidR="000C422E" w:rsidRPr="005049F1">
              <w:rPr>
                <w:rStyle w:val="FootnoteReference"/>
              </w:rPr>
              <w:endnoteReference w:id="4"/>
            </w:r>
          </w:p>
          <w:p w14:paraId="59C439D9" w14:textId="072550E9" w:rsidR="007749FB" w:rsidRPr="00D37F8E" w:rsidRDefault="007749FB" w:rsidP="00D37F8E">
            <w:pPr>
              <w:pStyle w:val="BoxText"/>
              <w:rPr>
                <w:rFonts w:eastAsia="Calibri Light"/>
              </w:rPr>
            </w:pPr>
            <w:r w:rsidRPr="00D37F8E">
              <w:rPr>
                <w:rFonts w:eastAsia="Calibri Light"/>
              </w:rPr>
              <w:t xml:space="preserve">Because of this, the whole of population indicators outlined in this Framework are not an accurate measure of </w:t>
            </w:r>
            <w:r w:rsidR="001524A0">
              <w:rPr>
                <w:rFonts w:eastAsia="Calibri Light"/>
              </w:rPr>
              <w:t>First Nation</w:t>
            </w:r>
            <w:r w:rsidRPr="00D37F8E">
              <w:rPr>
                <w:rFonts w:eastAsia="Calibri Light"/>
              </w:rPr>
              <w:t>s wellbeing as they are limited in their ability to represent these intrinsic cultural differences or acknowledge the past practices that have had detrimental impacts.</w:t>
            </w:r>
          </w:p>
          <w:p w14:paraId="57EC183E" w14:textId="5E9CA3BF" w:rsidR="007749FB" w:rsidRPr="00D37F8E" w:rsidRDefault="007749FB" w:rsidP="00D37F8E">
            <w:pPr>
              <w:pStyle w:val="BoxText"/>
              <w:rPr>
                <w:rFonts w:eastAsia="Calibri Light"/>
              </w:rPr>
            </w:pPr>
            <w:r w:rsidRPr="00D37F8E">
              <w:rPr>
                <w:rFonts w:eastAsia="Calibri Light"/>
              </w:rPr>
              <w:t>However, this Measuring What Matters statement can supplement the National Agreement on</w:t>
            </w:r>
            <w:r w:rsidRPr="00D37F8E">
              <w:t xml:space="preserve"> </w:t>
            </w:r>
            <w:r w:rsidRPr="00D37F8E">
              <w:rPr>
                <w:rFonts w:eastAsia="Calibri Light"/>
              </w:rPr>
              <w:t xml:space="preserve">Closing the Gap metrics and add to the work already being undertaken through the National Strategic Framework for Aboriginal and </w:t>
            </w:r>
            <w:r w:rsidR="001524A0">
              <w:rPr>
                <w:rFonts w:eastAsia="Calibri Light"/>
              </w:rPr>
              <w:t>Torres Strait</w:t>
            </w:r>
            <w:r w:rsidRPr="00D37F8E">
              <w:rPr>
                <w:rFonts w:eastAsia="Calibri Light"/>
              </w:rPr>
              <w:t xml:space="preserve"> Islander Peoples</w:t>
            </w:r>
            <w:r w:rsidR="00135DEA">
              <w:rPr>
                <w:rFonts w:eastAsia="Calibri Light"/>
              </w:rPr>
              <w:t>’</w:t>
            </w:r>
            <w:r w:rsidRPr="00D37F8E">
              <w:rPr>
                <w:rFonts w:eastAsia="Calibri Light"/>
              </w:rPr>
              <w:t xml:space="preserve"> Mental Health and Social and Emotional Wellbeing (2017</w:t>
            </w:r>
            <w:r w:rsidR="00151999">
              <w:rPr>
                <w:rFonts w:eastAsia="Calibri Light"/>
              </w:rPr>
              <w:t>–</w:t>
            </w:r>
            <w:r w:rsidRPr="00D37F8E">
              <w:rPr>
                <w:rFonts w:eastAsia="Calibri Light"/>
              </w:rPr>
              <w:t>2023).</w:t>
            </w:r>
          </w:p>
          <w:p w14:paraId="4531F82B" w14:textId="12E79891" w:rsidR="000C422E" w:rsidRPr="009764EE" w:rsidRDefault="007749FB" w:rsidP="00D37F8E">
            <w:pPr>
              <w:pStyle w:val="BoxText"/>
            </w:pPr>
            <w:r w:rsidRPr="00D37F8E">
              <w:rPr>
                <w:rFonts w:eastAsia="Calibri Light"/>
              </w:rPr>
              <w:t xml:space="preserve">Efforts to improve </w:t>
            </w:r>
            <w:r w:rsidR="001524A0">
              <w:rPr>
                <w:rFonts w:eastAsia="Calibri Light"/>
              </w:rPr>
              <w:t>First Nation</w:t>
            </w:r>
            <w:r w:rsidRPr="00D37F8E">
              <w:rPr>
                <w:rFonts w:eastAsia="Calibri Light"/>
              </w:rPr>
              <w:t>s people</w:t>
            </w:r>
            <w:r w:rsidR="00135DEA">
              <w:rPr>
                <w:rFonts w:eastAsia="Calibri Light"/>
              </w:rPr>
              <w:t>’</w:t>
            </w:r>
            <w:r w:rsidRPr="00D37F8E">
              <w:rPr>
                <w:rFonts w:eastAsia="Calibri Light"/>
              </w:rPr>
              <w:t xml:space="preserve">s wellbeing should always be made in partnership with </w:t>
            </w:r>
            <w:r w:rsidR="001524A0">
              <w:rPr>
                <w:rFonts w:eastAsia="Calibri Light"/>
              </w:rPr>
              <w:t>First Nation</w:t>
            </w:r>
            <w:r w:rsidRPr="00D37F8E">
              <w:rPr>
                <w:rFonts w:eastAsia="Calibri Light"/>
              </w:rPr>
              <w:t>s people, including through implementation of the Priority Reforms under the National Agreement on Closing the Gap.</w:t>
            </w:r>
          </w:p>
        </w:tc>
      </w:tr>
    </w:tbl>
    <w:p w14:paraId="561B0DF4" w14:textId="77777777" w:rsidR="00C945A3" w:rsidRDefault="00C945A3" w:rsidP="00774321"/>
    <w:tbl>
      <w:tblPr>
        <w:tblStyle w:val="Style1"/>
        <w:tblW w:w="5000" w:type="pct"/>
        <w:tblLook w:val="0620" w:firstRow="1" w:lastRow="0" w:firstColumn="0" w:lastColumn="0" w:noHBand="1" w:noVBand="1"/>
      </w:tblPr>
      <w:tblGrid>
        <w:gridCol w:w="9070"/>
      </w:tblGrid>
      <w:tr w:rsidR="00C945A3" w14:paraId="37D115C9" w14:textId="77777777" w:rsidTr="00F36DFA">
        <w:trPr>
          <w:cnfStyle w:val="100000000000" w:firstRow="1" w:lastRow="0" w:firstColumn="0" w:lastColumn="0" w:oddVBand="0" w:evenVBand="0" w:oddHBand="0" w:evenHBand="0" w:firstRowFirstColumn="0" w:firstRowLastColumn="0" w:lastRowFirstColumn="0" w:lastRowLastColumn="0"/>
        </w:trPr>
        <w:tc>
          <w:tcPr>
            <w:tcW w:w="5000" w:type="pct"/>
            <w:hideMark/>
          </w:tcPr>
          <w:p w14:paraId="66F3305E" w14:textId="77777777" w:rsidR="00C945A3" w:rsidRPr="009764EE" w:rsidRDefault="00C945A3" w:rsidP="008A30F9">
            <w:pPr>
              <w:pStyle w:val="BoxHeading"/>
            </w:pPr>
            <w:r w:rsidRPr="009764EE">
              <w:t>Box 2: Overall life satisfaction</w:t>
            </w:r>
          </w:p>
          <w:p w14:paraId="1A93611D" w14:textId="77777777" w:rsidR="00C945A3" w:rsidRPr="001A47BE" w:rsidRDefault="00C945A3" w:rsidP="008A30F9">
            <w:pPr>
              <w:rPr>
                <w:rFonts w:eastAsia="Calibri Light"/>
              </w:rPr>
            </w:pPr>
            <w:r w:rsidRPr="001A47BE">
              <w:rPr>
                <w:rFonts w:eastAsia="Calibri Light"/>
              </w:rPr>
              <w:t>Considering both subjective and objective measures of what matters to people in Australia is important to understanding wellbeing. While this Framework proposes an introductory set of relevant, measurable and reliable metrics, they are balanced by an overarching subjective measure of how people evaluate their life and personal circumstances as a whole.</w:t>
            </w:r>
          </w:p>
          <w:p w14:paraId="23015CA5" w14:textId="7E0506B0" w:rsidR="00C945A3" w:rsidRPr="001A47BE" w:rsidRDefault="00C945A3" w:rsidP="008A30F9">
            <w:pPr>
              <w:rPr>
                <w:rFonts w:eastAsia="Calibri Light"/>
              </w:rPr>
            </w:pPr>
            <w:r w:rsidRPr="001A47BE">
              <w:rPr>
                <w:rFonts w:eastAsia="Calibri Light"/>
              </w:rPr>
              <w:t xml:space="preserve">Overall life satisfaction is a summary measure of subjective wellbeing, reflecting how satisfied people are feeling with their lives in general. The ABS General Social Survey attempts to measure life satisfaction on a scale ranging from 0 to 10, where 0 means </w:t>
            </w:r>
            <w:r w:rsidR="00135DEA">
              <w:rPr>
                <w:rFonts w:eastAsia="Calibri Light"/>
              </w:rPr>
              <w:t>‘</w:t>
            </w:r>
            <w:r w:rsidRPr="001A47BE">
              <w:rPr>
                <w:rFonts w:eastAsia="Calibri Light"/>
              </w:rPr>
              <w:t>not at all satisfied</w:t>
            </w:r>
            <w:r w:rsidR="00135DEA">
              <w:rPr>
                <w:rFonts w:eastAsia="Calibri Light"/>
              </w:rPr>
              <w:t>’</w:t>
            </w:r>
            <w:r w:rsidRPr="001A47BE">
              <w:rPr>
                <w:rFonts w:eastAsia="Calibri Light"/>
              </w:rPr>
              <w:t xml:space="preserve"> and 10 means </w:t>
            </w:r>
            <w:r w:rsidR="00135DEA">
              <w:rPr>
                <w:rFonts w:eastAsia="Calibri Light"/>
              </w:rPr>
              <w:t>‘</w:t>
            </w:r>
            <w:r w:rsidRPr="001A47BE">
              <w:rPr>
                <w:rFonts w:eastAsia="Calibri Light"/>
              </w:rPr>
              <w:t>completely satisfied</w:t>
            </w:r>
            <w:r w:rsidR="00135DEA">
              <w:rPr>
                <w:rFonts w:eastAsia="Calibri Light"/>
              </w:rPr>
              <w:t>’</w:t>
            </w:r>
            <w:r w:rsidRPr="001A47BE">
              <w:rPr>
                <w:rFonts w:eastAsia="Calibri Light"/>
              </w:rPr>
              <w:t>. Results generally reflect a person</w:t>
            </w:r>
            <w:r w:rsidR="00135DEA">
              <w:rPr>
                <w:rFonts w:eastAsia="Calibri Light"/>
              </w:rPr>
              <w:t>’</w:t>
            </w:r>
            <w:r w:rsidRPr="001A47BE">
              <w:rPr>
                <w:rFonts w:eastAsia="Calibri Light"/>
              </w:rPr>
              <w:t>s experience in the past 12 months and their expectations for the future.</w:t>
            </w:r>
          </w:p>
          <w:p w14:paraId="064BE7E2" w14:textId="77777777" w:rsidR="00C945A3" w:rsidRPr="001A47BE" w:rsidRDefault="00C945A3" w:rsidP="008A30F9">
            <w:pPr>
              <w:rPr>
                <w:rFonts w:eastAsia="Calibri Light"/>
              </w:rPr>
            </w:pPr>
            <w:r w:rsidRPr="001A47BE">
              <w:rPr>
                <w:rFonts w:eastAsia="Calibri Light"/>
              </w:rPr>
              <w:t>Between 2014 and 2020 the average overall life satisfaction in Australia (out of 10) was relatively stable at around 7.5 between 2014 to 2019 before declining slightly to 7.2 in 2020. The shift is likely associated with the impact of the COVID 19 pandemic on general wellbeing.</w:t>
            </w:r>
          </w:p>
          <w:p w14:paraId="290B7696" w14:textId="494E87D4" w:rsidR="00C945A3" w:rsidRPr="00B228B4" w:rsidRDefault="00C945A3" w:rsidP="00B228B4">
            <w:pPr>
              <w:rPr>
                <w:rFonts w:eastAsia="Calibri Light"/>
              </w:rPr>
            </w:pPr>
            <w:r w:rsidRPr="001A47BE">
              <w:rPr>
                <w:rFonts w:eastAsia="Calibri Light"/>
              </w:rPr>
              <w:t>Across different age groups, Australians (70</w:t>
            </w:r>
            <w:r w:rsidR="00C239AD">
              <w:rPr>
                <w:rFonts w:eastAsia="Calibri Light"/>
              </w:rPr>
              <w:t> year</w:t>
            </w:r>
            <w:r w:rsidRPr="001A47BE">
              <w:rPr>
                <w:rFonts w:eastAsia="Calibri Light"/>
              </w:rPr>
              <w:t>s and over) have consistently had the highest level of average overall life satisfaction. Men and women reported similar levels of life satisfaction each year. People with disability have consistently had a lower average life satisfaction score than people with no disability, with an average difference of 0.7 points across the years. Similarly, average life satisfaction was comparatively lower compared to the general population for people with a long</w:t>
            </w:r>
            <w:r w:rsidR="00135DEA">
              <w:rPr>
                <w:rFonts w:eastAsia="Calibri Light"/>
              </w:rPr>
              <w:noBreakHyphen/>
            </w:r>
            <w:r w:rsidRPr="001A47BE">
              <w:rPr>
                <w:rFonts w:eastAsia="Calibri Light"/>
              </w:rPr>
              <w:t xml:space="preserve">term health condition (6.9) or a mental health condition (5.8). </w:t>
            </w:r>
          </w:p>
        </w:tc>
      </w:tr>
    </w:tbl>
    <w:p w14:paraId="6B3D89D2" w14:textId="77777777" w:rsidR="00C945A3" w:rsidRDefault="00C945A3" w:rsidP="00774321"/>
    <w:p w14:paraId="32DD3A45" w14:textId="77777777" w:rsidR="00C945A3" w:rsidRDefault="00C945A3" w:rsidP="00774321">
      <w:pPr>
        <w:pStyle w:val="ChartMainHeading"/>
        <w:rPr>
          <w:lang w:eastAsia="en-US"/>
        </w:rPr>
      </w:pPr>
      <w:r>
        <w:rPr>
          <w:lang w:eastAsia="en-US"/>
        </w:rPr>
        <w:lastRenderedPageBreak/>
        <w:t xml:space="preserve">Chart 1: </w:t>
      </w:r>
      <w:r w:rsidRPr="00D40248">
        <w:rPr>
          <w:lang w:eastAsia="en-US"/>
        </w:rPr>
        <w:t xml:space="preserve">Overall life </w:t>
      </w:r>
      <w:r w:rsidRPr="00774321">
        <w:t>satisfaction</w:t>
      </w:r>
      <w:r w:rsidRPr="00D40248">
        <w:rPr>
          <w:lang w:eastAsia="en-US"/>
        </w:rPr>
        <w:t xml:space="preserve"> in 2020</w:t>
      </w:r>
      <w:r>
        <w:rPr>
          <w:lang w:eastAsia="en-US"/>
        </w:rPr>
        <w:t xml:space="preserve"> </w:t>
      </w:r>
    </w:p>
    <w:p w14:paraId="6C114201" w14:textId="77777777" w:rsidR="00C945A3" w:rsidRPr="00BC4358" w:rsidRDefault="00C945A3" w:rsidP="00774321">
      <w:pPr>
        <w:pStyle w:val="ChartGraphic"/>
        <w:rPr>
          <w:rFonts w:eastAsia="Calibri Light"/>
          <w:lang w:eastAsia="en-US"/>
        </w:rPr>
      </w:pPr>
      <w:r>
        <w:rPr>
          <w:noProof/>
          <w:lang w:eastAsia="en-US"/>
        </w:rPr>
        <w:drawing>
          <wp:inline distT="0" distB="0" distL="0" distR="0" wp14:anchorId="6A5CE153" wp14:editId="6DEFBF66">
            <wp:extent cx="5760000" cy="2304000"/>
            <wp:effectExtent l="0" t="0" r="0" b="1270"/>
            <wp:docPr id="21" name="Picture 21" descr="This chart shows the overall life satisfaction measured on a scale of 0 to 10, where 0 means ‘not at all satisfied’ and 10 means ‘completely satisfied’. The chart shows a comparison between the overall life satisfaction of people with and without a disability, people with and without a long term health condition status and people with and without a mental health condition, disaggregated by females and males. The chart shows that people with disability, long term health conditions or mental health conditions have lower life satisfaction scores than people without. It also shows that females in all categories have higher life satisfaction scores than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shows the overall life satisfaction measured on a scale of 0 to 10, where 0 means ‘not at all satisfied’ and 10 means ‘completely satisfied’. The chart shows a comparison between the overall life satisfaction of people with and without a disability, people with and without a long term health condition status and people with and without a mental health condition, disaggregated by females and males. The chart shows that people with disability, long term health conditions or mental health conditions have lower life satisfaction scores than people without. It also shows that females in all categories have higher life satisfaction scores than males. "/>
                    <pic:cNvPicPr/>
                  </pic:nvPicPr>
                  <pic:blipFill>
                    <a:blip r:embed="rId35">
                      <a:extLst>
                        <a:ext uri="{28A0092B-C50C-407E-A947-70E740481C1C}">
                          <a14:useLocalDpi xmlns:a14="http://schemas.microsoft.com/office/drawing/2010/main" val="0"/>
                        </a:ext>
                      </a:extLst>
                    </a:blip>
                    <a:stretch>
                      <a:fillRect/>
                    </a:stretch>
                  </pic:blipFill>
                  <pic:spPr>
                    <a:xfrm>
                      <a:off x="0" y="0"/>
                      <a:ext cx="5760000" cy="2304000"/>
                    </a:xfrm>
                    <a:prstGeom prst="rect">
                      <a:avLst/>
                    </a:prstGeom>
                  </pic:spPr>
                </pic:pic>
              </a:graphicData>
            </a:graphic>
          </wp:inline>
        </w:drawing>
      </w:r>
    </w:p>
    <w:p w14:paraId="6D1E1181" w14:textId="013E1A39" w:rsidR="00C945A3" w:rsidRDefault="00C945A3" w:rsidP="00774321">
      <w:pPr>
        <w:pStyle w:val="ChartorTableNote"/>
      </w:pPr>
      <w:r w:rsidRPr="00076B11">
        <w:t xml:space="preserve">Source: </w:t>
      </w:r>
      <w:r w:rsidR="00636D0E">
        <w:tab/>
      </w:r>
      <w:r w:rsidRPr="00076B11">
        <w:t xml:space="preserve">ABS General </w:t>
      </w:r>
      <w:r w:rsidRPr="00774321">
        <w:t>Social</w:t>
      </w:r>
      <w:r w:rsidRPr="00076B11">
        <w:t xml:space="preserve"> Survey 2020.</w:t>
      </w:r>
    </w:p>
    <w:p w14:paraId="748C61B3" w14:textId="77777777" w:rsidR="00774321" w:rsidRDefault="00774321" w:rsidP="00C945A3">
      <w:bookmarkStart w:id="39" w:name="_Toc139396006"/>
      <w:bookmarkStart w:id="40" w:name="_Toc139396007"/>
      <w:bookmarkStart w:id="41" w:name="_Toc140164492"/>
      <w:bookmarkEnd w:id="39"/>
      <w:bookmarkEnd w:id="40"/>
    </w:p>
    <w:p w14:paraId="5D802420" w14:textId="282A29A5" w:rsidR="00774321" w:rsidRDefault="00774321" w:rsidP="00C945A3">
      <w:pPr>
        <w:sectPr w:rsidR="00774321" w:rsidSect="00DA302B">
          <w:headerReference w:type="even" r:id="rId36"/>
          <w:footerReference w:type="even" r:id="rId37"/>
          <w:headerReference w:type="first" r:id="rId38"/>
          <w:footerReference w:type="first" r:id="rId39"/>
          <w:endnotePr>
            <w:numFmt w:val="decimal"/>
          </w:endnotePr>
          <w:type w:val="continuous"/>
          <w:pgSz w:w="11906" w:h="16838" w:code="9"/>
          <w:pgMar w:top="1843" w:right="1418" w:bottom="1418" w:left="1418" w:header="851" w:footer="851" w:gutter="0"/>
          <w:cols w:space="567"/>
          <w:docGrid w:linePitch="360"/>
        </w:sectPr>
      </w:pPr>
    </w:p>
    <w:p w14:paraId="3F2A2BDC" w14:textId="4B0EE662" w:rsidR="003E52BD" w:rsidRPr="009764EE" w:rsidRDefault="003E52BD" w:rsidP="00037C32">
      <w:pPr>
        <w:pStyle w:val="Heading1"/>
      </w:pPr>
      <w:bookmarkStart w:id="42" w:name="_Toc147497665"/>
      <w:r w:rsidRPr="009764EE">
        <w:lastRenderedPageBreak/>
        <w:t>Overall progress on Australian wellbeing</w:t>
      </w:r>
      <w:bookmarkEnd w:id="42"/>
    </w:p>
    <w:p w14:paraId="18043EE5" w14:textId="77777777" w:rsidR="00774321" w:rsidRDefault="003E52BD" w:rsidP="00037C32">
      <w:pPr>
        <w:pStyle w:val="IntrotextMWM"/>
      </w:pPr>
      <w:r w:rsidRPr="009D573F">
        <w:t>Progress across the five themes and 50 indicators has been mixed over recent decades. Many have improved, but some have shown little change and a significant number have deteriorated.</w:t>
      </w:r>
      <w:r>
        <w:t xml:space="preserve"> </w:t>
      </w:r>
      <w:r w:rsidRPr="009D573F">
        <w:t>Beyond the trends, there is scope for Australia to do better on all themes and indicators.</w:t>
      </w:r>
      <w:bookmarkEnd w:id="41"/>
    </w:p>
    <w:p w14:paraId="0D31D87D" w14:textId="77777777" w:rsidR="00B426B5" w:rsidRDefault="00B426B5" w:rsidP="00774321"/>
    <w:p w14:paraId="5A0E6408" w14:textId="065F32F0" w:rsidR="00774321" w:rsidRPr="00AE4534" w:rsidRDefault="00774321" w:rsidP="00774321">
      <w:pPr>
        <w:sectPr w:rsidR="00774321" w:rsidRPr="00AE4534" w:rsidSect="00DA302B">
          <w:endnotePr>
            <w:numFmt w:val="decimal"/>
          </w:endnotePr>
          <w:pgSz w:w="11906" w:h="16838" w:code="9"/>
          <w:pgMar w:top="1843" w:right="1418" w:bottom="1418" w:left="1418" w:header="851" w:footer="851" w:gutter="0"/>
          <w:cols w:space="567"/>
          <w:docGrid w:linePitch="360"/>
        </w:sectPr>
      </w:pPr>
    </w:p>
    <w:p w14:paraId="25134626" w14:textId="45DB47A8" w:rsidR="003A5AF5" w:rsidRPr="003A5AF5" w:rsidRDefault="003A5AF5" w:rsidP="007C3979">
      <w:r w:rsidRPr="003A5AF5">
        <w:t xml:space="preserve">Over the past two </w:t>
      </w:r>
      <w:r w:rsidRPr="00FB6842">
        <w:rPr>
          <w:rStyle w:val="Emphasis"/>
        </w:rPr>
        <w:t>decades</w:t>
      </w:r>
      <w:r w:rsidRPr="003A5AF5">
        <w:t>, Australia has made progress in improving life expectancy, and reducing resource use. We are more accepting of diversity and have more trust in others. Over</w:t>
      </w:r>
      <w:r w:rsidR="00EB2C74">
        <w:t> </w:t>
      </w:r>
      <w:r w:rsidRPr="003A5AF5">
        <w:t>those decades, our incomes and job opportunities have improved.</w:t>
      </w:r>
    </w:p>
    <w:p w14:paraId="6F76D96C" w14:textId="73A939AF" w:rsidR="003A5AF5" w:rsidRPr="003A5AF5" w:rsidRDefault="003A5AF5" w:rsidP="003A5AF5">
      <w:r w:rsidRPr="003A5AF5">
        <w:t>However, we</w:t>
      </w:r>
      <w:r w:rsidR="00135DEA">
        <w:t>’</w:t>
      </w:r>
      <w:r w:rsidRPr="003A5AF5">
        <w:t>ve made less progress on indicators such as mental health and real wages.</w:t>
      </w:r>
    </w:p>
    <w:p w14:paraId="3D7FF839" w14:textId="7280B828" w:rsidR="003A5AF5" w:rsidRPr="003A5AF5" w:rsidRDefault="003A5AF5" w:rsidP="003A5AF5">
      <w:r w:rsidRPr="003A5AF5">
        <w:t>And some things have deteriorated</w:t>
      </w:r>
      <w:r w:rsidR="001524A0">
        <w:t xml:space="preserve"> – </w:t>
      </w:r>
      <w:r w:rsidRPr="003A5AF5">
        <w:t>we have more chronic health conditions and are finding it harder to access health services. We perceive our national security to be lower and we face new threats online. Biological diversity and fiscal sustainability have declined. We are spending less time developing new skills and while school outcomes have improved, they are falling behind countries.</w:t>
      </w:r>
      <w:r w:rsidR="00E40D00" w:rsidRPr="00B8112E">
        <w:rPr>
          <w:rStyle w:val="FootnoteReference"/>
        </w:rPr>
        <w:endnoteReference w:id="5"/>
      </w:r>
      <w:r w:rsidR="00C239AD">
        <w:t xml:space="preserve"> </w:t>
      </w:r>
    </w:p>
    <w:p w14:paraId="71628370" w14:textId="25EDD215" w:rsidR="003A5AF5" w:rsidRPr="003A5AF5" w:rsidRDefault="003A5AF5" w:rsidP="003A5AF5">
      <w:r w:rsidRPr="003A5AF5">
        <w:t>All in all</w:t>
      </w:r>
      <w:r w:rsidR="001524A0">
        <w:t xml:space="preserve"> – </w:t>
      </w:r>
      <w:r w:rsidRPr="003A5AF5">
        <w:t>over recent decades</w:t>
      </w:r>
      <w:r w:rsidR="001524A0">
        <w:t xml:space="preserve"> – </w:t>
      </w:r>
      <w:r w:rsidRPr="003A5AF5">
        <w:t>20 of the indicators have improved, 7 have been stable or had little change and 12 have deteriorated. Eight indicators have mixed trends and three others do not have data for comparison over time.</w:t>
      </w:r>
    </w:p>
    <w:p w14:paraId="6B594CA2" w14:textId="1F5A7DE5" w:rsidR="003A5AF5" w:rsidRPr="003A5AF5" w:rsidRDefault="00636D0E" w:rsidP="003A5AF5">
      <w:r>
        <w:br w:type="column"/>
      </w:r>
      <w:r w:rsidR="003A5AF5" w:rsidRPr="003A5AF5">
        <w:t>Deteriorating performance is a sign that further attention is required. However, trends only tell part of the story.</w:t>
      </w:r>
    </w:p>
    <w:p w14:paraId="5BDDC0E3" w14:textId="77777777" w:rsidR="003A5AF5" w:rsidRPr="003A5AF5" w:rsidRDefault="003A5AF5" w:rsidP="003A5AF5">
      <w:r w:rsidRPr="003A5AF5">
        <w:t>Even in areas where progress has been made, we have the opportunity to do better.</w:t>
      </w:r>
    </w:p>
    <w:p w14:paraId="653D9CCE" w14:textId="53A49A1E" w:rsidR="003A5AF5" w:rsidRPr="003A5AF5" w:rsidRDefault="003A5AF5" w:rsidP="003A5AF5">
      <w:r w:rsidRPr="003A5AF5">
        <w:t>For example, while experiences of physical violence have fallen, more needs to be done to ensure every Australian can live free from violence. While annual greenhouse gas emissions have fallen, substantial further progress needs to be made to reach Australia</w:t>
      </w:r>
      <w:r w:rsidR="00135DEA">
        <w:t>’</w:t>
      </w:r>
      <w:r w:rsidRPr="003A5AF5">
        <w:t>s legislated commitment to reduce emissions by 43</w:t>
      </w:r>
      <w:r w:rsidR="001524A0">
        <w:t> per c</w:t>
      </w:r>
      <w:r w:rsidRPr="003A5AF5">
        <w:t>ent by 2030.</w:t>
      </w:r>
    </w:p>
    <w:p w14:paraId="399E75A6" w14:textId="77777777" w:rsidR="00057EBC" w:rsidRDefault="003A5AF5" w:rsidP="003A5AF5">
      <w:r w:rsidRPr="003A5AF5">
        <w:t>Everyone has a role in driving further improvements in wellbeing through the choices we make. This includes governments, businesses and other organisations as well as Australian communities and people</w:t>
      </w:r>
      <w:r w:rsidR="00B426B5" w:rsidRPr="009764EE">
        <w:t>.</w:t>
      </w:r>
    </w:p>
    <w:p w14:paraId="13D50725" w14:textId="77777777" w:rsidR="00C945A3" w:rsidRDefault="00C945A3" w:rsidP="003A5AF5"/>
    <w:p w14:paraId="13E3561D" w14:textId="0F142B7D" w:rsidR="00C945A3" w:rsidRDefault="00C945A3" w:rsidP="003A5AF5">
      <w:pPr>
        <w:sectPr w:rsidR="00C945A3" w:rsidSect="00DA302B">
          <w:endnotePr>
            <w:numFmt w:val="decimal"/>
          </w:endnotePr>
          <w:type w:val="continuous"/>
          <w:pgSz w:w="11906" w:h="16838" w:code="9"/>
          <w:pgMar w:top="1843" w:right="1418" w:bottom="1418" w:left="1418" w:header="851" w:footer="851" w:gutter="0"/>
          <w:cols w:num="2" w:space="567"/>
          <w:docGrid w:linePitch="360"/>
        </w:sectPr>
      </w:pPr>
    </w:p>
    <w:p w14:paraId="4E9589CC" w14:textId="52E347A0" w:rsidR="00057EBC" w:rsidRPr="003E7130" w:rsidRDefault="00057EBC" w:rsidP="00037C32">
      <w:pPr>
        <w:pStyle w:val="Heading1"/>
      </w:pPr>
      <w:bookmarkStart w:id="43" w:name="_Toc140164493"/>
      <w:bookmarkStart w:id="44" w:name="_Toc147497666"/>
      <w:r w:rsidRPr="009764EE">
        <w:lastRenderedPageBreak/>
        <w:t>Healthy</w:t>
      </w:r>
      <w:bookmarkEnd w:id="43"/>
      <w:bookmarkEnd w:id="44"/>
    </w:p>
    <w:p w14:paraId="3605C10A" w14:textId="77777777" w:rsidR="00057EBC" w:rsidRDefault="00057EBC" w:rsidP="00037C32">
      <w:pPr>
        <w:pStyle w:val="IntrotextMWM"/>
      </w:pPr>
      <w:r w:rsidRPr="00CA325C">
        <w:t xml:space="preserve">A society in which people feel well and are in good physical and mental health, can access services when needed, and have the information they require to take action to improve their health </w:t>
      </w:r>
    </w:p>
    <w:p w14:paraId="777A4F63" w14:textId="77777777" w:rsidR="00C86A39" w:rsidRDefault="00135DEA" w:rsidP="00037C32">
      <w:pPr>
        <w:pStyle w:val="Quote"/>
      </w:pPr>
      <w:r>
        <w:t>“</w:t>
      </w:r>
      <w:r w:rsidR="00057EBC" w:rsidRPr="007E5E27">
        <w:t xml:space="preserve">By measuring health through metrics that paint the clearest picture of health and wellbeing, we can better monitor health trends across the nation, </w:t>
      </w:r>
      <w:r w:rsidR="00057EBC" w:rsidRPr="003E7130">
        <w:t>intervene</w:t>
      </w:r>
      <w:r w:rsidR="00057EBC" w:rsidRPr="007E5E27">
        <w:t xml:space="preserve"> to address potential health threats, [and] reduce health inequities.</w:t>
      </w:r>
      <w:r>
        <w:t>”</w:t>
      </w:r>
      <w:r w:rsidR="00057EBC" w:rsidRPr="005049F1">
        <w:rPr>
          <w:rStyle w:val="FootnoteReference"/>
        </w:rPr>
        <w:endnoteReference w:id="6"/>
      </w:r>
    </w:p>
    <w:p w14:paraId="4004CA41" w14:textId="6DD7DC5C" w:rsidR="00515A97" w:rsidRDefault="00057EBC" w:rsidP="00037C32">
      <w:pPr>
        <w:pStyle w:val="Quote"/>
      </w:pPr>
      <w:r w:rsidRPr="009764EE">
        <w:t xml:space="preserve"> </w:t>
      </w:r>
      <w:r w:rsidR="00151999">
        <w:t>–</w:t>
      </w:r>
      <w:r w:rsidRPr="009764EE">
        <w:t xml:space="preserve"> the Australian Academy of Health and Medical Science submission</w:t>
      </w:r>
    </w:p>
    <w:p w14:paraId="1612EDB4" w14:textId="410EB547" w:rsidR="003A1475" w:rsidRPr="009764EE" w:rsidRDefault="00BF7E29" w:rsidP="00A409F6">
      <w:pPr>
        <w:pStyle w:val="Heading2"/>
      </w:pPr>
      <w:bookmarkStart w:id="45" w:name="_Toc147497667"/>
      <w:r w:rsidRPr="009764EE">
        <w:t>Healthy throughout life</w:t>
      </w:r>
      <w:bookmarkEnd w:id="45"/>
    </w:p>
    <w:tbl>
      <w:tblPr>
        <w:tblStyle w:val="MWMTables"/>
        <w:tblW w:w="5000" w:type="pct"/>
        <w:tblLook w:val="06A0" w:firstRow="1" w:lastRow="0" w:firstColumn="1" w:lastColumn="0" w:noHBand="1" w:noVBand="1"/>
      </w:tblPr>
      <w:tblGrid>
        <w:gridCol w:w="1227"/>
        <w:gridCol w:w="2189"/>
        <w:gridCol w:w="2327"/>
        <w:gridCol w:w="1780"/>
        <w:gridCol w:w="1547"/>
      </w:tblGrid>
      <w:tr w:rsidR="00191D8C" w:rsidRPr="009764EE" w14:paraId="1375E782" w14:textId="77777777" w:rsidTr="002D1353">
        <w:trPr>
          <w:cnfStyle w:val="100000000000" w:firstRow="1" w:lastRow="0" w:firstColumn="0" w:lastColumn="0" w:oddVBand="0" w:evenVBand="0" w:oddHBand="0" w:evenHBand="0" w:firstRowFirstColumn="0" w:firstRowLastColumn="0" w:lastRowFirstColumn="0" w:lastRowLastColumn="0"/>
          <w:trHeight w:val="270"/>
        </w:trPr>
        <w:tc>
          <w:tcPr>
            <w:tcW w:w="676" w:type="pct"/>
          </w:tcPr>
          <w:p w14:paraId="79891E02" w14:textId="77777777" w:rsidR="00B41109" w:rsidRPr="009764EE" w:rsidRDefault="00B41109" w:rsidP="00A409F6">
            <w:pPr>
              <w:pStyle w:val="TableColumnHeadingLeft"/>
            </w:pPr>
            <w:r w:rsidRPr="009764EE">
              <w:t>Indicator</w:t>
            </w:r>
          </w:p>
        </w:tc>
        <w:tc>
          <w:tcPr>
            <w:tcW w:w="1207" w:type="pct"/>
          </w:tcPr>
          <w:p w14:paraId="1C512333" w14:textId="3BD93A8F" w:rsidR="00B41109" w:rsidRPr="009764EE" w:rsidRDefault="0023642B" w:rsidP="00A409F6">
            <w:pPr>
              <w:pStyle w:val="TableColumnHeadingLeft"/>
            </w:pPr>
            <w:r w:rsidRPr="009764EE">
              <w:t>M</w:t>
            </w:r>
            <w:r w:rsidR="00B41109" w:rsidRPr="009764EE">
              <w:t>etric</w:t>
            </w:r>
          </w:p>
        </w:tc>
        <w:tc>
          <w:tcPr>
            <w:tcW w:w="1283" w:type="pct"/>
          </w:tcPr>
          <w:p w14:paraId="6FC0184B" w14:textId="085D1CAB" w:rsidR="00B41109" w:rsidRPr="009764EE" w:rsidRDefault="00B41109" w:rsidP="00A409F6">
            <w:pPr>
              <w:pStyle w:val="TableColumnHeadingLeft"/>
            </w:pPr>
            <w:r w:rsidRPr="009764EE">
              <w:t xml:space="preserve">Why this metric </w:t>
            </w:r>
          </w:p>
        </w:tc>
        <w:tc>
          <w:tcPr>
            <w:tcW w:w="981" w:type="pct"/>
          </w:tcPr>
          <w:p w14:paraId="3770DB00" w14:textId="4B171E02" w:rsidR="00B41109" w:rsidRPr="009764EE" w:rsidRDefault="00246B70" w:rsidP="00A409F6">
            <w:pPr>
              <w:pStyle w:val="TableColumnHeadingLeft"/>
            </w:pPr>
            <w:r w:rsidRPr="009764EE">
              <w:t>Progress</w:t>
            </w:r>
          </w:p>
        </w:tc>
        <w:tc>
          <w:tcPr>
            <w:tcW w:w="853" w:type="pct"/>
          </w:tcPr>
          <w:p w14:paraId="7F8E5C3F" w14:textId="6747FFF2" w:rsidR="00B41109" w:rsidRPr="009764EE" w:rsidRDefault="00CD32DA" w:rsidP="00A409F6">
            <w:pPr>
              <w:pStyle w:val="TableColumnHeadingLeft"/>
            </w:pPr>
            <w:r w:rsidRPr="009764EE">
              <w:t xml:space="preserve">Latest </w:t>
            </w:r>
            <w:r w:rsidR="00293157" w:rsidRPr="009764EE">
              <w:t>Value</w:t>
            </w:r>
            <w:r w:rsidR="00366F16" w:rsidRPr="005049F1">
              <w:rPr>
                <w:rStyle w:val="FootnoteReference"/>
              </w:rPr>
              <w:t>(</w:t>
            </w:r>
            <w:r w:rsidR="00E61B07" w:rsidRPr="005049F1">
              <w:rPr>
                <w:rStyle w:val="FootnoteReference"/>
              </w:rPr>
              <w:t>I</w:t>
            </w:r>
            <w:r w:rsidR="00366F16" w:rsidRPr="005049F1">
              <w:rPr>
                <w:rStyle w:val="FootnoteReference"/>
              </w:rPr>
              <w:t>)</w:t>
            </w:r>
          </w:p>
        </w:tc>
      </w:tr>
      <w:tr w:rsidR="00191D8C" w:rsidRPr="009764EE" w14:paraId="4401CDEA" w14:textId="77777777" w:rsidTr="002D1353">
        <w:trPr>
          <w:trHeight w:val="270"/>
        </w:trPr>
        <w:tc>
          <w:tcPr>
            <w:tcW w:w="676" w:type="pct"/>
            <w:vMerge w:val="restart"/>
          </w:tcPr>
          <w:p w14:paraId="2D3F1B34" w14:textId="5DAD2FCB" w:rsidR="00B41109" w:rsidRPr="002D1353" w:rsidRDefault="00B41109" w:rsidP="002D1353">
            <w:pPr>
              <w:pStyle w:val="TableTextLeft"/>
              <w:rPr>
                <w:rStyle w:val="Strong"/>
                <w:color w:val="082C44"/>
              </w:rPr>
            </w:pPr>
            <w:r w:rsidRPr="002D1353">
              <w:rPr>
                <w:rStyle w:val="Strong"/>
                <w:color w:val="082C44"/>
              </w:rPr>
              <w:t xml:space="preserve">Life expectancy </w:t>
            </w:r>
          </w:p>
        </w:tc>
        <w:tc>
          <w:tcPr>
            <w:tcW w:w="1207" w:type="pct"/>
            <w:tcBorders>
              <w:top w:val="single" w:sz="4" w:space="0" w:color="216364"/>
              <w:bottom w:val="single" w:sz="4" w:space="0" w:color="EEEEEE" w:themeColor="background2"/>
            </w:tcBorders>
          </w:tcPr>
          <w:p w14:paraId="4125E504" w14:textId="712E51E9" w:rsidR="00B41109" w:rsidRPr="005E647D" w:rsidRDefault="00B41109" w:rsidP="00A409F6">
            <w:pPr>
              <w:pStyle w:val="TableTextLeft"/>
            </w:pPr>
            <w:r w:rsidRPr="005E647D">
              <w:t>Life expectancy at birth</w:t>
            </w:r>
            <w:r w:rsidR="00D766AB" w:rsidRPr="00C239AD">
              <w:rPr>
                <w:rStyle w:val="TableFootnoteReference"/>
              </w:rPr>
              <w:t>(a)</w:t>
            </w:r>
          </w:p>
        </w:tc>
        <w:tc>
          <w:tcPr>
            <w:tcW w:w="1283" w:type="pct"/>
            <w:tcBorders>
              <w:top w:val="single" w:sz="4" w:space="0" w:color="216364"/>
              <w:bottom w:val="single" w:sz="4" w:space="0" w:color="EEEEEE" w:themeColor="background2"/>
            </w:tcBorders>
          </w:tcPr>
          <w:p w14:paraId="65CFA02B" w14:textId="338D57E2" w:rsidR="00B41109" w:rsidRPr="005E647D" w:rsidRDefault="00B41109" w:rsidP="00A409F6">
            <w:pPr>
              <w:pStyle w:val="TableTextLeft"/>
            </w:pPr>
            <w:r w:rsidRPr="005E647D">
              <w:t>Life expectancy is one of the most used measures for the general state of health</w:t>
            </w:r>
          </w:p>
        </w:tc>
        <w:tc>
          <w:tcPr>
            <w:tcW w:w="981" w:type="pct"/>
            <w:tcBorders>
              <w:top w:val="single" w:sz="4" w:space="0" w:color="216364"/>
              <w:bottom w:val="single" w:sz="4" w:space="0" w:color="EEEEEE" w:themeColor="background2"/>
            </w:tcBorders>
          </w:tcPr>
          <w:p w14:paraId="101F2081" w14:textId="191B4072" w:rsidR="00843AC8" w:rsidRPr="009764EE" w:rsidRDefault="00917C4C" w:rsidP="00F36DFA">
            <w:pPr>
              <w:pStyle w:val="TableTextCentered"/>
              <w:rPr>
                <w:rFonts w:eastAsia="Century Gothic"/>
              </w:rPr>
            </w:pPr>
            <w:r w:rsidRPr="009764EE">
              <w:rPr>
                <w:rFonts w:eastAsia="Century Gothic"/>
              </w:rPr>
              <w:t>Improv</w:t>
            </w:r>
            <w:r w:rsidR="001223FF" w:rsidRPr="009764EE">
              <w:rPr>
                <w:rFonts w:eastAsia="Century Gothic"/>
              </w:rPr>
              <w:t>ed</w:t>
            </w:r>
          </w:p>
          <w:p w14:paraId="69408A07" w14:textId="61F351BB" w:rsidR="00AD1FCF" w:rsidRPr="009764EE" w:rsidRDefault="00187E39" w:rsidP="00A409F6">
            <w:pPr>
              <w:pStyle w:val="TableTextCentered"/>
            </w:pPr>
            <w:r w:rsidRPr="009764EE">
              <w:t>20</w:t>
            </w:r>
            <w:r w:rsidR="00A171F6" w:rsidRPr="009764EE">
              <w:t>01</w:t>
            </w:r>
            <w:r w:rsidR="00151999">
              <w:t>–</w:t>
            </w:r>
            <w:r w:rsidRPr="009764EE">
              <w:t>03 to 20</w:t>
            </w:r>
            <w:r w:rsidR="0060246F" w:rsidRPr="009764EE">
              <w:t>19</w:t>
            </w:r>
            <w:r w:rsidR="00151999">
              <w:t>–</w:t>
            </w:r>
            <w:r w:rsidRPr="009764EE">
              <w:t>21</w:t>
            </w:r>
          </w:p>
        </w:tc>
        <w:tc>
          <w:tcPr>
            <w:tcW w:w="853" w:type="pct"/>
            <w:tcBorders>
              <w:top w:val="single" w:sz="4" w:space="0" w:color="216364"/>
              <w:bottom w:val="single" w:sz="4" w:space="0" w:color="EEEEEE" w:themeColor="background2"/>
            </w:tcBorders>
          </w:tcPr>
          <w:p w14:paraId="62334639" w14:textId="17B0AC0F" w:rsidR="00187E39" w:rsidRPr="009764EE" w:rsidRDefault="00187E39" w:rsidP="00A409F6">
            <w:pPr>
              <w:pStyle w:val="TableTextCentered"/>
            </w:pPr>
            <w:r w:rsidRPr="009764EE">
              <w:t>Female: 85.4 yrs</w:t>
            </w:r>
          </w:p>
          <w:p w14:paraId="6BFC2AC6" w14:textId="0A0B1A20" w:rsidR="00002C17" w:rsidRPr="00F36DFA" w:rsidRDefault="00293157" w:rsidP="00F36DFA">
            <w:pPr>
              <w:pStyle w:val="TableTextCentered"/>
              <w:rPr>
                <w:rFonts w:eastAsia="Century Gothic"/>
              </w:rPr>
            </w:pPr>
            <w:r w:rsidRPr="009764EE">
              <w:t>Male: 8</w:t>
            </w:r>
            <w:r w:rsidR="00034CD8" w:rsidRPr="009764EE">
              <w:t>1</w:t>
            </w:r>
            <w:r w:rsidRPr="009764EE">
              <w:t>.</w:t>
            </w:r>
            <w:r w:rsidR="00034CD8" w:rsidRPr="009764EE">
              <w:t>3</w:t>
            </w:r>
            <w:r w:rsidR="00DA7D79" w:rsidRPr="009764EE">
              <w:t xml:space="preserve"> </w:t>
            </w:r>
            <w:r w:rsidRPr="009764EE">
              <w:t>yrs</w:t>
            </w:r>
          </w:p>
        </w:tc>
      </w:tr>
      <w:tr w:rsidR="00191D8C" w:rsidRPr="009764EE" w14:paraId="3CBA29CC" w14:textId="77777777" w:rsidTr="002D1353">
        <w:trPr>
          <w:trHeight w:val="270"/>
        </w:trPr>
        <w:tc>
          <w:tcPr>
            <w:tcW w:w="676" w:type="pct"/>
            <w:vMerge/>
          </w:tcPr>
          <w:p w14:paraId="144557B6" w14:textId="77777777" w:rsidR="00B41109" w:rsidRPr="002D1353" w:rsidRDefault="00B41109" w:rsidP="002D1353">
            <w:pPr>
              <w:pStyle w:val="TableTextLeft"/>
              <w:rPr>
                <w:rStyle w:val="Strong"/>
                <w:color w:val="082C44"/>
              </w:rPr>
            </w:pPr>
          </w:p>
        </w:tc>
        <w:tc>
          <w:tcPr>
            <w:tcW w:w="1207" w:type="pct"/>
            <w:tcBorders>
              <w:top w:val="single" w:sz="4" w:space="0" w:color="EEEEEE" w:themeColor="background2"/>
            </w:tcBorders>
          </w:tcPr>
          <w:p w14:paraId="4342A274" w14:textId="06DE2496" w:rsidR="00B41109" w:rsidRPr="005E647D" w:rsidRDefault="003C1194" w:rsidP="00A409F6">
            <w:pPr>
              <w:pStyle w:val="TableTextLeft"/>
            </w:pPr>
            <w:r w:rsidRPr="005E647D">
              <w:t>Health adjusted</w:t>
            </w:r>
            <w:r w:rsidR="00B41109" w:rsidRPr="005E647D">
              <w:t xml:space="preserve"> </w:t>
            </w:r>
            <w:r w:rsidR="000A2234" w:rsidRPr="005E647D">
              <w:t>l</w:t>
            </w:r>
            <w:r w:rsidR="00B41109" w:rsidRPr="005E647D">
              <w:t xml:space="preserve">ife </w:t>
            </w:r>
            <w:r w:rsidR="000A2234" w:rsidRPr="005E647D">
              <w:t>e</w:t>
            </w:r>
            <w:r w:rsidR="00B41109" w:rsidRPr="005E647D">
              <w:t>xpectancy</w:t>
            </w:r>
            <w:r w:rsidR="00D766AB" w:rsidRPr="00C239AD">
              <w:rPr>
                <w:rStyle w:val="TableFootnoteReference"/>
              </w:rPr>
              <w:t>(</w:t>
            </w:r>
            <w:r w:rsidR="00270690" w:rsidRPr="00C239AD">
              <w:rPr>
                <w:rStyle w:val="TableFootnoteReference"/>
              </w:rPr>
              <w:t>b</w:t>
            </w:r>
            <w:r w:rsidR="00D766AB" w:rsidRPr="00C239AD">
              <w:rPr>
                <w:rStyle w:val="TableFootnoteReference"/>
              </w:rPr>
              <w:t>)</w:t>
            </w:r>
          </w:p>
        </w:tc>
        <w:tc>
          <w:tcPr>
            <w:tcW w:w="1283" w:type="pct"/>
            <w:tcBorders>
              <w:top w:val="single" w:sz="4" w:space="0" w:color="EEEEEE" w:themeColor="background2"/>
            </w:tcBorders>
          </w:tcPr>
          <w:p w14:paraId="6E5F24F6" w14:textId="055A8DCA" w:rsidR="00B41109" w:rsidRPr="005E647D" w:rsidRDefault="00EF10FF" w:rsidP="00A409F6">
            <w:pPr>
              <w:pStyle w:val="TableTextLeft"/>
            </w:pPr>
            <w:r w:rsidRPr="005E647D">
              <w:t>Health</w:t>
            </w:r>
            <w:r w:rsidR="00135DEA">
              <w:noBreakHyphen/>
            </w:r>
            <w:r w:rsidR="00996D1E" w:rsidRPr="005E647D">
              <w:t>a</w:t>
            </w:r>
            <w:r w:rsidRPr="005E647D">
              <w:t xml:space="preserve">djusted </w:t>
            </w:r>
            <w:r w:rsidR="00996D1E" w:rsidRPr="005E647D">
              <w:t>l</w:t>
            </w:r>
            <w:r w:rsidRPr="005E647D">
              <w:t xml:space="preserve">ife </w:t>
            </w:r>
            <w:r w:rsidR="00996D1E" w:rsidRPr="005E647D">
              <w:t>e</w:t>
            </w:r>
            <w:r w:rsidRPr="005E647D">
              <w:t xml:space="preserve">xpectancy </w:t>
            </w:r>
            <w:r w:rsidR="00B41109" w:rsidRPr="005E647D">
              <w:t>considers the quality of life lived</w:t>
            </w:r>
            <w:r w:rsidR="002E36C4" w:rsidRPr="005E647D">
              <w:t>, not just the length</w:t>
            </w:r>
          </w:p>
        </w:tc>
        <w:tc>
          <w:tcPr>
            <w:tcW w:w="981" w:type="pct"/>
            <w:tcBorders>
              <w:top w:val="single" w:sz="4" w:space="0" w:color="EEEEEE" w:themeColor="background2"/>
            </w:tcBorders>
          </w:tcPr>
          <w:p w14:paraId="14191856" w14:textId="20AB384C" w:rsidR="00843AC8" w:rsidRPr="009764EE" w:rsidRDefault="00AA29DC" w:rsidP="00F36DFA">
            <w:pPr>
              <w:pStyle w:val="TableTextCentered"/>
            </w:pPr>
            <w:r w:rsidRPr="009764EE">
              <w:rPr>
                <w:rFonts w:eastAsia="Century Gothic"/>
              </w:rPr>
              <w:t>Improved</w:t>
            </w:r>
          </w:p>
          <w:p w14:paraId="5319F5FD" w14:textId="3D37108D" w:rsidR="00AD1FCF" w:rsidRPr="009764EE" w:rsidRDefault="00187E39" w:rsidP="00A409F6">
            <w:pPr>
              <w:pStyle w:val="TableTextCentered"/>
              <w:rPr>
                <w:rFonts w:eastAsia="Tahoma"/>
              </w:rPr>
            </w:pPr>
            <w:r w:rsidRPr="009764EE">
              <w:t>2003 to 20</w:t>
            </w:r>
            <w:r w:rsidR="008946F3" w:rsidRPr="009764EE">
              <w:t>22</w:t>
            </w:r>
          </w:p>
        </w:tc>
        <w:tc>
          <w:tcPr>
            <w:tcW w:w="853" w:type="pct"/>
            <w:tcBorders>
              <w:top w:val="single" w:sz="4" w:space="0" w:color="EEEEEE" w:themeColor="background2"/>
            </w:tcBorders>
          </w:tcPr>
          <w:p w14:paraId="189EDAAE" w14:textId="0FABB47C" w:rsidR="00187E39" w:rsidRPr="009764EE" w:rsidRDefault="00187E39" w:rsidP="00A409F6">
            <w:pPr>
              <w:pStyle w:val="TableTextCentered"/>
            </w:pPr>
            <w:r w:rsidRPr="009764EE">
              <w:t>Female: 74.</w:t>
            </w:r>
            <w:r w:rsidR="00EB5EA6" w:rsidRPr="009764EE">
              <w:t>1</w:t>
            </w:r>
            <w:r w:rsidR="00DA7D79" w:rsidRPr="009764EE">
              <w:t xml:space="preserve"> </w:t>
            </w:r>
            <w:r w:rsidRPr="009764EE">
              <w:t>yrs</w:t>
            </w:r>
          </w:p>
          <w:p w14:paraId="25FED83C" w14:textId="4937B224" w:rsidR="00EB217A" w:rsidRPr="009764EE" w:rsidRDefault="00EB217A" w:rsidP="00A409F6">
            <w:pPr>
              <w:pStyle w:val="TableTextCentered"/>
            </w:pPr>
            <w:r w:rsidRPr="009764EE">
              <w:t xml:space="preserve">Male: </w:t>
            </w:r>
            <w:r w:rsidR="004564AB" w:rsidRPr="009764EE">
              <w:t>71.</w:t>
            </w:r>
            <w:r w:rsidR="00EB5EA6" w:rsidRPr="009764EE">
              <w:t>6</w:t>
            </w:r>
            <w:r w:rsidR="004564AB" w:rsidRPr="009764EE">
              <w:t xml:space="preserve"> yrs</w:t>
            </w:r>
          </w:p>
        </w:tc>
      </w:tr>
      <w:tr w:rsidR="00191D8C" w:rsidRPr="009764EE" w14:paraId="72793129" w14:textId="77777777" w:rsidTr="002D1353">
        <w:trPr>
          <w:trHeight w:val="443"/>
        </w:trPr>
        <w:tc>
          <w:tcPr>
            <w:tcW w:w="676" w:type="pct"/>
          </w:tcPr>
          <w:p w14:paraId="4CE25332" w14:textId="0F24276A" w:rsidR="00B41109" w:rsidRPr="002D1353" w:rsidRDefault="00B41109" w:rsidP="002D1353">
            <w:pPr>
              <w:pStyle w:val="TableTextLeft"/>
              <w:rPr>
                <w:rStyle w:val="Strong"/>
                <w:color w:val="082C44"/>
              </w:rPr>
            </w:pPr>
            <w:r w:rsidRPr="002D1353">
              <w:rPr>
                <w:rStyle w:val="Strong"/>
                <w:color w:val="082C44"/>
              </w:rPr>
              <w:t xml:space="preserve">Mental health </w:t>
            </w:r>
          </w:p>
        </w:tc>
        <w:tc>
          <w:tcPr>
            <w:tcW w:w="1207" w:type="pct"/>
          </w:tcPr>
          <w:p w14:paraId="219E8812" w14:textId="79ACB038" w:rsidR="00B41109" w:rsidRPr="005E647D" w:rsidRDefault="002E7D85" w:rsidP="00A409F6">
            <w:pPr>
              <w:pStyle w:val="TableTextLeft"/>
            </w:pPr>
            <w:r w:rsidRPr="005E647D">
              <w:t>P</w:t>
            </w:r>
            <w:r w:rsidR="008A6680" w:rsidRPr="005E647D">
              <w:t xml:space="preserve">roportion of </w:t>
            </w:r>
            <w:r w:rsidR="00B4584F" w:rsidRPr="005E647D">
              <w:t>people</w:t>
            </w:r>
            <w:r w:rsidR="008A6680" w:rsidRPr="005E647D">
              <w:t xml:space="preserve"> </w:t>
            </w:r>
            <w:r w:rsidRPr="005E647D">
              <w:t xml:space="preserve">who </w:t>
            </w:r>
            <w:r w:rsidR="008A6680" w:rsidRPr="005E647D">
              <w:t>experienced high or very high levels of psychological distress</w:t>
            </w:r>
            <w:r w:rsidR="00646A37" w:rsidRPr="00C239AD">
              <w:rPr>
                <w:rStyle w:val="TableFootnoteReference"/>
              </w:rPr>
              <w:t>(c</w:t>
            </w:r>
            <w:r w:rsidR="00BC12AF" w:rsidRPr="00C239AD">
              <w:rPr>
                <w:rStyle w:val="TableFootnoteReference"/>
              </w:rPr>
              <w:t>)</w:t>
            </w:r>
          </w:p>
        </w:tc>
        <w:tc>
          <w:tcPr>
            <w:tcW w:w="1283" w:type="pct"/>
          </w:tcPr>
          <w:p w14:paraId="59D6EB63" w14:textId="0164FCB1" w:rsidR="00B41109" w:rsidRPr="005E647D" w:rsidRDefault="002E36C4" w:rsidP="00A409F6">
            <w:pPr>
              <w:pStyle w:val="TableTextLeft"/>
            </w:pPr>
            <w:r w:rsidRPr="005E647D">
              <w:t>This scale</w:t>
            </w:r>
            <w:r w:rsidR="00B41109" w:rsidRPr="005E647D">
              <w:t xml:space="preserve"> is a globally recognised </w:t>
            </w:r>
            <w:r w:rsidR="006262B9" w:rsidRPr="005E647D">
              <w:t xml:space="preserve">measure </w:t>
            </w:r>
            <w:r w:rsidR="00B41109" w:rsidRPr="005E647D">
              <w:t xml:space="preserve">of </w:t>
            </w:r>
            <w:r w:rsidR="007E0F25" w:rsidRPr="005E647D">
              <w:t xml:space="preserve">psychological distress </w:t>
            </w:r>
            <w:r w:rsidR="002340D9" w:rsidRPr="005E647D">
              <w:t>and is</w:t>
            </w:r>
            <w:r w:rsidR="00A7126D" w:rsidRPr="005E647D">
              <w:t xml:space="preserve"> one </w:t>
            </w:r>
            <w:r w:rsidR="006262B9" w:rsidRPr="005E647D">
              <w:t xml:space="preserve">indicator </w:t>
            </w:r>
            <w:r w:rsidR="00A7126D" w:rsidRPr="005E647D">
              <w:t>of the m</w:t>
            </w:r>
            <w:r w:rsidR="00B41109" w:rsidRPr="005E647D">
              <w:t>ental health</w:t>
            </w:r>
            <w:r w:rsidR="007E0F25" w:rsidRPr="005E647D">
              <w:t xml:space="preserve"> </w:t>
            </w:r>
            <w:r w:rsidR="00A7126D" w:rsidRPr="005E647D">
              <w:t>and wellbeing</w:t>
            </w:r>
            <w:r w:rsidR="007E0F25" w:rsidRPr="005E647D">
              <w:t xml:space="preserve"> of the population</w:t>
            </w:r>
          </w:p>
        </w:tc>
        <w:tc>
          <w:tcPr>
            <w:tcW w:w="981" w:type="pct"/>
          </w:tcPr>
          <w:p w14:paraId="295FE573" w14:textId="2D6E144E" w:rsidR="00843AC8" w:rsidRPr="009764EE" w:rsidRDefault="007C77BE" w:rsidP="00F36DFA">
            <w:pPr>
              <w:pStyle w:val="TableTextCentered"/>
            </w:pPr>
            <w:r w:rsidRPr="009764EE">
              <w:t>Stable</w:t>
            </w:r>
          </w:p>
          <w:p w14:paraId="25110E6E" w14:textId="3594AE6A" w:rsidR="00BA3731" w:rsidRPr="009764EE" w:rsidRDefault="00187E39" w:rsidP="00A409F6">
            <w:pPr>
              <w:pStyle w:val="TableTextCentered"/>
            </w:pPr>
            <w:r w:rsidRPr="009764EE">
              <w:t>200</w:t>
            </w:r>
            <w:r w:rsidR="00CB6046" w:rsidRPr="009764EE">
              <w:t>4</w:t>
            </w:r>
            <w:r w:rsidR="005049F1">
              <w:t>–</w:t>
            </w:r>
            <w:r w:rsidR="00CB6046" w:rsidRPr="009764EE">
              <w:t>05</w:t>
            </w:r>
            <w:r w:rsidRPr="009764EE">
              <w:t xml:space="preserve"> to 20</w:t>
            </w:r>
            <w:r w:rsidR="001C0C12" w:rsidRPr="009764EE">
              <w:t>17</w:t>
            </w:r>
            <w:r w:rsidR="002D1353">
              <w:t>‍</w:t>
            </w:r>
            <w:r w:rsidR="005049F1">
              <w:t>–</w:t>
            </w:r>
            <w:r w:rsidR="002D1353">
              <w:t>‍</w:t>
            </w:r>
            <w:r w:rsidR="001C0C12" w:rsidRPr="009764EE">
              <w:t>18</w:t>
            </w:r>
          </w:p>
        </w:tc>
        <w:tc>
          <w:tcPr>
            <w:tcW w:w="853" w:type="pct"/>
          </w:tcPr>
          <w:p w14:paraId="1A636728" w14:textId="73EA4E67" w:rsidR="007E3ABB" w:rsidRPr="009764EE" w:rsidRDefault="00392E5D" w:rsidP="00F36DFA">
            <w:pPr>
              <w:pStyle w:val="TableTextCentered"/>
            </w:pPr>
            <w:r w:rsidRPr="009764EE">
              <w:t>13</w:t>
            </w:r>
            <w:r w:rsidR="002533BB" w:rsidRPr="009764EE">
              <w:t>.0</w:t>
            </w:r>
            <w:r w:rsidR="00187E39" w:rsidRPr="009764EE">
              <w:t>%</w:t>
            </w:r>
          </w:p>
        </w:tc>
      </w:tr>
      <w:tr w:rsidR="00C94224" w:rsidRPr="009764EE" w14:paraId="04903D75" w14:textId="77777777" w:rsidTr="002D1353">
        <w:trPr>
          <w:trHeight w:val="890"/>
        </w:trPr>
        <w:tc>
          <w:tcPr>
            <w:tcW w:w="676" w:type="pct"/>
          </w:tcPr>
          <w:p w14:paraId="58921669" w14:textId="448F9BB1" w:rsidR="00C94224" w:rsidRPr="002D1353" w:rsidRDefault="00C55ED2" w:rsidP="002D1353">
            <w:pPr>
              <w:pStyle w:val="TableTextLeft"/>
              <w:rPr>
                <w:rStyle w:val="Strong"/>
                <w:color w:val="082C44"/>
              </w:rPr>
            </w:pPr>
            <w:r w:rsidRPr="002D1353">
              <w:rPr>
                <w:rStyle w:val="Strong"/>
                <w:color w:val="082C44"/>
              </w:rPr>
              <w:t>Prevalence of chronic conditions</w:t>
            </w:r>
            <w:r w:rsidR="00C94224" w:rsidRPr="002D1353">
              <w:rPr>
                <w:rStyle w:val="Strong"/>
                <w:color w:val="082C44"/>
              </w:rPr>
              <w:t xml:space="preserve"> </w:t>
            </w:r>
          </w:p>
        </w:tc>
        <w:tc>
          <w:tcPr>
            <w:tcW w:w="1207" w:type="pct"/>
          </w:tcPr>
          <w:p w14:paraId="77729D1F" w14:textId="77438CAF" w:rsidR="00C94224" w:rsidRPr="005E647D" w:rsidRDefault="007B0344" w:rsidP="00A409F6">
            <w:pPr>
              <w:pStyle w:val="TableTextLeft"/>
            </w:pPr>
            <w:r w:rsidRPr="005E647D">
              <w:t xml:space="preserve">Proportion of </w:t>
            </w:r>
            <w:r w:rsidR="00B4584F" w:rsidRPr="005E647D">
              <w:t xml:space="preserve">people </w:t>
            </w:r>
            <w:r w:rsidRPr="005E647D">
              <w:t xml:space="preserve">with one or more </w:t>
            </w:r>
            <w:r w:rsidR="005B4766" w:rsidRPr="005E647D">
              <w:t>selected</w:t>
            </w:r>
            <w:r w:rsidRPr="005E647D">
              <w:t xml:space="preserve"> chronic health condition</w:t>
            </w:r>
            <w:r w:rsidR="00D157BA" w:rsidRPr="005E647D">
              <w:t>s</w:t>
            </w:r>
            <w:r w:rsidR="00D766AB" w:rsidRPr="00C239AD">
              <w:rPr>
                <w:rStyle w:val="TableFootnoteReference"/>
              </w:rPr>
              <w:t>(</w:t>
            </w:r>
            <w:r w:rsidR="006E0B67" w:rsidRPr="00C239AD">
              <w:rPr>
                <w:rStyle w:val="TableFootnoteReference"/>
              </w:rPr>
              <w:t>c</w:t>
            </w:r>
            <w:r w:rsidR="00D766AB" w:rsidRPr="00C239AD">
              <w:rPr>
                <w:rStyle w:val="TableFootnoteReference"/>
              </w:rPr>
              <w:t>)</w:t>
            </w:r>
          </w:p>
        </w:tc>
        <w:tc>
          <w:tcPr>
            <w:tcW w:w="1283" w:type="pct"/>
          </w:tcPr>
          <w:p w14:paraId="0302AC72" w14:textId="5D938678" w:rsidR="00C94224" w:rsidRPr="005E647D" w:rsidRDefault="004E7321" w:rsidP="00A409F6">
            <w:pPr>
              <w:pStyle w:val="TableTextLeft"/>
            </w:pPr>
            <w:r w:rsidRPr="005E647D">
              <w:t>Chronic conditions are an ongoing cause of substantial ill health, disability and premature death</w:t>
            </w:r>
          </w:p>
        </w:tc>
        <w:tc>
          <w:tcPr>
            <w:tcW w:w="981" w:type="pct"/>
          </w:tcPr>
          <w:p w14:paraId="40AB2677" w14:textId="391A5229" w:rsidR="00843AC8" w:rsidRPr="009764EE" w:rsidRDefault="00F21B2E" w:rsidP="00F36DFA">
            <w:pPr>
              <w:pStyle w:val="TableTextCentered"/>
            </w:pPr>
            <w:r w:rsidRPr="009764EE">
              <w:t>Deteriorated</w:t>
            </w:r>
          </w:p>
          <w:p w14:paraId="189E4066" w14:textId="3D376F9A" w:rsidR="00C94224" w:rsidRPr="009764EE" w:rsidRDefault="00187E39" w:rsidP="00A409F6">
            <w:pPr>
              <w:pStyle w:val="TableTextCentered"/>
            </w:pPr>
            <w:r w:rsidRPr="009764EE">
              <w:t>200</w:t>
            </w:r>
            <w:r w:rsidR="008849F8" w:rsidRPr="009764EE">
              <w:t>7</w:t>
            </w:r>
            <w:r w:rsidR="005049F1">
              <w:t>–</w:t>
            </w:r>
            <w:r w:rsidR="000B241E" w:rsidRPr="009764EE">
              <w:t>08</w:t>
            </w:r>
            <w:r w:rsidRPr="009764EE">
              <w:t xml:space="preserve"> to 20</w:t>
            </w:r>
            <w:r w:rsidR="00693FE6" w:rsidRPr="009764EE">
              <w:t>20</w:t>
            </w:r>
            <w:r w:rsidR="002D1353">
              <w:t>‍</w:t>
            </w:r>
            <w:r w:rsidR="005049F1">
              <w:t>–</w:t>
            </w:r>
            <w:r w:rsidR="002D1353">
              <w:t>‍</w:t>
            </w:r>
            <w:r w:rsidR="00693FE6" w:rsidRPr="009764EE">
              <w:t>21</w:t>
            </w:r>
            <w:r w:rsidR="00693FE6" w:rsidRPr="00C239AD">
              <w:rPr>
                <w:rStyle w:val="TableFootnoteReference"/>
              </w:rPr>
              <w:endnoteReference w:id="7"/>
            </w:r>
          </w:p>
        </w:tc>
        <w:tc>
          <w:tcPr>
            <w:tcW w:w="853" w:type="pct"/>
          </w:tcPr>
          <w:p w14:paraId="0A193844" w14:textId="358DEB5D" w:rsidR="00C94224" w:rsidRPr="009764EE" w:rsidRDefault="00187E39" w:rsidP="00F36DFA">
            <w:pPr>
              <w:pStyle w:val="TableTextCentered"/>
            </w:pPr>
            <w:r w:rsidRPr="009764EE">
              <w:t>46.6%</w:t>
            </w:r>
          </w:p>
        </w:tc>
      </w:tr>
    </w:tbl>
    <w:p w14:paraId="7FCBB83D" w14:textId="3D6BF7C2" w:rsidR="00AF3F4D" w:rsidRPr="003D753A" w:rsidRDefault="0086465E" w:rsidP="003D753A">
      <w:pPr>
        <w:pStyle w:val="ChartorTableNote"/>
      </w:pPr>
      <w:r w:rsidRPr="003D753A">
        <w:t>Source:</w:t>
      </w:r>
      <w:r w:rsidR="00A409F6" w:rsidRPr="003D753A">
        <w:tab/>
      </w:r>
      <w:r w:rsidR="00D766AB" w:rsidRPr="003D753A">
        <w:t xml:space="preserve">(a) </w:t>
      </w:r>
      <w:r w:rsidR="00AB2432" w:rsidRPr="003D753A">
        <w:t xml:space="preserve">ABS </w:t>
      </w:r>
      <w:r w:rsidR="00270690" w:rsidRPr="003D753A">
        <w:t>Life Tables</w:t>
      </w:r>
      <w:r w:rsidR="00D766AB" w:rsidRPr="003D753A">
        <w:t xml:space="preserve"> </w:t>
      </w:r>
      <w:r w:rsidR="00714220" w:rsidRPr="003D753A">
        <w:br/>
      </w:r>
      <w:r w:rsidR="00D766AB" w:rsidRPr="003D753A">
        <w:t>(b)</w:t>
      </w:r>
      <w:r w:rsidR="00A409F6" w:rsidRPr="003D753A">
        <w:t xml:space="preserve"> </w:t>
      </w:r>
      <w:r w:rsidR="001D6465" w:rsidRPr="003D753A">
        <w:t xml:space="preserve">The </w:t>
      </w:r>
      <w:r w:rsidR="008A3CE0" w:rsidRPr="003D753A">
        <w:t>Australian Institute of Health and Welfare (AIHW)</w:t>
      </w:r>
      <w:r w:rsidR="005E758D" w:rsidRPr="003D753A">
        <w:t xml:space="preserve"> Australian Burden of Disease Study</w:t>
      </w:r>
      <w:r w:rsidR="00A14D47" w:rsidRPr="003D753A">
        <w:t xml:space="preserve"> </w:t>
      </w:r>
      <w:r w:rsidR="00714220" w:rsidRPr="003D753A">
        <w:br/>
      </w:r>
      <w:r w:rsidR="00A14D47" w:rsidRPr="003D753A">
        <w:t>(c)</w:t>
      </w:r>
      <w:r w:rsidR="00F758ED" w:rsidRPr="003D753A">
        <w:t xml:space="preserve"> ABS National Health Survey</w:t>
      </w:r>
    </w:p>
    <w:p w14:paraId="033300DC" w14:textId="6F5DE29E" w:rsidR="00D766AB" w:rsidRPr="003D753A" w:rsidRDefault="00834526" w:rsidP="003D753A">
      <w:pPr>
        <w:pStyle w:val="ChartorTableNote"/>
      </w:pPr>
      <w:r w:rsidRPr="003D753A">
        <w:t>N</w:t>
      </w:r>
      <w:r w:rsidR="00A97643" w:rsidRPr="003D753A">
        <w:t>ote:</w:t>
      </w:r>
      <w:r w:rsidR="00A409F6" w:rsidRPr="003D753A">
        <w:tab/>
      </w:r>
      <w:r w:rsidR="003B27D2" w:rsidRPr="003D753A">
        <w:t xml:space="preserve">(i) </w:t>
      </w:r>
      <w:r w:rsidR="00A97643" w:rsidRPr="003D753A">
        <w:t xml:space="preserve">Unless specified the latest value is the last data point in the </w:t>
      </w:r>
      <w:r w:rsidR="00FF37AA" w:rsidRPr="003D753A">
        <w:t>series</w:t>
      </w:r>
    </w:p>
    <w:p w14:paraId="25BBCEDE" w14:textId="77777777" w:rsidR="00386598" w:rsidRDefault="00386598" w:rsidP="00B8112E"/>
    <w:p w14:paraId="4DE21E51" w14:textId="1E545E8B" w:rsidR="00517731" w:rsidRPr="009764EE" w:rsidRDefault="00517731" w:rsidP="003D753A">
      <w:pPr>
        <w:sectPr w:rsidR="00517731" w:rsidRPr="009764EE" w:rsidSect="00DA302B">
          <w:endnotePr>
            <w:numFmt w:val="decimal"/>
          </w:endnotePr>
          <w:pgSz w:w="11906" w:h="16838" w:code="9"/>
          <w:pgMar w:top="1843" w:right="1418" w:bottom="1418" w:left="1418" w:header="851" w:footer="851" w:gutter="0"/>
          <w:cols w:space="567"/>
          <w:docGrid w:linePitch="360"/>
        </w:sectPr>
      </w:pPr>
    </w:p>
    <w:p w14:paraId="3F57CCDA" w14:textId="77777777" w:rsidR="003D0A3C" w:rsidRPr="003D0A3C" w:rsidRDefault="003D0A3C" w:rsidP="003D0A3C">
      <w:r w:rsidRPr="003D0A3C">
        <w:t>A healthy life is one that supports longevity, and physical and mental wellbeing.</w:t>
      </w:r>
    </w:p>
    <w:p w14:paraId="265AA349" w14:textId="77777777" w:rsidR="003D0A3C" w:rsidRPr="003D0A3C" w:rsidRDefault="003D0A3C" w:rsidP="003D0A3C">
      <w:r w:rsidRPr="003D0A3C">
        <w:t>The selected metrics in this section represent the starting point for measuring the health of Australians. These include life expectancy, mental health and the prevalence of chronic conditions.</w:t>
      </w:r>
    </w:p>
    <w:p w14:paraId="3D673586" w14:textId="1CE0B932" w:rsidR="008259FE" w:rsidRPr="009764EE" w:rsidRDefault="003D0A3C" w:rsidP="003D0A3C">
      <w:pPr>
        <w:rPr>
          <w:rFonts w:eastAsia="Calibri Light"/>
        </w:rPr>
      </w:pPr>
      <w:r w:rsidRPr="003D0A3C">
        <w:t>Other determinants of health</w:t>
      </w:r>
      <w:r w:rsidR="001524A0">
        <w:t xml:space="preserve"> – </w:t>
      </w:r>
      <w:r w:rsidRPr="003D0A3C">
        <w:t>not currently captured in this theme</w:t>
      </w:r>
      <w:r w:rsidR="001524A0">
        <w:t xml:space="preserve"> – </w:t>
      </w:r>
      <w:r w:rsidRPr="003D0A3C">
        <w:t>include the social, environmental, structural, economic, cultural, biomedical, commercial and digital environments in which we live</w:t>
      </w:r>
      <w:r w:rsidR="00887C34" w:rsidRPr="009764EE">
        <w:rPr>
          <w:rFonts w:eastAsia="Calibri Light"/>
        </w:rPr>
        <w:t>.</w:t>
      </w:r>
      <w:r w:rsidR="0065758E" w:rsidRPr="005049F1">
        <w:rPr>
          <w:rStyle w:val="FootnoteReference"/>
          <w:rFonts w:eastAsia="Calibri Light"/>
        </w:rPr>
        <w:endnoteReference w:id="8"/>
      </w:r>
    </w:p>
    <w:p w14:paraId="127FFDCB" w14:textId="51862ED8" w:rsidR="008259FE" w:rsidRPr="009764EE" w:rsidRDefault="008F3395" w:rsidP="00372AFD">
      <w:r w:rsidRPr="008F3395">
        <w:rPr>
          <w:rFonts w:eastAsia="Calibri Light"/>
        </w:rPr>
        <w:t>While overall, the health of Australia</w:t>
      </w:r>
      <w:r w:rsidR="00135DEA">
        <w:rPr>
          <w:rFonts w:eastAsia="Calibri Light"/>
        </w:rPr>
        <w:t>’</w:t>
      </w:r>
      <w:r w:rsidRPr="008F3395">
        <w:rPr>
          <w:rFonts w:eastAsia="Calibri Light"/>
        </w:rPr>
        <w:t>s population has improved markedly, in recent years these gains have not been shared equally</w:t>
      </w:r>
      <w:r w:rsidR="007D7B42" w:rsidRPr="009764EE">
        <w:t>.</w:t>
      </w:r>
      <w:bookmarkStart w:id="46" w:name="_Ref140589584"/>
      <w:r w:rsidR="001971AA" w:rsidRPr="005049F1">
        <w:rPr>
          <w:rStyle w:val="FootnoteReference"/>
        </w:rPr>
        <w:endnoteReference w:id="9"/>
      </w:r>
      <w:bookmarkEnd w:id="46"/>
      <w:r w:rsidR="007D7B42" w:rsidRPr="009764EE">
        <w:t xml:space="preserve"> </w:t>
      </w:r>
      <w:r w:rsidR="00236983" w:rsidRPr="00236983">
        <w:t xml:space="preserve">Further effort is needed to address health inequities that exist amongst specific groups, including for </w:t>
      </w:r>
      <w:r w:rsidR="001524A0">
        <w:t>First Nation</w:t>
      </w:r>
      <w:r w:rsidR="00236983" w:rsidRPr="00236983">
        <w:t>s people, women, people with disability and culturally and linguistically diverse Australians.</w:t>
      </w:r>
    </w:p>
    <w:p w14:paraId="698C0E1F" w14:textId="6FE2A8EE" w:rsidR="00F673BD" w:rsidRPr="009764EE" w:rsidRDefault="00FF7896" w:rsidP="00372AFD">
      <w:pPr>
        <w:pStyle w:val="Heading3"/>
        <w:rPr>
          <w:rFonts w:cs="Calibri"/>
        </w:rPr>
      </w:pPr>
      <w:r>
        <w:rPr>
          <w:rFonts w:cs="Calibri"/>
        </w:rPr>
        <w:br w:type="column"/>
      </w:r>
      <w:r w:rsidR="00E354F9" w:rsidRPr="009764EE">
        <w:rPr>
          <w:rFonts w:cs="Calibri"/>
        </w:rPr>
        <w:lastRenderedPageBreak/>
        <w:t>Life expectancy</w:t>
      </w:r>
    </w:p>
    <w:p w14:paraId="349FAFD9" w14:textId="127559E0" w:rsidR="007B6146" w:rsidRPr="007B6146" w:rsidRDefault="007B6146" w:rsidP="007B6146">
      <w:r w:rsidRPr="007B6146">
        <w:t>Increased life expectancy is one of the great success stories of the 20</w:t>
      </w:r>
      <w:r w:rsidRPr="00C25D62">
        <w:rPr>
          <w:vertAlign w:val="superscript"/>
        </w:rPr>
        <w:t>th</w:t>
      </w:r>
      <w:r w:rsidRPr="007B6146">
        <w:t xml:space="preserve"> century and has underpinned sustained improvements in the wellbeing of people</w:t>
      </w:r>
      <w:r w:rsidR="00135DEA">
        <w:t>’</w:t>
      </w:r>
      <w:r w:rsidRPr="007B6146">
        <w:t>s lives.</w:t>
      </w:r>
    </w:p>
    <w:p w14:paraId="0B2037CD" w14:textId="511E3543" w:rsidR="008259FE" w:rsidRPr="009764EE" w:rsidRDefault="007B6146" w:rsidP="007B6146">
      <w:pPr>
        <w:rPr>
          <w:rFonts w:eastAsia="Calibri Light"/>
          <w:color w:val="000000" w:themeColor="text1"/>
        </w:rPr>
      </w:pPr>
      <w:r w:rsidRPr="007B6146">
        <w:t>As a measurement, life expectancy at birth captures the average number of years a newborn can expect to live and has risen steadily over time</w:t>
      </w:r>
      <w:r w:rsidR="001808F0" w:rsidRPr="009764EE" w:rsidDel="00C34DF6">
        <w:t>.</w:t>
      </w:r>
      <w:r w:rsidR="00FD391B" w:rsidRPr="005049F1">
        <w:rPr>
          <w:rStyle w:val="FootnoteReference"/>
          <w:rFonts w:eastAsia="Calibri Light"/>
        </w:rPr>
        <w:endnoteReference w:id="10"/>
      </w:r>
    </w:p>
    <w:p w14:paraId="30D3F943" w14:textId="11EBEF20" w:rsidR="008259FE" w:rsidRPr="009764EE" w:rsidRDefault="00C25D62" w:rsidP="00372AFD">
      <w:r w:rsidRPr="00C25D62">
        <w:t>A boy born between 2019</w:t>
      </w:r>
      <w:r w:rsidR="005049F1">
        <w:t>–</w:t>
      </w:r>
      <w:r w:rsidRPr="00C25D62">
        <w:t>21 can expect to live to 81.3</w:t>
      </w:r>
      <w:r w:rsidR="00C239AD">
        <w:t> year</w:t>
      </w:r>
      <w:r w:rsidRPr="00C25D62">
        <w:t>s, while a girl can expect to live to 85.4</w:t>
      </w:r>
      <w:r w:rsidR="00C239AD">
        <w:t> year</w:t>
      </w:r>
      <w:r w:rsidRPr="00C25D62">
        <w:t>s. This is equal 4</w:t>
      </w:r>
      <w:r w:rsidRPr="00C25D62">
        <w:rPr>
          <w:vertAlign w:val="superscript"/>
        </w:rPr>
        <w:t>th</w:t>
      </w:r>
      <w:r w:rsidRPr="00C25D62">
        <w:t xml:space="preserve"> highest life expectancy at birth in the world, as ranked by the OECD.</w:t>
      </w:r>
      <w:r w:rsidR="004D3F01" w:rsidRPr="005049F1">
        <w:rPr>
          <w:rStyle w:val="FootnoteReference"/>
        </w:rPr>
        <w:endnoteReference w:id="11"/>
      </w:r>
    </w:p>
    <w:p w14:paraId="6728297C" w14:textId="0D636B10" w:rsidR="003E7130" w:rsidRDefault="002C39BF" w:rsidP="00372AFD">
      <w:r>
        <w:br w:type="column"/>
      </w:r>
      <w:r w:rsidR="007B3555" w:rsidRPr="007B3555">
        <w:t xml:space="preserve">A gap exists in life expectancy between </w:t>
      </w:r>
      <w:r w:rsidR="001524A0">
        <w:t>First Nation</w:t>
      </w:r>
      <w:r w:rsidR="007B3555" w:rsidRPr="007B3555">
        <w:t>s people and non</w:t>
      </w:r>
      <w:r w:rsidR="00135DEA">
        <w:noBreakHyphen/>
      </w:r>
      <w:r w:rsidR="007B3555" w:rsidRPr="007B3555">
        <w:t>Indigenous people. In 2015</w:t>
      </w:r>
      <w:r w:rsidR="005049F1">
        <w:t>–</w:t>
      </w:r>
      <w:r w:rsidR="007B3555" w:rsidRPr="007B3555">
        <w:t>2017,</w:t>
      </w:r>
      <w:r w:rsidR="007B3555">
        <w:t xml:space="preserve"> </w:t>
      </w:r>
      <w:r w:rsidR="001524A0">
        <w:t>First Nation</w:t>
      </w:r>
      <w:r w:rsidR="007B3555" w:rsidRPr="007B3555">
        <w:t xml:space="preserve">s life expectancy </w:t>
      </w:r>
      <w:r w:rsidR="00903F96">
        <w:t>f</w:t>
      </w:r>
      <w:r w:rsidR="007B3555" w:rsidRPr="007B3555">
        <w:t>or men and women was lower than for non</w:t>
      </w:r>
      <w:r w:rsidR="00135DEA">
        <w:noBreakHyphen/>
      </w:r>
      <w:r w:rsidR="007B3555" w:rsidRPr="007B3555">
        <w:t>Indigenous Australians by 8.6</w:t>
      </w:r>
      <w:r w:rsidR="000C6B0C">
        <w:t xml:space="preserve"> </w:t>
      </w:r>
      <w:r w:rsidR="007B3555" w:rsidRPr="007B3555">
        <w:t>and 7.8</w:t>
      </w:r>
      <w:r w:rsidR="00A60E0F">
        <w:t> </w:t>
      </w:r>
      <w:r w:rsidR="007B3555" w:rsidRPr="007B3555">
        <w:t>years, respectively</w:t>
      </w:r>
      <w:r w:rsidR="001808F0" w:rsidRPr="009764EE">
        <w:t>.</w:t>
      </w:r>
      <w:r w:rsidR="00711DD7" w:rsidRPr="005049F1">
        <w:rPr>
          <w:rStyle w:val="FootnoteReference"/>
        </w:rPr>
        <w:endnoteReference w:id="12"/>
      </w:r>
    </w:p>
    <w:p w14:paraId="1DC11BA3" w14:textId="184EB03A" w:rsidR="008259FE" w:rsidRPr="009764EE" w:rsidRDefault="00C43E5F" w:rsidP="00372AFD">
      <w:r w:rsidRPr="00C43E5F">
        <w:t>Health</w:t>
      </w:r>
      <w:r w:rsidR="00135DEA">
        <w:noBreakHyphen/>
      </w:r>
      <w:r w:rsidRPr="00C43E5F">
        <w:t>adjusted life expectancy extends the concept of life expectancy by considering the length of time a person at birth could expect to live in full health without disease or injury</w:t>
      </w:r>
      <w:r w:rsidR="001808F0" w:rsidRPr="009764EE">
        <w:t>.</w:t>
      </w:r>
      <w:r w:rsidR="00A14D47" w:rsidRPr="005049F1">
        <w:rPr>
          <w:rStyle w:val="FootnoteReference"/>
          <w:rFonts w:eastAsia="Calibri Light"/>
        </w:rPr>
        <w:endnoteReference w:id="13"/>
      </w:r>
      <w:r w:rsidR="001808F0" w:rsidRPr="009764EE">
        <w:rPr>
          <w:rFonts w:eastAsia="Calibri Light"/>
          <w:color w:val="000000" w:themeColor="text1"/>
        </w:rPr>
        <w:t xml:space="preserve"> </w:t>
      </w:r>
      <w:r w:rsidR="00F56F3B" w:rsidRPr="00F56F3B">
        <w:t>Men and women born in 2022 could expect to live an average of 88</w:t>
      </w:r>
      <w:r w:rsidR="001524A0">
        <w:t> per c</w:t>
      </w:r>
      <w:r w:rsidR="00F56F3B" w:rsidRPr="00F56F3B">
        <w:t>ent and 87</w:t>
      </w:r>
      <w:r w:rsidR="001524A0">
        <w:t> per c</w:t>
      </w:r>
      <w:r w:rsidR="00F56F3B" w:rsidRPr="00F56F3B">
        <w:t>ent of their lives in full health, respectively</w:t>
      </w:r>
      <w:r w:rsidR="001808F0" w:rsidRPr="009764EE">
        <w:t>.</w:t>
      </w:r>
      <w:r w:rsidR="00532D49" w:rsidRPr="005049F1">
        <w:rPr>
          <w:rStyle w:val="FootnoteReference"/>
        </w:rPr>
        <w:endnoteReference w:id="14"/>
      </w:r>
    </w:p>
    <w:p w14:paraId="6A4222AF" w14:textId="428393B7" w:rsidR="002802D7" w:rsidRDefault="008F1FDA" w:rsidP="003F7BFF">
      <w:r w:rsidRPr="008F1FDA">
        <w:t>Between 2003 and 2022, health</w:t>
      </w:r>
      <w:r w:rsidR="00135DEA">
        <w:noBreakHyphen/>
      </w:r>
      <w:r w:rsidRPr="008F1FDA">
        <w:t>adjusted life expectancy at birth increased by 2.2</w:t>
      </w:r>
      <w:r w:rsidR="00C239AD">
        <w:t> year</w:t>
      </w:r>
      <w:r w:rsidRPr="008F1FDA">
        <w:t>s for men and 1.3</w:t>
      </w:r>
      <w:r w:rsidR="00C239AD">
        <w:t> year</w:t>
      </w:r>
      <w:r w:rsidRPr="008F1FDA">
        <w:t>s for women. However, the average proportion of life spent in full health has decreased slightly for both men and women.</w:t>
      </w:r>
    </w:p>
    <w:p w14:paraId="608C25A7" w14:textId="77777777" w:rsidR="003E7130" w:rsidRDefault="003E7130" w:rsidP="003F7BFF"/>
    <w:p w14:paraId="397C6DA3" w14:textId="0ACC7409" w:rsidR="003E7130" w:rsidRDefault="003E7130" w:rsidP="003F7BFF">
      <w:pPr>
        <w:sectPr w:rsidR="003E7130" w:rsidSect="00DA302B">
          <w:endnotePr>
            <w:numFmt w:val="decimal"/>
          </w:endnotePr>
          <w:type w:val="continuous"/>
          <w:pgSz w:w="11906" w:h="16838" w:code="9"/>
          <w:pgMar w:top="1843" w:right="1418" w:bottom="1418" w:left="1418" w:header="851" w:footer="851" w:gutter="0"/>
          <w:cols w:num="2" w:space="567"/>
          <w:docGrid w:linePitch="360"/>
        </w:sectPr>
      </w:pPr>
    </w:p>
    <w:p w14:paraId="479E8411" w14:textId="1BB0639A" w:rsidR="008259FE" w:rsidRPr="00A60E0F" w:rsidRDefault="00310330" w:rsidP="003E7130">
      <w:pPr>
        <w:pStyle w:val="ChartMainHeading"/>
      </w:pPr>
      <w:r w:rsidRPr="00A60E0F" w:rsidDel="00BF1E5F">
        <w:t xml:space="preserve">Chart </w:t>
      </w:r>
      <w:r w:rsidR="00742BF6" w:rsidRPr="00A60E0F">
        <w:t>2</w:t>
      </w:r>
      <w:r w:rsidRPr="00A60E0F" w:rsidDel="00BF1E5F">
        <w:t xml:space="preserve">: </w:t>
      </w:r>
      <w:r w:rsidR="00AE5288" w:rsidRPr="00A60E0F">
        <w:t>Health</w:t>
      </w:r>
      <w:r w:rsidR="00135DEA">
        <w:noBreakHyphen/>
      </w:r>
      <w:r w:rsidR="00AE5288" w:rsidRPr="00A60E0F">
        <w:t>adjusted life expectancy</w:t>
      </w:r>
    </w:p>
    <w:p w14:paraId="5276BEC6" w14:textId="7B07B6A3" w:rsidR="00363650" w:rsidRPr="003E7130" w:rsidRDefault="0022221A" w:rsidP="003E7130">
      <w:pPr>
        <w:pStyle w:val="ChartGraphic"/>
      </w:pPr>
      <w:r>
        <w:rPr>
          <w:noProof/>
        </w:rPr>
        <w:drawing>
          <wp:inline distT="0" distB="0" distL="0" distR="0" wp14:anchorId="1834850E" wp14:editId="2FC15428">
            <wp:extent cx="5580000" cy="1998510"/>
            <wp:effectExtent l="0" t="0" r="0" b="1905"/>
            <wp:docPr id="29" name="Picture 29" descr="This chart shows the health-adjusted life expectancy for both females and males in 2003 and 2022. Year spent in full health has increased for females from 72.8 in 2003 to 74.1 in 2022, while years spent in ill health have increased from 10.2 to 11.3. For males, years spent in full health have increased from 69.4 in 2003 to 71.6 in 2022, while years spent in ill health have increased from 8.7 to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chart shows the health-adjusted life expectancy for both females and males in 2003 and 2022. Year spent in full health has increased for females from 72.8 in 2003 to 74.1 in 2022, while years spent in ill health have increased from 10.2 to 11.3. For males, years spent in full health have increased from 69.4 in 2003 to 71.6 in 2022, while years spent in ill health have increased from 8.7 to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0000" cy="1998510"/>
                    </a:xfrm>
                    <a:prstGeom prst="rect">
                      <a:avLst/>
                    </a:prstGeom>
                    <a:noFill/>
                    <a:ln>
                      <a:noFill/>
                    </a:ln>
                  </pic:spPr>
                </pic:pic>
              </a:graphicData>
            </a:graphic>
          </wp:inline>
        </w:drawing>
      </w:r>
    </w:p>
    <w:p w14:paraId="24217E55" w14:textId="26CBE767" w:rsidR="00310330" w:rsidRDefault="00363650" w:rsidP="003E7130">
      <w:pPr>
        <w:pStyle w:val="ChartorTableNote"/>
        <w:rPr>
          <w:rFonts w:cs="Calibri"/>
        </w:rPr>
      </w:pPr>
      <w:r w:rsidRPr="0075394D">
        <w:t xml:space="preserve">Source: </w:t>
      </w:r>
      <w:r w:rsidR="00227AA8" w:rsidRPr="0075394D">
        <w:t>AIHW Australian Burden of</w:t>
      </w:r>
      <w:r w:rsidR="00941C75" w:rsidRPr="0075394D">
        <w:t xml:space="preserve"> </w:t>
      </w:r>
      <w:r w:rsidR="00227AA8" w:rsidRPr="0075394D">
        <w:t>Disease Study 2022</w:t>
      </w:r>
      <w:r w:rsidR="004A1108" w:rsidRPr="009764EE">
        <w:rPr>
          <w:rFonts w:cs="Calibri"/>
        </w:rPr>
        <w:t>.</w:t>
      </w:r>
    </w:p>
    <w:p w14:paraId="7CAF9E04" w14:textId="77777777" w:rsidR="002802D7" w:rsidRDefault="002802D7" w:rsidP="00B8112E"/>
    <w:p w14:paraId="3D899F9C" w14:textId="7B8D7432" w:rsidR="003E7130" w:rsidRDefault="003E7130" w:rsidP="00B8112E">
      <w:pPr>
        <w:sectPr w:rsidR="003E7130" w:rsidSect="00DA302B">
          <w:endnotePr>
            <w:numFmt w:val="decimal"/>
          </w:endnotePr>
          <w:type w:val="continuous"/>
          <w:pgSz w:w="11906" w:h="16838" w:code="9"/>
          <w:pgMar w:top="1843" w:right="1418" w:bottom="1418" w:left="1418" w:header="851" w:footer="851" w:gutter="0"/>
          <w:cols w:space="567"/>
          <w:docGrid w:linePitch="360"/>
        </w:sectPr>
      </w:pPr>
    </w:p>
    <w:p w14:paraId="797A70F7" w14:textId="77777777" w:rsidR="008259FE" w:rsidRPr="009764EE" w:rsidRDefault="007F54BC" w:rsidP="00372AFD">
      <w:pPr>
        <w:pStyle w:val="Heading3"/>
        <w:rPr>
          <w:rFonts w:cs="Calibri"/>
          <w:szCs w:val="24"/>
        </w:rPr>
      </w:pPr>
      <w:r w:rsidRPr="009764EE">
        <w:rPr>
          <w:rFonts w:cs="Calibri"/>
        </w:rPr>
        <w:lastRenderedPageBreak/>
        <w:t>M</w:t>
      </w:r>
      <w:r w:rsidR="00B37CAB" w:rsidRPr="009764EE">
        <w:rPr>
          <w:rFonts w:cs="Calibri"/>
        </w:rPr>
        <w:t>ental health</w:t>
      </w:r>
    </w:p>
    <w:p w14:paraId="4F280925" w14:textId="433D17E9" w:rsidR="00CF1549" w:rsidRPr="009764EE" w:rsidRDefault="00F57DB9" w:rsidP="00372AFD">
      <w:r w:rsidRPr="00F57DB9">
        <w:t>Mental health is complex, influencing how people think, feel, and act</w:t>
      </w:r>
      <w:r w:rsidR="001524A0">
        <w:t xml:space="preserve"> – </w:t>
      </w:r>
      <w:r w:rsidRPr="00F57DB9">
        <w:t>affecting every aspect of people</w:t>
      </w:r>
      <w:r w:rsidR="00135DEA">
        <w:t>’</w:t>
      </w:r>
      <w:r w:rsidRPr="00F57DB9">
        <w:t>s lives. The experience of mental health and wellbeing is extremely diverse and unique to every person. Similarly, many factors can influence mental health including, for example, biological factors, life experiences, family history of mental ill</w:t>
      </w:r>
      <w:r w:rsidR="00135DEA">
        <w:noBreakHyphen/>
      </w:r>
      <w:r w:rsidRPr="00F57DB9">
        <w:t>health, major stress and significant life changes</w:t>
      </w:r>
      <w:r w:rsidR="00CF1549" w:rsidRPr="009764EE">
        <w:t>.</w:t>
      </w:r>
      <w:r w:rsidR="00CF1549" w:rsidRPr="005049F1">
        <w:rPr>
          <w:rStyle w:val="FootnoteReference"/>
        </w:rPr>
        <w:endnoteReference w:id="15"/>
      </w:r>
    </w:p>
    <w:p w14:paraId="4BFF0969" w14:textId="77777777" w:rsidR="006A53FD" w:rsidRPr="006A53FD" w:rsidRDefault="006A53FD" w:rsidP="0076374E">
      <w:r w:rsidRPr="006A53FD">
        <w:t>One measure of the mental health and wellbeing of our population is provided by measuring levels of psychological distress.</w:t>
      </w:r>
    </w:p>
    <w:p w14:paraId="3197512D" w14:textId="4D2D8375" w:rsidR="003B13A5" w:rsidRPr="009764EE" w:rsidRDefault="006A53FD" w:rsidP="006A53FD">
      <w:r w:rsidRPr="006A53FD">
        <w:t>In 2017</w:t>
      </w:r>
      <w:r w:rsidR="005049F1">
        <w:t>–</w:t>
      </w:r>
      <w:r w:rsidR="006C73BA">
        <w:softHyphen/>
      </w:r>
      <w:r w:rsidRPr="006A53FD">
        <w:t>18, 13</w:t>
      </w:r>
      <w:r w:rsidR="001524A0">
        <w:t> per c</w:t>
      </w:r>
      <w:r w:rsidRPr="006A53FD">
        <w:t>ent of Australians aged 18</w:t>
      </w:r>
      <w:r w:rsidR="00C239AD">
        <w:t> year</w:t>
      </w:r>
      <w:r w:rsidRPr="006A53FD">
        <w:t>s and over experienced high or very high levels of psychological distress</w:t>
      </w:r>
      <w:r w:rsidR="001524A0">
        <w:t xml:space="preserve"> – </w:t>
      </w:r>
      <w:r w:rsidRPr="006A53FD">
        <w:t>consistent with 200</w:t>
      </w:r>
      <w:r w:rsidR="00A36B42">
        <w:t>4</w:t>
      </w:r>
      <w:r w:rsidR="001F0DBB">
        <w:softHyphen/>
      </w:r>
      <w:r w:rsidR="00151999">
        <w:t>–</w:t>
      </w:r>
      <w:r w:rsidRPr="006A53FD">
        <w:t>05 levels</w:t>
      </w:r>
      <w:r w:rsidR="0059444C" w:rsidRPr="009764EE">
        <w:t>.</w:t>
      </w:r>
      <w:bookmarkStart w:id="47" w:name="_Ref140502394"/>
      <w:r w:rsidR="004F5AD9" w:rsidRPr="005049F1">
        <w:rPr>
          <w:rStyle w:val="FootnoteReference"/>
        </w:rPr>
        <w:endnoteReference w:id="16"/>
      </w:r>
      <w:bookmarkEnd w:id="47"/>
    </w:p>
    <w:p w14:paraId="13AAB198" w14:textId="77777777" w:rsidR="00B771F4" w:rsidRPr="00B771F4" w:rsidRDefault="00B771F4" w:rsidP="00B771F4">
      <w:r w:rsidRPr="00B771F4">
        <w:t>The experience of psychological distress varies between groups.</w:t>
      </w:r>
    </w:p>
    <w:p w14:paraId="0567DC23" w14:textId="23629607" w:rsidR="003B7725" w:rsidRPr="009764EE" w:rsidRDefault="00FD3EA1" w:rsidP="00F91A46">
      <w:pPr>
        <w:pStyle w:val="Bullet"/>
      </w:pPr>
      <w:r w:rsidRPr="009764EE">
        <w:t>In 2017</w:t>
      </w:r>
      <w:r w:rsidR="005049F1">
        <w:t>–</w:t>
      </w:r>
      <w:r w:rsidRPr="009764EE">
        <w:t>18, more women than men experienced high or very high levels of psychological distress</w:t>
      </w:r>
      <w:r w:rsidR="001524A0">
        <w:t xml:space="preserve"> – </w:t>
      </w:r>
      <w:r w:rsidRPr="009764EE">
        <w:t>14.5</w:t>
      </w:r>
      <w:r w:rsidR="001524A0">
        <w:t> per c</w:t>
      </w:r>
      <w:r w:rsidRPr="009764EE">
        <w:t>ent and 11.3</w:t>
      </w:r>
      <w:r w:rsidR="001524A0">
        <w:t> per c</w:t>
      </w:r>
      <w:r w:rsidRPr="009764EE">
        <w:t>ent respectively.</w:t>
      </w:r>
    </w:p>
    <w:p w14:paraId="1817D86E" w14:textId="1C90F83B" w:rsidR="009927D7" w:rsidRPr="009764EE" w:rsidRDefault="009927D7" w:rsidP="00F91A46">
      <w:pPr>
        <w:pStyle w:val="Bullet"/>
      </w:pPr>
      <w:r w:rsidRPr="009764EE">
        <w:t>31</w:t>
      </w:r>
      <w:r w:rsidR="001524A0">
        <w:t> per c</w:t>
      </w:r>
      <w:r w:rsidRPr="009764EE">
        <w:t>ent of</w:t>
      </w:r>
      <w:r w:rsidR="004743AE" w:rsidRPr="009764EE">
        <w:t xml:space="preserve"> adult</w:t>
      </w:r>
      <w:r w:rsidRPr="009764EE">
        <w:t xml:space="preserve"> </w:t>
      </w:r>
      <w:r w:rsidR="001524A0">
        <w:t>First Nation</w:t>
      </w:r>
      <w:r w:rsidRPr="009764EE">
        <w:t xml:space="preserve">s </w:t>
      </w:r>
      <w:r w:rsidR="00953C04">
        <w:t>people</w:t>
      </w:r>
      <w:r w:rsidR="00953C04" w:rsidRPr="009764EE">
        <w:t xml:space="preserve"> </w:t>
      </w:r>
      <w:r w:rsidRPr="009764EE">
        <w:t>experienced high</w:t>
      </w:r>
      <w:r w:rsidR="004743AE" w:rsidRPr="009764EE">
        <w:t xml:space="preserve"> or very high</w:t>
      </w:r>
      <w:r w:rsidRPr="009764EE">
        <w:t xml:space="preserve"> levels of psychological distress </w:t>
      </w:r>
      <w:r w:rsidR="00C72C1A" w:rsidRPr="009764EE">
        <w:t>in 2018</w:t>
      </w:r>
      <w:r w:rsidR="006C73BA">
        <w:softHyphen/>
      </w:r>
      <w:r w:rsidR="00151999">
        <w:t>–</w:t>
      </w:r>
      <w:r w:rsidR="00C72C1A" w:rsidRPr="009764EE">
        <w:t>19 (Kessler</w:t>
      </w:r>
      <w:r w:rsidR="00135DEA">
        <w:noBreakHyphen/>
      </w:r>
      <w:r w:rsidR="00C72C1A" w:rsidRPr="009764EE">
        <w:t>5 Psychological Distress Scale)</w:t>
      </w:r>
      <w:r w:rsidR="001624B4" w:rsidRPr="009764EE">
        <w:t>.</w:t>
      </w:r>
      <w:bookmarkStart w:id="48" w:name="_Ref140502445"/>
      <w:r w:rsidR="00B045C6" w:rsidRPr="005049F1">
        <w:rPr>
          <w:rStyle w:val="FootnoteReference"/>
        </w:rPr>
        <w:endnoteReference w:id="17"/>
      </w:r>
      <w:bookmarkEnd w:id="48"/>
    </w:p>
    <w:p w14:paraId="079C70F9" w14:textId="24B3D06D" w:rsidR="008259FE" w:rsidRPr="009764EE" w:rsidRDefault="001524A0" w:rsidP="00F91A46">
      <w:pPr>
        <w:pStyle w:val="Bullet"/>
      </w:pPr>
      <w:r>
        <w:t>First Nation</w:t>
      </w:r>
      <w:r w:rsidR="00A61C13" w:rsidRPr="009764EE">
        <w:t>s w</w:t>
      </w:r>
      <w:r w:rsidR="00C72C1A" w:rsidRPr="009764EE">
        <w:t xml:space="preserve">omen </w:t>
      </w:r>
      <w:r w:rsidR="00101031" w:rsidRPr="009764EE">
        <w:t xml:space="preserve">were </w:t>
      </w:r>
      <w:r w:rsidR="00C72C1A" w:rsidRPr="009764EE">
        <w:t>also more likely to experience high or very high levels of psychological distress than men.</w:t>
      </w:r>
    </w:p>
    <w:p w14:paraId="4C76ABCE" w14:textId="7C158E02" w:rsidR="00F575ED" w:rsidRDefault="002445CE" w:rsidP="00F575ED">
      <w:r w:rsidRPr="009764EE">
        <w:t>More recently,</w:t>
      </w:r>
      <w:r w:rsidR="00991324" w:rsidRPr="009764EE">
        <w:t xml:space="preserve"> the </w:t>
      </w:r>
      <w:r w:rsidR="00011A4E" w:rsidRPr="00FB6842">
        <w:rPr>
          <w:rStyle w:val="Emphasis"/>
        </w:rPr>
        <w:t>National Study of Mental Health and Wellbeing 2020</w:t>
      </w:r>
      <w:r w:rsidR="006C73BA" w:rsidRPr="00FB6842">
        <w:rPr>
          <w:rStyle w:val="Emphasis"/>
        </w:rPr>
        <w:softHyphen/>
      </w:r>
      <w:r w:rsidR="00151999" w:rsidRPr="00FB6842">
        <w:rPr>
          <w:rStyle w:val="Emphasis"/>
        </w:rPr>
        <w:t>–</w:t>
      </w:r>
      <w:r w:rsidR="00011A4E" w:rsidRPr="00FB6842">
        <w:rPr>
          <w:rStyle w:val="Emphasis"/>
        </w:rPr>
        <w:t xml:space="preserve">21 </w:t>
      </w:r>
      <w:r w:rsidR="00011A4E" w:rsidRPr="009764EE">
        <w:t>reported</w:t>
      </w:r>
      <w:r w:rsidR="00991324" w:rsidRPr="009764EE">
        <w:t xml:space="preserve"> a</w:t>
      </w:r>
      <w:r w:rsidR="0010411D" w:rsidRPr="009764EE">
        <w:t>pproximately 15</w:t>
      </w:r>
      <w:r w:rsidR="001524A0">
        <w:t> per c</w:t>
      </w:r>
      <w:r w:rsidR="0010411D" w:rsidRPr="009764EE">
        <w:t>ent of Australians aged 16</w:t>
      </w:r>
      <w:r w:rsidR="001524A0">
        <w:t>‍–‍</w:t>
      </w:r>
      <w:r w:rsidR="0010411D" w:rsidRPr="009764EE">
        <w:t>85</w:t>
      </w:r>
      <w:r w:rsidR="00C239AD">
        <w:t> year</w:t>
      </w:r>
      <w:r w:rsidR="0010411D" w:rsidRPr="009764EE">
        <w:t>s experienced high or very high levels of psychological distress in 2020</w:t>
      </w:r>
      <w:r w:rsidR="00A461C9">
        <w:softHyphen/>
      </w:r>
      <w:r w:rsidR="00151999">
        <w:t>–</w:t>
      </w:r>
      <w:r w:rsidR="0010411D" w:rsidRPr="009764EE">
        <w:t>21.</w:t>
      </w:r>
      <w:r w:rsidR="00BB505C" w:rsidRPr="005049F1">
        <w:rPr>
          <w:rStyle w:val="FootnoteReference"/>
        </w:rPr>
        <w:endnoteReference w:id="18"/>
      </w:r>
      <w:r w:rsidR="008259FE" w:rsidRPr="00C239AD">
        <w:t xml:space="preserve"> </w:t>
      </w:r>
      <w:r w:rsidR="00F575ED" w:rsidRPr="00F575ED">
        <w:t>This data was collected during the COVID</w:t>
      </w:r>
      <w:r w:rsidR="00135DEA">
        <w:noBreakHyphen/>
      </w:r>
      <w:r w:rsidR="00F575ED" w:rsidRPr="00F575ED">
        <w:t>19 pandemic and might not reflect a long</w:t>
      </w:r>
      <w:r w:rsidR="00135DEA">
        <w:noBreakHyphen/>
      </w:r>
      <w:r w:rsidR="00F575ED" w:rsidRPr="00F575ED">
        <w:t>term trend. Caution should be taken when comparing the 2020</w:t>
      </w:r>
      <w:r w:rsidR="00151999">
        <w:t>–</w:t>
      </w:r>
      <w:r w:rsidR="00FD3A13">
        <w:softHyphen/>
      </w:r>
      <w:r w:rsidR="00F575ED" w:rsidRPr="00F575ED">
        <w:t>21 result with the trend due to differences in survey methodology.</w:t>
      </w:r>
    </w:p>
    <w:p w14:paraId="7E7D9D33" w14:textId="7E5FB225" w:rsidR="002F4160" w:rsidRPr="001167DA" w:rsidRDefault="002F4160" w:rsidP="001167DA">
      <w:r w:rsidRPr="001167DA">
        <w:t>Over time, how we seek to capture changes in the mental health of the population will be impacted by new developments in how we understand the issue and its impact on people, families, and community.</w:t>
      </w:r>
    </w:p>
    <w:p w14:paraId="6EBE7733" w14:textId="51252BE7" w:rsidR="000C46F1" w:rsidRPr="009764EE" w:rsidRDefault="00184F10" w:rsidP="0085050D">
      <w:pPr>
        <w:pStyle w:val="Heading3"/>
        <w:rPr>
          <w:rFonts w:cs="Calibri"/>
          <w:szCs w:val="24"/>
        </w:rPr>
      </w:pPr>
      <w:r w:rsidRPr="009764EE">
        <w:rPr>
          <w:rFonts w:cs="Calibri"/>
        </w:rPr>
        <w:t>Prevalence of chronic conditions</w:t>
      </w:r>
    </w:p>
    <w:p w14:paraId="2585CB9E" w14:textId="1FDDF284" w:rsidR="004B6D4D" w:rsidRPr="004B6D4D" w:rsidRDefault="004B6D4D" w:rsidP="004B6D4D">
      <w:r w:rsidRPr="004B6D4D">
        <w:t>Chronic conditions are an ongoing cause of ill health and disability, and can limit the extent to which people can enjoy their lives</w:t>
      </w:r>
      <w:r w:rsidR="001524A0">
        <w:t xml:space="preserve"> – </w:t>
      </w:r>
      <w:r w:rsidRPr="004B6D4D">
        <w:t>making them an important measure of national health and wellbeing in Australia.</w:t>
      </w:r>
    </w:p>
    <w:p w14:paraId="5CDDF191" w14:textId="29E28551" w:rsidR="008259FE" w:rsidRPr="009764EE" w:rsidRDefault="004B6D4D" w:rsidP="004B6D4D">
      <w:r w:rsidRPr="004B6D4D">
        <w:t>Chronic conditions generally have long</w:t>
      </w:r>
      <w:r w:rsidR="00135DEA">
        <w:noBreakHyphen/>
      </w:r>
      <w:r w:rsidRPr="004B6D4D">
        <w:t>lasting and persistent effects and include conditions such as coronary heart disease, cancer, and diabetes</w:t>
      </w:r>
      <w:r w:rsidR="000225D4" w:rsidRPr="009764EE">
        <w:t>.</w:t>
      </w:r>
      <w:r w:rsidR="00DD2AE4" w:rsidRPr="005049F1">
        <w:rPr>
          <w:rStyle w:val="FootnoteReference"/>
        </w:rPr>
        <w:endnoteReference w:id="19"/>
      </w:r>
    </w:p>
    <w:p w14:paraId="2BF69355" w14:textId="150ED093" w:rsidR="008259FE" w:rsidRPr="009764EE" w:rsidRDefault="000A7108" w:rsidP="0085050D">
      <w:pPr>
        <w:rPr>
          <w:rFonts w:eastAsia="Calibri Light"/>
        </w:rPr>
      </w:pPr>
      <w:r w:rsidRPr="000A7108">
        <w:t>The prevalence of chronic conditions is increasing in Australia. This trend is associated with a number of factors, including the prevalence of modifiable risk factors, the fact that people are living longer and that improvements in the treatment and management of chronic conditions have extended life expectancies</w:t>
      </w:r>
      <w:r w:rsidR="00B14C9C" w:rsidRPr="009764EE">
        <w:t>.</w:t>
      </w:r>
      <w:r w:rsidR="00143EF6" w:rsidRPr="005049F1">
        <w:rPr>
          <w:rStyle w:val="FootnoteReference"/>
        </w:rPr>
        <w:endnoteReference w:id="20"/>
      </w:r>
    </w:p>
    <w:p w14:paraId="3CFA7B27" w14:textId="738227EA" w:rsidR="008259FE" w:rsidRPr="009764EE" w:rsidRDefault="00A90F54" w:rsidP="00A90F54">
      <w:r w:rsidRPr="00A90F54">
        <w:t>In 2020</w:t>
      </w:r>
      <w:r w:rsidR="00151999">
        <w:t>–</w:t>
      </w:r>
      <w:r w:rsidRPr="00A90F54">
        <w:t>21, nearly half of Australians of all ages (46.6</w:t>
      </w:r>
      <w:r w:rsidR="001524A0">
        <w:t> per c</w:t>
      </w:r>
      <w:r w:rsidRPr="00A90F54">
        <w:t>ent) had one or more chronic conditions, and almost one</w:t>
      </w:r>
      <w:r>
        <w:t xml:space="preserve"> </w:t>
      </w:r>
      <w:r w:rsidRPr="00A90F54">
        <w:t>in five (18.6</w:t>
      </w:r>
      <w:r w:rsidR="001524A0">
        <w:t> per c</w:t>
      </w:r>
      <w:r w:rsidRPr="00A90F54">
        <w:t>ent) had two or more chronic conditions</w:t>
      </w:r>
      <w:r w:rsidR="00292250" w:rsidRPr="005049F1">
        <w:rPr>
          <w:rStyle w:val="FootnoteReference"/>
        </w:rPr>
        <w:endnoteReference w:id="21"/>
      </w:r>
      <w:r w:rsidR="001524A0">
        <w:t xml:space="preserve"> – </w:t>
      </w:r>
      <w:r w:rsidR="00BE27E1" w:rsidRPr="009764EE">
        <w:t>a</w:t>
      </w:r>
      <w:r w:rsidR="00903F96">
        <w:t> </w:t>
      </w:r>
      <w:r w:rsidR="00BE27E1" w:rsidRPr="009764EE">
        <w:t>state of health known as multimorbidity</w:t>
      </w:r>
      <w:r w:rsidR="00D650DA" w:rsidRPr="009764EE">
        <w:t>.</w:t>
      </w:r>
    </w:p>
    <w:p w14:paraId="723F2361" w14:textId="1BA0712D" w:rsidR="00AA5F9B" w:rsidRPr="000F1430" w:rsidRDefault="002333C5" w:rsidP="002333C5">
      <w:r w:rsidRPr="002333C5">
        <w:t>Many chronic conditions have behavioural and biomedical risk factors that contribute to their development, for example, tobacco smoking, insufficient physical activity, poor diet, excess weight, and high blood pressure or cholesterol. While recognising these</w:t>
      </w:r>
      <w:r>
        <w:t xml:space="preserve"> </w:t>
      </w:r>
      <w:r w:rsidRPr="002333C5">
        <w:t>risks can be driven or reinforced by factors beyond a person</w:t>
      </w:r>
      <w:r w:rsidR="00135DEA">
        <w:t>’</w:t>
      </w:r>
      <w:r w:rsidRPr="002333C5">
        <w:t>s control, the management of risk factors can reduce the likelihood of developing a chronic condition</w:t>
      </w:r>
      <w:r w:rsidR="001524A0">
        <w:t xml:space="preserve"> – </w:t>
      </w:r>
      <w:r w:rsidRPr="002333C5">
        <w:t>resulting in health and wellbeing gains throughout the course of life</w:t>
      </w:r>
      <w:r w:rsidRPr="000F1430">
        <w:t>.</w:t>
      </w:r>
    </w:p>
    <w:p w14:paraId="24F803AB" w14:textId="77777777" w:rsidR="008E4F00" w:rsidRDefault="008E4F00" w:rsidP="00B8112E">
      <w:pPr>
        <w:rPr>
          <w:lang w:eastAsia="en-US"/>
        </w:rPr>
      </w:pPr>
    </w:p>
    <w:p w14:paraId="4BD66E4F" w14:textId="1A14A483" w:rsidR="00B8112E" w:rsidRPr="009764EE" w:rsidRDefault="00B8112E" w:rsidP="00B8112E">
      <w:pPr>
        <w:rPr>
          <w:lang w:eastAsia="en-US"/>
        </w:rPr>
        <w:sectPr w:rsidR="00B8112E" w:rsidRPr="009764EE" w:rsidSect="00DA302B">
          <w:endnotePr>
            <w:numFmt w:val="decimal"/>
          </w:endnotePr>
          <w:pgSz w:w="11906" w:h="16838" w:code="9"/>
          <w:pgMar w:top="1843" w:right="1418" w:bottom="1418" w:left="1418" w:header="851" w:footer="851" w:gutter="0"/>
          <w:cols w:num="2" w:space="567"/>
          <w:docGrid w:linePitch="360"/>
        </w:sectPr>
      </w:pPr>
    </w:p>
    <w:tbl>
      <w:tblPr>
        <w:tblStyle w:val="MWMKey"/>
        <w:tblpPr w:leftFromText="180" w:rightFromText="180" w:vertAnchor="text" w:horzAnchor="margin" w:tblpY="-11"/>
        <w:tblW w:w="5000" w:type="pct"/>
        <w:tblLook w:val="0620" w:firstRow="1" w:lastRow="0" w:firstColumn="0" w:lastColumn="0" w:noHBand="1" w:noVBand="1"/>
      </w:tblPr>
      <w:tblGrid>
        <w:gridCol w:w="9070"/>
      </w:tblGrid>
      <w:tr w:rsidR="002C3081" w:rsidRPr="009764EE" w:rsidDel="00140621" w14:paraId="5CDFC705" w14:textId="77777777" w:rsidTr="002C3081">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CFF6559" w14:textId="45698A8E" w:rsidR="002C3081" w:rsidRPr="002B098A" w:rsidRDefault="002C3081" w:rsidP="002C3081">
            <w:pPr>
              <w:pStyle w:val="BoxHeading"/>
              <w:spacing w:after="0"/>
            </w:pPr>
            <w:r w:rsidRPr="002B098A">
              <w:lastRenderedPageBreak/>
              <w:t>Key Government initiatives to improve mental and physical health</w:t>
            </w:r>
          </w:p>
        </w:tc>
      </w:tr>
      <w:tr w:rsidR="008E4F00" w:rsidRPr="009764EE" w:rsidDel="00140621" w14:paraId="0DCA3814" w14:textId="77777777" w:rsidTr="002C3081">
        <w:trPr>
          <w:trHeight w:val="20"/>
        </w:trPr>
        <w:tc>
          <w:tcPr>
            <w:tcW w:w="5000" w:type="pct"/>
            <w:hideMark/>
          </w:tcPr>
          <w:p w14:paraId="518DD123" w14:textId="77777777" w:rsidR="00C37552" w:rsidRPr="000F0A66" w:rsidRDefault="00C37552" w:rsidP="002C3081">
            <w:pPr>
              <w:pStyle w:val="Boxbullet"/>
              <w:rPr>
                <w:lang w:eastAsia="en-US"/>
              </w:rPr>
            </w:pPr>
            <w:r w:rsidRPr="000F0A66">
              <w:rPr>
                <w:lang w:eastAsia="en-US"/>
              </w:rPr>
              <w:t>Strengthening the mental health and suicide prevention system, growing the workforce and laying the groundwork for future reform</w:t>
            </w:r>
          </w:p>
          <w:p w14:paraId="489CFE96" w14:textId="3B852661" w:rsidR="00C37552" w:rsidRPr="000F0A66" w:rsidRDefault="00C37552" w:rsidP="002C3081">
            <w:pPr>
              <w:pStyle w:val="Boxbullet"/>
              <w:rPr>
                <w:lang w:eastAsia="en-US"/>
              </w:rPr>
            </w:pPr>
            <w:r w:rsidRPr="000F0A66">
              <w:rPr>
                <w:lang w:eastAsia="en-US"/>
              </w:rPr>
              <w:t>Stronger action to reduce smoking and vaping rates</w:t>
            </w:r>
            <w:r w:rsidR="001524A0">
              <w:rPr>
                <w:lang w:eastAsia="en-US"/>
              </w:rPr>
              <w:t xml:space="preserve"> – </w:t>
            </w:r>
            <w:r w:rsidRPr="000F0A66">
              <w:rPr>
                <w:lang w:eastAsia="en-US"/>
              </w:rPr>
              <w:t>particularly among young Australians</w:t>
            </w:r>
            <w:r w:rsidR="001524A0">
              <w:rPr>
                <w:lang w:eastAsia="en-US"/>
              </w:rPr>
              <w:t xml:space="preserve"> – </w:t>
            </w:r>
            <w:r w:rsidRPr="000F0A66">
              <w:rPr>
                <w:lang w:eastAsia="en-US"/>
              </w:rPr>
              <w:t>through stronger legislation, enforcement, education, and support</w:t>
            </w:r>
          </w:p>
          <w:p w14:paraId="49DF9649" w14:textId="77777777" w:rsidR="00C37552" w:rsidRPr="000F0A66" w:rsidRDefault="00C37552" w:rsidP="002C3081">
            <w:pPr>
              <w:pStyle w:val="Boxbullet"/>
              <w:rPr>
                <w:lang w:eastAsia="en-US"/>
              </w:rPr>
            </w:pPr>
            <w:r w:rsidRPr="000F0A66">
              <w:rPr>
                <w:lang w:eastAsia="en-US"/>
              </w:rPr>
              <w:t>Improving health outcomes through extending existing alcohol and drug programs in the community</w:t>
            </w:r>
          </w:p>
          <w:p w14:paraId="21954789" w14:textId="7E4C4BD8" w:rsidR="00C37552" w:rsidRPr="000F0A66" w:rsidRDefault="00C37552" w:rsidP="002C3081">
            <w:pPr>
              <w:pStyle w:val="Boxbullet"/>
              <w:rPr>
                <w:lang w:eastAsia="en-US"/>
              </w:rPr>
            </w:pPr>
            <w:r w:rsidRPr="000F0A66">
              <w:rPr>
                <w:lang w:eastAsia="en-US"/>
              </w:rPr>
              <w:t>Establishing a national lung cancer screening program for those most at risk, maximising prevention and early detection for at</w:t>
            </w:r>
            <w:r w:rsidR="00135DEA">
              <w:rPr>
                <w:lang w:eastAsia="en-US"/>
              </w:rPr>
              <w:noBreakHyphen/>
            </w:r>
            <w:r w:rsidRPr="000F0A66">
              <w:rPr>
                <w:lang w:eastAsia="en-US"/>
              </w:rPr>
              <w:t>risk Australians</w:t>
            </w:r>
          </w:p>
          <w:p w14:paraId="76E62483" w14:textId="77777777" w:rsidR="00C37552" w:rsidRPr="000F0A66" w:rsidRDefault="00C37552" w:rsidP="002C3081">
            <w:pPr>
              <w:pStyle w:val="Boxbullet"/>
              <w:rPr>
                <w:lang w:eastAsia="en-US"/>
              </w:rPr>
            </w:pPr>
            <w:r w:rsidRPr="000F0A66">
              <w:rPr>
                <w:lang w:eastAsia="en-US"/>
              </w:rPr>
              <w:t>Establishing the Australian Centre for Disease Control in response to health emergencies and other public health challenges</w:t>
            </w:r>
          </w:p>
          <w:p w14:paraId="7613BC4F" w14:textId="2C66A79F" w:rsidR="00C37552" w:rsidRPr="000F0A66" w:rsidRDefault="00C37552" w:rsidP="002C3081">
            <w:pPr>
              <w:pStyle w:val="Boxbullet"/>
              <w:rPr>
                <w:lang w:eastAsia="en-US"/>
              </w:rPr>
            </w:pPr>
            <w:r w:rsidRPr="000F0A66">
              <w:rPr>
                <w:lang w:eastAsia="en-US"/>
              </w:rPr>
              <w:t xml:space="preserve">National Aboriginal and </w:t>
            </w:r>
            <w:r w:rsidR="001524A0">
              <w:rPr>
                <w:lang w:eastAsia="en-US"/>
              </w:rPr>
              <w:t>Torres Strait</w:t>
            </w:r>
            <w:r w:rsidRPr="000F0A66">
              <w:rPr>
                <w:lang w:eastAsia="en-US"/>
              </w:rPr>
              <w:t xml:space="preserve"> Islander Health Plan 2021</w:t>
            </w:r>
            <w:r w:rsidR="00151999">
              <w:rPr>
                <w:lang w:eastAsia="en-US"/>
              </w:rPr>
              <w:t>–</w:t>
            </w:r>
            <w:r w:rsidR="00534908" w:rsidRPr="000F0A66">
              <w:rPr>
                <w:lang w:eastAsia="en-US"/>
              </w:rPr>
              <w:softHyphen/>
            </w:r>
            <w:r w:rsidRPr="000F0A66">
              <w:rPr>
                <w:lang w:eastAsia="en-US"/>
              </w:rPr>
              <w:t>2031</w:t>
            </w:r>
          </w:p>
          <w:p w14:paraId="6E2C1350" w14:textId="77777777" w:rsidR="00C37552" w:rsidRPr="000F0A66" w:rsidRDefault="00C37552" w:rsidP="002C3081">
            <w:pPr>
              <w:pStyle w:val="Boxbullet"/>
              <w:rPr>
                <w:lang w:eastAsia="en-US"/>
              </w:rPr>
            </w:pPr>
            <w:r w:rsidRPr="000F0A66">
              <w:rPr>
                <w:lang w:eastAsia="en-US"/>
              </w:rPr>
              <w:t>Closing the Gap Social and Emotional Wellbeing Policy Partnership</w:t>
            </w:r>
          </w:p>
          <w:p w14:paraId="2BEDE491" w14:textId="77777777" w:rsidR="00C37552" w:rsidRPr="000F0A66" w:rsidRDefault="00C37552" w:rsidP="002C3081">
            <w:pPr>
              <w:pStyle w:val="Boxbullet"/>
              <w:rPr>
                <w:lang w:eastAsia="en-US"/>
              </w:rPr>
            </w:pPr>
            <w:r w:rsidRPr="000F0A66">
              <w:rPr>
                <w:lang w:eastAsia="en-US"/>
              </w:rPr>
              <w:t>Developing the Gayaa Dhuwi (Proud Spirit) Declaration Implementation Plan</w:t>
            </w:r>
          </w:p>
          <w:p w14:paraId="606655EE" w14:textId="341D4CB0" w:rsidR="00C37552" w:rsidRPr="000F0A66" w:rsidRDefault="00C37552" w:rsidP="002C3081">
            <w:pPr>
              <w:pStyle w:val="Boxbullet"/>
              <w:rPr>
                <w:lang w:eastAsia="en-US"/>
              </w:rPr>
            </w:pPr>
            <w:r w:rsidRPr="000F0A66">
              <w:rPr>
                <w:lang w:eastAsia="en-US"/>
              </w:rPr>
              <w:t>National Preventive Health Strategy 2021</w:t>
            </w:r>
            <w:r w:rsidR="00151999">
              <w:rPr>
                <w:lang w:eastAsia="en-US"/>
              </w:rPr>
              <w:t>–</w:t>
            </w:r>
            <w:r w:rsidR="00534908" w:rsidRPr="000F0A66">
              <w:rPr>
                <w:lang w:eastAsia="en-US"/>
              </w:rPr>
              <w:softHyphen/>
            </w:r>
            <w:r w:rsidRPr="000F0A66">
              <w:rPr>
                <w:lang w:eastAsia="en-US"/>
              </w:rPr>
              <w:t>2030</w:t>
            </w:r>
          </w:p>
          <w:p w14:paraId="53C027F8" w14:textId="2698EE2C" w:rsidR="00CC472C" w:rsidRPr="00CC472C" w:rsidDel="00140621" w:rsidRDefault="00C37552" w:rsidP="002C3081">
            <w:pPr>
              <w:pStyle w:val="Boxbullet"/>
            </w:pPr>
            <w:r w:rsidRPr="000F0A66">
              <w:rPr>
                <w:lang w:eastAsia="en-US"/>
              </w:rPr>
              <w:t xml:space="preserve">Refreshed National Strategic Framework for Aboriginal and </w:t>
            </w:r>
            <w:r w:rsidR="001524A0">
              <w:rPr>
                <w:lang w:eastAsia="en-US"/>
              </w:rPr>
              <w:t>Torres Strait</w:t>
            </w:r>
            <w:r w:rsidRPr="000F0A66">
              <w:rPr>
                <w:lang w:eastAsia="en-US"/>
              </w:rPr>
              <w:t xml:space="preserve"> Islander Peoples</w:t>
            </w:r>
            <w:r w:rsidR="00135DEA">
              <w:rPr>
                <w:lang w:eastAsia="en-US"/>
              </w:rPr>
              <w:t>’</w:t>
            </w:r>
            <w:r w:rsidRPr="000F0A66">
              <w:rPr>
                <w:lang w:eastAsia="en-US"/>
              </w:rPr>
              <w:t xml:space="preserve"> Social and Emotional Wellbeing</w:t>
            </w:r>
          </w:p>
        </w:tc>
      </w:tr>
    </w:tbl>
    <w:p w14:paraId="75D30537" w14:textId="77777777" w:rsidR="00CC472C" w:rsidRPr="00336AB9" w:rsidRDefault="00CC472C" w:rsidP="00336AB9">
      <w:r>
        <w:br w:type="page"/>
      </w:r>
    </w:p>
    <w:p w14:paraId="6A356EC4" w14:textId="77777777" w:rsidR="00A05585" w:rsidRDefault="000E4A3D" w:rsidP="00AF3F4D">
      <w:pPr>
        <w:pStyle w:val="Heading2"/>
        <w:sectPr w:rsidR="00A05585" w:rsidSect="00DA302B">
          <w:endnotePr>
            <w:numFmt w:val="decimal"/>
          </w:endnotePr>
          <w:type w:val="continuous"/>
          <w:pgSz w:w="11906" w:h="16838" w:code="9"/>
          <w:pgMar w:top="1843" w:right="1418" w:bottom="1418" w:left="1418" w:header="851" w:footer="851" w:gutter="0"/>
          <w:cols w:space="567"/>
          <w:docGrid w:linePitch="360"/>
        </w:sectPr>
      </w:pPr>
      <w:bookmarkStart w:id="49" w:name="_Toc147497668"/>
      <w:r w:rsidRPr="009764EE">
        <w:lastRenderedPageBreak/>
        <w:t xml:space="preserve">Equitable </w:t>
      </w:r>
      <w:r w:rsidR="00652DC3" w:rsidRPr="009764EE">
        <w:t>ac</w:t>
      </w:r>
      <w:r w:rsidR="004376CF" w:rsidRPr="009764EE">
        <w:t>cess to quality health and care services</w:t>
      </w:r>
      <w:bookmarkEnd w:id="49"/>
      <w:r w:rsidR="004376CF" w:rsidRPr="009764EE">
        <w:t xml:space="preserve"> </w:t>
      </w:r>
    </w:p>
    <w:p w14:paraId="26772AC5" w14:textId="77777777" w:rsidR="00A05585" w:rsidRPr="00AC712A" w:rsidRDefault="00A05585" w:rsidP="00A05585">
      <w:r w:rsidRPr="00AC712A">
        <w:t>Access to quality health and care services is critical if people are to receive the help that they need to manage conditions, make a full contribution to the community, and maximise their wellbeing.</w:t>
      </w:r>
    </w:p>
    <w:p w14:paraId="44B0836F" w14:textId="77777777" w:rsidR="00A05585" w:rsidRDefault="00A05585" w:rsidP="00A05585">
      <w:r w:rsidRPr="00AC712A">
        <w:t>The metrics outlined below will help us to make assessments of our success in making sure Australians have access to the support they require.</w:t>
      </w:r>
    </w:p>
    <w:p w14:paraId="44C7113A" w14:textId="77777777" w:rsidR="00A05585" w:rsidRDefault="00A05585" w:rsidP="00A05585"/>
    <w:p w14:paraId="32641020" w14:textId="126EEEAD" w:rsidR="00A05585" w:rsidRPr="00A05585" w:rsidRDefault="00A05585" w:rsidP="00A05585">
      <w:pPr>
        <w:sectPr w:rsidR="00A05585" w:rsidRPr="00A05585" w:rsidSect="00DA302B">
          <w:endnotePr>
            <w:numFmt w:val="decimal"/>
          </w:endnotePr>
          <w:type w:val="continuous"/>
          <w:pgSz w:w="11906" w:h="16838" w:code="9"/>
          <w:pgMar w:top="1843" w:right="1418" w:bottom="1418" w:left="1418" w:header="851" w:footer="851" w:gutter="0"/>
          <w:cols w:num="2" w:space="567"/>
          <w:docGrid w:linePitch="360"/>
        </w:sectPr>
      </w:pPr>
    </w:p>
    <w:tbl>
      <w:tblPr>
        <w:tblStyle w:val="MWMTables"/>
        <w:tblW w:w="5000" w:type="pct"/>
        <w:tblLook w:val="06A0" w:firstRow="1" w:lastRow="0" w:firstColumn="1" w:lastColumn="0" w:noHBand="1" w:noVBand="1"/>
      </w:tblPr>
      <w:tblGrid>
        <w:gridCol w:w="1531"/>
        <w:gridCol w:w="3214"/>
        <w:gridCol w:w="1408"/>
        <w:gridCol w:w="1654"/>
        <w:gridCol w:w="1263"/>
      </w:tblGrid>
      <w:tr w:rsidR="00E61879" w:rsidRPr="009764EE" w14:paraId="4FAF6829" w14:textId="77777777" w:rsidTr="004436F5">
        <w:trPr>
          <w:cnfStyle w:val="100000000000" w:firstRow="1" w:lastRow="0" w:firstColumn="0" w:lastColumn="0" w:oddVBand="0" w:evenVBand="0" w:oddHBand="0" w:evenHBand="0" w:firstRowFirstColumn="0" w:firstRowLastColumn="0" w:lastRowFirstColumn="0" w:lastRowLastColumn="0"/>
          <w:trHeight w:val="270"/>
        </w:trPr>
        <w:tc>
          <w:tcPr>
            <w:tcW w:w="844" w:type="pct"/>
          </w:tcPr>
          <w:p w14:paraId="2D55FDE2" w14:textId="7CA2FD34" w:rsidR="00E63B0C" w:rsidRPr="009764EE" w:rsidRDefault="00670BBB" w:rsidP="00AF3F4D">
            <w:pPr>
              <w:pStyle w:val="TableColumnHeadingLeft"/>
            </w:pPr>
            <w:r w:rsidRPr="009764EE">
              <w:t>Indicator</w:t>
            </w:r>
          </w:p>
        </w:tc>
        <w:tc>
          <w:tcPr>
            <w:tcW w:w="1772" w:type="pct"/>
          </w:tcPr>
          <w:p w14:paraId="56F98883" w14:textId="7247838F" w:rsidR="00E63B0C" w:rsidRPr="009764EE" w:rsidRDefault="006D5377" w:rsidP="00AF3F4D">
            <w:pPr>
              <w:pStyle w:val="TableColumnHeadingLeft"/>
            </w:pPr>
            <w:r w:rsidRPr="009764EE">
              <w:t>Metric</w:t>
            </w:r>
          </w:p>
        </w:tc>
        <w:tc>
          <w:tcPr>
            <w:tcW w:w="776" w:type="pct"/>
          </w:tcPr>
          <w:p w14:paraId="3DF6F962" w14:textId="77777777" w:rsidR="00E63B0C" w:rsidRPr="009764EE" w:rsidRDefault="00E63B0C" w:rsidP="00AF3F4D">
            <w:pPr>
              <w:pStyle w:val="TableColumnHeadingLeft"/>
            </w:pPr>
            <w:r w:rsidRPr="009764EE">
              <w:t xml:space="preserve">Why this metric </w:t>
            </w:r>
          </w:p>
        </w:tc>
        <w:tc>
          <w:tcPr>
            <w:tcW w:w="912" w:type="pct"/>
          </w:tcPr>
          <w:p w14:paraId="46C9FEBD" w14:textId="0CAD2DFD" w:rsidR="00E63B0C" w:rsidRPr="009764EE" w:rsidRDefault="005C4903" w:rsidP="00AF3F4D">
            <w:pPr>
              <w:pStyle w:val="TableColumnHeadingLeft"/>
            </w:pPr>
            <w:r w:rsidRPr="009764EE">
              <w:t>Progress</w:t>
            </w:r>
          </w:p>
        </w:tc>
        <w:tc>
          <w:tcPr>
            <w:tcW w:w="696" w:type="pct"/>
          </w:tcPr>
          <w:p w14:paraId="4E3E8634" w14:textId="3EC07495" w:rsidR="00E63B0C" w:rsidRPr="009764EE" w:rsidRDefault="00E63B0C" w:rsidP="00AF3F4D">
            <w:pPr>
              <w:pStyle w:val="TableColumnHeadingLeft"/>
            </w:pPr>
            <w:r w:rsidRPr="009764EE">
              <w:t>Latest Value</w:t>
            </w:r>
            <w:r w:rsidR="00B7209C" w:rsidRPr="005049F1">
              <w:rPr>
                <w:rStyle w:val="FootnoteReference"/>
              </w:rPr>
              <w:t>(i)</w:t>
            </w:r>
          </w:p>
        </w:tc>
      </w:tr>
      <w:tr w:rsidR="00E61879" w:rsidRPr="009764EE" w14:paraId="336C948D" w14:textId="77777777" w:rsidTr="004436F5">
        <w:trPr>
          <w:trHeight w:val="270"/>
        </w:trPr>
        <w:tc>
          <w:tcPr>
            <w:tcW w:w="844" w:type="pct"/>
            <w:vMerge w:val="restart"/>
          </w:tcPr>
          <w:p w14:paraId="6965DF3A" w14:textId="610B1F1A" w:rsidR="002B5E8D" w:rsidRPr="008D79E6" w:rsidRDefault="002B5E8D" w:rsidP="00AF3F4D">
            <w:pPr>
              <w:pStyle w:val="TableTextLeft"/>
              <w:rPr>
                <w:rStyle w:val="Strong"/>
                <w:color w:val="082C44"/>
              </w:rPr>
            </w:pPr>
            <w:r w:rsidRPr="008D79E6">
              <w:rPr>
                <w:rStyle w:val="Strong"/>
                <w:color w:val="082C44"/>
              </w:rPr>
              <w:t>Access to health services</w:t>
            </w:r>
            <w:r w:rsidRPr="008D79E6">
              <w:rPr>
                <w:rStyle w:val="FootnoteReference"/>
                <w:b/>
                <w:bCs/>
                <w:color w:val="082C44"/>
              </w:rPr>
              <w:t>(a)</w:t>
            </w:r>
          </w:p>
        </w:tc>
        <w:tc>
          <w:tcPr>
            <w:tcW w:w="1772" w:type="pct"/>
            <w:tcBorders>
              <w:top w:val="single" w:sz="4" w:space="0" w:color="216364"/>
              <w:bottom w:val="single" w:sz="4" w:space="0" w:color="EEEEEE" w:themeColor="background2"/>
            </w:tcBorders>
          </w:tcPr>
          <w:p w14:paraId="0431AB5C" w14:textId="69265434" w:rsidR="002B5E8D" w:rsidRPr="00DB0D39" w:rsidRDefault="005F2E34" w:rsidP="004436F5">
            <w:pPr>
              <w:pStyle w:val="TableTextLeft"/>
            </w:pPr>
            <w:r w:rsidRPr="00DB0D39">
              <w:t xml:space="preserve">Cost: proportion of people who at least once delayed or did not see a General Practitioner (GP) when needed due to cost </w:t>
            </w:r>
          </w:p>
        </w:tc>
        <w:tc>
          <w:tcPr>
            <w:tcW w:w="776" w:type="pct"/>
            <w:vMerge w:val="restart"/>
            <w:tcBorders>
              <w:top w:val="single" w:sz="4" w:space="0" w:color="216364"/>
              <w:bottom w:val="single" w:sz="4" w:space="0" w:color="EEEEEE" w:themeColor="background2"/>
            </w:tcBorders>
          </w:tcPr>
          <w:p w14:paraId="0087A27F" w14:textId="38A1455D" w:rsidR="002B5E8D" w:rsidRPr="003348A0" w:rsidRDefault="002B5E8D" w:rsidP="004436F5">
            <w:pPr>
              <w:pStyle w:val="TableTextLeft"/>
            </w:pPr>
            <w:r w:rsidRPr="003348A0">
              <w:t xml:space="preserve">Cost and </w:t>
            </w:r>
            <w:r w:rsidR="00F60546" w:rsidRPr="003348A0">
              <w:t>wait times provide an insight into how effectively Australia</w:t>
            </w:r>
            <w:r w:rsidR="00135DEA">
              <w:t>’</w:t>
            </w:r>
            <w:r w:rsidR="00F60546" w:rsidRPr="003348A0">
              <w:t xml:space="preserve">s health services are operating </w:t>
            </w:r>
          </w:p>
        </w:tc>
        <w:tc>
          <w:tcPr>
            <w:tcW w:w="912" w:type="pct"/>
            <w:tcBorders>
              <w:top w:val="single" w:sz="4" w:space="0" w:color="216364"/>
              <w:bottom w:val="single" w:sz="4" w:space="0" w:color="EEEEEE" w:themeColor="background2"/>
            </w:tcBorders>
          </w:tcPr>
          <w:p w14:paraId="2E718051" w14:textId="03F30944" w:rsidR="00994375" w:rsidRPr="004436F5" w:rsidRDefault="005F2E34" w:rsidP="004436F5">
            <w:pPr>
              <w:pStyle w:val="TableTextCentered"/>
            </w:pPr>
            <w:r w:rsidRPr="004436F5">
              <w:rPr>
                <w:rFonts w:eastAsia="Century Gothic"/>
              </w:rPr>
              <w:t>Improved</w:t>
            </w:r>
          </w:p>
          <w:p w14:paraId="6E718CD8" w14:textId="37F8F302" w:rsidR="002B5E8D" w:rsidRPr="004436F5" w:rsidRDefault="00E64757" w:rsidP="004436F5">
            <w:pPr>
              <w:pStyle w:val="TableTextCentered"/>
              <w:rPr>
                <w:rFonts w:eastAsia="Century Gothic"/>
              </w:rPr>
            </w:pPr>
            <w:r w:rsidRPr="004436F5">
              <w:rPr>
                <w:rFonts w:eastAsia="Century Gothic"/>
              </w:rPr>
              <w:t>201</w:t>
            </w:r>
            <w:r w:rsidR="004026B2" w:rsidRPr="004436F5">
              <w:rPr>
                <w:rFonts w:eastAsia="Century Gothic"/>
              </w:rPr>
              <w:t>3</w:t>
            </w:r>
            <w:r w:rsidR="00151999" w:rsidRPr="004436F5">
              <w:t>–</w:t>
            </w:r>
            <w:r w:rsidRPr="004436F5">
              <w:rPr>
                <w:rFonts w:eastAsia="Century Gothic"/>
              </w:rPr>
              <w:t>1</w:t>
            </w:r>
            <w:r w:rsidR="004026B2" w:rsidRPr="004436F5">
              <w:rPr>
                <w:rFonts w:eastAsia="Century Gothic"/>
              </w:rPr>
              <w:t>4</w:t>
            </w:r>
            <w:r w:rsidRPr="004436F5">
              <w:rPr>
                <w:rFonts w:eastAsia="Century Gothic"/>
              </w:rPr>
              <w:t xml:space="preserve"> to 2021</w:t>
            </w:r>
            <w:r w:rsidR="004436F5">
              <w:rPr>
                <w:rFonts w:eastAsia="Century Gothic"/>
              </w:rPr>
              <w:t>–</w:t>
            </w:r>
            <w:r w:rsidR="00345A3B">
              <w:t>‍</w:t>
            </w:r>
            <w:r w:rsidRPr="004436F5">
              <w:rPr>
                <w:rFonts w:eastAsia="Century Gothic"/>
              </w:rPr>
              <w:t>22</w:t>
            </w:r>
          </w:p>
        </w:tc>
        <w:tc>
          <w:tcPr>
            <w:tcW w:w="696" w:type="pct"/>
            <w:tcBorders>
              <w:top w:val="single" w:sz="4" w:space="0" w:color="216364"/>
              <w:bottom w:val="single" w:sz="4" w:space="0" w:color="EEEEEE" w:themeColor="background2"/>
            </w:tcBorders>
          </w:tcPr>
          <w:p w14:paraId="153528D8" w14:textId="5EBBAA95" w:rsidR="002B5E8D" w:rsidRPr="004436F5" w:rsidRDefault="002B5E8D" w:rsidP="004436F5">
            <w:pPr>
              <w:pStyle w:val="TableTextCentered"/>
            </w:pPr>
            <w:r w:rsidRPr="004436F5">
              <w:t>3.5%</w:t>
            </w:r>
          </w:p>
        </w:tc>
      </w:tr>
      <w:tr w:rsidR="00E61879" w:rsidRPr="009764EE" w14:paraId="086F6805" w14:textId="77777777" w:rsidTr="004436F5">
        <w:trPr>
          <w:trHeight w:val="270"/>
        </w:trPr>
        <w:tc>
          <w:tcPr>
            <w:tcW w:w="844" w:type="pct"/>
            <w:vMerge/>
          </w:tcPr>
          <w:p w14:paraId="71552E1F" w14:textId="50A27DFF" w:rsidR="002B5E8D" w:rsidRPr="008D79E6" w:rsidRDefault="002B5E8D" w:rsidP="00AF3F4D">
            <w:pPr>
              <w:pStyle w:val="TableTextLeft"/>
              <w:rPr>
                <w:rStyle w:val="Strong"/>
                <w:color w:val="082C44"/>
              </w:rPr>
            </w:pPr>
          </w:p>
        </w:tc>
        <w:tc>
          <w:tcPr>
            <w:tcW w:w="1772" w:type="pct"/>
            <w:tcBorders>
              <w:top w:val="single" w:sz="4" w:space="0" w:color="EEEEEE" w:themeColor="background2"/>
              <w:bottom w:val="single" w:sz="4" w:space="0" w:color="EEEEEE" w:themeColor="background2"/>
            </w:tcBorders>
          </w:tcPr>
          <w:p w14:paraId="6BD75864" w14:textId="0821E5C0" w:rsidR="002B5E8D" w:rsidRPr="00DB0D39" w:rsidRDefault="002B5E8D" w:rsidP="004436F5">
            <w:pPr>
              <w:pStyle w:val="TableTextLeft"/>
            </w:pPr>
            <w:r w:rsidRPr="00DB0D39">
              <w:t xml:space="preserve">Cost: </w:t>
            </w:r>
            <w:r w:rsidR="00561D17" w:rsidRPr="00DB0D39">
              <w:t>p</w:t>
            </w:r>
            <w:r w:rsidRPr="00DB0D39">
              <w:t xml:space="preserve">roportion of people </w:t>
            </w:r>
            <w:r w:rsidR="000B7D6A" w:rsidRPr="00DB0D39">
              <w:t xml:space="preserve">who at least once delayed or did not see a medical specialist when needed due to </w:t>
            </w:r>
            <w:r w:rsidRPr="00DB0D39">
              <w:t>cost</w:t>
            </w:r>
          </w:p>
        </w:tc>
        <w:tc>
          <w:tcPr>
            <w:tcW w:w="776" w:type="pct"/>
            <w:vMerge/>
            <w:tcBorders>
              <w:top w:val="single" w:sz="4" w:space="0" w:color="EEEEEE" w:themeColor="background2"/>
              <w:bottom w:val="single" w:sz="4" w:space="0" w:color="EEEEEE" w:themeColor="background2"/>
            </w:tcBorders>
          </w:tcPr>
          <w:p w14:paraId="3F66DB5B" w14:textId="77777777" w:rsidR="002B5E8D" w:rsidRPr="003348A0" w:rsidRDefault="002B5E8D" w:rsidP="004436F5">
            <w:pPr>
              <w:pStyle w:val="TableTextLeft"/>
            </w:pPr>
          </w:p>
        </w:tc>
        <w:tc>
          <w:tcPr>
            <w:tcW w:w="912" w:type="pct"/>
            <w:tcBorders>
              <w:top w:val="single" w:sz="4" w:space="0" w:color="EEEEEE" w:themeColor="background2"/>
              <w:bottom w:val="single" w:sz="4" w:space="0" w:color="EEEEEE" w:themeColor="background2"/>
            </w:tcBorders>
          </w:tcPr>
          <w:p w14:paraId="6953E286" w14:textId="23937AB7" w:rsidR="00994375" w:rsidRPr="004436F5" w:rsidRDefault="00E64757" w:rsidP="004436F5">
            <w:pPr>
              <w:pStyle w:val="TableTextCentered"/>
            </w:pPr>
            <w:r w:rsidRPr="004436F5">
              <w:t>Stable</w:t>
            </w:r>
          </w:p>
          <w:p w14:paraId="67FA029B" w14:textId="575C8108" w:rsidR="002B5E8D" w:rsidRPr="004436F5" w:rsidRDefault="00E64757" w:rsidP="004436F5">
            <w:pPr>
              <w:pStyle w:val="TableTextCentered"/>
              <w:rPr>
                <w:rFonts w:eastAsia="Century Gothic"/>
              </w:rPr>
            </w:pPr>
            <w:r w:rsidRPr="004436F5">
              <w:rPr>
                <w:rFonts w:eastAsia="Century Gothic"/>
              </w:rPr>
              <w:t>201</w:t>
            </w:r>
            <w:r w:rsidR="0095700D" w:rsidRPr="004436F5">
              <w:rPr>
                <w:rFonts w:eastAsia="Century Gothic"/>
              </w:rPr>
              <w:t>3</w:t>
            </w:r>
            <w:r w:rsidR="00534908" w:rsidRPr="004436F5">
              <w:rPr>
                <w:rFonts w:eastAsia="Century Gothic"/>
              </w:rPr>
              <w:softHyphen/>
            </w:r>
            <w:r w:rsidR="00345A3B">
              <w:rPr>
                <w:rFonts w:eastAsia="Century Gothic"/>
              </w:rPr>
              <w:t>–</w:t>
            </w:r>
            <w:r w:rsidRPr="004436F5">
              <w:rPr>
                <w:rFonts w:eastAsia="Century Gothic"/>
              </w:rPr>
              <w:t>1</w:t>
            </w:r>
            <w:r w:rsidR="0095700D" w:rsidRPr="004436F5">
              <w:rPr>
                <w:rFonts w:eastAsia="Century Gothic"/>
              </w:rPr>
              <w:t>4</w:t>
            </w:r>
            <w:r w:rsidRPr="004436F5">
              <w:rPr>
                <w:rFonts w:eastAsia="Century Gothic"/>
              </w:rPr>
              <w:t xml:space="preserve"> to </w:t>
            </w:r>
            <w:r w:rsidRPr="004436F5">
              <w:t>2021</w:t>
            </w:r>
            <w:r w:rsidR="00151999" w:rsidRPr="004436F5">
              <w:t>–</w:t>
            </w:r>
            <w:r w:rsidR="00345A3B">
              <w:t>‍</w:t>
            </w:r>
            <w:r w:rsidRPr="004436F5">
              <w:rPr>
                <w:rFonts w:eastAsia="Century Gothic"/>
              </w:rPr>
              <w:t>22</w:t>
            </w:r>
          </w:p>
        </w:tc>
        <w:tc>
          <w:tcPr>
            <w:tcW w:w="696" w:type="pct"/>
            <w:tcBorders>
              <w:top w:val="single" w:sz="4" w:space="0" w:color="EEEEEE" w:themeColor="background2"/>
              <w:bottom w:val="single" w:sz="4" w:space="0" w:color="EEEEEE" w:themeColor="background2"/>
            </w:tcBorders>
          </w:tcPr>
          <w:p w14:paraId="7D42D842" w14:textId="054CB6E5" w:rsidR="002B5E8D" w:rsidRPr="004436F5" w:rsidRDefault="002B5E8D" w:rsidP="004436F5">
            <w:pPr>
              <w:pStyle w:val="TableTextCentered"/>
            </w:pPr>
            <w:r w:rsidRPr="004436F5">
              <w:t>8.0%</w:t>
            </w:r>
          </w:p>
        </w:tc>
      </w:tr>
      <w:tr w:rsidR="00E61879" w:rsidRPr="009764EE" w14:paraId="677FC425" w14:textId="77777777" w:rsidTr="004436F5">
        <w:trPr>
          <w:trHeight w:val="383"/>
        </w:trPr>
        <w:tc>
          <w:tcPr>
            <w:tcW w:w="844" w:type="pct"/>
            <w:vMerge/>
          </w:tcPr>
          <w:p w14:paraId="173BBC9F" w14:textId="6C7D3C2A" w:rsidR="002B5E8D" w:rsidRPr="008D79E6" w:rsidRDefault="002B5E8D" w:rsidP="00AF3F4D">
            <w:pPr>
              <w:pStyle w:val="TableTextLeft"/>
              <w:rPr>
                <w:rStyle w:val="Strong"/>
                <w:color w:val="082C44"/>
              </w:rPr>
            </w:pPr>
          </w:p>
        </w:tc>
        <w:tc>
          <w:tcPr>
            <w:tcW w:w="1772" w:type="pct"/>
            <w:tcBorders>
              <w:top w:val="single" w:sz="4" w:space="0" w:color="EEEEEE" w:themeColor="background2"/>
              <w:bottom w:val="single" w:sz="4" w:space="0" w:color="EEEEEE" w:themeColor="background2"/>
            </w:tcBorders>
          </w:tcPr>
          <w:p w14:paraId="69BFDD6D" w14:textId="1777AA3B" w:rsidR="002B5E8D" w:rsidRPr="00DB0D39" w:rsidRDefault="002B5E8D" w:rsidP="004436F5">
            <w:pPr>
              <w:pStyle w:val="TableTextLeft"/>
            </w:pPr>
            <w:r w:rsidRPr="00DB0D39">
              <w:t xml:space="preserve">Wait times: </w:t>
            </w:r>
            <w:r w:rsidR="00561D17" w:rsidRPr="00DB0D39">
              <w:t>p</w:t>
            </w:r>
            <w:r w:rsidRPr="00DB0D39">
              <w:t>roportion of people waiting longer than they felt acceptable for an appointment with a GP</w:t>
            </w:r>
          </w:p>
        </w:tc>
        <w:tc>
          <w:tcPr>
            <w:tcW w:w="776" w:type="pct"/>
            <w:vMerge/>
            <w:tcBorders>
              <w:top w:val="single" w:sz="4" w:space="0" w:color="EEEEEE" w:themeColor="background2"/>
              <w:bottom w:val="single" w:sz="4" w:space="0" w:color="EEEEEE" w:themeColor="background2"/>
            </w:tcBorders>
          </w:tcPr>
          <w:p w14:paraId="009E8B3F" w14:textId="1E676BEC" w:rsidR="002B5E8D" w:rsidRPr="003348A0" w:rsidRDefault="002B5E8D" w:rsidP="004436F5">
            <w:pPr>
              <w:pStyle w:val="TableTextLeft"/>
            </w:pPr>
          </w:p>
        </w:tc>
        <w:tc>
          <w:tcPr>
            <w:tcW w:w="912" w:type="pct"/>
            <w:tcBorders>
              <w:top w:val="single" w:sz="4" w:space="0" w:color="EEEEEE" w:themeColor="background2"/>
              <w:bottom w:val="single" w:sz="4" w:space="0" w:color="EEEEEE" w:themeColor="background2"/>
            </w:tcBorders>
          </w:tcPr>
          <w:p w14:paraId="1960B9A3" w14:textId="2BB1F1D4" w:rsidR="00994375" w:rsidRPr="004436F5" w:rsidRDefault="00E64757" w:rsidP="004436F5">
            <w:pPr>
              <w:pStyle w:val="TableTextCentered"/>
            </w:pPr>
            <w:r w:rsidRPr="004436F5">
              <w:t>Deteriorated</w:t>
            </w:r>
          </w:p>
          <w:p w14:paraId="5D50B1E6" w14:textId="589657D3" w:rsidR="002B5E8D" w:rsidRPr="004436F5" w:rsidRDefault="00E64757" w:rsidP="004436F5">
            <w:pPr>
              <w:pStyle w:val="TableTextCentered"/>
            </w:pPr>
            <w:r w:rsidRPr="004436F5">
              <w:rPr>
                <w:rFonts w:eastAsia="Century Gothic"/>
              </w:rPr>
              <w:t>201</w:t>
            </w:r>
            <w:r w:rsidR="001B7A9A" w:rsidRPr="004436F5">
              <w:rPr>
                <w:rFonts w:eastAsia="Century Gothic"/>
              </w:rPr>
              <w:t>3</w:t>
            </w:r>
            <w:r w:rsidR="00534908" w:rsidRPr="004436F5">
              <w:rPr>
                <w:rFonts w:eastAsia="Century Gothic"/>
              </w:rPr>
              <w:softHyphen/>
            </w:r>
            <w:r w:rsidR="00345A3B">
              <w:rPr>
                <w:rFonts w:eastAsia="Century Gothic"/>
              </w:rPr>
              <w:t>–</w:t>
            </w:r>
            <w:r w:rsidRPr="004436F5">
              <w:rPr>
                <w:rFonts w:eastAsia="Century Gothic"/>
              </w:rPr>
              <w:t>1</w:t>
            </w:r>
            <w:r w:rsidR="001B7A9A" w:rsidRPr="004436F5">
              <w:rPr>
                <w:rFonts w:eastAsia="Century Gothic"/>
              </w:rPr>
              <w:t>4</w:t>
            </w:r>
            <w:r w:rsidRPr="004436F5">
              <w:rPr>
                <w:rFonts w:eastAsia="Century Gothic"/>
              </w:rPr>
              <w:t xml:space="preserve"> to 2021</w:t>
            </w:r>
            <w:r w:rsidR="00151999" w:rsidRPr="004436F5">
              <w:t>–</w:t>
            </w:r>
            <w:r w:rsidR="00345A3B">
              <w:t>‍</w:t>
            </w:r>
            <w:r w:rsidRPr="004436F5">
              <w:t>22</w:t>
            </w:r>
          </w:p>
        </w:tc>
        <w:tc>
          <w:tcPr>
            <w:tcW w:w="696" w:type="pct"/>
            <w:tcBorders>
              <w:top w:val="single" w:sz="4" w:space="0" w:color="EEEEEE" w:themeColor="background2"/>
              <w:bottom w:val="single" w:sz="4" w:space="0" w:color="EEEEEE" w:themeColor="background2"/>
            </w:tcBorders>
          </w:tcPr>
          <w:p w14:paraId="7BC59F5E" w14:textId="5B2881F8" w:rsidR="002B5E8D" w:rsidRPr="004436F5" w:rsidRDefault="002B5E8D" w:rsidP="004436F5">
            <w:pPr>
              <w:pStyle w:val="TableTextCentered"/>
            </w:pPr>
            <w:r w:rsidRPr="004436F5">
              <w:t>23.4%</w:t>
            </w:r>
          </w:p>
        </w:tc>
      </w:tr>
      <w:tr w:rsidR="00E61879" w:rsidRPr="009764EE" w14:paraId="3E8751B7" w14:textId="77777777" w:rsidTr="004436F5">
        <w:trPr>
          <w:trHeight w:val="270"/>
        </w:trPr>
        <w:tc>
          <w:tcPr>
            <w:tcW w:w="844" w:type="pct"/>
            <w:vMerge/>
          </w:tcPr>
          <w:p w14:paraId="2B94A7F8" w14:textId="77777777" w:rsidR="002B5E8D" w:rsidRPr="008D79E6" w:rsidRDefault="002B5E8D" w:rsidP="00AF3F4D">
            <w:pPr>
              <w:pStyle w:val="TableTextLeft"/>
              <w:rPr>
                <w:rStyle w:val="Strong"/>
                <w:color w:val="082C44"/>
              </w:rPr>
            </w:pPr>
          </w:p>
        </w:tc>
        <w:tc>
          <w:tcPr>
            <w:tcW w:w="1772" w:type="pct"/>
            <w:tcBorders>
              <w:top w:val="single" w:sz="4" w:space="0" w:color="EEEEEE" w:themeColor="background2"/>
              <w:bottom w:val="single" w:sz="4" w:space="0" w:color="216364"/>
            </w:tcBorders>
          </w:tcPr>
          <w:p w14:paraId="754C20F9" w14:textId="64CA44BD" w:rsidR="002B5E8D" w:rsidRPr="00DB0D39" w:rsidRDefault="002B5E8D" w:rsidP="004436F5">
            <w:pPr>
              <w:pStyle w:val="TableTextLeft"/>
            </w:pPr>
            <w:r w:rsidRPr="00DB0D39">
              <w:t xml:space="preserve">Wait times: </w:t>
            </w:r>
            <w:r w:rsidR="00561D17" w:rsidRPr="00DB0D39">
              <w:t>p</w:t>
            </w:r>
            <w:r w:rsidRPr="00DB0D39">
              <w:t>roportion of people waiting longer than they felt acceptable for an appointment with a medical specialist</w:t>
            </w:r>
          </w:p>
        </w:tc>
        <w:tc>
          <w:tcPr>
            <w:tcW w:w="776" w:type="pct"/>
            <w:vMerge/>
            <w:tcBorders>
              <w:top w:val="single" w:sz="4" w:space="0" w:color="EEEEEE" w:themeColor="background2"/>
              <w:bottom w:val="single" w:sz="4" w:space="0" w:color="216364"/>
            </w:tcBorders>
          </w:tcPr>
          <w:p w14:paraId="0499E1C1" w14:textId="7D62EF80" w:rsidR="002B5E8D" w:rsidRPr="003348A0" w:rsidRDefault="002B5E8D" w:rsidP="004436F5">
            <w:pPr>
              <w:pStyle w:val="TableTextLeft"/>
            </w:pPr>
          </w:p>
        </w:tc>
        <w:tc>
          <w:tcPr>
            <w:tcW w:w="912" w:type="pct"/>
            <w:tcBorders>
              <w:top w:val="single" w:sz="4" w:space="0" w:color="EEEEEE" w:themeColor="background2"/>
              <w:bottom w:val="single" w:sz="4" w:space="0" w:color="216364"/>
            </w:tcBorders>
          </w:tcPr>
          <w:p w14:paraId="574914B4" w14:textId="07419731" w:rsidR="00994375" w:rsidRPr="004436F5" w:rsidRDefault="00E64757" w:rsidP="004436F5">
            <w:pPr>
              <w:pStyle w:val="TableTextCentered"/>
            </w:pPr>
            <w:r w:rsidRPr="004436F5">
              <w:t xml:space="preserve">Deteriorated </w:t>
            </w:r>
          </w:p>
          <w:p w14:paraId="25F06A7F" w14:textId="113A68B3" w:rsidR="002B5E8D" w:rsidRPr="004436F5" w:rsidRDefault="00E64757" w:rsidP="004436F5">
            <w:pPr>
              <w:pStyle w:val="TableTextCentered"/>
              <w:rPr>
                <w:rFonts w:eastAsia="Century Gothic"/>
              </w:rPr>
            </w:pPr>
            <w:r w:rsidRPr="004436F5">
              <w:rPr>
                <w:rFonts w:eastAsia="Century Gothic"/>
              </w:rPr>
              <w:t>201</w:t>
            </w:r>
            <w:r w:rsidR="001B7A9A" w:rsidRPr="004436F5">
              <w:rPr>
                <w:rFonts w:eastAsia="Century Gothic"/>
              </w:rPr>
              <w:t>3</w:t>
            </w:r>
            <w:r w:rsidR="00151999" w:rsidRPr="004436F5">
              <w:t>–</w:t>
            </w:r>
            <w:r w:rsidRPr="004436F5">
              <w:rPr>
                <w:rFonts w:eastAsia="Century Gothic"/>
              </w:rPr>
              <w:t>1</w:t>
            </w:r>
            <w:r w:rsidR="001B7A9A" w:rsidRPr="004436F5">
              <w:rPr>
                <w:rFonts w:eastAsia="Century Gothic"/>
              </w:rPr>
              <w:t>4</w:t>
            </w:r>
            <w:r w:rsidRPr="004436F5">
              <w:rPr>
                <w:rFonts w:eastAsia="Century Gothic"/>
              </w:rPr>
              <w:t xml:space="preserve"> to 2021</w:t>
            </w:r>
            <w:r w:rsidR="00345A3B">
              <w:rPr>
                <w:rFonts w:eastAsia="Century Gothic"/>
              </w:rPr>
              <w:t>–</w:t>
            </w:r>
            <w:r w:rsidR="00345A3B">
              <w:t>‍</w:t>
            </w:r>
            <w:r w:rsidRPr="004436F5">
              <w:rPr>
                <w:rFonts w:eastAsia="Century Gothic"/>
              </w:rPr>
              <w:t>22</w:t>
            </w:r>
          </w:p>
        </w:tc>
        <w:tc>
          <w:tcPr>
            <w:tcW w:w="696" w:type="pct"/>
            <w:tcBorders>
              <w:top w:val="single" w:sz="4" w:space="0" w:color="EEEEEE" w:themeColor="background2"/>
              <w:bottom w:val="single" w:sz="4" w:space="0" w:color="216364"/>
            </w:tcBorders>
          </w:tcPr>
          <w:p w14:paraId="3D74A268" w14:textId="79F9A94F" w:rsidR="002B5E8D" w:rsidRPr="004436F5" w:rsidRDefault="002B5E8D" w:rsidP="004436F5">
            <w:pPr>
              <w:pStyle w:val="TableTextCentered"/>
            </w:pPr>
            <w:r w:rsidRPr="004436F5">
              <w:t>26.7%</w:t>
            </w:r>
          </w:p>
        </w:tc>
      </w:tr>
      <w:tr w:rsidR="00E61879" w:rsidRPr="009764EE" w14:paraId="2BDE3C25" w14:textId="77777777" w:rsidTr="004436F5">
        <w:trPr>
          <w:trHeight w:val="270"/>
        </w:trPr>
        <w:tc>
          <w:tcPr>
            <w:tcW w:w="844" w:type="pct"/>
            <w:vMerge w:val="restart"/>
          </w:tcPr>
          <w:p w14:paraId="68569C77" w14:textId="7D769729" w:rsidR="00E63B0C" w:rsidRPr="008D79E6" w:rsidRDefault="00E63B0C" w:rsidP="00AF3F4D">
            <w:pPr>
              <w:pStyle w:val="TableTextLeft"/>
              <w:rPr>
                <w:rStyle w:val="Strong"/>
                <w:color w:val="082C44"/>
              </w:rPr>
            </w:pPr>
            <w:r w:rsidRPr="008D79E6">
              <w:rPr>
                <w:rStyle w:val="Strong"/>
                <w:color w:val="082C44"/>
              </w:rPr>
              <w:t>Access to care and support services</w:t>
            </w:r>
            <w:r w:rsidR="00FC515E" w:rsidRPr="008D79E6">
              <w:rPr>
                <w:rStyle w:val="FootnoteReference"/>
                <w:b/>
                <w:bCs/>
                <w:color w:val="082C44"/>
              </w:rPr>
              <w:t>(b)</w:t>
            </w:r>
            <w:r w:rsidR="00FC515E" w:rsidRPr="008D79E6">
              <w:rPr>
                <w:rStyle w:val="Strong"/>
                <w:color w:val="082C44"/>
              </w:rPr>
              <w:t xml:space="preserve"> </w:t>
            </w:r>
          </w:p>
        </w:tc>
        <w:tc>
          <w:tcPr>
            <w:tcW w:w="1772" w:type="pct"/>
            <w:tcBorders>
              <w:top w:val="single" w:sz="4" w:space="0" w:color="216364"/>
              <w:bottom w:val="single" w:sz="4" w:space="0" w:color="EEEEEE" w:themeColor="background2"/>
            </w:tcBorders>
          </w:tcPr>
          <w:p w14:paraId="5DBD69E7" w14:textId="34A1EC0F" w:rsidR="00E63B0C" w:rsidRPr="00DB0D39" w:rsidRDefault="00B81BBB" w:rsidP="004436F5">
            <w:pPr>
              <w:pStyle w:val="TableTextLeft"/>
            </w:pPr>
            <w:r w:rsidRPr="00DB0D39">
              <w:t xml:space="preserve">Unmet needs: </w:t>
            </w:r>
            <w:r w:rsidR="00561D17" w:rsidRPr="00DB0D39">
              <w:t>p</w:t>
            </w:r>
            <w:r w:rsidR="00E63B0C" w:rsidRPr="00DB0D39">
              <w:t xml:space="preserve">roportion of people </w:t>
            </w:r>
            <w:r w:rsidR="008F160C" w:rsidRPr="00DB0D39">
              <w:t>(aged 0</w:t>
            </w:r>
            <w:r w:rsidR="00534908" w:rsidRPr="00DB0D39">
              <w:softHyphen/>
            </w:r>
            <w:r w:rsidR="00151999">
              <w:t>–</w:t>
            </w:r>
            <w:r w:rsidR="008F160C" w:rsidRPr="00DB0D39">
              <w:t>64</w:t>
            </w:r>
            <w:r w:rsidR="00C239AD">
              <w:t> year</w:t>
            </w:r>
            <w:r w:rsidR="008F160C" w:rsidRPr="00DB0D39">
              <w:t>s)</w:t>
            </w:r>
            <w:r w:rsidR="00E63B0C" w:rsidRPr="00DB0D39">
              <w:t xml:space="preserve"> </w:t>
            </w:r>
            <w:r w:rsidR="00DD260E" w:rsidRPr="00DB0D39">
              <w:t xml:space="preserve">living in households </w:t>
            </w:r>
            <w:r w:rsidR="002B2414" w:rsidRPr="00DB0D39">
              <w:t xml:space="preserve">who </w:t>
            </w:r>
            <w:r w:rsidR="00E63B0C" w:rsidRPr="00DB0D39">
              <w:t>receiv</w:t>
            </w:r>
            <w:r w:rsidR="002B2414" w:rsidRPr="00DB0D39">
              <w:t>e</w:t>
            </w:r>
            <w:r w:rsidR="00E63B0C" w:rsidRPr="00DB0D39">
              <w:t xml:space="preserve"> disability support </w:t>
            </w:r>
            <w:r w:rsidR="002B2414" w:rsidRPr="00DB0D39">
              <w:t xml:space="preserve">who </w:t>
            </w:r>
            <w:r w:rsidR="00E63B0C" w:rsidRPr="00DB0D39">
              <w:t>felt their needs were not being met</w:t>
            </w:r>
            <w:r w:rsidR="007752B8" w:rsidRPr="00DB0D39">
              <w:t xml:space="preserve"> </w:t>
            </w:r>
          </w:p>
        </w:tc>
        <w:tc>
          <w:tcPr>
            <w:tcW w:w="776" w:type="pct"/>
            <w:vMerge w:val="restart"/>
            <w:tcBorders>
              <w:top w:val="single" w:sz="4" w:space="0" w:color="216364"/>
              <w:bottom w:val="single" w:sz="4" w:space="0" w:color="EEEEEE" w:themeColor="background2"/>
            </w:tcBorders>
          </w:tcPr>
          <w:p w14:paraId="4694B99B" w14:textId="5BAB35ED" w:rsidR="00E63B0C" w:rsidRPr="003348A0" w:rsidRDefault="00412D32" w:rsidP="004436F5">
            <w:pPr>
              <w:pStyle w:val="TableTextLeft"/>
            </w:pPr>
            <w:r w:rsidRPr="003348A0">
              <w:t>Access</w:t>
            </w:r>
            <w:r w:rsidR="00855B35" w:rsidRPr="003348A0">
              <w:t xml:space="preserve"> to</w:t>
            </w:r>
            <w:r w:rsidRPr="003348A0">
              <w:t xml:space="preserve"> </w:t>
            </w:r>
            <w:r w:rsidR="009A4D35" w:rsidRPr="003348A0">
              <w:t>quality</w:t>
            </w:r>
            <w:r w:rsidR="00855B35" w:rsidRPr="003348A0">
              <w:t xml:space="preserve"> </w:t>
            </w:r>
            <w:r w:rsidRPr="003348A0">
              <w:t xml:space="preserve">care and support services is fundamental </w:t>
            </w:r>
            <w:r w:rsidR="00855B35" w:rsidRPr="003348A0">
              <w:t xml:space="preserve">for </w:t>
            </w:r>
            <w:r w:rsidRPr="003348A0">
              <w:t>the quality of life for the recipients of these services</w:t>
            </w:r>
          </w:p>
        </w:tc>
        <w:tc>
          <w:tcPr>
            <w:tcW w:w="912" w:type="pct"/>
            <w:tcBorders>
              <w:top w:val="single" w:sz="4" w:space="0" w:color="216364"/>
              <w:bottom w:val="single" w:sz="4" w:space="0" w:color="EEEEEE" w:themeColor="background2"/>
            </w:tcBorders>
          </w:tcPr>
          <w:p w14:paraId="4C9086BF" w14:textId="2DAF50BF" w:rsidR="00994375" w:rsidRPr="000F1430" w:rsidRDefault="00C07B0C" w:rsidP="004436F5">
            <w:pPr>
              <w:pStyle w:val="TableTextCentered"/>
              <w:rPr>
                <w:rFonts w:eastAsia="Century Gothic"/>
              </w:rPr>
            </w:pPr>
            <w:r w:rsidRPr="009764EE">
              <w:t>Deteriorated</w:t>
            </w:r>
          </w:p>
          <w:p w14:paraId="52A13E5B" w14:textId="2268F1FB" w:rsidR="00E63B0C" w:rsidRPr="009764EE" w:rsidRDefault="006B6BEA" w:rsidP="004436F5">
            <w:pPr>
              <w:pStyle w:val="TableTextCentered"/>
            </w:pPr>
            <w:r w:rsidRPr="009764EE">
              <w:rPr>
                <w:rFonts w:eastAsia="Century Gothic"/>
              </w:rPr>
              <w:t>2009</w:t>
            </w:r>
            <w:r w:rsidR="005C4903" w:rsidRPr="009764EE">
              <w:rPr>
                <w:rFonts w:eastAsia="Century Gothic"/>
              </w:rPr>
              <w:t xml:space="preserve"> to </w:t>
            </w:r>
            <w:r w:rsidR="00E73311" w:rsidRPr="009764EE">
              <w:rPr>
                <w:rFonts w:eastAsia="Century Gothic"/>
              </w:rPr>
              <w:t>2018</w:t>
            </w:r>
          </w:p>
        </w:tc>
        <w:tc>
          <w:tcPr>
            <w:tcW w:w="696" w:type="pct"/>
            <w:tcBorders>
              <w:top w:val="single" w:sz="4" w:space="0" w:color="216364"/>
              <w:bottom w:val="single" w:sz="4" w:space="0" w:color="EEEEEE" w:themeColor="background2"/>
            </w:tcBorders>
          </w:tcPr>
          <w:p w14:paraId="12C728E3" w14:textId="741F391B" w:rsidR="00E50844" w:rsidRPr="009764EE" w:rsidRDefault="005C4903" w:rsidP="004436F5">
            <w:pPr>
              <w:pStyle w:val="TableTextCentered"/>
            </w:pPr>
            <w:r w:rsidRPr="009764EE">
              <w:t>37.5%</w:t>
            </w:r>
          </w:p>
          <w:p w14:paraId="13367975" w14:textId="75690C19" w:rsidR="00E63B0C" w:rsidRPr="009764EE" w:rsidRDefault="005C4903" w:rsidP="004436F5">
            <w:pPr>
              <w:pStyle w:val="TableTextCentered"/>
            </w:pPr>
            <w:r w:rsidRPr="009764EE">
              <w:t>Disability</w:t>
            </w:r>
          </w:p>
        </w:tc>
      </w:tr>
      <w:tr w:rsidR="006B6BEA" w:rsidRPr="009764EE" w14:paraId="27C185AE" w14:textId="77777777" w:rsidTr="004436F5">
        <w:trPr>
          <w:trHeight w:val="270"/>
        </w:trPr>
        <w:tc>
          <w:tcPr>
            <w:tcW w:w="844" w:type="pct"/>
            <w:vMerge/>
          </w:tcPr>
          <w:p w14:paraId="49C810A2" w14:textId="77777777" w:rsidR="006B6BEA" w:rsidRPr="00DB0D39" w:rsidRDefault="006B6BEA" w:rsidP="00B8112E"/>
        </w:tc>
        <w:tc>
          <w:tcPr>
            <w:tcW w:w="1772" w:type="pct"/>
            <w:tcBorders>
              <w:top w:val="single" w:sz="4" w:space="0" w:color="EEEEEE" w:themeColor="background2"/>
              <w:bottom w:val="single" w:sz="4" w:space="0" w:color="EEEEEE" w:themeColor="background2"/>
            </w:tcBorders>
          </w:tcPr>
          <w:p w14:paraId="1B33006E" w14:textId="32642158" w:rsidR="006B6BEA" w:rsidRPr="00DB0D39" w:rsidRDefault="006B6BEA" w:rsidP="004436F5">
            <w:pPr>
              <w:pStyle w:val="TableTextLeft"/>
            </w:pPr>
            <w:r w:rsidRPr="00DB0D39">
              <w:t xml:space="preserve">Unmet needs: </w:t>
            </w:r>
            <w:r w:rsidR="00561D17" w:rsidRPr="00DB0D39">
              <w:t>p</w:t>
            </w:r>
            <w:r w:rsidRPr="00DB0D39">
              <w:t xml:space="preserve">roportion of people </w:t>
            </w:r>
            <w:r w:rsidR="00755137" w:rsidRPr="00DB0D39">
              <w:t xml:space="preserve">(aged </w:t>
            </w:r>
            <w:r w:rsidR="00BD27A7" w:rsidRPr="00DB0D39">
              <w:t>65</w:t>
            </w:r>
            <w:r w:rsidR="00C239AD">
              <w:t> year</w:t>
            </w:r>
            <w:r w:rsidR="00BD27A7" w:rsidRPr="00DB0D39">
              <w:t xml:space="preserve">s and over) </w:t>
            </w:r>
            <w:r w:rsidRPr="00DB0D39">
              <w:t>living in households who receive aged care services and who felt their needs were not being met</w:t>
            </w:r>
          </w:p>
        </w:tc>
        <w:tc>
          <w:tcPr>
            <w:tcW w:w="776" w:type="pct"/>
            <w:vMerge/>
            <w:tcBorders>
              <w:top w:val="single" w:sz="4" w:space="0" w:color="EEEEEE" w:themeColor="background2"/>
              <w:bottom w:val="single" w:sz="4" w:space="0" w:color="EEEEEE" w:themeColor="background2"/>
            </w:tcBorders>
          </w:tcPr>
          <w:p w14:paraId="0EA42CD1" w14:textId="77777777" w:rsidR="006B6BEA" w:rsidRPr="009764EE" w:rsidRDefault="006B6BEA" w:rsidP="004436F5">
            <w:pPr>
              <w:pStyle w:val="TableTextLeft"/>
              <w:rPr>
                <w:rFonts w:ascii="Calibri" w:hAnsi="Calibri" w:cs="Calibri"/>
              </w:rPr>
            </w:pPr>
          </w:p>
        </w:tc>
        <w:tc>
          <w:tcPr>
            <w:tcW w:w="912" w:type="pct"/>
            <w:tcBorders>
              <w:top w:val="single" w:sz="4" w:space="0" w:color="EEEEEE" w:themeColor="background2"/>
              <w:bottom w:val="single" w:sz="4" w:space="0" w:color="EEEEEE" w:themeColor="background2"/>
            </w:tcBorders>
          </w:tcPr>
          <w:p w14:paraId="6EFBE5C7" w14:textId="61B4E1A6" w:rsidR="00994375" w:rsidRPr="000F1430" w:rsidRDefault="006B6BEA" w:rsidP="004436F5">
            <w:pPr>
              <w:pStyle w:val="TableTextCentered"/>
              <w:rPr>
                <w:rFonts w:eastAsia="Century Gothic"/>
              </w:rPr>
            </w:pPr>
            <w:r w:rsidRPr="009764EE">
              <w:t>Deteriorated</w:t>
            </w:r>
          </w:p>
          <w:p w14:paraId="4B5811E3" w14:textId="6746E3F9" w:rsidR="006B6BEA" w:rsidRPr="009764EE" w:rsidRDefault="006B6BEA" w:rsidP="004436F5">
            <w:pPr>
              <w:pStyle w:val="TableTextCentered"/>
            </w:pPr>
            <w:r w:rsidRPr="009764EE">
              <w:rPr>
                <w:rFonts w:eastAsia="Century Gothic"/>
              </w:rPr>
              <w:t>2015 to 2018</w:t>
            </w:r>
          </w:p>
        </w:tc>
        <w:tc>
          <w:tcPr>
            <w:tcW w:w="696" w:type="pct"/>
            <w:tcBorders>
              <w:top w:val="single" w:sz="4" w:space="0" w:color="EEEEEE" w:themeColor="background2"/>
              <w:bottom w:val="single" w:sz="4" w:space="0" w:color="EEEEEE" w:themeColor="background2"/>
            </w:tcBorders>
          </w:tcPr>
          <w:p w14:paraId="27A85960" w14:textId="77777777" w:rsidR="006B6BEA" w:rsidRPr="009764EE" w:rsidRDefault="006B6BEA" w:rsidP="004436F5">
            <w:pPr>
              <w:pStyle w:val="TableTextCentered"/>
            </w:pPr>
            <w:r w:rsidRPr="009764EE">
              <w:t>34.0%</w:t>
            </w:r>
          </w:p>
          <w:p w14:paraId="0CB301A4" w14:textId="007988E0" w:rsidR="006B6BEA" w:rsidRPr="009764EE" w:rsidRDefault="006B6BEA" w:rsidP="004436F5">
            <w:pPr>
              <w:pStyle w:val="TableTextCentered"/>
            </w:pPr>
            <w:r w:rsidRPr="009764EE">
              <w:t>Aged care</w:t>
            </w:r>
          </w:p>
        </w:tc>
      </w:tr>
      <w:tr w:rsidR="00E61879" w:rsidRPr="009764EE" w14:paraId="041301AB" w14:textId="77777777" w:rsidTr="004436F5">
        <w:trPr>
          <w:trHeight w:val="270"/>
        </w:trPr>
        <w:tc>
          <w:tcPr>
            <w:tcW w:w="844" w:type="pct"/>
            <w:vMerge/>
          </w:tcPr>
          <w:p w14:paraId="07B62B97" w14:textId="77777777" w:rsidR="00E63B0C" w:rsidRPr="00DB0D39" w:rsidRDefault="00E63B0C" w:rsidP="00B8112E"/>
        </w:tc>
        <w:tc>
          <w:tcPr>
            <w:tcW w:w="1772" w:type="pct"/>
            <w:tcBorders>
              <w:top w:val="single" w:sz="4" w:space="0" w:color="EEEEEE" w:themeColor="background2"/>
              <w:bottom w:val="single" w:sz="4" w:space="0" w:color="EEEEEE" w:themeColor="background2"/>
            </w:tcBorders>
          </w:tcPr>
          <w:p w14:paraId="72B2F2A7" w14:textId="2BF98C69" w:rsidR="00E63B0C" w:rsidRPr="00DB0D39" w:rsidRDefault="00785AE0" w:rsidP="004436F5">
            <w:pPr>
              <w:pStyle w:val="TableTextLeft"/>
            </w:pPr>
            <w:r w:rsidRPr="00DB0D39">
              <w:t>Quality</w:t>
            </w:r>
            <w:r w:rsidR="00A4094D" w:rsidRPr="00DB0D39">
              <w:t>: proportion</w:t>
            </w:r>
            <w:r w:rsidR="003247AE" w:rsidRPr="00DB0D39">
              <w:t xml:space="preserve"> of people with disability (aged 15</w:t>
            </w:r>
            <w:r w:rsidR="00534908" w:rsidRPr="00DB0D39">
              <w:softHyphen/>
            </w:r>
            <w:r w:rsidR="00151999">
              <w:t>–</w:t>
            </w:r>
            <w:r w:rsidR="003247AE" w:rsidRPr="00DB0D39">
              <w:t>64</w:t>
            </w:r>
            <w:r w:rsidR="00C239AD">
              <w:t> year</w:t>
            </w:r>
            <w:r w:rsidR="003247AE" w:rsidRPr="00DB0D39">
              <w:t>s) who were satisfied with the quality of assistance</w:t>
            </w:r>
            <w:r w:rsidR="003247AE" w:rsidRPr="00DB0D39" w:rsidDel="003247AE">
              <w:t xml:space="preserve"> </w:t>
            </w:r>
          </w:p>
        </w:tc>
        <w:tc>
          <w:tcPr>
            <w:tcW w:w="776" w:type="pct"/>
            <w:vMerge/>
            <w:tcBorders>
              <w:top w:val="single" w:sz="4" w:space="0" w:color="EEEEEE" w:themeColor="background2"/>
              <w:bottom w:val="single" w:sz="4" w:space="0" w:color="EEEEEE" w:themeColor="background2"/>
            </w:tcBorders>
          </w:tcPr>
          <w:p w14:paraId="5613F6B7" w14:textId="77777777" w:rsidR="00E63B0C" w:rsidRPr="009764EE" w:rsidRDefault="00E63B0C" w:rsidP="004436F5">
            <w:pPr>
              <w:pStyle w:val="TableTextLeft"/>
              <w:rPr>
                <w:rFonts w:ascii="Calibri" w:hAnsi="Calibri" w:cs="Calibri"/>
              </w:rPr>
            </w:pPr>
          </w:p>
        </w:tc>
        <w:tc>
          <w:tcPr>
            <w:tcW w:w="912" w:type="pct"/>
            <w:tcBorders>
              <w:top w:val="single" w:sz="4" w:space="0" w:color="EEEEEE" w:themeColor="background2"/>
              <w:bottom w:val="single" w:sz="4" w:space="0" w:color="EEEEEE" w:themeColor="background2"/>
            </w:tcBorders>
          </w:tcPr>
          <w:p w14:paraId="4A841E8A" w14:textId="5406ABCD" w:rsidR="00994375" w:rsidRPr="000F1430" w:rsidRDefault="000F1430" w:rsidP="004436F5">
            <w:pPr>
              <w:pStyle w:val="TableTextCentered"/>
              <w:rPr>
                <w:rFonts w:eastAsia="Century Gothic"/>
              </w:rPr>
            </w:pPr>
            <w:r>
              <w:t>Deteriorated</w:t>
            </w:r>
          </w:p>
          <w:p w14:paraId="56ECA2AC" w14:textId="6C2364DE" w:rsidR="00E63B0C" w:rsidRPr="009764EE" w:rsidRDefault="00E41B77" w:rsidP="004436F5">
            <w:pPr>
              <w:pStyle w:val="TableTextCentered"/>
            </w:pPr>
            <w:r w:rsidRPr="009764EE">
              <w:rPr>
                <w:rFonts w:eastAsia="Century Gothic"/>
              </w:rPr>
              <w:t>201</w:t>
            </w:r>
            <w:r w:rsidR="00081B7A" w:rsidRPr="009764EE">
              <w:rPr>
                <w:rFonts w:eastAsia="Century Gothic"/>
              </w:rPr>
              <w:t>2</w:t>
            </w:r>
            <w:r w:rsidR="005C4903" w:rsidRPr="009764EE">
              <w:rPr>
                <w:rFonts w:eastAsia="Century Gothic"/>
              </w:rPr>
              <w:t xml:space="preserve"> to </w:t>
            </w:r>
            <w:r w:rsidRPr="009764EE">
              <w:rPr>
                <w:rFonts w:eastAsia="Century Gothic"/>
              </w:rPr>
              <w:t>2018</w:t>
            </w:r>
          </w:p>
        </w:tc>
        <w:tc>
          <w:tcPr>
            <w:tcW w:w="696" w:type="pct"/>
            <w:tcBorders>
              <w:top w:val="single" w:sz="4" w:space="0" w:color="EEEEEE" w:themeColor="background2"/>
              <w:bottom w:val="single" w:sz="4" w:space="0" w:color="EEEEEE" w:themeColor="background2"/>
            </w:tcBorders>
          </w:tcPr>
          <w:p w14:paraId="6A0868ED" w14:textId="76F22563" w:rsidR="00E50844" w:rsidRPr="009764EE" w:rsidRDefault="005C4903" w:rsidP="004436F5">
            <w:pPr>
              <w:pStyle w:val="TableTextCentered"/>
            </w:pPr>
            <w:r w:rsidRPr="009764EE">
              <w:t>76.6%</w:t>
            </w:r>
          </w:p>
          <w:p w14:paraId="4F29724E" w14:textId="7FBBE998" w:rsidR="00E63B0C" w:rsidRPr="009764EE" w:rsidRDefault="005C4903" w:rsidP="004436F5">
            <w:pPr>
              <w:pStyle w:val="TableTextCentered"/>
            </w:pPr>
            <w:r w:rsidRPr="009764EE">
              <w:t>Disability</w:t>
            </w:r>
          </w:p>
        </w:tc>
      </w:tr>
      <w:tr w:rsidR="006B6BEA" w:rsidRPr="009764EE" w14:paraId="4148A619" w14:textId="77777777" w:rsidTr="004436F5">
        <w:trPr>
          <w:trHeight w:val="270"/>
        </w:trPr>
        <w:tc>
          <w:tcPr>
            <w:tcW w:w="844" w:type="pct"/>
            <w:vMerge/>
          </w:tcPr>
          <w:p w14:paraId="20BBA28C" w14:textId="77777777" w:rsidR="006B6BEA" w:rsidRPr="00DB0D39" w:rsidRDefault="006B6BEA" w:rsidP="00B8112E"/>
        </w:tc>
        <w:tc>
          <w:tcPr>
            <w:tcW w:w="1772" w:type="pct"/>
            <w:tcBorders>
              <w:top w:val="single" w:sz="4" w:space="0" w:color="EEEEEE" w:themeColor="background2"/>
            </w:tcBorders>
          </w:tcPr>
          <w:p w14:paraId="59579419" w14:textId="36A5B5AA" w:rsidR="006B6BEA" w:rsidRPr="00DB0D39" w:rsidRDefault="006B6BEA" w:rsidP="004436F5">
            <w:pPr>
              <w:pStyle w:val="TableTextLeft"/>
            </w:pPr>
            <w:r w:rsidRPr="00DB0D39">
              <w:t xml:space="preserve">Quality: </w:t>
            </w:r>
            <w:r w:rsidR="00A4094D" w:rsidRPr="00DB0D39">
              <w:t>proportion</w:t>
            </w:r>
            <w:r w:rsidRPr="00DB0D39">
              <w:t xml:space="preserve"> of people (aged 65</w:t>
            </w:r>
            <w:r w:rsidR="00C239AD">
              <w:t> year</w:t>
            </w:r>
            <w:r w:rsidRPr="00DB0D39">
              <w:t xml:space="preserve">s or over) living in households, who were satisfied with the quality of assistance </w:t>
            </w:r>
          </w:p>
        </w:tc>
        <w:tc>
          <w:tcPr>
            <w:tcW w:w="776" w:type="pct"/>
            <w:vMerge/>
            <w:tcBorders>
              <w:top w:val="single" w:sz="4" w:space="0" w:color="EEEEEE" w:themeColor="background2"/>
            </w:tcBorders>
          </w:tcPr>
          <w:p w14:paraId="0FD9689D" w14:textId="77777777" w:rsidR="006B6BEA" w:rsidRPr="009764EE" w:rsidRDefault="006B6BEA" w:rsidP="004436F5">
            <w:pPr>
              <w:pStyle w:val="TableTextLeft"/>
              <w:rPr>
                <w:rFonts w:ascii="Calibri" w:hAnsi="Calibri" w:cs="Calibri"/>
              </w:rPr>
            </w:pPr>
          </w:p>
        </w:tc>
        <w:tc>
          <w:tcPr>
            <w:tcW w:w="912" w:type="pct"/>
            <w:tcBorders>
              <w:top w:val="single" w:sz="4" w:space="0" w:color="EEEEEE" w:themeColor="background2"/>
            </w:tcBorders>
          </w:tcPr>
          <w:p w14:paraId="5C2C7392" w14:textId="43B8A4C2" w:rsidR="00994375" w:rsidRPr="000F1430" w:rsidRDefault="006B6BEA" w:rsidP="004436F5">
            <w:pPr>
              <w:pStyle w:val="TableTextCentered"/>
              <w:rPr>
                <w:rFonts w:eastAsia="Century Gothic"/>
              </w:rPr>
            </w:pPr>
            <w:r w:rsidRPr="009764EE">
              <w:t>Deteriorated</w:t>
            </w:r>
          </w:p>
          <w:p w14:paraId="228F073C" w14:textId="404FDE52" w:rsidR="006B6BEA" w:rsidRPr="009764EE" w:rsidRDefault="006B6BEA" w:rsidP="004436F5">
            <w:pPr>
              <w:pStyle w:val="TableTextCentered"/>
            </w:pPr>
            <w:r w:rsidRPr="009764EE">
              <w:rPr>
                <w:rFonts w:eastAsia="Century Gothic"/>
              </w:rPr>
              <w:t>2012 to 2018</w:t>
            </w:r>
          </w:p>
        </w:tc>
        <w:tc>
          <w:tcPr>
            <w:tcW w:w="696" w:type="pct"/>
            <w:tcBorders>
              <w:top w:val="single" w:sz="4" w:space="0" w:color="EEEEEE" w:themeColor="background2"/>
            </w:tcBorders>
          </w:tcPr>
          <w:p w14:paraId="160B3FD4" w14:textId="77777777" w:rsidR="006B6BEA" w:rsidRPr="009764EE" w:rsidRDefault="006B6BEA" w:rsidP="004436F5">
            <w:pPr>
              <w:pStyle w:val="TableTextCentered"/>
            </w:pPr>
            <w:r w:rsidRPr="009764EE">
              <w:t>84.4%</w:t>
            </w:r>
          </w:p>
          <w:p w14:paraId="6415451D" w14:textId="489C5B31" w:rsidR="006B6BEA" w:rsidRPr="009764EE" w:rsidRDefault="006B6BEA" w:rsidP="004436F5">
            <w:pPr>
              <w:pStyle w:val="TableTextCentered"/>
            </w:pPr>
            <w:r w:rsidRPr="009764EE">
              <w:t>Aged care</w:t>
            </w:r>
          </w:p>
        </w:tc>
      </w:tr>
    </w:tbl>
    <w:p w14:paraId="58561EC4" w14:textId="77777777" w:rsidR="00336AB9" w:rsidRPr="00345A3B" w:rsidRDefault="008079BD" w:rsidP="00345A3B">
      <w:pPr>
        <w:pStyle w:val="ChartorTableNote"/>
      </w:pPr>
      <w:r w:rsidRPr="00345A3B">
        <w:t>Source:</w:t>
      </w:r>
      <w:r w:rsidR="00AF3F4D" w:rsidRPr="00345A3B">
        <w:tab/>
      </w:r>
      <w:r w:rsidRPr="00345A3B">
        <w:t xml:space="preserve">(a) ABS </w:t>
      </w:r>
      <w:r w:rsidR="00772FAF" w:rsidRPr="00345A3B">
        <w:t>Patient Experience Survey</w:t>
      </w:r>
      <w:r w:rsidRPr="00345A3B">
        <w:t xml:space="preserve"> </w:t>
      </w:r>
      <w:r w:rsidR="00B26A2F" w:rsidRPr="00345A3B">
        <w:br/>
      </w:r>
      <w:r w:rsidRPr="00345A3B">
        <w:t>(b)</w:t>
      </w:r>
      <w:r w:rsidR="00731265" w:rsidRPr="00345A3B">
        <w:t xml:space="preserve"> </w:t>
      </w:r>
      <w:r w:rsidR="009E7943" w:rsidRPr="00345A3B">
        <w:t>Productivity Commission</w:t>
      </w:r>
      <w:r w:rsidR="00DD4149" w:rsidRPr="00345A3B">
        <w:t xml:space="preserve"> analysis of </w:t>
      </w:r>
      <w:r w:rsidR="008F462C" w:rsidRPr="00345A3B">
        <w:t xml:space="preserve">ABS </w:t>
      </w:r>
      <w:r w:rsidR="006B4A1F" w:rsidRPr="00345A3B">
        <w:t>Survey of Disability, Ageing and Carers</w:t>
      </w:r>
      <w:r w:rsidR="009E7943" w:rsidRPr="00345A3B">
        <w:t xml:space="preserve">, </w:t>
      </w:r>
      <w:r w:rsidR="00207E0A" w:rsidRPr="00345A3B">
        <w:t xml:space="preserve">Report on </w:t>
      </w:r>
      <w:r w:rsidR="00912D65" w:rsidRPr="00345A3B">
        <w:t xml:space="preserve">Government Services </w:t>
      </w:r>
      <w:r w:rsidR="00731265" w:rsidRPr="00345A3B">
        <w:t>(C</w:t>
      </w:r>
      <w:r w:rsidR="007469A4" w:rsidRPr="00345A3B">
        <w:t>hapter</w:t>
      </w:r>
      <w:r w:rsidR="00731265" w:rsidRPr="00345A3B">
        <w:t>s</w:t>
      </w:r>
      <w:r w:rsidR="007469A4" w:rsidRPr="00345A3B">
        <w:t xml:space="preserve"> 14, 15)</w:t>
      </w:r>
    </w:p>
    <w:p w14:paraId="016B8699" w14:textId="01EC1BC9" w:rsidR="008079BD" w:rsidRPr="00345A3B" w:rsidRDefault="00834526" w:rsidP="00345A3B">
      <w:pPr>
        <w:pStyle w:val="ChartorTableNote"/>
      </w:pPr>
      <w:r w:rsidRPr="00345A3B">
        <w:t>N</w:t>
      </w:r>
      <w:r w:rsidR="006D5377" w:rsidRPr="00345A3B">
        <w:t>ote:</w:t>
      </w:r>
      <w:r w:rsidR="001518FD" w:rsidRPr="00345A3B">
        <w:t xml:space="preserve"> </w:t>
      </w:r>
      <w:r w:rsidR="00AF3F4D" w:rsidRPr="00345A3B">
        <w:tab/>
      </w:r>
      <w:r w:rsidR="00F0003B" w:rsidRPr="00345A3B">
        <w:t>(i)</w:t>
      </w:r>
      <w:r w:rsidR="006D2209" w:rsidRPr="00345A3B">
        <w:t xml:space="preserve"> </w:t>
      </w:r>
      <w:r w:rsidR="006D5377" w:rsidRPr="00345A3B">
        <w:t xml:space="preserve">Unless specified the latest value is the last data point in the </w:t>
      </w:r>
      <w:r w:rsidR="00F0003B" w:rsidRPr="00345A3B">
        <w:t>series</w:t>
      </w:r>
    </w:p>
    <w:p w14:paraId="511B45DF" w14:textId="77777777" w:rsidR="005A56C3" w:rsidRDefault="005A56C3" w:rsidP="00B8112E"/>
    <w:p w14:paraId="76F34812" w14:textId="21F50DB3" w:rsidR="00517731" w:rsidRPr="009764EE" w:rsidRDefault="00517731" w:rsidP="00B8112E">
      <w:pPr>
        <w:sectPr w:rsidR="00517731" w:rsidRPr="009764EE" w:rsidSect="00DA302B">
          <w:endnotePr>
            <w:numFmt w:val="decimal"/>
          </w:endnotePr>
          <w:type w:val="continuous"/>
          <w:pgSz w:w="11906" w:h="16838" w:code="9"/>
          <w:pgMar w:top="1843" w:right="1418" w:bottom="1418" w:left="1418" w:header="851" w:footer="851" w:gutter="0"/>
          <w:cols w:space="567"/>
          <w:docGrid w:linePitch="360"/>
        </w:sectPr>
      </w:pPr>
    </w:p>
    <w:p w14:paraId="4E6B7FBB" w14:textId="77777777" w:rsidR="008259FE" w:rsidRPr="009764EE" w:rsidRDefault="004F1144" w:rsidP="004B25EA">
      <w:pPr>
        <w:pStyle w:val="Heading3"/>
        <w:rPr>
          <w:rFonts w:cs="Calibri"/>
          <w:szCs w:val="24"/>
        </w:rPr>
      </w:pPr>
      <w:r w:rsidRPr="009764EE">
        <w:rPr>
          <w:rFonts w:cs="Calibri"/>
        </w:rPr>
        <w:lastRenderedPageBreak/>
        <w:t>A</w:t>
      </w:r>
      <w:r w:rsidR="006678BB" w:rsidRPr="009764EE">
        <w:rPr>
          <w:rFonts w:cs="Calibri"/>
          <w:szCs w:val="24"/>
        </w:rPr>
        <w:t>ccess to health</w:t>
      </w:r>
      <w:r w:rsidR="00C1049A" w:rsidRPr="009764EE">
        <w:rPr>
          <w:rFonts w:cs="Calibri"/>
          <w:szCs w:val="24"/>
        </w:rPr>
        <w:t xml:space="preserve"> </w:t>
      </w:r>
      <w:r w:rsidR="008D0FBA" w:rsidRPr="009764EE">
        <w:rPr>
          <w:rFonts w:cs="Calibri"/>
          <w:szCs w:val="24"/>
        </w:rPr>
        <w:t>services</w:t>
      </w:r>
    </w:p>
    <w:p w14:paraId="29E240D7" w14:textId="77777777" w:rsidR="008259FE" w:rsidRPr="009764EE" w:rsidRDefault="00960EBF" w:rsidP="004E4E24">
      <w:r w:rsidRPr="009764EE">
        <w:t>Health services are those which prevent,</w:t>
      </w:r>
      <w:r w:rsidR="001724F7" w:rsidRPr="009764EE">
        <w:t xml:space="preserve"> diagnose,</w:t>
      </w:r>
      <w:r w:rsidRPr="009764EE">
        <w:t xml:space="preserve"> treat, and manag</w:t>
      </w:r>
      <w:r w:rsidR="00D708DE" w:rsidRPr="009764EE">
        <w:t>e</w:t>
      </w:r>
      <w:r w:rsidRPr="009764EE">
        <w:t xml:space="preserve"> health conditions.</w:t>
      </w:r>
    </w:p>
    <w:p w14:paraId="72FB97E8" w14:textId="70908EEC" w:rsidR="008259FE" w:rsidRPr="009764EE" w:rsidRDefault="000350F8" w:rsidP="004E4E24">
      <w:r w:rsidRPr="009764EE">
        <w:t xml:space="preserve">While many factors determine accessibility, </w:t>
      </w:r>
      <w:r w:rsidR="005D4D83" w:rsidRPr="009764EE">
        <w:t xml:space="preserve">health service </w:t>
      </w:r>
      <w:r w:rsidR="002E7640" w:rsidRPr="009764EE">
        <w:t xml:space="preserve">cost and </w:t>
      </w:r>
      <w:r w:rsidRPr="009764EE">
        <w:t xml:space="preserve">wait times are two measures that provide </w:t>
      </w:r>
      <w:r w:rsidR="00E64757" w:rsidRPr="009764EE">
        <w:t xml:space="preserve">an </w:t>
      </w:r>
      <w:r w:rsidRPr="009764EE">
        <w:t xml:space="preserve">insight </w:t>
      </w:r>
      <w:r w:rsidR="00E24E27" w:rsidRPr="009764EE">
        <w:t>into</w:t>
      </w:r>
      <w:r w:rsidRPr="009764EE">
        <w:t xml:space="preserve"> how effectively Australia</w:t>
      </w:r>
      <w:r w:rsidR="00135DEA">
        <w:t>’</w:t>
      </w:r>
      <w:r w:rsidRPr="009764EE">
        <w:t>s health services are operating.</w:t>
      </w:r>
    </w:p>
    <w:p w14:paraId="2157042D" w14:textId="33CC880B" w:rsidR="00907685" w:rsidRPr="009764EE" w:rsidRDefault="00907685" w:rsidP="004E4E24">
      <w:r w:rsidRPr="009764EE">
        <w:t>Other fact</w:t>
      </w:r>
      <w:r w:rsidR="002846DE" w:rsidRPr="009764EE">
        <w:t xml:space="preserve">ors that can </w:t>
      </w:r>
      <w:r w:rsidR="00566902" w:rsidRPr="009764EE">
        <w:t xml:space="preserve">inhibit access </w:t>
      </w:r>
      <w:r w:rsidR="00837668" w:rsidRPr="009764EE">
        <w:t>include distance,</w:t>
      </w:r>
      <w:r w:rsidR="0022379D" w:rsidRPr="009764EE">
        <w:t xml:space="preserve"> availability of services,</w:t>
      </w:r>
      <w:r w:rsidR="00837668" w:rsidRPr="009764EE">
        <w:t xml:space="preserve"> time pressures</w:t>
      </w:r>
      <w:r w:rsidR="00886B4F" w:rsidRPr="009764EE">
        <w:t>,</w:t>
      </w:r>
      <w:r w:rsidR="00837668" w:rsidRPr="009764EE">
        <w:t xml:space="preserve"> language difficulties</w:t>
      </w:r>
      <w:r w:rsidR="00886B4F" w:rsidRPr="009764EE">
        <w:t xml:space="preserve"> and </w:t>
      </w:r>
      <w:r w:rsidR="002034C2" w:rsidRPr="009764EE">
        <w:t xml:space="preserve">a </w:t>
      </w:r>
      <w:r w:rsidR="006D4666" w:rsidRPr="009764EE">
        <w:t>person</w:t>
      </w:r>
      <w:r w:rsidR="00135DEA">
        <w:t>’</w:t>
      </w:r>
      <w:r w:rsidR="006D4666" w:rsidRPr="009764EE">
        <w:t>s</w:t>
      </w:r>
      <w:r w:rsidR="002034C2" w:rsidRPr="009764EE">
        <w:t xml:space="preserve"> </w:t>
      </w:r>
      <w:r w:rsidR="00886B4F" w:rsidRPr="009764EE">
        <w:t xml:space="preserve">understanding of </w:t>
      </w:r>
      <w:r w:rsidR="002034C2" w:rsidRPr="009764EE">
        <w:t xml:space="preserve">their </w:t>
      </w:r>
      <w:r w:rsidR="001033AD" w:rsidRPr="009764EE">
        <w:t>health care needs</w:t>
      </w:r>
      <w:r w:rsidR="00837668" w:rsidRPr="009764EE">
        <w:t>.</w:t>
      </w:r>
    </w:p>
    <w:p w14:paraId="3871D8BD" w14:textId="3BE67EDD" w:rsidR="008259FE" w:rsidRPr="009764EE" w:rsidRDefault="00826543" w:rsidP="00826543">
      <w:r w:rsidRPr="009764EE">
        <w:t>In 2021</w:t>
      </w:r>
      <w:r w:rsidR="00151999">
        <w:t>–</w:t>
      </w:r>
      <w:r w:rsidRPr="009764EE">
        <w:t>22, 3.5</w:t>
      </w:r>
      <w:r w:rsidR="001524A0">
        <w:t> per c</w:t>
      </w:r>
      <w:r w:rsidRPr="009764EE">
        <w:t>ent of people delayed or did not see a GP when needed due to cost</w:t>
      </w:r>
      <w:r w:rsidR="00620078">
        <w:t xml:space="preserve"> </w:t>
      </w:r>
      <w:r w:rsidR="00A377FC" w:rsidRPr="009764EE">
        <w:t xml:space="preserve">an improvement from </w:t>
      </w:r>
      <w:r w:rsidR="00915A59" w:rsidRPr="009764EE">
        <w:t>4.9</w:t>
      </w:r>
      <w:r w:rsidR="001524A0">
        <w:t> per c</w:t>
      </w:r>
      <w:r w:rsidR="00915A59" w:rsidRPr="009764EE">
        <w:t>ent in</w:t>
      </w:r>
      <w:r w:rsidR="00B14255" w:rsidRPr="009764EE">
        <w:t xml:space="preserve"> </w:t>
      </w:r>
      <w:r w:rsidR="00915A59" w:rsidRPr="009764EE">
        <w:t>2013</w:t>
      </w:r>
      <w:r w:rsidR="00534908">
        <w:softHyphen/>
      </w:r>
      <w:r w:rsidR="00151999">
        <w:t>–</w:t>
      </w:r>
      <w:r w:rsidR="00915A59" w:rsidRPr="009764EE">
        <w:t>14</w:t>
      </w:r>
      <w:r w:rsidRPr="009764EE">
        <w:t>.</w:t>
      </w:r>
    </w:p>
    <w:p w14:paraId="0624B282" w14:textId="2427BFA3" w:rsidR="008259FE" w:rsidRPr="009764EE" w:rsidRDefault="00826543" w:rsidP="00826543">
      <w:r w:rsidRPr="009764EE">
        <w:t>8</w:t>
      </w:r>
      <w:r w:rsidR="001524A0">
        <w:t> per c</w:t>
      </w:r>
      <w:r w:rsidRPr="009764EE">
        <w:t>ent of people delayed or did not see a medical specialist when needed due to cost</w:t>
      </w:r>
      <w:r w:rsidR="001524A0">
        <w:t xml:space="preserve"> – </w:t>
      </w:r>
      <w:r w:rsidRPr="009764EE">
        <w:t>similar to 7.</w:t>
      </w:r>
      <w:r w:rsidR="009369A3" w:rsidRPr="009764EE">
        <w:t>9</w:t>
      </w:r>
      <w:r w:rsidR="001524A0">
        <w:t> per c</w:t>
      </w:r>
      <w:r w:rsidRPr="009764EE">
        <w:t>ent in 201</w:t>
      </w:r>
      <w:r w:rsidR="009369A3" w:rsidRPr="009764EE">
        <w:t>3</w:t>
      </w:r>
      <w:r w:rsidR="00151999">
        <w:t>–</w:t>
      </w:r>
      <w:r w:rsidRPr="009764EE">
        <w:t>1</w:t>
      </w:r>
      <w:r w:rsidR="009369A3" w:rsidRPr="009764EE">
        <w:t>4</w:t>
      </w:r>
      <w:r w:rsidRPr="009764EE">
        <w:t>.</w:t>
      </w:r>
      <w:bookmarkStart w:id="50" w:name="_Ref140502540"/>
      <w:r w:rsidR="007D1CE7" w:rsidRPr="005049F1">
        <w:rPr>
          <w:rStyle w:val="FootnoteReference"/>
        </w:rPr>
        <w:endnoteReference w:id="22"/>
      </w:r>
      <w:bookmarkEnd w:id="50"/>
    </w:p>
    <w:p w14:paraId="1496A345" w14:textId="2165DBE1" w:rsidR="00584DA4" w:rsidRPr="009764EE" w:rsidRDefault="00826543" w:rsidP="004E4E24">
      <w:r w:rsidRPr="009764EE">
        <w:t xml:space="preserve">The proportion of people waiting longer than they felt acceptable for an appointment with a </w:t>
      </w:r>
      <w:r w:rsidRPr="009764EE">
        <w:t>GP or a medical specialist have both increased since 201</w:t>
      </w:r>
      <w:r w:rsidR="00131454" w:rsidRPr="009764EE">
        <w:t>3</w:t>
      </w:r>
      <w:r w:rsidR="00151999">
        <w:t>–</w:t>
      </w:r>
      <w:r w:rsidRPr="009764EE">
        <w:t>1</w:t>
      </w:r>
      <w:r w:rsidR="00131454" w:rsidRPr="009764EE">
        <w:t>4</w:t>
      </w:r>
      <w:r w:rsidR="001524A0">
        <w:t xml:space="preserve"> – </w:t>
      </w:r>
      <w:r w:rsidRPr="009764EE">
        <w:t>growing to 23.4</w:t>
      </w:r>
      <w:r w:rsidR="001524A0">
        <w:t> per c</w:t>
      </w:r>
      <w:r w:rsidRPr="009764EE">
        <w:t>ent and 26.7</w:t>
      </w:r>
      <w:r w:rsidR="001524A0">
        <w:t> per c</w:t>
      </w:r>
      <w:r w:rsidRPr="009764EE">
        <w:t>ent respectively.</w:t>
      </w:r>
    </w:p>
    <w:p w14:paraId="17B34D97" w14:textId="77777777" w:rsidR="007A0500" w:rsidRDefault="00250617" w:rsidP="00C8122A">
      <w:r w:rsidRPr="005246B1">
        <w:t>Patient experience with access to health</w:t>
      </w:r>
      <w:r w:rsidR="00C23442" w:rsidRPr="005246B1">
        <w:t xml:space="preserve"> </w:t>
      </w:r>
      <w:r w:rsidRPr="005246B1">
        <w:t xml:space="preserve">services differs substantively across </w:t>
      </w:r>
      <w:r w:rsidR="00BD1680" w:rsidRPr="005246B1">
        <w:t>cohorts and</w:t>
      </w:r>
      <w:r w:rsidRPr="005246B1">
        <w:t xml:space="preserve"> </w:t>
      </w:r>
      <w:r w:rsidR="00E102DD" w:rsidRPr="005246B1">
        <w:t>locations</w:t>
      </w:r>
      <w:r w:rsidRPr="005246B1">
        <w:t>.</w:t>
      </w:r>
      <w:r w:rsidR="007A0500" w:rsidRPr="00DB0D39">
        <w:t xml:space="preserve"> </w:t>
      </w:r>
    </w:p>
    <w:p w14:paraId="79DED69A" w14:textId="7F6557C0" w:rsidR="008259FE" w:rsidRPr="00CC4230" w:rsidRDefault="006B3396" w:rsidP="00B8112E">
      <w:r w:rsidRPr="00DB0D39">
        <w:t>In 20</w:t>
      </w:r>
      <w:r w:rsidR="007B5C72" w:rsidRPr="00DB0D39">
        <w:t>2</w:t>
      </w:r>
      <w:r w:rsidR="00FA6FD4" w:rsidRPr="00DB0D39">
        <w:t>1</w:t>
      </w:r>
      <w:r w:rsidR="00151999">
        <w:t>–</w:t>
      </w:r>
      <w:r w:rsidR="007B5C72" w:rsidRPr="00DB0D39">
        <w:t>2</w:t>
      </w:r>
      <w:r w:rsidR="00FA6FD4" w:rsidRPr="00DB0D39">
        <w:t>2</w:t>
      </w:r>
      <w:r w:rsidR="007B5C72" w:rsidRPr="00DB0D39">
        <w:t>, t</w:t>
      </w:r>
      <w:r w:rsidR="003B1757" w:rsidRPr="00DB0D39">
        <w:t>hose living in outer regional, remote</w:t>
      </w:r>
      <w:r w:rsidR="00DB4B99" w:rsidRPr="00DB0D39">
        <w:t>,</w:t>
      </w:r>
      <w:r w:rsidR="003B1757" w:rsidRPr="00DB0D39">
        <w:t xml:space="preserve"> or very remote areas were more likely to report waiting longer than they felt acceptable for a GP appointment than those living in major cities</w:t>
      </w:r>
      <w:r w:rsidR="001524A0">
        <w:t xml:space="preserve"> – </w:t>
      </w:r>
      <w:r w:rsidR="003B1757" w:rsidRPr="00DB0D39">
        <w:t>28.7</w:t>
      </w:r>
      <w:r w:rsidR="001524A0">
        <w:t> per c</w:t>
      </w:r>
      <w:r w:rsidR="003B1757" w:rsidRPr="00DB0D39">
        <w:t>ent compared to 21.6</w:t>
      </w:r>
      <w:r w:rsidR="001524A0">
        <w:t> per c</w:t>
      </w:r>
      <w:r w:rsidR="003B1757" w:rsidRPr="00DB0D39">
        <w:t>ent</w:t>
      </w:r>
      <w:r w:rsidR="001524A0">
        <w:t xml:space="preserve"> – </w:t>
      </w:r>
      <w:r w:rsidR="003B1757" w:rsidRPr="00DB0D39">
        <w:t>highlighting regional disparities</w:t>
      </w:r>
      <w:r w:rsidR="003B1757" w:rsidRPr="00CC4230">
        <w:rPr>
          <w:rFonts w:ascii="Calibri" w:hAnsi="Calibri" w:cs="Calibri"/>
        </w:rPr>
        <w:t>.</w:t>
      </w:r>
    </w:p>
    <w:p w14:paraId="6D5A6B53" w14:textId="14BC896F" w:rsidR="008D630C" w:rsidRDefault="00C71410" w:rsidP="00B8112E">
      <w:pPr>
        <w:rPr>
          <w:shd w:val="clear" w:color="auto" w:fill="FFFFFF"/>
        </w:rPr>
      </w:pPr>
      <w:r w:rsidRPr="009764EE">
        <w:t xml:space="preserve">These metrics do not cover all </w:t>
      </w:r>
      <w:r w:rsidR="00DE59FF" w:rsidRPr="009764EE">
        <w:t xml:space="preserve">factors which </w:t>
      </w:r>
      <w:r w:rsidR="00DF09EE" w:rsidRPr="009764EE">
        <w:t>affect</w:t>
      </w:r>
      <w:r w:rsidR="00DE59FF" w:rsidRPr="009764EE">
        <w:t xml:space="preserve"> the ability of Australians to </w:t>
      </w:r>
      <w:r w:rsidRPr="009764EE">
        <w:t xml:space="preserve">access health </w:t>
      </w:r>
      <w:r w:rsidR="00F6227A" w:rsidRPr="009764EE">
        <w:t>services</w:t>
      </w:r>
      <w:r w:rsidR="001524A0">
        <w:t xml:space="preserve"> – </w:t>
      </w:r>
      <w:r w:rsidR="006352E3" w:rsidRPr="004517EE">
        <w:t>others include</w:t>
      </w:r>
      <w:r w:rsidR="00915A5C" w:rsidRPr="004517EE">
        <w:t>, for example</w:t>
      </w:r>
      <w:r w:rsidR="00915A5C" w:rsidRPr="009764EE">
        <w:t xml:space="preserve">, the </w:t>
      </w:r>
      <w:r w:rsidR="009D2660" w:rsidRPr="009764EE">
        <w:t>availability of hospital</w:t>
      </w:r>
      <w:r w:rsidR="00FD51F9" w:rsidRPr="009764EE">
        <w:t>s</w:t>
      </w:r>
      <w:r w:rsidR="009D2660" w:rsidRPr="009764EE">
        <w:t>, pharmaceuticals, diagnostic services</w:t>
      </w:r>
      <w:r w:rsidR="00DA6E4A" w:rsidRPr="009764EE">
        <w:t>,</w:t>
      </w:r>
      <w:r w:rsidR="009D2660" w:rsidRPr="009764EE">
        <w:t xml:space="preserve"> and allied health</w:t>
      </w:r>
      <w:r w:rsidR="009D2660" w:rsidRPr="00FE1056">
        <w:t xml:space="preserve">. </w:t>
      </w:r>
      <w:r w:rsidR="00B7157A" w:rsidRPr="00FE1056">
        <w:t>GP and medical specialist services were selected as</w:t>
      </w:r>
      <w:r w:rsidR="00B7157A" w:rsidRPr="00E57780">
        <w:t xml:space="preserve"> they represent two of the largest touchpoints within the health </w:t>
      </w:r>
      <w:r w:rsidR="00B7157A" w:rsidRPr="00151999">
        <w:t xml:space="preserve">system for most </w:t>
      </w:r>
      <w:r w:rsidR="0058529E" w:rsidRPr="00151999">
        <w:t>people</w:t>
      </w:r>
      <w:r w:rsidR="00B7157A" w:rsidRPr="00151999">
        <w:t>.</w:t>
      </w:r>
      <w:r w:rsidR="004C1819">
        <w:rPr>
          <w:rFonts w:ascii="Calibri" w:hAnsi="Calibri" w:cs="Calibri"/>
          <w:color w:val="000000"/>
          <w:shd w:val="clear" w:color="auto" w:fill="FFFFFF"/>
        </w:rPr>
        <w:t xml:space="preserve"> </w:t>
      </w:r>
    </w:p>
    <w:p w14:paraId="60A82CA6" w14:textId="77777777" w:rsidR="00336AB9" w:rsidRDefault="00336AB9" w:rsidP="00B8112E">
      <w:pPr>
        <w:rPr>
          <w:shd w:val="clear" w:color="auto" w:fill="FFFFFF"/>
        </w:rPr>
      </w:pPr>
    </w:p>
    <w:p w14:paraId="300458CE" w14:textId="5C811FA7" w:rsidR="00336AB9" w:rsidRDefault="00336AB9" w:rsidP="00B8112E">
      <w:pPr>
        <w:rPr>
          <w:shd w:val="clear" w:color="auto" w:fill="FFFFFF"/>
        </w:rPr>
        <w:sectPr w:rsidR="00336AB9" w:rsidSect="00CF553E">
          <w:endnotePr>
            <w:numFmt w:val="decimal"/>
          </w:endnotePr>
          <w:pgSz w:w="11906" w:h="16838" w:code="9"/>
          <w:pgMar w:top="1843" w:right="1418" w:bottom="1418" w:left="1418" w:header="851" w:footer="851" w:gutter="0"/>
          <w:cols w:num="2" w:space="567"/>
        </w:sectPr>
      </w:pPr>
    </w:p>
    <w:p w14:paraId="1531A32F" w14:textId="77777777" w:rsidR="002802D7" w:rsidRPr="003B745C" w:rsidRDefault="002802D7" w:rsidP="00106F5F">
      <w:pPr>
        <w:pStyle w:val="ChartMainHeading"/>
      </w:pPr>
      <w:r w:rsidRPr="003B745C">
        <w:t xml:space="preserve">Chart 3: Proportion of people who </w:t>
      </w:r>
      <w:r w:rsidRPr="00336AB9">
        <w:t>delayed</w:t>
      </w:r>
      <w:r w:rsidRPr="003B745C">
        <w:t xml:space="preserve"> seeing a GP or a medical specialist due to cost when </w:t>
      </w:r>
      <w:r w:rsidRPr="00106F5F">
        <w:t>needed</w:t>
      </w:r>
    </w:p>
    <w:p w14:paraId="046C1549" w14:textId="77777777" w:rsidR="00CC4230" w:rsidRDefault="0022221A" w:rsidP="00106F5F">
      <w:pPr>
        <w:pStyle w:val="ChartGraphic"/>
      </w:pPr>
      <w:r>
        <w:rPr>
          <w:noProof/>
        </w:rPr>
        <w:drawing>
          <wp:inline distT="0" distB="0" distL="0" distR="0" wp14:anchorId="422B44F4" wp14:editId="3ACAC958">
            <wp:extent cx="5580000" cy="2011396"/>
            <wp:effectExtent l="0" t="0" r="0" b="8255"/>
            <wp:docPr id="30" name="Picture 30" descr="This is a line chart that shows the proportion of people who at least once delayed or did not see a General Practitioner (GP) or a medical specialist when needed due to cost, between 2013-14 and 2021-22. Both have remained relatively stable over this period, with the proportion of people who delayed seeing a GP due to cost increasing to 3.5 per cent in 2021-22 and the proportion of people who delayed seeing a medical specialist due to cost growing to 8.0 per cent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s a line chart that shows the proportion of people who at least once delayed or did not see a General Practitioner (GP) or a medical specialist when needed due to cost, between 2013-14 and 2021-22. Both have remained relatively stable over this period, with the proportion of people who delayed seeing a GP due to cost increasing to 3.5 per cent in 2021-22 and the proportion of people who delayed seeing a medical specialist due to cost growing to 8.0 per cent in 2021-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0000" cy="2011396"/>
                    </a:xfrm>
                    <a:prstGeom prst="rect">
                      <a:avLst/>
                    </a:prstGeom>
                    <a:noFill/>
                    <a:ln>
                      <a:noFill/>
                    </a:ln>
                  </pic:spPr>
                </pic:pic>
              </a:graphicData>
            </a:graphic>
          </wp:inline>
        </w:drawing>
      </w:r>
    </w:p>
    <w:p w14:paraId="49868937" w14:textId="77777777" w:rsidR="002802D7" w:rsidRDefault="002802D7" w:rsidP="00106F5F">
      <w:pPr>
        <w:pStyle w:val="ChartorTableNote"/>
      </w:pPr>
      <w:r w:rsidRPr="009764EE">
        <w:t xml:space="preserve">Source: ABS Patient </w:t>
      </w:r>
      <w:r w:rsidRPr="00106F5F">
        <w:t>Experience</w:t>
      </w:r>
      <w:r w:rsidRPr="009764EE">
        <w:t xml:space="preserve"> Survey</w:t>
      </w:r>
    </w:p>
    <w:p w14:paraId="7886D65D" w14:textId="77777777" w:rsidR="008D630C" w:rsidRDefault="008D630C" w:rsidP="00B8112E">
      <w:pPr>
        <w:rPr>
          <w:shd w:val="clear" w:color="auto" w:fill="FFFFFF"/>
        </w:rPr>
      </w:pPr>
    </w:p>
    <w:p w14:paraId="1ED84B77" w14:textId="68C8C051" w:rsidR="00336AB9" w:rsidRDefault="00336AB9" w:rsidP="00B8112E">
      <w:pPr>
        <w:rPr>
          <w:shd w:val="clear" w:color="auto" w:fill="FFFFFF"/>
        </w:rPr>
        <w:sectPr w:rsidR="00336AB9" w:rsidSect="00DA302B">
          <w:endnotePr>
            <w:numFmt w:val="decimal"/>
          </w:endnotePr>
          <w:type w:val="continuous"/>
          <w:pgSz w:w="11906" w:h="16838"/>
          <w:pgMar w:top="1843" w:right="1418" w:bottom="1418" w:left="1418" w:header="851" w:footer="851" w:gutter="0"/>
          <w:cols w:space="567"/>
        </w:sectPr>
      </w:pPr>
    </w:p>
    <w:p w14:paraId="7F51E60B" w14:textId="035C14B9" w:rsidR="00EA4295" w:rsidRPr="009764EE" w:rsidRDefault="00EA4295" w:rsidP="00CF553E">
      <w:pPr>
        <w:pStyle w:val="Heading3"/>
        <w:spacing w:before="0"/>
        <w:rPr>
          <w:rFonts w:cs="Calibri"/>
          <w:szCs w:val="24"/>
        </w:rPr>
      </w:pPr>
      <w:r w:rsidRPr="009764EE">
        <w:rPr>
          <w:rFonts w:cs="Calibri"/>
        </w:rPr>
        <w:lastRenderedPageBreak/>
        <w:t>A</w:t>
      </w:r>
      <w:r w:rsidRPr="009764EE">
        <w:rPr>
          <w:rFonts w:cs="Calibri"/>
          <w:szCs w:val="24"/>
        </w:rPr>
        <w:t xml:space="preserve">ccess to </w:t>
      </w:r>
      <w:r w:rsidRPr="00EA4295">
        <w:rPr>
          <w:rFonts w:cs="Calibri"/>
          <w:szCs w:val="24"/>
        </w:rPr>
        <w:t>care and support services</w:t>
      </w:r>
    </w:p>
    <w:p w14:paraId="51C50ECF" w14:textId="3ABCC93E" w:rsidR="008259FE" w:rsidRPr="009764EE" w:rsidRDefault="00316603" w:rsidP="004E4E24">
      <w:r w:rsidRPr="009764EE">
        <w:t>While there are many forms of care</w:t>
      </w:r>
      <w:r w:rsidR="00323E1C" w:rsidRPr="009764EE">
        <w:t xml:space="preserve"> and support services </w:t>
      </w:r>
      <w:r w:rsidRPr="009764EE">
        <w:t xml:space="preserve">in Australia, disability and aged care are two that many </w:t>
      </w:r>
      <w:r w:rsidR="00E007C3">
        <w:t>people</w:t>
      </w:r>
      <w:r w:rsidR="00E007C3" w:rsidRPr="009764EE">
        <w:t xml:space="preserve"> </w:t>
      </w:r>
      <w:r w:rsidRPr="009764EE">
        <w:t xml:space="preserve">will engage with at some time in their lives. </w:t>
      </w:r>
      <w:r w:rsidR="0094443A" w:rsidRPr="009764EE">
        <w:t xml:space="preserve">Early </w:t>
      </w:r>
      <w:r w:rsidR="009C2C68" w:rsidRPr="009764EE">
        <w:t>c</w:t>
      </w:r>
      <w:r w:rsidRPr="009764EE">
        <w:t>hild</w:t>
      </w:r>
      <w:r w:rsidR="00E473B7" w:rsidRPr="009764EE">
        <w:t xml:space="preserve">hood education and </w:t>
      </w:r>
      <w:r w:rsidRPr="009764EE">
        <w:t>care is another</w:t>
      </w:r>
      <w:r w:rsidR="007338C4" w:rsidRPr="009764EE">
        <w:t xml:space="preserve"> important</w:t>
      </w:r>
      <w:r w:rsidRPr="009764EE">
        <w:t xml:space="preserve"> care </w:t>
      </w:r>
      <w:r w:rsidR="00FB62B7" w:rsidRPr="009764EE">
        <w:t xml:space="preserve">and support </w:t>
      </w:r>
      <w:r w:rsidRPr="009764EE">
        <w:t>service</w:t>
      </w:r>
      <w:r w:rsidR="00CC3F73" w:rsidRPr="009764EE">
        <w:t>,</w:t>
      </w:r>
      <w:r w:rsidR="00CC3F73" w:rsidRPr="005049F1">
        <w:rPr>
          <w:rStyle w:val="FootnoteReference"/>
        </w:rPr>
        <w:endnoteReference w:id="23"/>
      </w:r>
      <w:r w:rsidRPr="009764EE">
        <w:t xml:space="preserve"> and is discussed in </w:t>
      </w:r>
      <w:r w:rsidR="008408C1" w:rsidRPr="009764EE">
        <w:t xml:space="preserve">the </w:t>
      </w:r>
      <w:r w:rsidR="007733E8" w:rsidRPr="009764EE">
        <w:t>chapter</w:t>
      </w:r>
      <w:r w:rsidR="008408C1" w:rsidRPr="009764EE">
        <w:t xml:space="preserve"> </w:t>
      </w:r>
      <w:r w:rsidR="008408C1" w:rsidRPr="00FB6842">
        <w:rPr>
          <w:rStyle w:val="Emphasis"/>
        </w:rPr>
        <w:t>The early years</w:t>
      </w:r>
      <w:r w:rsidR="00C93542" w:rsidRPr="00FB6842">
        <w:rPr>
          <w:rStyle w:val="Emphasis"/>
        </w:rPr>
        <w:t xml:space="preserve"> of a </w:t>
      </w:r>
      <w:r w:rsidR="007D192B" w:rsidRPr="00FB6842">
        <w:rPr>
          <w:rStyle w:val="Emphasis"/>
        </w:rPr>
        <w:t>child</w:t>
      </w:r>
      <w:r w:rsidR="00135DEA" w:rsidRPr="00FB6842">
        <w:rPr>
          <w:rStyle w:val="Emphasis"/>
        </w:rPr>
        <w:t>’</w:t>
      </w:r>
      <w:r w:rsidR="007D192B" w:rsidRPr="00FB6842">
        <w:rPr>
          <w:rStyle w:val="Emphasis"/>
        </w:rPr>
        <w:t xml:space="preserve">s life and wellbeing. </w:t>
      </w:r>
    </w:p>
    <w:p w14:paraId="60297C7A" w14:textId="35666FD1" w:rsidR="00DA7FC8" w:rsidRPr="009764EE" w:rsidRDefault="00D5617C" w:rsidP="004E4E24">
      <w:r w:rsidRPr="009764EE">
        <w:t xml:space="preserve">Measuring levels of unmet need, as well as client satisfaction </w:t>
      </w:r>
      <w:r w:rsidR="007372DD" w:rsidRPr="009764EE">
        <w:t>is a key source of insight</w:t>
      </w:r>
      <w:r w:rsidR="00A01FC9" w:rsidRPr="009764EE">
        <w:t xml:space="preserve"> into the extent to which Australians have access to </w:t>
      </w:r>
      <w:r w:rsidR="00EE4790" w:rsidRPr="009764EE">
        <w:t>these</w:t>
      </w:r>
      <w:r w:rsidR="006455DB" w:rsidRPr="009764EE">
        <w:t xml:space="preserve"> services</w:t>
      </w:r>
      <w:r w:rsidR="00BD0B15" w:rsidRPr="009764EE">
        <w:t>.</w:t>
      </w:r>
    </w:p>
    <w:p w14:paraId="3DC9914E" w14:textId="53F3FD18" w:rsidR="00EF4364" w:rsidRDefault="00B32043" w:rsidP="004E4E24">
      <w:r w:rsidRPr="009764EE">
        <w:t>In 2018, 37.5</w:t>
      </w:r>
      <w:r w:rsidR="001524A0">
        <w:t> per c</w:t>
      </w:r>
      <w:r w:rsidRPr="009764EE">
        <w:t xml:space="preserve">ent of people </w:t>
      </w:r>
      <w:r w:rsidR="00FC40D2" w:rsidRPr="009764EE">
        <w:t>(aged 0</w:t>
      </w:r>
      <w:r w:rsidR="001524A0">
        <w:t>‍–‍</w:t>
      </w:r>
      <w:r w:rsidR="00FC40D2" w:rsidRPr="009764EE">
        <w:t>64</w:t>
      </w:r>
      <w:r w:rsidR="002021A5">
        <w:t> </w:t>
      </w:r>
      <w:r w:rsidR="00FC40D2" w:rsidRPr="009764EE">
        <w:t xml:space="preserve">years) </w:t>
      </w:r>
      <w:r w:rsidR="00FF4ECE" w:rsidRPr="009764EE">
        <w:t xml:space="preserve">who received formal </w:t>
      </w:r>
      <w:r w:rsidR="001265D2" w:rsidRPr="009764EE">
        <w:t xml:space="preserve">disability </w:t>
      </w:r>
      <w:r w:rsidR="00FF4ECE" w:rsidRPr="009764EE">
        <w:t>assistance</w:t>
      </w:r>
      <w:r w:rsidRPr="009764EE">
        <w:t xml:space="preserve"> reported a need for more </w:t>
      </w:r>
      <w:r w:rsidR="000A2D04" w:rsidRPr="009764EE">
        <w:t>assistance</w:t>
      </w:r>
      <w:r w:rsidR="00DE3A77" w:rsidRPr="009764EE">
        <w:t xml:space="preserve"> </w:t>
      </w:r>
      <w:r w:rsidRPr="009764EE">
        <w:t xml:space="preserve">than they </w:t>
      </w:r>
      <w:r w:rsidR="00FF4ECE" w:rsidRPr="009764EE">
        <w:t>were</w:t>
      </w:r>
      <w:r w:rsidRPr="009764EE">
        <w:t xml:space="preserve"> receiving</w:t>
      </w:r>
      <w:r w:rsidR="001524A0">
        <w:t xml:space="preserve"> – </w:t>
      </w:r>
      <w:r w:rsidR="00FF4ECE" w:rsidRPr="009764EE">
        <w:t>a</w:t>
      </w:r>
      <w:r w:rsidR="002C7EC3" w:rsidRPr="009764EE">
        <w:t>n</w:t>
      </w:r>
      <w:r w:rsidR="00FF4ECE" w:rsidRPr="009764EE">
        <w:t xml:space="preserve"> </w:t>
      </w:r>
      <w:r w:rsidR="00D27D53" w:rsidRPr="009764EE">
        <w:t xml:space="preserve">increase </w:t>
      </w:r>
      <w:r w:rsidR="00E27BE4" w:rsidRPr="009764EE">
        <w:t>from 31.9</w:t>
      </w:r>
      <w:r w:rsidR="001524A0">
        <w:t> per c</w:t>
      </w:r>
      <w:r w:rsidR="00E27BE4" w:rsidRPr="009764EE">
        <w:t>ent in 2009</w:t>
      </w:r>
      <w:r w:rsidRPr="009764EE">
        <w:t>.</w:t>
      </w:r>
      <w:r w:rsidR="00BA7A76" w:rsidRPr="009764EE">
        <w:t xml:space="preserve"> </w:t>
      </w:r>
      <w:r w:rsidR="00323151" w:rsidRPr="009764EE">
        <w:t xml:space="preserve">The proportion of </w:t>
      </w:r>
      <w:r w:rsidR="00BB023C" w:rsidRPr="009764EE">
        <w:t>carers</w:t>
      </w:r>
      <w:r w:rsidR="00342682" w:rsidRPr="009764EE">
        <w:t xml:space="preserve"> for</w:t>
      </w:r>
      <w:r w:rsidR="00323151" w:rsidRPr="009764EE">
        <w:t xml:space="preserve"> people with disability</w:t>
      </w:r>
      <w:r w:rsidR="00BB023C" w:rsidRPr="009764EE">
        <w:t xml:space="preserve"> </w:t>
      </w:r>
      <w:r w:rsidR="00992EAF" w:rsidRPr="009764EE">
        <w:t xml:space="preserve">who </w:t>
      </w:r>
      <w:r w:rsidR="00BB023C" w:rsidRPr="009764EE">
        <w:t>reported a need for further assistance in their caring roles</w:t>
      </w:r>
      <w:r w:rsidR="001E2CAE" w:rsidRPr="009764EE">
        <w:t xml:space="preserve"> also increased over this period</w:t>
      </w:r>
      <w:r w:rsidR="001524A0">
        <w:t xml:space="preserve"> – </w:t>
      </w:r>
      <w:r w:rsidR="001E2CAE" w:rsidRPr="009764EE">
        <w:t>from</w:t>
      </w:r>
      <w:r w:rsidR="00992EAF" w:rsidRPr="009764EE">
        <w:t xml:space="preserve"> </w:t>
      </w:r>
      <w:r w:rsidR="00976782" w:rsidRPr="009764EE">
        <w:t>22.8</w:t>
      </w:r>
      <w:r w:rsidR="001524A0">
        <w:t> per c</w:t>
      </w:r>
      <w:r w:rsidR="00976782" w:rsidRPr="009764EE">
        <w:t xml:space="preserve">ent </w:t>
      </w:r>
      <w:r w:rsidR="00FF53BF" w:rsidRPr="009764EE">
        <w:t xml:space="preserve">to </w:t>
      </w:r>
      <w:r w:rsidR="00366D4B" w:rsidRPr="009764EE">
        <w:t>32</w:t>
      </w:r>
      <w:r w:rsidR="0012110C" w:rsidRPr="009764EE">
        <w:t>.0</w:t>
      </w:r>
      <w:r w:rsidR="001524A0">
        <w:t> per c</w:t>
      </w:r>
      <w:r w:rsidR="00B93F09" w:rsidRPr="009764EE">
        <w:t>ent</w:t>
      </w:r>
      <w:r w:rsidR="00791541" w:rsidRPr="009764EE">
        <w:t>.</w:t>
      </w:r>
      <w:bookmarkStart w:id="51" w:name="_Ref140502616"/>
      <w:r w:rsidR="00C27502" w:rsidRPr="005049F1">
        <w:rPr>
          <w:rStyle w:val="FootnoteReference"/>
        </w:rPr>
        <w:endnoteReference w:id="24"/>
      </w:r>
      <w:bookmarkEnd w:id="51"/>
      <w:r w:rsidR="004E7FEC">
        <w:t xml:space="preserve"> </w:t>
      </w:r>
    </w:p>
    <w:p w14:paraId="537C74DC" w14:textId="7A2BA458" w:rsidR="0027436B" w:rsidRPr="009764EE" w:rsidRDefault="00653988" w:rsidP="00CF553E">
      <w:pPr>
        <w:keepLines/>
      </w:pPr>
      <w:r w:rsidRPr="009764EE">
        <w:t>76.6</w:t>
      </w:r>
      <w:r w:rsidR="001524A0">
        <w:t> per c</w:t>
      </w:r>
      <w:r w:rsidRPr="009764EE">
        <w:t xml:space="preserve">ent of </w:t>
      </w:r>
      <w:r w:rsidR="00FC40D2" w:rsidRPr="009764EE">
        <w:t xml:space="preserve">people (aged </w:t>
      </w:r>
      <w:r w:rsidR="00C914FA" w:rsidRPr="009764EE">
        <w:t>15</w:t>
      </w:r>
      <w:r w:rsidR="001524A0">
        <w:t>‍–‍</w:t>
      </w:r>
      <w:r w:rsidR="00FC40D2" w:rsidRPr="009764EE">
        <w:t>64</w:t>
      </w:r>
      <w:r w:rsidR="00C239AD">
        <w:t> year</w:t>
      </w:r>
      <w:r w:rsidR="00FC40D2" w:rsidRPr="009764EE">
        <w:t xml:space="preserve">s) </w:t>
      </w:r>
      <w:r w:rsidR="003536CD" w:rsidRPr="009764EE">
        <w:t>who received formal</w:t>
      </w:r>
      <w:r w:rsidR="00006322" w:rsidRPr="009764EE">
        <w:t xml:space="preserve"> </w:t>
      </w:r>
      <w:r w:rsidR="0027436B" w:rsidRPr="009764EE">
        <w:t xml:space="preserve">disability support and </w:t>
      </w:r>
      <w:r w:rsidRPr="009764EE">
        <w:t>84.4</w:t>
      </w:r>
      <w:r w:rsidR="001524A0">
        <w:t> per c</w:t>
      </w:r>
      <w:r w:rsidRPr="009764EE">
        <w:t xml:space="preserve">ent </w:t>
      </w:r>
      <w:r w:rsidR="002D6765" w:rsidRPr="009764EE">
        <w:t>of people</w:t>
      </w:r>
      <w:r w:rsidR="00494094" w:rsidRPr="009764EE">
        <w:t xml:space="preserve"> (aged 65</w:t>
      </w:r>
      <w:r w:rsidR="00C239AD">
        <w:t> year</w:t>
      </w:r>
      <w:r w:rsidR="00494094" w:rsidRPr="009764EE">
        <w:t>s and over)</w:t>
      </w:r>
      <w:r w:rsidR="002D6765" w:rsidRPr="009764EE">
        <w:t xml:space="preserve"> living in households that received formal </w:t>
      </w:r>
      <w:r w:rsidR="0027436B" w:rsidRPr="009764EE">
        <w:t>aged care serv</w:t>
      </w:r>
      <w:r w:rsidR="00C1324D" w:rsidRPr="009764EE">
        <w:t>ices</w:t>
      </w:r>
      <w:r w:rsidR="003536CD" w:rsidRPr="009764EE">
        <w:t xml:space="preserve"> were satisfied with the quality</w:t>
      </w:r>
      <w:r w:rsidR="001959DC" w:rsidRPr="009764EE">
        <w:t xml:space="preserve"> in 2018</w:t>
      </w:r>
      <w:r w:rsidRPr="009764EE">
        <w:t>.</w:t>
      </w:r>
    </w:p>
    <w:p w14:paraId="56D3381F" w14:textId="4B818BEC" w:rsidR="00734E3E" w:rsidRPr="00CF553E" w:rsidRDefault="00C71634" w:rsidP="004E4E24">
      <w:pPr>
        <w:rPr>
          <w:spacing w:val="-2"/>
        </w:rPr>
      </w:pPr>
      <w:r w:rsidRPr="00CF553E">
        <w:rPr>
          <w:spacing w:val="-2"/>
        </w:rPr>
        <w:t>However</w:t>
      </w:r>
      <w:r w:rsidR="00DF45B2" w:rsidRPr="00CF553E">
        <w:rPr>
          <w:spacing w:val="-2"/>
        </w:rPr>
        <w:t>,</w:t>
      </w:r>
      <w:r w:rsidRPr="00CF553E">
        <w:rPr>
          <w:spacing w:val="-2"/>
        </w:rPr>
        <w:t xml:space="preserve"> </w:t>
      </w:r>
      <w:r w:rsidR="00D108BF" w:rsidRPr="00CF553E">
        <w:rPr>
          <w:spacing w:val="-2"/>
        </w:rPr>
        <w:t>between</w:t>
      </w:r>
      <w:r w:rsidR="00C708D1" w:rsidRPr="00CF553E">
        <w:rPr>
          <w:spacing w:val="-2"/>
        </w:rPr>
        <w:t xml:space="preserve"> 2012</w:t>
      </w:r>
      <w:r w:rsidR="00D108BF" w:rsidRPr="00CF553E">
        <w:rPr>
          <w:spacing w:val="-2"/>
        </w:rPr>
        <w:t xml:space="preserve"> </w:t>
      </w:r>
      <w:r w:rsidR="00BD1680" w:rsidRPr="00CF553E">
        <w:rPr>
          <w:spacing w:val="-2"/>
        </w:rPr>
        <w:t xml:space="preserve">and </w:t>
      </w:r>
      <w:r w:rsidR="00D108BF" w:rsidRPr="00CF553E">
        <w:rPr>
          <w:spacing w:val="-2"/>
        </w:rPr>
        <w:t>2018</w:t>
      </w:r>
      <w:r w:rsidRPr="00CF553E">
        <w:rPr>
          <w:spacing w:val="-2"/>
        </w:rPr>
        <w:t xml:space="preserve"> there has been a decline in </w:t>
      </w:r>
      <w:r w:rsidR="000F6015" w:rsidRPr="00CF553E">
        <w:rPr>
          <w:spacing w:val="-2"/>
        </w:rPr>
        <w:t xml:space="preserve">the proportion of people </w:t>
      </w:r>
      <w:r w:rsidR="009B66EF" w:rsidRPr="00CF553E">
        <w:rPr>
          <w:spacing w:val="-2"/>
        </w:rPr>
        <w:t>(</w:t>
      </w:r>
      <w:r w:rsidR="002F7BC7" w:rsidRPr="00CF553E">
        <w:rPr>
          <w:spacing w:val="-2"/>
        </w:rPr>
        <w:t>aged 65</w:t>
      </w:r>
      <w:r w:rsidR="00C239AD" w:rsidRPr="00CF553E">
        <w:rPr>
          <w:spacing w:val="-2"/>
        </w:rPr>
        <w:t> year</w:t>
      </w:r>
      <w:r w:rsidR="002F7BC7" w:rsidRPr="00CF553E">
        <w:rPr>
          <w:spacing w:val="-2"/>
        </w:rPr>
        <w:t xml:space="preserve">s and over) </w:t>
      </w:r>
      <w:r w:rsidR="007F5473" w:rsidRPr="00CF553E">
        <w:rPr>
          <w:spacing w:val="-2"/>
        </w:rPr>
        <w:t xml:space="preserve">living in households who were satisfied with </w:t>
      </w:r>
      <w:r w:rsidR="00926B66" w:rsidRPr="00CF553E">
        <w:rPr>
          <w:spacing w:val="-2"/>
        </w:rPr>
        <w:t>the quality of aged care assistance received</w:t>
      </w:r>
      <w:r w:rsidR="00890BB8" w:rsidRPr="00CF553E">
        <w:rPr>
          <w:spacing w:val="-2"/>
        </w:rPr>
        <w:t>.</w:t>
      </w:r>
      <w:r w:rsidR="00AD1FFB" w:rsidRPr="00CF553E">
        <w:rPr>
          <w:spacing w:val="-2"/>
        </w:rPr>
        <w:t xml:space="preserve"> </w:t>
      </w:r>
      <w:r w:rsidR="005E2439" w:rsidRPr="00CF553E">
        <w:rPr>
          <w:spacing w:val="-2"/>
        </w:rPr>
        <w:t xml:space="preserve">These metrics do not cover all </w:t>
      </w:r>
      <w:r w:rsidR="00903747" w:rsidRPr="00CF553E">
        <w:rPr>
          <w:spacing w:val="-2"/>
        </w:rPr>
        <w:t xml:space="preserve">factors which </w:t>
      </w:r>
      <w:r w:rsidR="00662450" w:rsidRPr="00CF553E">
        <w:rPr>
          <w:spacing w:val="-2"/>
        </w:rPr>
        <w:t>go towards</w:t>
      </w:r>
      <w:r w:rsidR="005E2439" w:rsidRPr="00CF553E">
        <w:rPr>
          <w:spacing w:val="-2"/>
        </w:rPr>
        <w:t xml:space="preserve"> </w:t>
      </w:r>
      <w:r w:rsidR="00C8314E" w:rsidRPr="00CF553E">
        <w:rPr>
          <w:spacing w:val="-2"/>
        </w:rPr>
        <w:t xml:space="preserve">access to and </w:t>
      </w:r>
      <w:r w:rsidR="005E2439" w:rsidRPr="00CF553E">
        <w:rPr>
          <w:spacing w:val="-2"/>
        </w:rPr>
        <w:t xml:space="preserve">quality of care services. </w:t>
      </w:r>
      <w:r w:rsidR="002F6960" w:rsidRPr="00CF553E">
        <w:rPr>
          <w:spacing w:val="-2"/>
        </w:rPr>
        <w:t>Other</w:t>
      </w:r>
      <w:r w:rsidR="00903747" w:rsidRPr="00CF553E">
        <w:rPr>
          <w:spacing w:val="-2"/>
        </w:rPr>
        <w:t>s include</w:t>
      </w:r>
      <w:r w:rsidR="002F6960" w:rsidRPr="00CF553E" w:rsidDel="00903747">
        <w:rPr>
          <w:spacing w:val="-2"/>
        </w:rPr>
        <w:t xml:space="preserve"> </w:t>
      </w:r>
      <w:r w:rsidR="00FD4FE0" w:rsidRPr="00CF553E">
        <w:rPr>
          <w:spacing w:val="-2"/>
        </w:rPr>
        <w:t xml:space="preserve">the </w:t>
      </w:r>
      <w:r w:rsidR="002F6960" w:rsidRPr="00CF553E">
        <w:rPr>
          <w:spacing w:val="-2"/>
        </w:rPr>
        <w:t>wellbeing outcomes generated by the</w:t>
      </w:r>
      <w:r w:rsidR="00FD4FE0" w:rsidRPr="00CF553E">
        <w:rPr>
          <w:spacing w:val="-2"/>
        </w:rPr>
        <w:t xml:space="preserve"> significant amount of unpaid care activity in Australia.</w:t>
      </w:r>
    </w:p>
    <w:p w14:paraId="732DB53F" w14:textId="77777777" w:rsidR="008259FE" w:rsidRPr="00CF553E" w:rsidRDefault="00C863DA" w:rsidP="004E4E24">
      <w:pPr>
        <w:rPr>
          <w:spacing w:val="-2"/>
        </w:rPr>
      </w:pPr>
      <w:r w:rsidRPr="00CF553E">
        <w:rPr>
          <w:spacing w:val="-2"/>
        </w:rPr>
        <w:t xml:space="preserve">As the most recent data point for these metrics is 2018, </w:t>
      </w:r>
      <w:r w:rsidR="00C203CE" w:rsidRPr="00CF553E">
        <w:rPr>
          <w:spacing w:val="-2"/>
        </w:rPr>
        <w:t>they</w:t>
      </w:r>
      <w:r w:rsidRPr="00CF553E">
        <w:rPr>
          <w:spacing w:val="-2"/>
        </w:rPr>
        <w:t xml:space="preserve"> do not capture the impact of </w:t>
      </w:r>
      <w:r w:rsidR="00905E93" w:rsidRPr="00CF553E">
        <w:rPr>
          <w:spacing w:val="-2"/>
        </w:rPr>
        <w:t>investment in disability assistance and aged care services</w:t>
      </w:r>
      <w:r w:rsidR="00C203CE" w:rsidRPr="00CF553E">
        <w:rPr>
          <w:spacing w:val="-2"/>
        </w:rPr>
        <w:t xml:space="preserve"> that has taken place since that time.</w:t>
      </w:r>
    </w:p>
    <w:p w14:paraId="18B59E23" w14:textId="18022FA8" w:rsidR="008259FE" w:rsidRPr="00CF553E" w:rsidRDefault="004A48E8" w:rsidP="00CF553E">
      <w:r w:rsidRPr="00CF553E">
        <w:t>T</w:t>
      </w:r>
      <w:r w:rsidR="00573F76" w:rsidRPr="00CF553E">
        <w:t xml:space="preserve">he Australian, </w:t>
      </w:r>
      <w:r w:rsidR="003B6FB0" w:rsidRPr="00CF553E">
        <w:t>s</w:t>
      </w:r>
      <w:r w:rsidR="00573F76" w:rsidRPr="00CF553E">
        <w:t xml:space="preserve">tate and </w:t>
      </w:r>
      <w:r w:rsidR="003B6FB0" w:rsidRPr="00CF553E">
        <w:t>t</w:t>
      </w:r>
      <w:r w:rsidR="00573F76" w:rsidRPr="00CF553E">
        <w:t xml:space="preserve">erritory </w:t>
      </w:r>
      <w:r w:rsidR="003B6FB0" w:rsidRPr="00CF553E">
        <w:t>g</w:t>
      </w:r>
      <w:r w:rsidR="00573F76" w:rsidRPr="00CF553E">
        <w:t xml:space="preserve">overnments are </w:t>
      </w:r>
      <w:r w:rsidR="00995D7E" w:rsidRPr="00CF553E">
        <w:t>also</w:t>
      </w:r>
      <w:r w:rsidR="00573F76" w:rsidRPr="00CF553E">
        <w:t xml:space="preserve"> working together to develop the National Disability Data Asset</w:t>
      </w:r>
      <w:r w:rsidR="001524A0" w:rsidRPr="00CF553E">
        <w:t xml:space="preserve"> – </w:t>
      </w:r>
      <w:r w:rsidR="00C0610D" w:rsidRPr="00CF553E">
        <w:t>a</w:t>
      </w:r>
      <w:r w:rsidR="00573F76" w:rsidRPr="00CF553E">
        <w:t xml:space="preserve"> single source of information combining data from all levels of government</w:t>
      </w:r>
      <w:r w:rsidRPr="00CF553E">
        <w:t>. It</w:t>
      </w:r>
      <w:r w:rsidR="00573F76" w:rsidRPr="00CF553E">
        <w:t xml:space="preserve"> will aim to give a more complete picture of </w:t>
      </w:r>
      <w:r w:rsidR="008D5DCE" w:rsidRPr="00CF553E">
        <w:t xml:space="preserve">the lived experience of people </w:t>
      </w:r>
      <w:r w:rsidR="00F56909" w:rsidRPr="00CF553E">
        <w:t xml:space="preserve">with </w:t>
      </w:r>
      <w:r w:rsidR="00C110DF" w:rsidRPr="00CF553E">
        <w:t>disability.</w:t>
      </w:r>
    </w:p>
    <w:p w14:paraId="288CE25E" w14:textId="77777777" w:rsidR="00AD1FFB" w:rsidRDefault="00AD1FFB" w:rsidP="00B8112E"/>
    <w:p w14:paraId="74D99CDA" w14:textId="6AE32EF2" w:rsidR="00106F5F" w:rsidRDefault="00106F5F" w:rsidP="00B8112E">
      <w:pPr>
        <w:sectPr w:rsidR="00106F5F" w:rsidSect="00DA302B">
          <w:endnotePr>
            <w:numFmt w:val="decimal"/>
          </w:endnotePr>
          <w:pgSz w:w="11906" w:h="16838"/>
          <w:pgMar w:top="1843" w:right="1418" w:bottom="1418" w:left="1418" w:header="851" w:footer="851" w:gutter="0"/>
          <w:cols w:num="2" w:space="567"/>
        </w:sectPr>
      </w:pPr>
    </w:p>
    <w:p w14:paraId="64387710" w14:textId="77777777" w:rsidR="00CC4230" w:rsidRPr="003B745C" w:rsidRDefault="00CC4230" w:rsidP="00106F5F">
      <w:pPr>
        <w:pStyle w:val="ChartMainHeading"/>
      </w:pPr>
      <w:r w:rsidRPr="003B745C">
        <w:t>Chart 4: The proportion of people who received formal disability or aged care assistance who were satisfied with the quality of assistance</w:t>
      </w:r>
    </w:p>
    <w:p w14:paraId="3F05FFDB" w14:textId="5404A79C" w:rsidR="00CC4230" w:rsidRPr="00DD0886" w:rsidRDefault="00521506" w:rsidP="00106F5F">
      <w:pPr>
        <w:pStyle w:val="ChartGraphic"/>
      </w:pPr>
      <w:r>
        <w:rPr>
          <w:noProof/>
        </w:rPr>
        <w:drawing>
          <wp:inline distT="0" distB="0" distL="0" distR="0" wp14:anchorId="48E6DFC1" wp14:editId="7793FDEB">
            <wp:extent cx="5580000" cy="1810966"/>
            <wp:effectExtent l="0" t="0" r="1905" b="0"/>
            <wp:docPr id="31" name="Picture 31" descr="This chart shows the proportion of people aged 65 years or over who were satisfied with the quality of assistance received from organised and formal services in the 6 months prior to the survey, declining from 88.6 per cent in 2012 to 84.4 per cent in 2018. For disability services, the chart captures the proportion of people with disability aged 15–64 years who were satisfied with the quality of assistance received from organised and formal services in the 6 months prior to the survey, declining from 79.5 per cent in 2012 to 76.6 per cent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hart shows the proportion of people aged 65 years or over who were satisfied with the quality of assistance received from organised and formal services in the 6 months prior to the survey, declining from 88.6 per cent in 2012 to 84.4 per cent in 2018. For disability services, the chart captures the proportion of people with disability aged 15–64 years who were satisfied with the quality of assistance received from organised and formal services in the 6 months prior to the survey, declining from 79.5 per cent in 2012 to 76.6 per cent in 20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000" cy="1810966"/>
                    </a:xfrm>
                    <a:prstGeom prst="rect">
                      <a:avLst/>
                    </a:prstGeom>
                    <a:noFill/>
                    <a:ln>
                      <a:noFill/>
                    </a:ln>
                  </pic:spPr>
                </pic:pic>
              </a:graphicData>
            </a:graphic>
          </wp:inline>
        </w:drawing>
      </w:r>
    </w:p>
    <w:p w14:paraId="5FE3402E" w14:textId="1169749C" w:rsidR="00CC4230" w:rsidRPr="009764EE" w:rsidRDefault="00CC4230" w:rsidP="00106F5F">
      <w:pPr>
        <w:pStyle w:val="ChartorTableNote"/>
      </w:pPr>
      <w:r w:rsidRPr="009764EE">
        <w:t xml:space="preserve">Source: </w:t>
      </w:r>
      <w:r w:rsidR="00151999">
        <w:tab/>
      </w:r>
      <w:r w:rsidRPr="009764EE">
        <w:t xml:space="preserve">Productivity </w:t>
      </w:r>
      <w:r w:rsidRPr="00106F5F">
        <w:t>Commission</w:t>
      </w:r>
      <w:r w:rsidRPr="009764EE">
        <w:t xml:space="preserve"> </w:t>
      </w:r>
      <w:r>
        <w:t xml:space="preserve">(PC) </w:t>
      </w:r>
      <w:r w:rsidRPr="009764EE">
        <w:t>analysis of ABS Survey of Disability, Ageing and Carers, Report on Government Services</w:t>
      </w:r>
    </w:p>
    <w:tbl>
      <w:tblPr>
        <w:tblStyle w:val="MWMKey"/>
        <w:tblW w:w="5040" w:type="pct"/>
        <w:tblLook w:val="0620" w:firstRow="1" w:lastRow="0" w:firstColumn="0" w:lastColumn="0" w:noHBand="1" w:noVBand="1"/>
      </w:tblPr>
      <w:tblGrid>
        <w:gridCol w:w="9143"/>
      </w:tblGrid>
      <w:tr w:rsidR="00A74A94" w:rsidRPr="009764EE" w:rsidDel="00140621" w14:paraId="3DF42022" w14:textId="77777777" w:rsidTr="00A74A94">
        <w:trPr>
          <w:cnfStyle w:val="100000000000" w:firstRow="1" w:lastRow="0" w:firstColumn="0" w:lastColumn="0" w:oddVBand="0" w:evenVBand="0" w:oddHBand="0" w:evenHBand="0" w:firstRowFirstColumn="0" w:firstRowLastColumn="0" w:lastRowFirstColumn="0" w:lastRowLastColumn="0"/>
          <w:trHeight w:val="20"/>
          <w:tblHeader/>
        </w:trPr>
        <w:tc>
          <w:tcPr>
            <w:tcW w:w="5000" w:type="pct"/>
          </w:tcPr>
          <w:p w14:paraId="70F9E5DC" w14:textId="0D3CAF4B" w:rsidR="00A74A94" w:rsidRPr="002B098A" w:rsidRDefault="00A74A94" w:rsidP="00A74A94">
            <w:pPr>
              <w:pStyle w:val="BoxHeading"/>
              <w:spacing w:after="0"/>
            </w:pPr>
            <w:r w:rsidRPr="002B098A">
              <w:lastRenderedPageBreak/>
              <w:t>Key Government initiatives to expand access to health and care services</w:t>
            </w:r>
          </w:p>
        </w:tc>
      </w:tr>
      <w:tr w:rsidR="001F1C36" w:rsidRPr="009764EE" w:rsidDel="00140621" w14:paraId="5095D9E6" w14:textId="77777777" w:rsidTr="00A74A94">
        <w:trPr>
          <w:trHeight w:val="20"/>
        </w:trPr>
        <w:tc>
          <w:tcPr>
            <w:tcW w:w="5000" w:type="pct"/>
            <w:hideMark/>
          </w:tcPr>
          <w:p w14:paraId="33CDCEE0" w14:textId="67099A35" w:rsidR="001F1C36" w:rsidRPr="00F22B53" w:rsidRDefault="001F1C36" w:rsidP="005E1600">
            <w:pPr>
              <w:pStyle w:val="Boxbullet"/>
              <w:rPr>
                <w:lang w:eastAsia="en-US"/>
              </w:rPr>
            </w:pPr>
            <w:r w:rsidRPr="00F22B53">
              <w:rPr>
                <w:lang w:eastAsia="en-US"/>
              </w:rPr>
              <w:t>Strengthening Medicare in the 2023</w:t>
            </w:r>
            <w:r w:rsidR="00151999">
              <w:rPr>
                <w:lang w:eastAsia="en-US"/>
              </w:rPr>
              <w:t>–</w:t>
            </w:r>
            <w:r w:rsidR="00534908" w:rsidRPr="00F22B53">
              <w:rPr>
                <w:lang w:eastAsia="en-US"/>
              </w:rPr>
              <w:softHyphen/>
            </w:r>
            <w:r w:rsidRPr="00F22B53">
              <w:rPr>
                <w:lang w:eastAsia="en-US"/>
              </w:rPr>
              <w:t>24 Budget</w:t>
            </w:r>
            <w:r w:rsidR="00197B9B" w:rsidRPr="00F22B53">
              <w:rPr>
                <w:lang w:eastAsia="en-US"/>
              </w:rPr>
              <w:t>,</w:t>
            </w:r>
            <w:r w:rsidRPr="00F22B53">
              <w:rPr>
                <w:lang w:eastAsia="en-US"/>
              </w:rPr>
              <w:t xml:space="preserve"> including</w:t>
            </w:r>
            <w:r w:rsidR="00007CA9" w:rsidRPr="00F22B53">
              <w:rPr>
                <w:lang w:eastAsia="en-US"/>
              </w:rPr>
              <w:t>:</w:t>
            </w:r>
          </w:p>
          <w:p w14:paraId="79863B5E" w14:textId="4696E89F" w:rsidR="001F1C36" w:rsidRPr="002B098A" w:rsidRDefault="001F1C36" w:rsidP="005E1600">
            <w:pPr>
              <w:pStyle w:val="Boxdash"/>
            </w:pPr>
            <w:r w:rsidRPr="002B098A">
              <w:t>tripling bulk billing incentives to make care more affordable for children, pensioners and other Commonwealth concession card holders</w:t>
            </w:r>
          </w:p>
          <w:p w14:paraId="2DA076BE" w14:textId="690246A7" w:rsidR="001F1C36" w:rsidRPr="002B098A" w:rsidRDefault="00DC5D89" w:rsidP="005E1600">
            <w:pPr>
              <w:pStyle w:val="Boxdash"/>
            </w:pPr>
            <w:r w:rsidRPr="002B098A">
              <w:t>i</w:t>
            </w:r>
            <w:r w:rsidR="001F1C36" w:rsidRPr="002B098A">
              <w:t>mproving digital health to provide health professional</w:t>
            </w:r>
            <w:r w:rsidR="004D7EF9" w:rsidRPr="002B098A">
              <w:t>s</w:t>
            </w:r>
            <w:r w:rsidR="001F1C36" w:rsidRPr="002B098A">
              <w:t xml:space="preserve"> the digital and data tools they need to provide improved care</w:t>
            </w:r>
          </w:p>
          <w:p w14:paraId="7FF81895" w14:textId="3694150E" w:rsidR="001F1C36" w:rsidRPr="002B098A" w:rsidRDefault="001F1C36" w:rsidP="005E1600">
            <w:pPr>
              <w:pStyle w:val="Boxdash"/>
            </w:pPr>
            <w:r w:rsidRPr="002B098A">
              <w:t>enabling GPs, nurses</w:t>
            </w:r>
            <w:r w:rsidR="004D7EF9" w:rsidRPr="002B098A">
              <w:t>,</w:t>
            </w:r>
            <w:r w:rsidRPr="002B098A">
              <w:t xml:space="preserve"> and allied health professionals to deliver multidisciplinary team care and work to their full scope of practice</w:t>
            </w:r>
          </w:p>
          <w:p w14:paraId="6BD409DB" w14:textId="6994B086" w:rsidR="001F1C36" w:rsidRPr="002B098A" w:rsidRDefault="001F1C36" w:rsidP="005E1600">
            <w:pPr>
              <w:pStyle w:val="Boxdash"/>
            </w:pPr>
            <w:r w:rsidRPr="002B098A">
              <w:t>increase access to after hours care</w:t>
            </w:r>
          </w:p>
          <w:p w14:paraId="408B0EF8" w14:textId="76D89E12" w:rsidR="001F1C36" w:rsidRPr="002B098A" w:rsidRDefault="001F1C36" w:rsidP="005E1600">
            <w:pPr>
              <w:pStyle w:val="Boxdash"/>
            </w:pPr>
            <w:r w:rsidRPr="002B098A">
              <w:t>connecting frequent hospital users to general practices</w:t>
            </w:r>
          </w:p>
          <w:p w14:paraId="31CA160A" w14:textId="3FB12AA0" w:rsidR="001F1C36" w:rsidRPr="002B098A" w:rsidRDefault="001F1C36" w:rsidP="005E1600">
            <w:pPr>
              <w:pStyle w:val="Boxdash"/>
            </w:pPr>
            <w:r w:rsidRPr="002B098A">
              <w:t>additional funding to support management of chronic disease, including longer consultations, new incentives</w:t>
            </w:r>
            <w:r w:rsidR="00903F48" w:rsidRPr="002B098A">
              <w:t>,</w:t>
            </w:r>
            <w:r w:rsidRPr="002B098A">
              <w:t xml:space="preserve"> and the MyMedicare voluntary patient registration model</w:t>
            </w:r>
          </w:p>
          <w:p w14:paraId="30BC3E39" w14:textId="6F350B7A" w:rsidR="001F1C36" w:rsidRPr="002B098A" w:rsidRDefault="0034387F" w:rsidP="005E1600">
            <w:pPr>
              <w:pStyle w:val="Boxdash"/>
            </w:pPr>
            <w:r w:rsidRPr="002B098A">
              <w:t>m</w:t>
            </w:r>
            <w:r w:rsidR="001F1C36" w:rsidRPr="002B098A">
              <w:t>ore Medicare Urgent Care Clinics in more places to take pressure off hospitals with no out of pocket costs</w:t>
            </w:r>
          </w:p>
          <w:p w14:paraId="40ABDA36" w14:textId="224F361A" w:rsidR="001F1C36" w:rsidRPr="002B098A" w:rsidRDefault="00951F73" w:rsidP="005E1600">
            <w:pPr>
              <w:pStyle w:val="Boxdash"/>
            </w:pPr>
            <w:r w:rsidRPr="002B098A">
              <w:t>m</w:t>
            </w:r>
            <w:r w:rsidR="001F1C36" w:rsidRPr="002B098A">
              <w:t xml:space="preserve">aking hundreds of common medicines cheaper by </w:t>
            </w:r>
            <w:r w:rsidR="0082729C" w:rsidRPr="002B098A">
              <w:t xml:space="preserve">reducing </w:t>
            </w:r>
            <w:r w:rsidR="001F1C36" w:rsidRPr="002B098A">
              <w:t>the cost for at least</w:t>
            </w:r>
            <w:r w:rsidR="00314667">
              <w:t xml:space="preserve"> </w:t>
            </w:r>
            <w:r w:rsidR="001F1C36" w:rsidRPr="002B098A">
              <w:t>6</w:t>
            </w:r>
            <w:r w:rsidR="00C239AD">
              <w:t> million</w:t>
            </w:r>
            <w:r w:rsidR="001F1C36" w:rsidRPr="002B098A">
              <w:t xml:space="preserve"> Australians</w:t>
            </w:r>
          </w:p>
          <w:p w14:paraId="08D05A99" w14:textId="0ABD2541" w:rsidR="008259FE" w:rsidRPr="006571A3" w:rsidRDefault="00951F73" w:rsidP="005E1600">
            <w:pPr>
              <w:pStyle w:val="Boxdash"/>
            </w:pPr>
            <w:r w:rsidRPr="002B098A">
              <w:t>g</w:t>
            </w:r>
            <w:r w:rsidR="001F1C36" w:rsidRPr="002B098A">
              <w:t>rowing</w:t>
            </w:r>
            <w:r w:rsidR="001F1C36" w:rsidRPr="005D375A">
              <w:t xml:space="preserve"> the health</w:t>
            </w:r>
            <w:r w:rsidR="001F1C36" w:rsidRPr="006571A3">
              <w:t xml:space="preserve"> workforce through more scholarships and training places</w:t>
            </w:r>
          </w:p>
          <w:p w14:paraId="12DC8DE4" w14:textId="70497823" w:rsidR="006635EC" w:rsidRPr="00155BAB" w:rsidRDefault="00EB7FBC" w:rsidP="005E1600">
            <w:pPr>
              <w:pStyle w:val="Boxbullet"/>
              <w:rPr>
                <w:lang w:eastAsia="en-US"/>
              </w:rPr>
            </w:pPr>
            <w:r w:rsidRPr="00155BAB">
              <w:rPr>
                <w:lang w:eastAsia="en-US"/>
              </w:rPr>
              <w:t xml:space="preserve">Funding </w:t>
            </w:r>
            <w:r w:rsidR="002377EB" w:rsidRPr="00155BAB">
              <w:rPr>
                <w:lang w:eastAsia="en-US"/>
              </w:rPr>
              <w:t>a</w:t>
            </w:r>
            <w:r w:rsidRPr="00155BAB">
              <w:rPr>
                <w:lang w:eastAsia="en-US"/>
              </w:rPr>
              <w:t xml:space="preserve"> </w:t>
            </w:r>
            <w:r w:rsidR="009B791F" w:rsidRPr="00155BAB">
              <w:rPr>
                <w:lang w:eastAsia="en-US"/>
              </w:rPr>
              <w:t>15</w:t>
            </w:r>
            <w:r w:rsidR="001524A0">
              <w:rPr>
                <w:lang w:eastAsia="en-US"/>
              </w:rPr>
              <w:t> per c</w:t>
            </w:r>
            <w:r w:rsidR="009B791F" w:rsidRPr="00155BAB">
              <w:rPr>
                <w:lang w:eastAsia="en-US"/>
              </w:rPr>
              <w:t xml:space="preserve">ent </w:t>
            </w:r>
            <w:r w:rsidR="002377EB" w:rsidRPr="00155BAB">
              <w:rPr>
                <w:lang w:eastAsia="en-US"/>
              </w:rPr>
              <w:t>pay rise</w:t>
            </w:r>
            <w:r w:rsidR="009B791F" w:rsidRPr="00155BAB">
              <w:rPr>
                <w:lang w:eastAsia="en-US"/>
              </w:rPr>
              <w:t xml:space="preserve"> </w:t>
            </w:r>
            <w:r w:rsidR="004B7249" w:rsidRPr="00155BAB">
              <w:rPr>
                <w:lang w:eastAsia="en-US"/>
              </w:rPr>
              <w:t>on awar</w:t>
            </w:r>
            <w:r w:rsidR="005914EE" w:rsidRPr="00155BAB">
              <w:rPr>
                <w:lang w:eastAsia="en-US"/>
              </w:rPr>
              <w:t xml:space="preserve">d wages </w:t>
            </w:r>
            <w:r w:rsidR="0081719F" w:rsidRPr="00155BAB">
              <w:rPr>
                <w:lang w:eastAsia="en-US"/>
              </w:rPr>
              <w:t xml:space="preserve">for aged care workers </w:t>
            </w:r>
          </w:p>
          <w:p w14:paraId="06379E96" w14:textId="10DCC270" w:rsidR="00953842" w:rsidRPr="00155BAB" w:rsidRDefault="00C87448" w:rsidP="005E1600">
            <w:pPr>
              <w:pStyle w:val="Boxbullet"/>
              <w:rPr>
                <w:lang w:eastAsia="en-US"/>
              </w:rPr>
            </w:pPr>
            <w:r w:rsidRPr="00155BAB">
              <w:rPr>
                <w:lang w:eastAsia="en-US"/>
              </w:rPr>
              <w:t>Mandate that aged care facilities have a registered nurse onsite</w:t>
            </w:r>
            <w:r w:rsidR="009D195E" w:rsidRPr="00155BAB">
              <w:rPr>
                <w:lang w:eastAsia="en-US"/>
              </w:rPr>
              <w:t xml:space="preserve"> </w:t>
            </w:r>
            <w:r w:rsidR="001F1C36" w:rsidRPr="00155BAB">
              <w:rPr>
                <w:lang w:eastAsia="en-US"/>
              </w:rPr>
              <w:t>24/7</w:t>
            </w:r>
          </w:p>
          <w:p w14:paraId="5B76E4A1" w14:textId="1CBFA2EF" w:rsidR="001F1C36" w:rsidRPr="00155BAB" w:rsidRDefault="004F13F5" w:rsidP="005E1600">
            <w:pPr>
              <w:pStyle w:val="Boxbullet"/>
              <w:rPr>
                <w:lang w:eastAsia="en-US"/>
              </w:rPr>
            </w:pPr>
            <w:r w:rsidRPr="00155BAB">
              <w:rPr>
                <w:lang w:eastAsia="en-US"/>
              </w:rPr>
              <w:t>I</w:t>
            </w:r>
            <w:r w:rsidR="001F1C36" w:rsidRPr="00155BAB">
              <w:rPr>
                <w:lang w:eastAsia="en-US"/>
              </w:rPr>
              <w:t>ncreas</w:t>
            </w:r>
            <w:r w:rsidR="00EB7FBC" w:rsidRPr="00155BAB">
              <w:rPr>
                <w:lang w:eastAsia="en-US"/>
              </w:rPr>
              <w:t xml:space="preserve">e to a mandatory sector wide average of 215 </w:t>
            </w:r>
            <w:r w:rsidR="00621F40" w:rsidRPr="00155BAB">
              <w:rPr>
                <w:lang w:eastAsia="en-US"/>
              </w:rPr>
              <w:t xml:space="preserve">care </w:t>
            </w:r>
            <w:r w:rsidR="00EB7FBC" w:rsidRPr="00155BAB">
              <w:rPr>
                <w:lang w:eastAsia="en-US"/>
              </w:rPr>
              <w:t>minutes (including 44 minutes</w:t>
            </w:r>
            <w:r w:rsidR="00314667">
              <w:rPr>
                <w:lang w:eastAsia="en-US"/>
              </w:rPr>
              <w:t xml:space="preserve"> </w:t>
            </w:r>
            <w:r w:rsidR="00EB7FBC" w:rsidRPr="00155BAB">
              <w:rPr>
                <w:lang w:eastAsia="en-US"/>
              </w:rPr>
              <w:t>of registered nursing time) from 1 October 2024</w:t>
            </w:r>
          </w:p>
          <w:p w14:paraId="7B2DE421" w14:textId="6A311A60" w:rsidR="001F1C36" w:rsidRPr="00155BAB" w:rsidRDefault="001F1C36" w:rsidP="005E1600">
            <w:pPr>
              <w:pStyle w:val="Boxbullet"/>
              <w:rPr>
                <w:lang w:eastAsia="en-US"/>
              </w:rPr>
            </w:pPr>
            <w:r w:rsidRPr="00155BAB">
              <w:rPr>
                <w:lang w:eastAsia="en-US"/>
              </w:rPr>
              <w:t>National Strategy for the Care and Support Economy</w:t>
            </w:r>
          </w:p>
          <w:p w14:paraId="2A95B88E" w14:textId="27079D7A" w:rsidR="001F1C36" w:rsidRPr="00155BAB" w:rsidRDefault="001F1C36" w:rsidP="005E1600">
            <w:pPr>
              <w:pStyle w:val="Boxbullet"/>
              <w:rPr>
                <w:lang w:eastAsia="en-US"/>
              </w:rPr>
            </w:pPr>
            <w:r w:rsidRPr="00155BAB">
              <w:rPr>
                <w:lang w:eastAsia="en-US"/>
              </w:rPr>
              <w:t>National Autism Strategy (forthcoming)</w:t>
            </w:r>
          </w:p>
          <w:p w14:paraId="4CD5EF16" w14:textId="473FAFEB" w:rsidR="001F1C36" w:rsidRPr="00155BAB" w:rsidRDefault="001F1C36" w:rsidP="005E1600">
            <w:pPr>
              <w:pStyle w:val="Boxbullet"/>
              <w:rPr>
                <w:lang w:eastAsia="en-US"/>
              </w:rPr>
            </w:pPr>
            <w:r w:rsidRPr="00155BAB">
              <w:rPr>
                <w:lang w:eastAsia="en-US"/>
              </w:rPr>
              <w:t>National Carer Strategy (forthcoming)</w:t>
            </w:r>
          </w:p>
          <w:p w14:paraId="4641EE1E" w14:textId="78CDB288" w:rsidR="001F1C36" w:rsidRPr="00155BAB" w:rsidRDefault="001F1C36" w:rsidP="005E1600">
            <w:pPr>
              <w:pStyle w:val="Boxbullet"/>
              <w:rPr>
                <w:lang w:eastAsia="en-US"/>
              </w:rPr>
            </w:pPr>
            <w:r w:rsidRPr="00155BAB">
              <w:rPr>
                <w:lang w:eastAsia="en-US"/>
              </w:rPr>
              <w:t>National Disability Insurance Scheme Review (forthcoming)</w:t>
            </w:r>
          </w:p>
          <w:p w14:paraId="6A58C78B" w14:textId="6722BCDA" w:rsidR="001F1C36" w:rsidRPr="00155BAB" w:rsidRDefault="001F1C36" w:rsidP="005E1600">
            <w:pPr>
              <w:pStyle w:val="Boxbullet"/>
              <w:rPr>
                <w:lang w:eastAsia="en-US"/>
              </w:rPr>
            </w:pPr>
            <w:r w:rsidRPr="00155BAB">
              <w:rPr>
                <w:lang w:eastAsia="en-US"/>
              </w:rPr>
              <w:t>National Disability Insurance Scheme Workforce Strategy (forthcoming)</w:t>
            </w:r>
          </w:p>
          <w:p w14:paraId="6AEC06BF" w14:textId="0114B17C" w:rsidR="001F1C36" w:rsidRPr="00155BAB" w:rsidRDefault="001F1C36" w:rsidP="005E1600">
            <w:pPr>
              <w:pStyle w:val="Boxbullet"/>
              <w:rPr>
                <w:lang w:eastAsia="en-US"/>
              </w:rPr>
            </w:pPr>
            <w:r w:rsidRPr="00155BAB">
              <w:rPr>
                <w:lang w:eastAsia="en-US"/>
              </w:rPr>
              <w:t xml:space="preserve">National Disability Insurance Scheme Sustainability </w:t>
            </w:r>
            <w:r w:rsidR="00D543C4" w:rsidRPr="00155BAB">
              <w:rPr>
                <w:lang w:eastAsia="en-US"/>
              </w:rPr>
              <w:t xml:space="preserve">Strategy </w:t>
            </w:r>
            <w:r w:rsidR="008E5939" w:rsidRPr="00155BAB">
              <w:rPr>
                <w:lang w:eastAsia="en-US"/>
              </w:rPr>
              <w:t>Framework</w:t>
            </w:r>
          </w:p>
          <w:p w14:paraId="7BCBB2C3" w14:textId="22BFB168" w:rsidR="001F1C36" w:rsidRPr="009764EE" w:rsidDel="00140621" w:rsidRDefault="001F1C36" w:rsidP="005E1600">
            <w:pPr>
              <w:pStyle w:val="Boxbullet"/>
              <w:rPr>
                <w:lang w:eastAsia="en-US"/>
              </w:rPr>
            </w:pPr>
            <w:r w:rsidRPr="00155BAB">
              <w:rPr>
                <w:lang w:eastAsia="en-US"/>
              </w:rPr>
              <w:t>Improving capability and systems in the National Disability Insurance Agency</w:t>
            </w:r>
          </w:p>
        </w:tc>
      </w:tr>
    </w:tbl>
    <w:p w14:paraId="74222F05" w14:textId="77777777" w:rsidR="005578A9" w:rsidRDefault="005578A9" w:rsidP="005578A9">
      <w:pPr>
        <w:pStyle w:val="SingleParagraph"/>
      </w:pPr>
    </w:p>
    <w:tbl>
      <w:tblPr>
        <w:tblStyle w:val="Style1"/>
        <w:tblW w:w="5000" w:type="pct"/>
        <w:tblLook w:val="0620" w:firstRow="1" w:lastRow="0" w:firstColumn="0" w:lastColumn="0" w:noHBand="1" w:noVBand="1"/>
      </w:tblPr>
      <w:tblGrid>
        <w:gridCol w:w="9070"/>
      </w:tblGrid>
      <w:tr w:rsidR="005578A9" w14:paraId="3D4D6153" w14:textId="77777777" w:rsidTr="008D79E6">
        <w:trPr>
          <w:cnfStyle w:val="100000000000" w:firstRow="1" w:lastRow="0" w:firstColumn="0" w:lastColumn="0" w:oddVBand="0" w:evenVBand="0" w:oddHBand="0" w:evenHBand="0" w:firstRowFirstColumn="0" w:firstRowLastColumn="0" w:lastRowFirstColumn="0" w:lastRowLastColumn="0"/>
        </w:trPr>
        <w:tc>
          <w:tcPr>
            <w:tcW w:w="5000" w:type="pct"/>
            <w:hideMark/>
          </w:tcPr>
          <w:p w14:paraId="5E72C8AD" w14:textId="2760324E" w:rsidR="005578A9" w:rsidRPr="002B098A" w:rsidRDefault="005578A9" w:rsidP="005578A9">
            <w:pPr>
              <w:pStyle w:val="BoxHeading"/>
            </w:pPr>
            <w:r w:rsidRPr="002B098A">
              <w:lastRenderedPageBreak/>
              <w:t>Box 3: Valuing non</w:t>
            </w:r>
            <w:r w:rsidR="00135DEA">
              <w:noBreakHyphen/>
            </w:r>
            <w:r w:rsidRPr="002B098A">
              <w:t>market transactions</w:t>
            </w:r>
          </w:p>
          <w:p w14:paraId="74898A68" w14:textId="77777777" w:rsidR="005578A9" w:rsidRPr="002B098A" w:rsidRDefault="005578A9" w:rsidP="005578A9">
            <w:pPr>
              <w:pStyle w:val="BoxText"/>
            </w:pPr>
            <w:r w:rsidRPr="002B098A">
              <w:t>Some stakeholders emphasised the importance of estimating and monitoring the monetary value of activities not captured by GDP.</w:t>
            </w:r>
          </w:p>
          <w:p w14:paraId="5B8FB7C2" w14:textId="62A623E4" w:rsidR="005578A9" w:rsidRPr="002B098A" w:rsidRDefault="005578A9" w:rsidP="005578A9">
            <w:pPr>
              <w:pStyle w:val="BoxText"/>
            </w:pPr>
            <w:r w:rsidRPr="002B098A">
              <w:t>GDP captures the production of a wide range of goods and services that contribute to wellbeing, but people</w:t>
            </w:r>
            <w:r w:rsidR="00135DEA">
              <w:t>’</w:t>
            </w:r>
            <w:r w:rsidRPr="002B098A">
              <w:t xml:space="preserve">s wellbeing is affected by many factors that are </w:t>
            </w:r>
            <w:r w:rsidR="00135DEA">
              <w:t>‘</w:t>
            </w:r>
            <w:r w:rsidRPr="002B098A">
              <w:t>beyond GDP</w:t>
            </w:r>
            <w:r w:rsidR="00135DEA">
              <w:t>’</w:t>
            </w:r>
            <w:r w:rsidRPr="002B098A">
              <w:t>. These factors include the benefits derived from environmental services</w:t>
            </w:r>
            <w:r w:rsidR="001524A0">
              <w:t xml:space="preserve"> – </w:t>
            </w:r>
            <w:r w:rsidRPr="002B098A">
              <w:t>such as air filtration, water purification and flood mitigation</w:t>
            </w:r>
            <w:r w:rsidR="001524A0">
              <w:t xml:space="preserve"> – </w:t>
            </w:r>
            <w:r w:rsidRPr="002B098A">
              <w:t>and the benefits from unpaid household service work</w:t>
            </w:r>
            <w:r w:rsidR="001524A0">
              <w:t xml:space="preserve"> – </w:t>
            </w:r>
            <w:r w:rsidRPr="002B098A">
              <w:t>including cooking, cleaning, caring, and transportation.</w:t>
            </w:r>
          </w:p>
          <w:p w14:paraId="3389709C" w14:textId="3165F514" w:rsidR="005578A9" w:rsidRPr="002B098A" w:rsidRDefault="005578A9" w:rsidP="005578A9">
            <w:pPr>
              <w:pStyle w:val="BoxText"/>
            </w:pPr>
            <w:r w:rsidRPr="002B098A">
              <w:t>Many of these benefits that are outside the scope of GDP can be quantified. For example, through time</w:t>
            </w:r>
            <w:r w:rsidR="00135DEA">
              <w:noBreakHyphen/>
            </w:r>
            <w:r w:rsidRPr="002B098A">
              <w:t>use surveys we can estimate the amount of time that households undertake unpaid work. We can also consider measuring the quality of those benefits and how they impact people</w:t>
            </w:r>
            <w:r w:rsidR="00135DEA">
              <w:t>’</w:t>
            </w:r>
            <w:r w:rsidRPr="002B098A">
              <w:t>s wellbeing.</w:t>
            </w:r>
          </w:p>
          <w:p w14:paraId="3AB1D010" w14:textId="1F794337" w:rsidR="005578A9" w:rsidRPr="002B098A" w:rsidRDefault="005578A9" w:rsidP="005578A9">
            <w:pPr>
              <w:pStyle w:val="BoxText"/>
            </w:pPr>
            <w:r w:rsidRPr="002B098A">
              <w:t>These benefits are commonly referred to as non</w:t>
            </w:r>
            <w:r w:rsidR="00135DEA">
              <w:noBreakHyphen/>
            </w:r>
            <w:r w:rsidRPr="002B098A">
              <w:t>market benefits. While estimating the monetary value for non</w:t>
            </w:r>
            <w:r w:rsidR="00135DEA">
              <w:noBreakHyphen/>
            </w:r>
            <w:r w:rsidRPr="002B098A">
              <w:t>market benefits will not capture all of the importance of these activities to people</w:t>
            </w:r>
            <w:r w:rsidR="00135DEA">
              <w:t>’</w:t>
            </w:r>
            <w:r w:rsidRPr="002B098A">
              <w:t>s wellbeing, the valuation can be relevant in supporting policy and decision making. For example, understanding the monetary value of unpaid household service work can support a better understanding of the trade</w:t>
            </w:r>
            <w:r w:rsidR="00135DEA">
              <w:noBreakHyphen/>
            </w:r>
            <w:r w:rsidRPr="002B098A">
              <w:t>offs that households make in their allocation of time, and understanding the monetary value of environmental services can inform cost benefit analysis between alternative investments in the environment. Finding consistent ways to value these benefits and costs help policy makers to understand the relevant trade</w:t>
            </w:r>
            <w:r w:rsidR="00135DEA">
              <w:noBreakHyphen/>
            </w:r>
            <w:r w:rsidRPr="002B098A">
              <w:t>offs that need to be balanced against each other.</w:t>
            </w:r>
          </w:p>
          <w:p w14:paraId="5287C2EA" w14:textId="4DD63E13" w:rsidR="005578A9" w:rsidRDefault="005578A9" w:rsidP="005578A9">
            <w:pPr>
              <w:pStyle w:val="BoxText"/>
              <w:rPr>
                <w:lang w:eastAsia="en-US"/>
              </w:rPr>
            </w:pPr>
            <w:r w:rsidRPr="002B098A">
              <w:t>Although developing monetary value of non</w:t>
            </w:r>
            <w:r w:rsidR="00135DEA">
              <w:noBreakHyphen/>
            </w:r>
            <w:r w:rsidRPr="002B098A">
              <w:t>market activities has merit, it is not the purpose of this Framework.</w:t>
            </w:r>
            <w:r w:rsidR="0018155B">
              <w:t xml:space="preserve"> </w:t>
            </w:r>
            <w:r w:rsidRPr="002B098A">
              <w:t>The focus is more on how well we achieve our goals or outcomes that contribute to wellbeing, such as the level of unmet needs or quality of care services.</w:t>
            </w:r>
          </w:p>
        </w:tc>
      </w:tr>
    </w:tbl>
    <w:p w14:paraId="5C9B9095" w14:textId="77777777" w:rsidR="005578A9" w:rsidRDefault="005578A9" w:rsidP="005578A9">
      <w:pPr>
        <w:pStyle w:val="SingleParagraph"/>
      </w:pPr>
    </w:p>
    <w:p w14:paraId="786FED97" w14:textId="77777777" w:rsidR="004C272D" w:rsidRDefault="004C272D" w:rsidP="00B8112E">
      <w:pPr>
        <w:sectPr w:rsidR="004C272D" w:rsidSect="00DA302B">
          <w:endnotePr>
            <w:numFmt w:val="decimal"/>
          </w:endnotePr>
          <w:type w:val="continuous"/>
          <w:pgSz w:w="11906" w:h="16838"/>
          <w:pgMar w:top="1843" w:right="1418" w:bottom="1418" w:left="1418" w:header="851" w:footer="851" w:gutter="0"/>
          <w:cols w:space="567"/>
        </w:sectPr>
      </w:pPr>
    </w:p>
    <w:p w14:paraId="257B98F3" w14:textId="7FB9950E" w:rsidR="00515A97" w:rsidRPr="00037C32" w:rsidRDefault="00515A97" w:rsidP="00037C32">
      <w:pPr>
        <w:pStyle w:val="Heading1"/>
      </w:pPr>
      <w:bookmarkStart w:id="54" w:name="_Toc140164494"/>
      <w:bookmarkStart w:id="55" w:name="_Toc147497669"/>
      <w:bookmarkStart w:id="56" w:name="_Hlk138954595"/>
      <w:r w:rsidRPr="009764EE">
        <w:lastRenderedPageBreak/>
        <w:t>Secure</w:t>
      </w:r>
      <w:bookmarkEnd w:id="54"/>
      <w:bookmarkEnd w:id="55"/>
    </w:p>
    <w:bookmarkEnd w:id="56"/>
    <w:p w14:paraId="25A02BEF" w14:textId="107068AB" w:rsidR="00515A97" w:rsidRPr="009764EE" w:rsidRDefault="00515A97" w:rsidP="00037C32">
      <w:pPr>
        <w:pStyle w:val="IntrotextMWM"/>
      </w:pPr>
      <w:r w:rsidRPr="009764EE">
        <w:rPr>
          <w:rFonts w:eastAsia="Arial"/>
        </w:rPr>
        <w:t>A society</w:t>
      </w:r>
      <w:r w:rsidRPr="009764EE">
        <w:t xml:space="preserve"> where </w:t>
      </w:r>
      <w:r w:rsidRPr="00037C32">
        <w:t>people</w:t>
      </w:r>
      <w:r w:rsidRPr="009764EE">
        <w:t xml:space="preserve"> live peacefully, feel safe, have financial security and access</w:t>
      </w:r>
      <w:r w:rsidR="001524A0">
        <w:t> </w:t>
      </w:r>
      <w:r w:rsidRPr="009764EE">
        <w:t>to</w:t>
      </w:r>
      <w:r w:rsidR="001524A0">
        <w:t> </w:t>
      </w:r>
      <w:r w:rsidRPr="009764EE">
        <w:t>housing.</w:t>
      </w:r>
    </w:p>
    <w:p w14:paraId="5787C598" w14:textId="77777777" w:rsidR="001524A0" w:rsidRDefault="00135DEA" w:rsidP="00037C32">
      <w:pPr>
        <w:pStyle w:val="Quote"/>
      </w:pPr>
      <w:r>
        <w:t>“</w:t>
      </w:r>
      <w:r w:rsidR="00515A97" w:rsidRPr="009764EE">
        <w:t xml:space="preserve">All Australians </w:t>
      </w:r>
      <w:r w:rsidR="00515A97" w:rsidRPr="00037C32">
        <w:t>should</w:t>
      </w:r>
      <w:r w:rsidR="00515A97" w:rsidRPr="009764EE">
        <w:t xml:space="preserve"> live in safe, resilient and vibrant communities where they have equitable access to the </w:t>
      </w:r>
      <w:r w:rsidR="00515A97" w:rsidRPr="00FB733B">
        <w:t>necessary goods and services that underpin</w:t>
      </w:r>
      <w:r w:rsidR="00515A97" w:rsidRPr="00FB733B" w:rsidDel="00FB733B">
        <w:t xml:space="preserve"> </w:t>
      </w:r>
      <w:r w:rsidR="00515A97" w:rsidRPr="009764EE">
        <w:t>their health and wellbeing.</w:t>
      </w:r>
      <w:r>
        <w:t>”</w:t>
      </w:r>
      <w:r w:rsidR="00515A97" w:rsidRPr="005049F1">
        <w:rPr>
          <w:rStyle w:val="FootnoteReference"/>
        </w:rPr>
        <w:endnoteReference w:id="25"/>
      </w:r>
    </w:p>
    <w:p w14:paraId="5326A5BD" w14:textId="094C3AAE" w:rsidR="00515A97" w:rsidRPr="006C461E" w:rsidRDefault="00151999" w:rsidP="00037C32">
      <w:pPr>
        <w:pStyle w:val="Quote"/>
      </w:pPr>
      <w:r>
        <w:t>–</w:t>
      </w:r>
      <w:r w:rsidR="00515A97" w:rsidRPr="009764EE">
        <w:t xml:space="preserve"> VicHealth submission</w:t>
      </w:r>
    </w:p>
    <w:p w14:paraId="01BD6241" w14:textId="3E223C7C" w:rsidR="00AD09D0" w:rsidRPr="009764EE" w:rsidRDefault="00F73964" w:rsidP="00037C32">
      <w:pPr>
        <w:pStyle w:val="Heading2"/>
        <w:spacing w:before="240"/>
      </w:pPr>
      <w:bookmarkStart w:id="57" w:name="_Toc147497670"/>
      <w:r w:rsidRPr="009764EE">
        <w:t xml:space="preserve">Living peacefully and </w:t>
      </w:r>
      <w:r w:rsidRPr="006C461E">
        <w:t>feeling</w:t>
      </w:r>
      <w:r w:rsidRPr="009764EE">
        <w:t xml:space="preserve"> safe</w:t>
      </w:r>
      <w:bookmarkEnd w:id="57"/>
    </w:p>
    <w:tbl>
      <w:tblPr>
        <w:tblStyle w:val="MWMTables"/>
        <w:tblW w:w="5071" w:type="pct"/>
        <w:tblLayout w:type="fixed"/>
        <w:tblLook w:val="06A0" w:firstRow="1" w:lastRow="0" w:firstColumn="1" w:lastColumn="0" w:noHBand="1" w:noVBand="1"/>
      </w:tblPr>
      <w:tblGrid>
        <w:gridCol w:w="1134"/>
        <w:gridCol w:w="2553"/>
        <w:gridCol w:w="2552"/>
        <w:gridCol w:w="1479"/>
        <w:gridCol w:w="1481"/>
      </w:tblGrid>
      <w:tr w:rsidR="00D54EDD" w:rsidRPr="009764EE" w14:paraId="145055D3" w14:textId="77777777" w:rsidTr="007143BC">
        <w:trPr>
          <w:cnfStyle w:val="100000000000" w:firstRow="1" w:lastRow="0" w:firstColumn="0" w:lastColumn="0" w:oddVBand="0" w:evenVBand="0" w:oddHBand="0" w:evenHBand="0" w:firstRowFirstColumn="0" w:firstRowLastColumn="0" w:lastRowFirstColumn="0" w:lastRowLastColumn="0"/>
          <w:trHeight w:val="20"/>
        </w:trPr>
        <w:tc>
          <w:tcPr>
            <w:tcW w:w="616" w:type="pct"/>
          </w:tcPr>
          <w:p w14:paraId="1587C52F" w14:textId="77777777" w:rsidR="00F73964" w:rsidRPr="009764EE" w:rsidRDefault="00F73964" w:rsidP="00E4165F">
            <w:pPr>
              <w:pStyle w:val="TableColumnHeadingLeft"/>
            </w:pPr>
            <w:r w:rsidRPr="009764EE">
              <w:t xml:space="preserve">Indicator </w:t>
            </w:r>
          </w:p>
        </w:tc>
        <w:tc>
          <w:tcPr>
            <w:tcW w:w="1387" w:type="pct"/>
          </w:tcPr>
          <w:p w14:paraId="14A4540C" w14:textId="77777777" w:rsidR="00F73964" w:rsidRPr="009764EE" w:rsidRDefault="00F73964" w:rsidP="00E4165F">
            <w:pPr>
              <w:pStyle w:val="TableColumnHeadingLeft"/>
            </w:pPr>
            <w:r w:rsidRPr="009764EE">
              <w:t xml:space="preserve">Metric </w:t>
            </w:r>
          </w:p>
        </w:tc>
        <w:tc>
          <w:tcPr>
            <w:tcW w:w="1387" w:type="pct"/>
          </w:tcPr>
          <w:p w14:paraId="7F391E22" w14:textId="77777777" w:rsidR="00F73964" w:rsidRPr="009764EE" w:rsidRDefault="00F73964" w:rsidP="00E4165F">
            <w:pPr>
              <w:pStyle w:val="TableColumnHeadingLeft"/>
            </w:pPr>
            <w:r w:rsidRPr="009764EE">
              <w:t xml:space="preserve">Why this metric </w:t>
            </w:r>
          </w:p>
        </w:tc>
        <w:tc>
          <w:tcPr>
            <w:tcW w:w="804" w:type="pct"/>
          </w:tcPr>
          <w:p w14:paraId="4D45ED05" w14:textId="20DF7079" w:rsidR="00F73964" w:rsidRPr="009764EE" w:rsidRDefault="00106661" w:rsidP="00E4165F">
            <w:pPr>
              <w:pStyle w:val="TableColumnHeadingLeft"/>
            </w:pPr>
            <w:r w:rsidRPr="009764EE">
              <w:t>Progress</w:t>
            </w:r>
          </w:p>
        </w:tc>
        <w:tc>
          <w:tcPr>
            <w:tcW w:w="805" w:type="pct"/>
          </w:tcPr>
          <w:p w14:paraId="0EA2BD99" w14:textId="7287B0FE" w:rsidR="00F73964" w:rsidRPr="009764EE" w:rsidRDefault="00F73964" w:rsidP="00E4165F">
            <w:pPr>
              <w:pStyle w:val="TableColumnHeadingLeft"/>
            </w:pPr>
            <w:r w:rsidRPr="009764EE">
              <w:t>Latest Value</w:t>
            </w:r>
            <w:r w:rsidR="00D83EB4" w:rsidRPr="005049F1">
              <w:rPr>
                <w:rStyle w:val="FootnoteReference"/>
              </w:rPr>
              <w:t>(i)</w:t>
            </w:r>
          </w:p>
        </w:tc>
      </w:tr>
      <w:tr w:rsidR="007143BC" w:rsidRPr="009764EE" w14:paraId="53FCCCA3" w14:textId="77777777" w:rsidTr="007143BC">
        <w:trPr>
          <w:trHeight w:val="20"/>
        </w:trPr>
        <w:tc>
          <w:tcPr>
            <w:tcW w:w="616" w:type="pct"/>
          </w:tcPr>
          <w:p w14:paraId="68F93ED1" w14:textId="5A4DEDC5" w:rsidR="00F73964" w:rsidRPr="00DC66F4" w:rsidRDefault="00F73964" w:rsidP="008D79E6">
            <w:pPr>
              <w:pStyle w:val="TableTextLeft"/>
              <w:rPr>
                <w:b/>
                <w:bCs/>
                <w:color w:val="082C44"/>
              </w:rPr>
            </w:pPr>
            <w:r w:rsidRPr="00DC66F4">
              <w:rPr>
                <w:b/>
                <w:bCs/>
                <w:color w:val="082C44"/>
              </w:rPr>
              <w:t>Feeling of safety</w:t>
            </w:r>
          </w:p>
        </w:tc>
        <w:tc>
          <w:tcPr>
            <w:tcW w:w="1387" w:type="pct"/>
            <w:tcBorders>
              <w:bottom w:val="single" w:sz="4" w:space="0" w:color="216364"/>
            </w:tcBorders>
          </w:tcPr>
          <w:p w14:paraId="3CEBB67C" w14:textId="741D5DB1" w:rsidR="00F73964" w:rsidRPr="004E61CF" w:rsidRDefault="00F73964" w:rsidP="008D79E6">
            <w:pPr>
              <w:pStyle w:val="TableTextLeft"/>
              <w:rPr>
                <w:spacing w:val="-2"/>
              </w:rPr>
            </w:pPr>
            <w:r w:rsidRPr="004E61CF">
              <w:rPr>
                <w:spacing w:val="-2"/>
              </w:rPr>
              <w:t xml:space="preserve">Proportion of people who felt </w:t>
            </w:r>
            <w:r w:rsidR="00135DEA" w:rsidRPr="004E61CF">
              <w:rPr>
                <w:spacing w:val="-2"/>
              </w:rPr>
              <w:t>‘</w:t>
            </w:r>
            <w:r w:rsidRPr="004E61CF">
              <w:rPr>
                <w:spacing w:val="-2"/>
              </w:rPr>
              <w:t>safe</w:t>
            </w:r>
            <w:r w:rsidR="00135DEA" w:rsidRPr="004E61CF">
              <w:rPr>
                <w:spacing w:val="-2"/>
              </w:rPr>
              <w:t>’</w:t>
            </w:r>
            <w:r w:rsidRPr="004E61CF">
              <w:rPr>
                <w:spacing w:val="-2"/>
              </w:rPr>
              <w:t xml:space="preserve"> or </w:t>
            </w:r>
            <w:r w:rsidR="00135DEA" w:rsidRPr="004E61CF">
              <w:rPr>
                <w:spacing w:val="-2"/>
              </w:rPr>
              <w:t>‘</w:t>
            </w:r>
            <w:r w:rsidRPr="004E61CF">
              <w:rPr>
                <w:spacing w:val="-2"/>
              </w:rPr>
              <w:t>very safe</w:t>
            </w:r>
            <w:r w:rsidR="00135DEA" w:rsidRPr="004E61CF">
              <w:rPr>
                <w:spacing w:val="-2"/>
              </w:rPr>
              <w:t>’</w:t>
            </w:r>
            <w:r w:rsidRPr="004E61CF">
              <w:rPr>
                <w:spacing w:val="-2"/>
              </w:rPr>
              <w:t xml:space="preserve"> walking alone during the day and night</w:t>
            </w:r>
            <w:r w:rsidRPr="004E61CF">
              <w:rPr>
                <w:rStyle w:val="TableFootnoteReference"/>
                <w:rFonts w:ascii="Calibri Light" w:hAnsi="Calibri Light"/>
                <w:spacing w:val="-2"/>
              </w:rPr>
              <w:t>(a)</w:t>
            </w:r>
            <w:r w:rsidRPr="004E61CF">
              <w:rPr>
                <w:spacing w:val="-2"/>
              </w:rPr>
              <w:t xml:space="preserve"> </w:t>
            </w:r>
          </w:p>
        </w:tc>
        <w:tc>
          <w:tcPr>
            <w:tcW w:w="1387" w:type="pct"/>
            <w:tcBorders>
              <w:bottom w:val="single" w:sz="4" w:space="0" w:color="216364"/>
            </w:tcBorders>
          </w:tcPr>
          <w:p w14:paraId="39C495BA" w14:textId="5C768473" w:rsidR="00F73964" w:rsidRPr="006C461E" w:rsidRDefault="00F73964" w:rsidP="006C461E">
            <w:pPr>
              <w:pStyle w:val="TableTextLeft"/>
            </w:pPr>
            <w:r w:rsidRPr="006C461E">
              <w:t xml:space="preserve">Shows an overall subjective feeling of safety for people in their community </w:t>
            </w:r>
          </w:p>
        </w:tc>
        <w:tc>
          <w:tcPr>
            <w:tcW w:w="804" w:type="pct"/>
            <w:tcBorders>
              <w:bottom w:val="single" w:sz="4" w:space="0" w:color="216364"/>
            </w:tcBorders>
          </w:tcPr>
          <w:p w14:paraId="44851EE9" w14:textId="6B9A50E8" w:rsidR="00843AC8" w:rsidRPr="006C461E" w:rsidRDefault="00A56C1D" w:rsidP="006C461E">
            <w:pPr>
              <w:pStyle w:val="TableTextCentered"/>
            </w:pPr>
            <w:r w:rsidRPr="006C461E">
              <w:rPr>
                <w:rFonts w:eastAsia="Century Gothic"/>
              </w:rPr>
              <w:t>Improved</w:t>
            </w:r>
          </w:p>
          <w:p w14:paraId="2DFC9134" w14:textId="4D54A13A" w:rsidR="00F73964" w:rsidRPr="006C461E" w:rsidRDefault="00F73964" w:rsidP="006C461E">
            <w:pPr>
              <w:pStyle w:val="TableTextCentered"/>
            </w:pPr>
            <w:r w:rsidRPr="006C461E">
              <w:t>201</w:t>
            </w:r>
            <w:r w:rsidR="007B043A" w:rsidRPr="006C461E">
              <w:t>2</w:t>
            </w:r>
            <w:r w:rsidR="00151999" w:rsidRPr="006C461E">
              <w:t>–</w:t>
            </w:r>
            <w:r w:rsidR="007B043A" w:rsidRPr="006C461E">
              <w:t>13</w:t>
            </w:r>
            <w:r w:rsidR="00C25FE0" w:rsidRPr="006C461E">
              <w:t xml:space="preserve"> to</w:t>
            </w:r>
            <w:r w:rsidR="00312038" w:rsidRPr="006C461E">
              <w:t xml:space="preserve"> </w:t>
            </w:r>
            <w:r w:rsidRPr="006C461E">
              <w:t>2021</w:t>
            </w:r>
            <w:r w:rsidR="008D79E6" w:rsidRPr="006C461E">
              <w:t>–‍‍</w:t>
            </w:r>
            <w:r w:rsidRPr="006C461E">
              <w:t>22</w:t>
            </w:r>
          </w:p>
        </w:tc>
        <w:tc>
          <w:tcPr>
            <w:tcW w:w="805" w:type="pct"/>
            <w:tcBorders>
              <w:bottom w:val="single" w:sz="4" w:space="0" w:color="216364"/>
            </w:tcBorders>
          </w:tcPr>
          <w:p w14:paraId="4D5B4BF6" w14:textId="54E84373" w:rsidR="00F73964" w:rsidRPr="008D79E6" w:rsidRDefault="00F73964" w:rsidP="008D79E6">
            <w:pPr>
              <w:pStyle w:val="TableTextCentered"/>
            </w:pPr>
            <w:r w:rsidRPr="008D79E6">
              <w:t>53.8% (night)</w:t>
            </w:r>
          </w:p>
          <w:p w14:paraId="7435EE1D" w14:textId="2276E83D" w:rsidR="00F73964" w:rsidRPr="008D79E6" w:rsidRDefault="00F73964" w:rsidP="008D79E6">
            <w:pPr>
              <w:pStyle w:val="TableTextCentered"/>
            </w:pPr>
            <w:r w:rsidRPr="008D79E6">
              <w:t>91.5% (day)</w:t>
            </w:r>
          </w:p>
        </w:tc>
      </w:tr>
      <w:tr w:rsidR="007143BC" w:rsidRPr="009764EE" w14:paraId="25D53FBD" w14:textId="77777777" w:rsidTr="007143BC">
        <w:trPr>
          <w:trHeight w:val="20"/>
        </w:trPr>
        <w:tc>
          <w:tcPr>
            <w:tcW w:w="616" w:type="pct"/>
            <w:vMerge w:val="restart"/>
          </w:tcPr>
          <w:p w14:paraId="24437E08" w14:textId="7528D2E4" w:rsidR="00F73964" w:rsidRPr="00DC66F4" w:rsidRDefault="00F73964" w:rsidP="008D79E6">
            <w:pPr>
              <w:pStyle w:val="TableTextLeft"/>
              <w:rPr>
                <w:b/>
                <w:bCs/>
                <w:color w:val="082C44"/>
              </w:rPr>
            </w:pPr>
            <w:r w:rsidRPr="00DC66F4">
              <w:rPr>
                <w:b/>
                <w:bCs/>
                <w:color w:val="082C44"/>
              </w:rPr>
              <w:t xml:space="preserve">Experience of violence </w:t>
            </w:r>
          </w:p>
        </w:tc>
        <w:tc>
          <w:tcPr>
            <w:tcW w:w="1387" w:type="pct"/>
            <w:tcBorders>
              <w:top w:val="single" w:sz="4" w:space="0" w:color="216364"/>
              <w:bottom w:val="single" w:sz="4" w:space="0" w:color="EEEEEE" w:themeColor="background2"/>
            </w:tcBorders>
          </w:tcPr>
          <w:p w14:paraId="4C46B333" w14:textId="0C17F248" w:rsidR="00F73964" w:rsidRPr="00344759" w:rsidRDefault="00F73964" w:rsidP="008D79E6">
            <w:pPr>
              <w:pStyle w:val="TableTextLeft"/>
            </w:pPr>
            <w:r w:rsidRPr="00344759">
              <w:t>Proportion of people who experienced physical violence in last 12 months</w:t>
            </w:r>
            <w:r w:rsidRPr="00C239AD">
              <w:rPr>
                <w:rStyle w:val="TableFootnoteReference"/>
              </w:rPr>
              <w:t>(b)</w:t>
            </w:r>
          </w:p>
        </w:tc>
        <w:tc>
          <w:tcPr>
            <w:tcW w:w="1387" w:type="pct"/>
            <w:tcBorders>
              <w:top w:val="single" w:sz="4" w:space="0" w:color="216364"/>
              <w:bottom w:val="single" w:sz="4" w:space="0" w:color="EEEEEE" w:themeColor="background2"/>
            </w:tcBorders>
          </w:tcPr>
          <w:p w14:paraId="20BBE3DF" w14:textId="6CE1B5E2" w:rsidR="00F73964" w:rsidRPr="006C461E" w:rsidRDefault="00F73964" w:rsidP="006C461E">
            <w:pPr>
              <w:pStyle w:val="TableTextLeft"/>
            </w:pPr>
            <w:r w:rsidRPr="006C461E">
              <w:t>Most common form of violence for men and women</w:t>
            </w:r>
          </w:p>
        </w:tc>
        <w:tc>
          <w:tcPr>
            <w:tcW w:w="804" w:type="pct"/>
            <w:tcBorders>
              <w:top w:val="single" w:sz="4" w:space="0" w:color="216364"/>
              <w:bottom w:val="single" w:sz="4" w:space="0" w:color="EEEEEE" w:themeColor="background2"/>
            </w:tcBorders>
          </w:tcPr>
          <w:p w14:paraId="44938317" w14:textId="60550F49" w:rsidR="00843AC8" w:rsidRPr="006C461E" w:rsidRDefault="00970986" w:rsidP="006C461E">
            <w:pPr>
              <w:pStyle w:val="TableTextCentered"/>
            </w:pPr>
            <w:r w:rsidRPr="006C461E">
              <w:rPr>
                <w:rFonts w:eastAsia="Century Gothic"/>
              </w:rPr>
              <w:t>Improved</w:t>
            </w:r>
          </w:p>
          <w:p w14:paraId="1DCF0749" w14:textId="388C143E" w:rsidR="00F73964" w:rsidRPr="006C461E" w:rsidRDefault="00F73964" w:rsidP="006C461E">
            <w:pPr>
              <w:pStyle w:val="TableTextCentered"/>
            </w:pPr>
            <w:r w:rsidRPr="006C461E">
              <w:t>2005</w:t>
            </w:r>
            <w:r w:rsidR="00C25FE0" w:rsidRPr="006C461E">
              <w:t xml:space="preserve"> to </w:t>
            </w:r>
            <w:r w:rsidRPr="006C461E">
              <w:t>2021</w:t>
            </w:r>
            <w:r w:rsidR="00151999" w:rsidRPr="006C461E">
              <w:t>–</w:t>
            </w:r>
            <w:r w:rsidR="008D79E6" w:rsidRPr="006C461E">
              <w:t>‍</w:t>
            </w:r>
            <w:r w:rsidRPr="006C461E">
              <w:t>22</w:t>
            </w:r>
          </w:p>
        </w:tc>
        <w:tc>
          <w:tcPr>
            <w:tcW w:w="805" w:type="pct"/>
            <w:tcBorders>
              <w:top w:val="single" w:sz="4" w:space="0" w:color="216364"/>
              <w:bottom w:val="single" w:sz="4" w:space="0" w:color="EEEEEE" w:themeColor="background2"/>
            </w:tcBorders>
          </w:tcPr>
          <w:p w14:paraId="65A65472" w14:textId="5FFABA4C" w:rsidR="00BC2E56" w:rsidRPr="008D79E6" w:rsidRDefault="00BC2E56" w:rsidP="008D79E6">
            <w:pPr>
              <w:pStyle w:val="TableTextCentered"/>
            </w:pPr>
            <w:r w:rsidRPr="008D79E6">
              <w:t>Female: 2.9%</w:t>
            </w:r>
          </w:p>
          <w:p w14:paraId="7D078DBB" w14:textId="0280E8E1" w:rsidR="00F73964" w:rsidRPr="008D79E6" w:rsidRDefault="00BC2E56" w:rsidP="008D79E6">
            <w:pPr>
              <w:pStyle w:val="TableTextCentered"/>
            </w:pPr>
            <w:r w:rsidRPr="008D79E6">
              <w:t xml:space="preserve">Male: </w:t>
            </w:r>
            <w:r w:rsidR="00F73964" w:rsidRPr="008D79E6">
              <w:t>6.1%</w:t>
            </w:r>
          </w:p>
        </w:tc>
      </w:tr>
      <w:tr w:rsidR="007143BC" w:rsidRPr="009764EE" w14:paraId="39DE9930" w14:textId="77777777" w:rsidTr="007143BC">
        <w:trPr>
          <w:trHeight w:val="20"/>
        </w:trPr>
        <w:tc>
          <w:tcPr>
            <w:tcW w:w="616" w:type="pct"/>
            <w:vMerge/>
          </w:tcPr>
          <w:p w14:paraId="00FAF26E" w14:textId="77777777" w:rsidR="00F73964" w:rsidRPr="00DC66F4" w:rsidRDefault="00F73964" w:rsidP="008D79E6">
            <w:pPr>
              <w:pStyle w:val="TableTextLeft"/>
              <w:rPr>
                <w:b/>
                <w:bCs/>
                <w:color w:val="082C44"/>
              </w:rPr>
            </w:pPr>
          </w:p>
        </w:tc>
        <w:tc>
          <w:tcPr>
            <w:tcW w:w="1387" w:type="pct"/>
            <w:tcBorders>
              <w:top w:val="single" w:sz="4" w:space="0" w:color="EEEEEE" w:themeColor="background2"/>
            </w:tcBorders>
          </w:tcPr>
          <w:p w14:paraId="3633255A" w14:textId="362C4380" w:rsidR="00F73964" w:rsidRPr="00C471B0" w:rsidRDefault="00F73964" w:rsidP="008D79E6">
            <w:pPr>
              <w:pStyle w:val="TableTextLeft"/>
              <w:rPr>
                <w:spacing w:val="-3"/>
              </w:rPr>
            </w:pPr>
            <w:r w:rsidRPr="00C471B0">
              <w:rPr>
                <w:spacing w:val="-3"/>
              </w:rPr>
              <w:t>Proportion of people who experienced violence by an intimate partner in last 12</w:t>
            </w:r>
            <w:r w:rsidR="004E61CF" w:rsidRPr="00C471B0">
              <w:rPr>
                <w:spacing w:val="-3"/>
              </w:rPr>
              <w:t> </w:t>
            </w:r>
            <w:r w:rsidRPr="00C471B0">
              <w:rPr>
                <w:spacing w:val="-3"/>
              </w:rPr>
              <w:t>months</w:t>
            </w:r>
            <w:r w:rsidRPr="00C471B0">
              <w:rPr>
                <w:rStyle w:val="TableFootnoteReference"/>
                <w:rFonts w:ascii="Calibri Light" w:hAnsi="Calibri Light"/>
                <w:spacing w:val="-3"/>
              </w:rPr>
              <w:t>(b)</w:t>
            </w:r>
            <w:r w:rsidRPr="00C471B0">
              <w:rPr>
                <w:spacing w:val="-3"/>
              </w:rPr>
              <w:t xml:space="preserve"> </w:t>
            </w:r>
          </w:p>
        </w:tc>
        <w:tc>
          <w:tcPr>
            <w:tcW w:w="1387" w:type="pct"/>
            <w:tcBorders>
              <w:top w:val="single" w:sz="4" w:space="0" w:color="EEEEEE" w:themeColor="background2"/>
            </w:tcBorders>
          </w:tcPr>
          <w:p w14:paraId="632CBACC" w14:textId="2DC92B7D" w:rsidR="00F73964" w:rsidRPr="006C461E" w:rsidRDefault="00F73964" w:rsidP="006C461E">
            <w:pPr>
              <w:pStyle w:val="TableTextLeft"/>
            </w:pPr>
            <w:r w:rsidRPr="006C461E">
              <w:t xml:space="preserve">Shows incidences of personal violence where people should feel the safest </w:t>
            </w:r>
          </w:p>
        </w:tc>
        <w:tc>
          <w:tcPr>
            <w:tcW w:w="804" w:type="pct"/>
            <w:tcBorders>
              <w:top w:val="single" w:sz="4" w:space="0" w:color="EEEEEE" w:themeColor="background2"/>
            </w:tcBorders>
          </w:tcPr>
          <w:p w14:paraId="17335BB8" w14:textId="13930177" w:rsidR="009C00A7" w:rsidRPr="006C461E" w:rsidRDefault="00570800" w:rsidP="006C461E">
            <w:pPr>
              <w:pStyle w:val="TableTextCentered"/>
              <w:rPr>
                <w:rFonts w:eastAsia="Century Gothic"/>
              </w:rPr>
            </w:pPr>
            <w:r w:rsidRPr="006C461E">
              <w:rPr>
                <w:rFonts w:eastAsia="Century Gothic"/>
              </w:rPr>
              <w:t>Stable</w:t>
            </w:r>
          </w:p>
          <w:p w14:paraId="5B433013" w14:textId="0582FB77" w:rsidR="00F73964" w:rsidRPr="006C461E" w:rsidRDefault="00F73964" w:rsidP="006C461E">
            <w:pPr>
              <w:pStyle w:val="TableTextCentered"/>
            </w:pPr>
            <w:r w:rsidRPr="006C461E">
              <w:t>2005</w:t>
            </w:r>
            <w:r w:rsidR="00C25FE0" w:rsidRPr="006C461E">
              <w:t xml:space="preserve"> to </w:t>
            </w:r>
            <w:r w:rsidRPr="006C461E">
              <w:t>2021</w:t>
            </w:r>
            <w:r w:rsidR="008C6DE7" w:rsidRPr="006C461E">
              <w:t>‍–‍</w:t>
            </w:r>
            <w:r w:rsidRPr="006C461E">
              <w:t>22</w:t>
            </w:r>
            <w:r w:rsidR="007F6B37" w:rsidRPr="006C461E">
              <w:rPr>
                <w:rStyle w:val="TableFootnoteReference"/>
              </w:rPr>
              <w:t>(</w:t>
            </w:r>
            <w:r w:rsidR="00D83EB4" w:rsidRPr="006C461E">
              <w:rPr>
                <w:rStyle w:val="TableFootnoteReference"/>
              </w:rPr>
              <w:t>i</w:t>
            </w:r>
            <w:r w:rsidR="007F6B37" w:rsidRPr="006C461E">
              <w:rPr>
                <w:rStyle w:val="TableFootnoteReference"/>
              </w:rPr>
              <w:t>i)</w:t>
            </w:r>
          </w:p>
        </w:tc>
        <w:tc>
          <w:tcPr>
            <w:tcW w:w="805" w:type="pct"/>
            <w:tcBorders>
              <w:top w:val="single" w:sz="4" w:space="0" w:color="EEEEEE" w:themeColor="background2"/>
            </w:tcBorders>
          </w:tcPr>
          <w:p w14:paraId="3B983ED7" w14:textId="2480CC71" w:rsidR="00F73964" w:rsidRPr="008D79E6" w:rsidRDefault="00BC2E56" w:rsidP="008D79E6">
            <w:pPr>
              <w:pStyle w:val="TableTextCentered"/>
            </w:pPr>
            <w:r w:rsidRPr="008D79E6">
              <w:t xml:space="preserve">Female: </w:t>
            </w:r>
            <w:r w:rsidR="00F73964" w:rsidRPr="008D79E6">
              <w:t>1.5%</w:t>
            </w:r>
          </w:p>
          <w:p w14:paraId="3AADD559" w14:textId="391C4848" w:rsidR="00F73964" w:rsidRPr="008D79E6" w:rsidRDefault="00BC2E56" w:rsidP="008D79E6">
            <w:pPr>
              <w:pStyle w:val="TableTextCentered"/>
            </w:pPr>
            <w:r w:rsidRPr="008D79E6">
              <w:t xml:space="preserve">Male: </w:t>
            </w:r>
            <w:r w:rsidR="007F6B37" w:rsidRPr="006C461E">
              <w:rPr>
                <w:rStyle w:val="TableFootnoteReference"/>
              </w:rPr>
              <w:t>(</w:t>
            </w:r>
            <w:r w:rsidR="00D83EB4" w:rsidRPr="006C461E">
              <w:rPr>
                <w:rStyle w:val="TableFootnoteReference"/>
              </w:rPr>
              <w:t>i</w:t>
            </w:r>
            <w:r w:rsidR="007F6B37" w:rsidRPr="006C461E">
              <w:rPr>
                <w:rStyle w:val="TableFootnoteReference"/>
              </w:rPr>
              <w:t>ii)</w:t>
            </w:r>
          </w:p>
        </w:tc>
      </w:tr>
      <w:tr w:rsidR="007143BC" w:rsidRPr="009764EE" w14:paraId="7EFBB568" w14:textId="77777777" w:rsidTr="007143BC">
        <w:trPr>
          <w:trHeight w:val="20"/>
        </w:trPr>
        <w:tc>
          <w:tcPr>
            <w:tcW w:w="616" w:type="pct"/>
          </w:tcPr>
          <w:p w14:paraId="1ED7DF8C" w14:textId="70275A94" w:rsidR="004C6113" w:rsidRPr="00DC66F4" w:rsidRDefault="00F7678A" w:rsidP="008D79E6">
            <w:pPr>
              <w:pStyle w:val="TableTextLeft"/>
              <w:rPr>
                <w:b/>
                <w:bCs/>
                <w:color w:val="082C44"/>
              </w:rPr>
            </w:pPr>
            <w:r w:rsidRPr="00DC66F4">
              <w:rPr>
                <w:b/>
                <w:bCs/>
                <w:color w:val="082C44"/>
              </w:rPr>
              <w:t xml:space="preserve">Childhood </w:t>
            </w:r>
            <w:r w:rsidR="007B217B" w:rsidRPr="00DC66F4">
              <w:rPr>
                <w:b/>
                <w:bCs/>
                <w:color w:val="082C44"/>
              </w:rPr>
              <w:t>e</w:t>
            </w:r>
            <w:r w:rsidR="008B25F9" w:rsidRPr="00DC66F4">
              <w:rPr>
                <w:b/>
                <w:bCs/>
                <w:color w:val="082C44"/>
              </w:rPr>
              <w:t xml:space="preserve">xperience of </w:t>
            </w:r>
            <w:r w:rsidR="00BA18FE" w:rsidRPr="00DC66F4">
              <w:rPr>
                <w:b/>
                <w:bCs/>
                <w:color w:val="082C44"/>
              </w:rPr>
              <w:t xml:space="preserve">abuse </w:t>
            </w:r>
          </w:p>
        </w:tc>
        <w:tc>
          <w:tcPr>
            <w:tcW w:w="1387" w:type="pct"/>
          </w:tcPr>
          <w:p w14:paraId="5AA7C590" w14:textId="75519928" w:rsidR="004C6113" w:rsidRPr="004E61CF" w:rsidRDefault="004C6113" w:rsidP="008D79E6">
            <w:pPr>
              <w:pStyle w:val="TableTextLeft"/>
              <w:rPr>
                <w:spacing w:val="-2"/>
              </w:rPr>
            </w:pPr>
            <w:r w:rsidRPr="004E61CF">
              <w:rPr>
                <w:spacing w:val="-2"/>
              </w:rPr>
              <w:t>Proportion of people who have experienced physical or sexual abuse before the age of 15</w:t>
            </w:r>
            <w:r w:rsidR="00C239AD" w:rsidRPr="004E61CF">
              <w:rPr>
                <w:spacing w:val="-2"/>
              </w:rPr>
              <w:t> year</w:t>
            </w:r>
            <w:r w:rsidRPr="004E61CF">
              <w:rPr>
                <w:spacing w:val="-2"/>
              </w:rPr>
              <w:t>s</w:t>
            </w:r>
            <w:r w:rsidRPr="004E61CF">
              <w:rPr>
                <w:rStyle w:val="TableFootnoteReference"/>
                <w:rFonts w:ascii="Calibri Light" w:hAnsi="Calibri Light"/>
                <w:spacing w:val="-2"/>
              </w:rPr>
              <w:t>(b)</w:t>
            </w:r>
            <w:r w:rsidRPr="004E61CF">
              <w:rPr>
                <w:spacing w:val="-2"/>
              </w:rPr>
              <w:t xml:space="preserve"> </w:t>
            </w:r>
          </w:p>
        </w:tc>
        <w:tc>
          <w:tcPr>
            <w:tcW w:w="1387" w:type="pct"/>
          </w:tcPr>
          <w:p w14:paraId="71531EFE" w14:textId="235C555F" w:rsidR="004C6113" w:rsidRPr="006C461E" w:rsidRDefault="004C6113" w:rsidP="006C461E">
            <w:pPr>
              <w:pStyle w:val="TableTextLeft"/>
            </w:pPr>
            <w:r w:rsidRPr="006C461E">
              <w:t xml:space="preserve">Provides an indication of the experience of </w:t>
            </w:r>
            <w:r w:rsidR="00E52BE7" w:rsidRPr="006C461E">
              <w:t>abuse</w:t>
            </w:r>
            <w:r w:rsidRPr="006C461E">
              <w:t xml:space="preserve"> during childhood </w:t>
            </w:r>
          </w:p>
        </w:tc>
        <w:tc>
          <w:tcPr>
            <w:tcW w:w="804" w:type="pct"/>
          </w:tcPr>
          <w:p w14:paraId="1CD8F5E1" w14:textId="676E5596" w:rsidR="004C6113" w:rsidRPr="006C461E" w:rsidRDefault="004C6113" w:rsidP="006C461E">
            <w:pPr>
              <w:pStyle w:val="TableTextCentered"/>
              <w:rPr>
                <w:rFonts w:eastAsia="Century Gothic"/>
              </w:rPr>
            </w:pPr>
            <w:r w:rsidRPr="006C461E">
              <w:rPr>
                <w:rFonts w:eastAsia="Century Gothic"/>
              </w:rPr>
              <w:t xml:space="preserve">Data not suitable for comparison over time </w:t>
            </w:r>
          </w:p>
        </w:tc>
        <w:tc>
          <w:tcPr>
            <w:tcW w:w="805" w:type="pct"/>
          </w:tcPr>
          <w:p w14:paraId="4A5D791A" w14:textId="4BBA44B0" w:rsidR="004C6113" w:rsidRPr="008D79E6" w:rsidRDefault="004C6113" w:rsidP="008D79E6">
            <w:pPr>
              <w:pStyle w:val="TableTextCentered"/>
            </w:pPr>
            <w:r w:rsidRPr="008D79E6">
              <w:t>14</w:t>
            </w:r>
            <w:r w:rsidR="0B0A6F14" w:rsidRPr="008D79E6">
              <w:t>.1</w:t>
            </w:r>
            <w:r w:rsidRPr="008D79E6">
              <w:t>%</w:t>
            </w:r>
          </w:p>
        </w:tc>
      </w:tr>
      <w:tr w:rsidR="007143BC" w:rsidRPr="009764EE" w14:paraId="6908121E" w14:textId="77777777" w:rsidTr="007143BC">
        <w:trPr>
          <w:trHeight w:val="20"/>
        </w:trPr>
        <w:tc>
          <w:tcPr>
            <w:tcW w:w="616" w:type="pct"/>
          </w:tcPr>
          <w:p w14:paraId="2618C4B8" w14:textId="5C0A39B9" w:rsidR="004C6113" w:rsidRPr="00DC66F4" w:rsidRDefault="004C6113" w:rsidP="008D79E6">
            <w:pPr>
              <w:pStyle w:val="TableTextLeft"/>
              <w:rPr>
                <w:b/>
                <w:bCs/>
                <w:color w:val="082C44"/>
              </w:rPr>
            </w:pPr>
            <w:r w:rsidRPr="00DC66F4">
              <w:rPr>
                <w:b/>
                <w:bCs/>
                <w:color w:val="082C44"/>
              </w:rPr>
              <w:t xml:space="preserve">Online </w:t>
            </w:r>
            <w:r w:rsidR="000000B7" w:rsidRPr="00DC66F4">
              <w:rPr>
                <w:b/>
                <w:bCs/>
                <w:color w:val="082C44"/>
              </w:rPr>
              <w:t>s</w:t>
            </w:r>
            <w:r w:rsidRPr="00DC66F4">
              <w:rPr>
                <w:b/>
                <w:bCs/>
                <w:color w:val="082C44"/>
              </w:rPr>
              <w:t>afety</w:t>
            </w:r>
          </w:p>
        </w:tc>
        <w:tc>
          <w:tcPr>
            <w:tcW w:w="1387" w:type="pct"/>
          </w:tcPr>
          <w:p w14:paraId="1F3F9D9D" w14:textId="06ED1B5D" w:rsidR="004C6113" w:rsidRPr="00344759" w:rsidRDefault="004C6113" w:rsidP="008D79E6">
            <w:pPr>
              <w:pStyle w:val="TableTextLeft"/>
            </w:pPr>
            <w:r w:rsidRPr="00344759">
              <w:t xml:space="preserve">Proportion of </w:t>
            </w:r>
            <w:r w:rsidR="00C5288C" w:rsidRPr="00344759">
              <w:t xml:space="preserve">people </w:t>
            </w:r>
            <w:r w:rsidRPr="00344759">
              <w:t>who have experienced online harm or negative content in the last 12</w:t>
            </w:r>
            <w:r w:rsidR="00E4165F">
              <w:t> </w:t>
            </w:r>
            <w:r w:rsidRPr="00344759">
              <w:t>months</w:t>
            </w:r>
            <w:r w:rsidRPr="00C239AD">
              <w:rPr>
                <w:rStyle w:val="TableFootnoteReference"/>
              </w:rPr>
              <w:t>(c)</w:t>
            </w:r>
            <w:r w:rsidR="00AF6D3E" w:rsidRPr="00C239AD">
              <w:rPr>
                <w:rStyle w:val="TableFootnoteReference"/>
              </w:rPr>
              <w:t>(</w:t>
            </w:r>
            <w:r w:rsidR="00AE3DD3" w:rsidRPr="00C239AD">
              <w:rPr>
                <w:rStyle w:val="TableFootnoteReference"/>
              </w:rPr>
              <w:t>i</w:t>
            </w:r>
            <w:r w:rsidR="00CD2F10" w:rsidRPr="00C239AD">
              <w:rPr>
                <w:rStyle w:val="TableFootnoteReference"/>
              </w:rPr>
              <w:t>v</w:t>
            </w:r>
            <w:r w:rsidR="00AF6D3E" w:rsidRPr="00C239AD">
              <w:rPr>
                <w:rStyle w:val="TableFootnoteReference"/>
              </w:rPr>
              <w:t>)</w:t>
            </w:r>
            <w:r w:rsidR="00AF6D3E" w:rsidRPr="00C239AD">
              <w:t xml:space="preserve"> </w:t>
            </w:r>
          </w:p>
        </w:tc>
        <w:tc>
          <w:tcPr>
            <w:tcW w:w="1387" w:type="pct"/>
          </w:tcPr>
          <w:p w14:paraId="668E508C" w14:textId="50CC09C5" w:rsidR="004C6113" w:rsidRPr="006C461E" w:rsidRDefault="004C6113" w:rsidP="006C461E">
            <w:pPr>
              <w:pStyle w:val="TableTextLeft"/>
            </w:pPr>
            <w:r w:rsidRPr="006C461E">
              <w:t>Provides a picture of the online environment in Australia</w:t>
            </w:r>
          </w:p>
        </w:tc>
        <w:tc>
          <w:tcPr>
            <w:tcW w:w="804" w:type="pct"/>
          </w:tcPr>
          <w:p w14:paraId="1ACD426C" w14:textId="6691B716" w:rsidR="004C6113" w:rsidRPr="006C461E" w:rsidRDefault="00634BD6" w:rsidP="006C461E">
            <w:pPr>
              <w:pStyle w:val="TableTextCentered"/>
              <w:rPr>
                <w:rFonts w:eastAsia="Century Gothic"/>
              </w:rPr>
            </w:pPr>
            <w:r w:rsidRPr="006C461E">
              <w:rPr>
                <w:rFonts w:eastAsia="Century Gothic"/>
              </w:rPr>
              <w:t>Deteriorated</w:t>
            </w:r>
          </w:p>
          <w:p w14:paraId="44F83EB4" w14:textId="5011EB9A" w:rsidR="004C6113" w:rsidRPr="006C461E" w:rsidRDefault="004C6113" w:rsidP="006C461E">
            <w:pPr>
              <w:pStyle w:val="TableTextCentered"/>
              <w:rPr>
                <w:highlight w:val="red"/>
              </w:rPr>
            </w:pPr>
            <w:r w:rsidRPr="006C461E">
              <w:t>2019</w:t>
            </w:r>
            <w:r w:rsidR="00CF0F48" w:rsidRPr="006C461E">
              <w:softHyphen/>
            </w:r>
            <w:r w:rsidR="008D79E6" w:rsidRPr="006C461E">
              <w:t>–</w:t>
            </w:r>
            <w:r w:rsidRPr="006C461E">
              <w:t>2022</w:t>
            </w:r>
          </w:p>
        </w:tc>
        <w:tc>
          <w:tcPr>
            <w:tcW w:w="805" w:type="pct"/>
          </w:tcPr>
          <w:p w14:paraId="12768CE6" w14:textId="4DABB887" w:rsidR="004C6113" w:rsidRPr="008D79E6" w:rsidRDefault="004C6113" w:rsidP="008D79E6">
            <w:pPr>
              <w:pStyle w:val="TableTextCentered"/>
            </w:pPr>
            <w:r w:rsidRPr="008D79E6">
              <w:t>75%</w:t>
            </w:r>
          </w:p>
        </w:tc>
      </w:tr>
      <w:tr w:rsidR="007143BC" w:rsidRPr="009764EE" w14:paraId="09E90D72" w14:textId="77777777" w:rsidTr="007143BC">
        <w:trPr>
          <w:trHeight w:val="20"/>
        </w:trPr>
        <w:tc>
          <w:tcPr>
            <w:tcW w:w="616" w:type="pct"/>
          </w:tcPr>
          <w:p w14:paraId="75ABFC6F" w14:textId="4D01A8F2" w:rsidR="004C6113" w:rsidRPr="00DC66F4" w:rsidRDefault="004C6113" w:rsidP="008D79E6">
            <w:pPr>
              <w:pStyle w:val="TableTextLeft"/>
              <w:rPr>
                <w:b/>
                <w:bCs/>
                <w:color w:val="082C44"/>
              </w:rPr>
            </w:pPr>
            <w:r w:rsidRPr="00DC66F4">
              <w:rPr>
                <w:b/>
                <w:bCs/>
                <w:color w:val="082C44"/>
              </w:rPr>
              <w:t>National safety</w:t>
            </w:r>
          </w:p>
        </w:tc>
        <w:tc>
          <w:tcPr>
            <w:tcW w:w="1387" w:type="pct"/>
          </w:tcPr>
          <w:p w14:paraId="620031F9" w14:textId="48782711" w:rsidR="004C6113" w:rsidRPr="00344759" w:rsidRDefault="004C6113" w:rsidP="008D79E6">
            <w:pPr>
              <w:pStyle w:val="TableTextLeft"/>
            </w:pPr>
            <w:r w:rsidRPr="00344759">
              <w:t xml:space="preserve">Proportion of Australians who feel </w:t>
            </w:r>
            <w:r w:rsidR="00135DEA">
              <w:t>‘</w:t>
            </w:r>
            <w:r w:rsidRPr="00344759">
              <w:t>safe</w:t>
            </w:r>
            <w:r w:rsidR="00135DEA">
              <w:t>’</w:t>
            </w:r>
            <w:r w:rsidRPr="00344759">
              <w:t xml:space="preserve"> or </w:t>
            </w:r>
            <w:r w:rsidR="00135DEA">
              <w:t>‘</w:t>
            </w:r>
            <w:r w:rsidRPr="00344759">
              <w:t>very safe</w:t>
            </w:r>
            <w:r w:rsidR="00135DEA">
              <w:t>’</w:t>
            </w:r>
            <w:r w:rsidRPr="00344759">
              <w:t xml:space="preserve"> based on views of world events</w:t>
            </w:r>
            <w:r w:rsidRPr="00C239AD">
              <w:rPr>
                <w:rStyle w:val="TableFootnoteReference"/>
              </w:rPr>
              <w:t>(d)</w:t>
            </w:r>
            <w:r w:rsidRPr="00344759">
              <w:t xml:space="preserve"> </w:t>
            </w:r>
          </w:p>
        </w:tc>
        <w:tc>
          <w:tcPr>
            <w:tcW w:w="1387" w:type="pct"/>
          </w:tcPr>
          <w:p w14:paraId="3C89FCD7" w14:textId="6AF40EC1" w:rsidR="004C6113" w:rsidRPr="006C461E" w:rsidRDefault="004C6113" w:rsidP="006C461E">
            <w:pPr>
              <w:pStyle w:val="TableTextLeft"/>
            </w:pPr>
            <w:r w:rsidRPr="006C461E">
              <w:t>Provides a measure of Australians</w:t>
            </w:r>
            <w:r w:rsidR="00135DEA" w:rsidRPr="006C461E">
              <w:t>’</w:t>
            </w:r>
            <w:r w:rsidRPr="006C461E">
              <w:t xml:space="preserve"> feelings of national safety based on world events</w:t>
            </w:r>
          </w:p>
        </w:tc>
        <w:tc>
          <w:tcPr>
            <w:tcW w:w="804" w:type="pct"/>
          </w:tcPr>
          <w:p w14:paraId="24F25DD5" w14:textId="57E67E0D" w:rsidR="00843AC8" w:rsidRPr="006C461E" w:rsidRDefault="00634BD6" w:rsidP="006C461E">
            <w:pPr>
              <w:pStyle w:val="TableTextCentered"/>
              <w:rPr>
                <w:rFonts w:eastAsia="Century Gothic"/>
              </w:rPr>
            </w:pPr>
            <w:r w:rsidRPr="006C461E">
              <w:rPr>
                <w:rFonts w:eastAsia="Century Gothic"/>
              </w:rPr>
              <w:t>Deteriorated</w:t>
            </w:r>
          </w:p>
          <w:p w14:paraId="17C96F75" w14:textId="20854A78" w:rsidR="004C6113" w:rsidRPr="006C461E" w:rsidRDefault="004C6113" w:rsidP="006C461E">
            <w:pPr>
              <w:pStyle w:val="TableTextCentered"/>
            </w:pPr>
            <w:r w:rsidRPr="006C461E">
              <w:t>2005</w:t>
            </w:r>
            <w:r w:rsidR="00CF0F48" w:rsidRPr="006C461E">
              <w:softHyphen/>
            </w:r>
            <w:r w:rsidR="008D79E6" w:rsidRPr="006C461E">
              <w:t>–</w:t>
            </w:r>
            <w:r w:rsidRPr="006C461E">
              <w:t>2023</w:t>
            </w:r>
          </w:p>
        </w:tc>
        <w:tc>
          <w:tcPr>
            <w:tcW w:w="805" w:type="pct"/>
          </w:tcPr>
          <w:p w14:paraId="2975090D" w14:textId="54505E65" w:rsidR="004C6113" w:rsidRPr="008D79E6" w:rsidRDefault="004C6113" w:rsidP="008D79E6">
            <w:pPr>
              <w:pStyle w:val="TableTextCentered"/>
            </w:pPr>
            <w:r w:rsidRPr="008D79E6">
              <w:t>63%</w:t>
            </w:r>
          </w:p>
        </w:tc>
      </w:tr>
      <w:tr w:rsidR="007143BC" w:rsidRPr="009764EE" w14:paraId="1F8AF12F" w14:textId="77777777" w:rsidTr="007143BC">
        <w:trPr>
          <w:trHeight w:val="20"/>
        </w:trPr>
        <w:tc>
          <w:tcPr>
            <w:tcW w:w="616" w:type="pct"/>
          </w:tcPr>
          <w:p w14:paraId="4CB57A19" w14:textId="54145071" w:rsidR="004C6113" w:rsidRPr="00DC66F4" w:rsidRDefault="004C6113" w:rsidP="008D79E6">
            <w:pPr>
              <w:pStyle w:val="TableTextLeft"/>
              <w:rPr>
                <w:b/>
                <w:bCs/>
                <w:color w:val="082C44"/>
              </w:rPr>
            </w:pPr>
            <w:r w:rsidRPr="00DC66F4">
              <w:rPr>
                <w:b/>
                <w:bCs/>
                <w:color w:val="082C44"/>
              </w:rPr>
              <w:t>Access to justice</w:t>
            </w:r>
          </w:p>
        </w:tc>
        <w:tc>
          <w:tcPr>
            <w:tcW w:w="1387" w:type="pct"/>
          </w:tcPr>
          <w:p w14:paraId="6919E6F3" w14:textId="4B175D58" w:rsidR="004C6113" w:rsidRPr="00344759" w:rsidRDefault="004C6113" w:rsidP="008D79E6">
            <w:pPr>
              <w:pStyle w:val="TableTextLeft"/>
            </w:pPr>
            <w:r w:rsidRPr="00344759">
              <w:t>Index o</w:t>
            </w:r>
            <w:r w:rsidR="00B26B02" w:rsidRPr="00344759">
              <w:t>f</w:t>
            </w:r>
            <w:r w:rsidRPr="00344759">
              <w:t xml:space="preserve"> Australia</w:t>
            </w:r>
            <w:r w:rsidR="00135DEA">
              <w:t>’</w:t>
            </w:r>
            <w:r w:rsidRPr="00344759">
              <w:t>s performance in providing accessible and affordable civil courts and alternative dispute resolution mechanisms</w:t>
            </w:r>
            <w:r w:rsidRPr="00C239AD">
              <w:rPr>
                <w:rStyle w:val="TableFootnoteReference"/>
              </w:rPr>
              <w:t>(e)</w:t>
            </w:r>
            <w:r w:rsidRPr="00344759">
              <w:t xml:space="preserve"> (</w:t>
            </w:r>
            <w:r w:rsidR="00E1041D" w:rsidRPr="00344759">
              <w:t xml:space="preserve">the </w:t>
            </w:r>
            <w:r w:rsidRPr="00344759">
              <w:t>index ranges from 0 to 1</w:t>
            </w:r>
            <w:r w:rsidR="004F2EBB" w:rsidRPr="00344759">
              <w:t xml:space="preserve">) </w:t>
            </w:r>
            <w:r w:rsidR="004F2EBB" w:rsidRPr="00C239AD">
              <w:rPr>
                <w:rStyle w:val="TableFootnoteReference"/>
              </w:rPr>
              <w:t>(</w:t>
            </w:r>
            <w:r w:rsidR="00AF6D3E" w:rsidRPr="00C239AD">
              <w:rPr>
                <w:rStyle w:val="TableFootnoteReference"/>
              </w:rPr>
              <w:t>v</w:t>
            </w:r>
            <w:r w:rsidRPr="00C239AD">
              <w:rPr>
                <w:rStyle w:val="TableFootnoteReference"/>
              </w:rPr>
              <w:t>)</w:t>
            </w:r>
          </w:p>
        </w:tc>
        <w:tc>
          <w:tcPr>
            <w:tcW w:w="1387" w:type="pct"/>
          </w:tcPr>
          <w:p w14:paraId="21BDD843" w14:textId="6E2622C1" w:rsidR="004C6113" w:rsidRPr="006C461E" w:rsidRDefault="004C6113" w:rsidP="006C461E">
            <w:pPr>
              <w:pStyle w:val="TableTextLeft"/>
            </w:pPr>
            <w:r w:rsidRPr="006C461E">
              <w:t>Measures accessibility, affordability</w:t>
            </w:r>
            <w:r w:rsidR="0077013F" w:rsidRPr="006C461E">
              <w:t>,</w:t>
            </w:r>
            <w:r w:rsidRPr="006C461E">
              <w:t xml:space="preserve"> and impartiality of the civil justice system in Australia</w:t>
            </w:r>
          </w:p>
        </w:tc>
        <w:tc>
          <w:tcPr>
            <w:tcW w:w="804" w:type="pct"/>
          </w:tcPr>
          <w:p w14:paraId="67C4D626" w14:textId="1EB8857E" w:rsidR="004C6113" w:rsidRPr="006C461E" w:rsidRDefault="00634BD6" w:rsidP="006C461E">
            <w:pPr>
              <w:pStyle w:val="TableTextCentered"/>
              <w:rPr>
                <w:rFonts w:eastAsia="Century Gothic"/>
              </w:rPr>
            </w:pPr>
            <w:r w:rsidRPr="006C461E">
              <w:rPr>
                <w:rFonts w:eastAsia="Century Gothic"/>
              </w:rPr>
              <w:t>Stable</w:t>
            </w:r>
          </w:p>
          <w:p w14:paraId="24EE9777" w14:textId="11DEB6F7" w:rsidR="004C6113" w:rsidRPr="006C461E" w:rsidRDefault="00A40CFD" w:rsidP="006C461E">
            <w:pPr>
              <w:pStyle w:val="TableTextCentered"/>
            </w:pPr>
            <w:r w:rsidRPr="006C461E">
              <w:t>20</w:t>
            </w:r>
            <w:r w:rsidR="00055C45" w:rsidRPr="006C461E">
              <w:t>1</w:t>
            </w:r>
            <w:r w:rsidR="00811568" w:rsidRPr="006C461E">
              <w:t>2</w:t>
            </w:r>
            <w:r w:rsidR="00151999" w:rsidRPr="006C461E">
              <w:t>–</w:t>
            </w:r>
            <w:r w:rsidR="00811568" w:rsidRPr="006C461E">
              <w:t>13</w:t>
            </w:r>
            <w:r w:rsidR="009922D4" w:rsidRPr="006C461E">
              <w:t xml:space="preserve"> to</w:t>
            </w:r>
            <w:r w:rsidR="004C6113" w:rsidRPr="006C461E">
              <w:t xml:space="preserve"> 2022</w:t>
            </w:r>
          </w:p>
        </w:tc>
        <w:tc>
          <w:tcPr>
            <w:tcW w:w="805" w:type="pct"/>
          </w:tcPr>
          <w:p w14:paraId="45E89252" w14:textId="7D6CA672" w:rsidR="004C6113" w:rsidRPr="008D79E6" w:rsidRDefault="004C6113" w:rsidP="008D79E6">
            <w:pPr>
              <w:pStyle w:val="TableTextCentered"/>
            </w:pPr>
            <w:r w:rsidRPr="008D79E6">
              <w:t>0.</w:t>
            </w:r>
            <w:r w:rsidR="6019EDAA" w:rsidRPr="008D79E6">
              <w:t>58</w:t>
            </w:r>
            <w:r w:rsidR="00306EEE" w:rsidRPr="008D79E6">
              <w:t xml:space="preserve"> </w:t>
            </w:r>
            <w:r w:rsidRPr="008D79E6">
              <w:t>access and affordability</w:t>
            </w:r>
          </w:p>
          <w:p w14:paraId="4E1BE772" w14:textId="4EE111B2" w:rsidR="004C6113" w:rsidRPr="008D79E6" w:rsidRDefault="004C6113" w:rsidP="008D79E6">
            <w:pPr>
              <w:pStyle w:val="TableTextCentered"/>
            </w:pPr>
            <w:r w:rsidRPr="008D79E6">
              <w:t>0.8</w:t>
            </w:r>
            <w:r w:rsidR="00306EEE" w:rsidRPr="008D79E6">
              <w:t xml:space="preserve"> </w:t>
            </w:r>
            <w:r w:rsidRPr="008D79E6">
              <w:t>dispute resolution</w:t>
            </w:r>
          </w:p>
        </w:tc>
      </w:tr>
    </w:tbl>
    <w:p w14:paraId="1255A5E6" w14:textId="69513CDC" w:rsidR="008259FE" w:rsidRPr="005049F1" w:rsidRDefault="00F73964" w:rsidP="00037C32">
      <w:pPr>
        <w:pStyle w:val="ChartorTableNote"/>
        <w:keepNext/>
      </w:pPr>
      <w:r w:rsidRPr="005049F1">
        <w:t>Source:</w:t>
      </w:r>
      <w:r w:rsidR="00706740" w:rsidRPr="005049F1">
        <w:tab/>
      </w:r>
      <w:r w:rsidRPr="005049F1">
        <w:t xml:space="preserve">(a) </w:t>
      </w:r>
      <w:r w:rsidR="00A42A71" w:rsidRPr="005049F1">
        <w:t>Steering Committee for the Review</w:t>
      </w:r>
      <w:r w:rsidRPr="005049F1">
        <w:t xml:space="preserve"> of </w:t>
      </w:r>
      <w:r w:rsidR="00A42A71" w:rsidRPr="005049F1">
        <w:t>Government Service Provision, Report on Government Services 2023</w:t>
      </w:r>
      <w:r w:rsidRPr="005049F1">
        <w:t xml:space="preserve"> </w:t>
      </w:r>
      <w:r w:rsidR="00D75DC7" w:rsidRPr="005049F1">
        <w:br/>
      </w:r>
      <w:r w:rsidRPr="005049F1">
        <w:t xml:space="preserve">(b) ABS Personal Safety Survey </w:t>
      </w:r>
      <w:r w:rsidR="00D75DC7" w:rsidRPr="005049F1">
        <w:br/>
      </w:r>
      <w:r w:rsidRPr="005049F1">
        <w:t>(c) e</w:t>
      </w:r>
      <w:r w:rsidR="00135DEA">
        <w:noBreakHyphen/>
      </w:r>
      <w:r w:rsidRPr="005049F1">
        <w:t xml:space="preserve">Safety Commissioner National Survey of Australian </w:t>
      </w:r>
      <w:r w:rsidR="00285988" w:rsidRPr="005049F1">
        <w:t>A</w:t>
      </w:r>
      <w:r w:rsidRPr="005049F1">
        <w:t>dults</w:t>
      </w:r>
      <w:r w:rsidR="00135DEA">
        <w:t>’</w:t>
      </w:r>
      <w:r w:rsidRPr="005049F1">
        <w:t xml:space="preserve"> </w:t>
      </w:r>
      <w:r w:rsidR="00285988" w:rsidRPr="005049F1">
        <w:t>E</w:t>
      </w:r>
      <w:r w:rsidRPr="005049F1">
        <w:t xml:space="preserve">xperiences </w:t>
      </w:r>
      <w:r w:rsidR="00285988" w:rsidRPr="005049F1">
        <w:t>O</w:t>
      </w:r>
      <w:r w:rsidRPr="005049F1">
        <w:t xml:space="preserve">nline </w:t>
      </w:r>
      <w:r w:rsidR="00D75DC7" w:rsidRPr="005049F1">
        <w:br/>
      </w:r>
      <w:r w:rsidRPr="005049F1">
        <w:t>(d)</w:t>
      </w:r>
      <w:r w:rsidR="00863D5A" w:rsidRPr="005049F1">
        <w:t xml:space="preserve"> </w:t>
      </w:r>
      <w:r w:rsidR="00BD1C41" w:rsidRPr="005049F1">
        <w:t>The Lowy Institute</w:t>
      </w:r>
      <w:r w:rsidR="00155766" w:rsidRPr="005049F1">
        <w:t xml:space="preserve">, </w:t>
      </w:r>
      <w:hyperlink r:id="rId43" w:history="1">
        <w:r w:rsidR="00155766" w:rsidRPr="005049F1">
          <w:t>2023 Lowy Institute Poll</w:t>
        </w:r>
      </w:hyperlink>
      <w:r w:rsidR="00155766" w:rsidRPr="005049F1">
        <w:t xml:space="preserve"> </w:t>
      </w:r>
      <w:r w:rsidR="00D75DC7" w:rsidRPr="005049F1">
        <w:br/>
      </w:r>
      <w:r w:rsidR="00736F64" w:rsidRPr="005049F1">
        <w:t>(e)</w:t>
      </w:r>
      <w:r w:rsidRPr="005049F1">
        <w:t xml:space="preserve"> World Justice Project Rule of Law Index</w:t>
      </w:r>
      <w:r w:rsidR="00435B47" w:rsidRPr="005049F1">
        <w:t>®</w:t>
      </w:r>
    </w:p>
    <w:p w14:paraId="47D388CF" w14:textId="3F2F6967" w:rsidR="00F73964" w:rsidRDefault="00834526" w:rsidP="008C1DA4">
      <w:pPr>
        <w:pStyle w:val="ChartorTableNote"/>
      </w:pPr>
      <w:r w:rsidRPr="005049F1">
        <w:t>N</w:t>
      </w:r>
      <w:r w:rsidR="00F73964" w:rsidRPr="005049F1">
        <w:t>ote:</w:t>
      </w:r>
      <w:r w:rsidR="00ED0D38" w:rsidRPr="005049F1">
        <w:t xml:space="preserve"> </w:t>
      </w:r>
      <w:r w:rsidR="00706740" w:rsidRPr="005049F1">
        <w:tab/>
      </w:r>
      <w:r w:rsidR="00D83EB4" w:rsidRPr="005049F1">
        <w:t xml:space="preserve">(i) </w:t>
      </w:r>
      <w:r w:rsidR="006D5377" w:rsidRPr="005049F1">
        <w:t xml:space="preserve">Unless specified the latest value is the last data point in the </w:t>
      </w:r>
      <w:r w:rsidR="007C046F" w:rsidRPr="005049F1">
        <w:t>series</w:t>
      </w:r>
      <w:r w:rsidR="006D5377" w:rsidRPr="005049F1">
        <w:t xml:space="preserve"> </w:t>
      </w:r>
      <w:r w:rsidR="00D75DC7" w:rsidRPr="005049F1">
        <w:br/>
      </w:r>
      <w:r w:rsidR="007F6B37" w:rsidRPr="005049F1">
        <w:t>(i</w:t>
      </w:r>
      <w:r w:rsidR="00CD2F10" w:rsidRPr="005049F1">
        <w:t>i</w:t>
      </w:r>
      <w:r w:rsidR="007F6B37" w:rsidRPr="005049F1">
        <w:t>)</w:t>
      </w:r>
      <w:r w:rsidR="00F73964" w:rsidRPr="005049F1">
        <w:t xml:space="preserve"> </w:t>
      </w:r>
      <w:r w:rsidR="005A699E" w:rsidRPr="005049F1">
        <w:t>Trend does not factor in 2021</w:t>
      </w:r>
      <w:r w:rsidR="00151999" w:rsidRPr="005049F1">
        <w:t>–</w:t>
      </w:r>
      <w:r w:rsidR="005A699E" w:rsidRPr="005049F1">
        <w:t>22 data point, due to impacts of COVID</w:t>
      </w:r>
      <w:r w:rsidR="00135DEA">
        <w:noBreakHyphen/>
      </w:r>
      <w:r w:rsidR="005A699E" w:rsidRPr="005049F1">
        <w:t>19</w:t>
      </w:r>
      <w:r w:rsidR="00D75DC7" w:rsidRPr="005049F1">
        <w:br/>
      </w:r>
      <w:r w:rsidR="007F6B37" w:rsidRPr="005049F1">
        <w:t>(</w:t>
      </w:r>
      <w:r w:rsidR="00CD2F10" w:rsidRPr="005049F1">
        <w:t>i</w:t>
      </w:r>
      <w:r w:rsidR="007F6B37" w:rsidRPr="005049F1">
        <w:t>ii)</w:t>
      </w:r>
      <w:r w:rsidR="00ED0D38" w:rsidRPr="005049F1">
        <w:t xml:space="preserve"> </w:t>
      </w:r>
      <w:r w:rsidR="00F73964" w:rsidRPr="005049F1">
        <w:t xml:space="preserve">According to </w:t>
      </w:r>
      <w:r w:rsidR="00611001" w:rsidRPr="005049F1">
        <w:t xml:space="preserve">the </w:t>
      </w:r>
      <w:r w:rsidR="00F73964" w:rsidRPr="005049F1">
        <w:t xml:space="preserve">ABS, data for men has </w:t>
      </w:r>
      <w:r w:rsidR="001009BD" w:rsidRPr="005049F1">
        <w:t xml:space="preserve">a </w:t>
      </w:r>
      <w:r w:rsidR="00F73964" w:rsidRPr="005049F1">
        <w:t xml:space="preserve">high </w:t>
      </w:r>
      <w:r w:rsidR="006D5377" w:rsidRPr="005049F1">
        <w:t>s</w:t>
      </w:r>
      <w:r w:rsidR="00F73964" w:rsidRPr="005049F1">
        <w:t xml:space="preserve">tandard </w:t>
      </w:r>
      <w:r w:rsidR="00611001" w:rsidRPr="005049F1">
        <w:t>of</w:t>
      </w:r>
      <w:r w:rsidR="00F73964" w:rsidRPr="005049F1">
        <w:t xml:space="preserve"> </w:t>
      </w:r>
      <w:r w:rsidR="006D5377" w:rsidRPr="005049F1">
        <w:t>e</w:t>
      </w:r>
      <w:r w:rsidR="00F73964" w:rsidRPr="005049F1">
        <w:t>rror</w:t>
      </w:r>
      <w:r w:rsidR="00946180" w:rsidRPr="005049F1">
        <w:t xml:space="preserve"> in 2021</w:t>
      </w:r>
      <w:r w:rsidR="00151999" w:rsidRPr="005049F1">
        <w:t>–</w:t>
      </w:r>
      <w:r w:rsidR="00CF0F48" w:rsidRPr="005049F1">
        <w:softHyphen/>
      </w:r>
      <w:r w:rsidR="00946180" w:rsidRPr="005049F1">
        <w:t>22</w:t>
      </w:r>
      <w:r w:rsidR="00F73964" w:rsidRPr="005049F1">
        <w:t>, unreliable to measure changes over time</w:t>
      </w:r>
      <w:r w:rsidR="002D1383" w:rsidRPr="005049F1">
        <w:t xml:space="preserve"> </w:t>
      </w:r>
      <w:r w:rsidR="00D75DC7" w:rsidRPr="005049F1">
        <w:br/>
      </w:r>
      <w:r w:rsidR="00AF6D3E" w:rsidRPr="005049F1">
        <w:t>(i</w:t>
      </w:r>
      <w:r w:rsidR="00CD2F10" w:rsidRPr="005049F1">
        <w:t>v</w:t>
      </w:r>
      <w:r w:rsidR="00AF6D3E" w:rsidRPr="005049F1">
        <w:t>)</w:t>
      </w:r>
      <w:r w:rsidR="002D1383" w:rsidRPr="005049F1">
        <w:t xml:space="preserve"> Online harm can come in a variety of forms, including being sent unwanted content, scams, impersonation,</w:t>
      </w:r>
      <w:r w:rsidR="002D1383" w:rsidRPr="009764EE">
        <w:t xml:space="preserve"> and offensive communication</w:t>
      </w:r>
      <w:r w:rsidR="000C3EB0" w:rsidRPr="009764EE">
        <w:t xml:space="preserve"> </w:t>
      </w:r>
      <w:r w:rsidR="001A564C" w:rsidRPr="009764EE">
        <w:br/>
      </w:r>
      <w:r w:rsidR="00AF6D3E" w:rsidRPr="009764EE">
        <w:t>(v)</w:t>
      </w:r>
      <w:r w:rsidR="00E337B2" w:rsidRPr="009764EE">
        <w:t xml:space="preserve"> </w:t>
      </w:r>
      <w:r w:rsidR="0021343A" w:rsidRPr="009764EE">
        <w:t xml:space="preserve">A </w:t>
      </w:r>
      <w:r w:rsidR="00721835" w:rsidRPr="009764EE">
        <w:t xml:space="preserve">score </w:t>
      </w:r>
      <w:r w:rsidR="0021343A" w:rsidRPr="009764EE">
        <w:t>of 1 in the index shows that Australia is performing well in terms of the</w:t>
      </w:r>
      <w:r w:rsidR="00E337B2" w:rsidRPr="009764EE">
        <w:t xml:space="preserve"> access </w:t>
      </w:r>
      <w:r w:rsidR="0021343A" w:rsidRPr="009764EE">
        <w:t>and affordability of civil</w:t>
      </w:r>
      <w:r w:rsidR="00E337B2" w:rsidRPr="009764EE">
        <w:t xml:space="preserve"> justice</w:t>
      </w:r>
      <w:r w:rsidR="0021343A" w:rsidRPr="009764EE">
        <w:t xml:space="preserve"> or the access, impartiality and effectiveness of the </w:t>
      </w:r>
      <w:r w:rsidR="00F2080E" w:rsidRPr="009764EE">
        <w:t>Alternative Dispute Resolution</w:t>
      </w:r>
      <w:r w:rsidR="0021343A" w:rsidRPr="009764EE">
        <w:t xml:space="preserve"> mechanisms</w:t>
      </w:r>
      <w:r w:rsidR="00706740">
        <w:t xml:space="preserve"> </w:t>
      </w:r>
    </w:p>
    <w:p w14:paraId="036BF19B" w14:textId="2C5B5B8A" w:rsidR="004C272D" w:rsidRPr="00037C32" w:rsidRDefault="004C272D" w:rsidP="00037C32">
      <w:pPr>
        <w:pStyle w:val="ChartorTableNote"/>
        <w:sectPr w:rsidR="004C272D" w:rsidRPr="00037C32" w:rsidSect="00DA302B">
          <w:endnotePr>
            <w:numFmt w:val="decimal"/>
          </w:endnotePr>
          <w:pgSz w:w="11906" w:h="16838"/>
          <w:pgMar w:top="1843" w:right="1418" w:bottom="1418" w:left="1418" w:header="851" w:footer="851" w:gutter="0"/>
          <w:cols w:space="567"/>
        </w:sectPr>
      </w:pPr>
    </w:p>
    <w:tbl>
      <w:tblPr>
        <w:tblStyle w:val="Style1"/>
        <w:tblW w:w="5000" w:type="pct"/>
        <w:tblLook w:val="0620" w:firstRow="1" w:lastRow="0" w:firstColumn="0" w:lastColumn="0" w:noHBand="1" w:noVBand="1"/>
      </w:tblPr>
      <w:tblGrid>
        <w:gridCol w:w="4251"/>
      </w:tblGrid>
      <w:tr w:rsidR="000E05CE" w:rsidRPr="009764EE" w14:paraId="02895D04" w14:textId="77777777" w:rsidTr="008D79E6">
        <w:trPr>
          <w:cnfStyle w:val="100000000000" w:firstRow="1" w:lastRow="0" w:firstColumn="0" w:lastColumn="0" w:oddVBand="0" w:evenVBand="0" w:oddHBand="0" w:evenHBand="0" w:firstRowFirstColumn="0" w:firstRowLastColumn="0" w:lastRowFirstColumn="0" w:lastRowLastColumn="0"/>
        </w:trPr>
        <w:tc>
          <w:tcPr>
            <w:tcW w:w="5000" w:type="pct"/>
            <w:hideMark/>
          </w:tcPr>
          <w:p w14:paraId="4687C844" w14:textId="77777777" w:rsidR="007143BC" w:rsidRDefault="000E05CE" w:rsidP="00105C4F">
            <w:r w:rsidRPr="009764EE">
              <w:lastRenderedPageBreak/>
              <w:t xml:space="preserve">Some people may find the contents of this </w:t>
            </w:r>
            <w:r w:rsidR="005C3037" w:rsidRPr="004F0DA3">
              <w:t>chapter</w:t>
            </w:r>
            <w:r w:rsidRPr="009764EE">
              <w:t xml:space="preserve"> confronting or distressing. </w:t>
            </w:r>
          </w:p>
          <w:p w14:paraId="38251AFE" w14:textId="77FF71B7" w:rsidR="000E05CE" w:rsidRPr="009764EE" w:rsidRDefault="008B5334" w:rsidP="007143BC">
            <w:pPr>
              <w:rPr>
                <w:lang w:eastAsia="en-US"/>
              </w:rPr>
            </w:pPr>
            <w:r w:rsidRPr="009764EE">
              <w:t>Support</w:t>
            </w:r>
            <w:r w:rsidR="007143BC">
              <w:t> </w:t>
            </w:r>
            <w:r w:rsidRPr="009764EE">
              <w:t>services are available:</w:t>
            </w:r>
            <w:r w:rsidR="007143BC">
              <w:t xml:space="preserve"> </w:t>
            </w:r>
            <w:r w:rsidR="00BB5108">
              <w:br/>
            </w:r>
            <w:hyperlink r:id="rId44" w:tgtFrame="_blank" w:tooltip="https://www.1800respect.org.au/" w:history="1">
              <w:r w:rsidRPr="004D6399">
                <w:rPr>
                  <w:rStyle w:val="Strong"/>
                </w:rPr>
                <w:t>1800RESPECT</w:t>
              </w:r>
            </w:hyperlink>
            <w:r w:rsidR="001524A0">
              <w:rPr>
                <w:rStyle w:val="Strong"/>
              </w:rPr>
              <w:t xml:space="preserve"> – </w:t>
            </w:r>
            <w:r w:rsidRPr="004D6399">
              <w:rPr>
                <w:rStyle w:val="Strong"/>
              </w:rPr>
              <w:t>1800 737 732</w:t>
            </w:r>
            <w:r w:rsidRPr="009764EE">
              <w:t xml:space="preserve"> and</w:t>
            </w:r>
            <w:r w:rsidR="004D6399">
              <w:t xml:space="preserve"> </w:t>
            </w:r>
            <w:hyperlink r:id="rId45" w:tgtFrame="_blank" w:tooltip="https://www.lifeline.org.au/" w:history="1">
              <w:r w:rsidRPr="004D6399">
                <w:rPr>
                  <w:rStyle w:val="Strong"/>
                </w:rPr>
                <w:t>Lifeline</w:t>
              </w:r>
            </w:hyperlink>
            <w:r w:rsidR="001524A0">
              <w:rPr>
                <w:rStyle w:val="Strong"/>
              </w:rPr>
              <w:t xml:space="preserve"> – </w:t>
            </w:r>
            <w:r w:rsidRPr="004D6399">
              <w:rPr>
                <w:rStyle w:val="Strong"/>
              </w:rPr>
              <w:t>13 11 14</w:t>
            </w:r>
            <w:r w:rsidRPr="008D79E6">
              <w:rPr>
                <w:rStyle w:val="BoxTextChar"/>
              </w:rPr>
              <w:t>.</w:t>
            </w:r>
            <w:r w:rsidR="0024204C" w:rsidRPr="008D79E6">
              <w:rPr>
                <w:rStyle w:val="BoxTextChar"/>
              </w:rPr>
              <w:t xml:space="preserve"> </w:t>
            </w:r>
          </w:p>
        </w:tc>
      </w:tr>
    </w:tbl>
    <w:p w14:paraId="1DA73D47" w14:textId="406D8D48" w:rsidR="008259FE" w:rsidRPr="009764EE" w:rsidRDefault="00F73964" w:rsidP="002B098A">
      <w:pPr>
        <w:rPr>
          <w:lang w:val="en-GB"/>
        </w:rPr>
      </w:pPr>
      <w:r w:rsidRPr="009764EE">
        <w:rPr>
          <w:lang w:val="en-GB"/>
        </w:rPr>
        <w:t>Wellbeing is impacted by safety at home, online, at work, in the community</w:t>
      </w:r>
      <w:r w:rsidR="009922D4">
        <w:rPr>
          <w:lang w:val="en-GB"/>
        </w:rPr>
        <w:t xml:space="preserve"> and</w:t>
      </w:r>
      <w:r w:rsidRPr="009764EE">
        <w:rPr>
          <w:lang w:val="en-GB"/>
        </w:rPr>
        <w:t xml:space="preserve"> in the world. Physical or online crime and violence can lead to physical pain, stress, anxiety and loss of life and property. Even those not directly impacted can feel an increase in vulnerability, stress</w:t>
      </w:r>
      <w:r w:rsidR="009A5E32" w:rsidRPr="009764EE">
        <w:rPr>
          <w:lang w:val="en-GB"/>
        </w:rPr>
        <w:t>,</w:t>
      </w:r>
      <w:r w:rsidRPr="009764EE">
        <w:rPr>
          <w:lang w:val="en-GB"/>
        </w:rPr>
        <w:t xml:space="preserve"> and anxiety if they feel their safety is at</w:t>
      </w:r>
      <w:r w:rsidR="007143BC">
        <w:rPr>
          <w:lang w:val="en-GB"/>
        </w:rPr>
        <w:t> </w:t>
      </w:r>
      <w:r w:rsidRPr="009764EE">
        <w:rPr>
          <w:lang w:val="en-GB"/>
        </w:rPr>
        <w:t>risk.</w:t>
      </w:r>
    </w:p>
    <w:p w14:paraId="129C4F5A" w14:textId="15C19729" w:rsidR="008259FE" w:rsidRPr="009764EE" w:rsidRDefault="002A4D0B" w:rsidP="002B098A">
      <w:pPr>
        <w:rPr>
          <w:lang w:val="en-GB"/>
        </w:rPr>
      </w:pPr>
      <w:r w:rsidRPr="009764EE">
        <w:rPr>
          <w:lang w:val="en-GB"/>
        </w:rPr>
        <w:t xml:space="preserve">The metrics in this section </w:t>
      </w:r>
      <w:r w:rsidR="007C4B47" w:rsidRPr="009764EE">
        <w:rPr>
          <w:lang w:val="en-GB"/>
        </w:rPr>
        <w:t>are intended to capture and track the various components of a safe</w:t>
      </w:r>
      <w:r w:rsidR="00BD0B15" w:rsidRPr="009764EE">
        <w:rPr>
          <w:lang w:val="en-GB"/>
        </w:rPr>
        <w:t>,</w:t>
      </w:r>
      <w:r w:rsidR="007C4B47" w:rsidRPr="009764EE">
        <w:rPr>
          <w:lang w:val="en-GB"/>
        </w:rPr>
        <w:t xml:space="preserve"> secure society</w:t>
      </w:r>
      <w:r w:rsidR="001524A0">
        <w:rPr>
          <w:lang w:val="en-GB"/>
        </w:rPr>
        <w:t xml:space="preserve"> – </w:t>
      </w:r>
      <w:r w:rsidR="007C4B47" w:rsidRPr="009764EE">
        <w:rPr>
          <w:lang w:val="en-GB"/>
        </w:rPr>
        <w:t>the feeling of safety, experiences of violence</w:t>
      </w:r>
      <w:r w:rsidR="001D7043" w:rsidRPr="009764EE">
        <w:rPr>
          <w:lang w:val="en-GB"/>
        </w:rPr>
        <w:t xml:space="preserve"> as an adult and during </w:t>
      </w:r>
      <w:r w:rsidR="0061212D" w:rsidRPr="009764EE">
        <w:rPr>
          <w:lang w:val="en-GB"/>
        </w:rPr>
        <w:t>childhood</w:t>
      </w:r>
      <w:r w:rsidR="007C4B47" w:rsidRPr="009764EE">
        <w:rPr>
          <w:lang w:val="en-GB"/>
        </w:rPr>
        <w:t xml:space="preserve">, online safety, </w:t>
      </w:r>
      <w:r w:rsidR="00435331" w:rsidRPr="009764EE">
        <w:rPr>
          <w:lang w:val="en-GB"/>
        </w:rPr>
        <w:t>national safety</w:t>
      </w:r>
      <w:r w:rsidR="007C4B47" w:rsidRPr="009764EE">
        <w:rPr>
          <w:lang w:val="en-GB"/>
        </w:rPr>
        <w:t>, and access to justice.</w:t>
      </w:r>
    </w:p>
    <w:p w14:paraId="5397E4A9" w14:textId="39B1C7EE" w:rsidR="008259FE" w:rsidRPr="009764EE" w:rsidRDefault="007C4B47" w:rsidP="002B098A">
      <w:pPr>
        <w:rPr>
          <w:lang w:val="en-GB"/>
        </w:rPr>
      </w:pPr>
      <w:r w:rsidRPr="009764EE">
        <w:rPr>
          <w:lang w:val="en-GB"/>
        </w:rPr>
        <w:t xml:space="preserve">Broadly, </w:t>
      </w:r>
      <w:r w:rsidR="00C91C73" w:rsidRPr="009764EE">
        <w:rPr>
          <w:lang w:val="en-GB"/>
        </w:rPr>
        <w:t>Australians</w:t>
      </w:r>
      <w:r w:rsidR="00135DEA">
        <w:rPr>
          <w:lang w:val="en-GB"/>
        </w:rPr>
        <w:t>’</w:t>
      </w:r>
      <w:r w:rsidR="00C91C73" w:rsidRPr="009764EE">
        <w:rPr>
          <w:lang w:val="en-GB"/>
        </w:rPr>
        <w:t xml:space="preserve"> experience of security and safety </w:t>
      </w:r>
      <w:r w:rsidR="0088248F" w:rsidRPr="009764EE">
        <w:rPr>
          <w:lang w:val="en-GB"/>
        </w:rPr>
        <w:t>var</w:t>
      </w:r>
      <w:r w:rsidR="008316C4" w:rsidRPr="009764EE">
        <w:rPr>
          <w:lang w:val="en-GB"/>
        </w:rPr>
        <w:t>ies</w:t>
      </w:r>
      <w:r w:rsidR="0088248F" w:rsidRPr="009764EE">
        <w:rPr>
          <w:lang w:val="en-GB"/>
        </w:rPr>
        <w:t xml:space="preserve"> across </w:t>
      </w:r>
      <w:r w:rsidR="00FB7BEA" w:rsidRPr="009764EE">
        <w:rPr>
          <w:lang w:val="en-GB"/>
        </w:rPr>
        <w:t>groups</w:t>
      </w:r>
      <w:r w:rsidR="0088248F" w:rsidRPr="009764EE">
        <w:rPr>
          <w:lang w:val="en-GB"/>
        </w:rPr>
        <w:t>.</w:t>
      </w:r>
      <w:r w:rsidR="00662485" w:rsidRPr="009764EE">
        <w:rPr>
          <w:lang w:val="en-GB"/>
        </w:rPr>
        <w:t xml:space="preserve"> </w:t>
      </w:r>
      <w:r w:rsidR="00235785" w:rsidRPr="009764EE">
        <w:rPr>
          <w:lang w:val="en-GB"/>
        </w:rPr>
        <w:t xml:space="preserve">Understanding these issues in </w:t>
      </w:r>
      <w:r w:rsidR="00F44AF2" w:rsidRPr="009764EE">
        <w:rPr>
          <w:lang w:val="en-GB"/>
        </w:rPr>
        <w:t xml:space="preserve">greater </w:t>
      </w:r>
      <w:r w:rsidR="00235785" w:rsidRPr="009764EE">
        <w:rPr>
          <w:lang w:val="en-GB"/>
        </w:rPr>
        <w:t>depth could be an area of further work in the future.</w:t>
      </w:r>
    </w:p>
    <w:p w14:paraId="5D250B19" w14:textId="77777777" w:rsidR="008259FE" w:rsidRPr="009764EE" w:rsidRDefault="00394045" w:rsidP="0012325F">
      <w:pPr>
        <w:pStyle w:val="Heading3"/>
        <w:rPr>
          <w:rFonts w:cs="Calibri"/>
        </w:rPr>
      </w:pPr>
      <w:r w:rsidRPr="009764EE">
        <w:rPr>
          <w:rFonts w:cs="Calibri"/>
        </w:rPr>
        <w:t>Feeling of Safety</w:t>
      </w:r>
    </w:p>
    <w:p w14:paraId="7E1BD227" w14:textId="0844DD10" w:rsidR="008259FE" w:rsidRPr="009764EE" w:rsidRDefault="00570082" w:rsidP="002B098A">
      <w:r w:rsidRPr="009764EE">
        <w:t xml:space="preserve">A general indicator we can use to </w:t>
      </w:r>
      <w:r w:rsidR="00D506B1" w:rsidRPr="009764EE">
        <w:t xml:space="preserve">inform an overall sense of how safe </w:t>
      </w:r>
      <w:r w:rsidR="000D64C1">
        <w:t>Australians</w:t>
      </w:r>
      <w:r w:rsidR="00D506B1" w:rsidRPr="009764EE">
        <w:t xml:space="preserve"> feel </w:t>
      </w:r>
      <w:r w:rsidR="00063A95" w:rsidRPr="009764EE">
        <w:t xml:space="preserve">is whether they </w:t>
      </w:r>
      <w:r w:rsidR="00390117" w:rsidRPr="009764EE">
        <w:t>are</w:t>
      </w:r>
      <w:r w:rsidR="00063A95" w:rsidRPr="009764EE" w:rsidDel="00390117">
        <w:t xml:space="preserve"> </w:t>
      </w:r>
      <w:r w:rsidR="00D100EB" w:rsidRPr="009764EE">
        <w:t>comfortable</w:t>
      </w:r>
      <w:r w:rsidR="00AC51D8" w:rsidRPr="009764EE">
        <w:t xml:space="preserve"> to walk alone.</w:t>
      </w:r>
    </w:p>
    <w:p w14:paraId="4DAA532F" w14:textId="1C070EA3" w:rsidR="008259FE" w:rsidRPr="009764EE" w:rsidRDefault="00063A95" w:rsidP="002B098A">
      <w:r w:rsidRPr="009764EE">
        <w:t xml:space="preserve">This </w:t>
      </w:r>
      <w:r w:rsidR="004E782F" w:rsidRPr="009764EE">
        <w:t>indicator</w:t>
      </w:r>
      <w:r w:rsidRPr="009764EE">
        <w:t xml:space="preserve"> shows that w</w:t>
      </w:r>
      <w:r w:rsidR="008E7F91" w:rsidRPr="009764EE">
        <w:t>hile more than</w:t>
      </w:r>
      <w:r w:rsidR="00314667">
        <w:t xml:space="preserve"> </w:t>
      </w:r>
      <w:r w:rsidR="008E7F91" w:rsidRPr="009764EE">
        <w:t xml:space="preserve">9 in 10 </w:t>
      </w:r>
      <w:r w:rsidR="001867FF" w:rsidRPr="009764EE">
        <w:t xml:space="preserve">Australians </w:t>
      </w:r>
      <w:r w:rsidR="008E7F91" w:rsidRPr="009764EE">
        <w:t xml:space="preserve">feel safe </w:t>
      </w:r>
      <w:r w:rsidR="00321C94" w:rsidRPr="009764EE">
        <w:t xml:space="preserve">to do so </w:t>
      </w:r>
      <w:r w:rsidR="008E7F91" w:rsidRPr="009764EE">
        <w:t>during the day, only 1 in 2 feel the same at night</w:t>
      </w:r>
      <w:r w:rsidR="001524A0">
        <w:t xml:space="preserve"> – </w:t>
      </w:r>
      <w:r w:rsidR="04BB1605" w:rsidRPr="009764EE">
        <w:t>less than the OECD average</w:t>
      </w:r>
      <w:r w:rsidR="00D51559" w:rsidRPr="009764EE">
        <w:t>.</w:t>
      </w:r>
      <w:r w:rsidR="007B3C80" w:rsidRPr="005049F1">
        <w:rPr>
          <w:rStyle w:val="FootnoteReference"/>
        </w:rPr>
        <w:endnoteReference w:id="26"/>
      </w:r>
      <w:r w:rsidR="00D51559" w:rsidRPr="009764EE">
        <w:t xml:space="preserve"> However, this</w:t>
      </w:r>
      <w:r w:rsidR="001867FF" w:rsidRPr="009764EE">
        <w:t xml:space="preserve"> indicator has improved from 49.8</w:t>
      </w:r>
      <w:r w:rsidR="001524A0">
        <w:t> per c</w:t>
      </w:r>
      <w:r w:rsidR="001867FF" w:rsidRPr="009764EE">
        <w:t xml:space="preserve">ent </w:t>
      </w:r>
      <w:r w:rsidR="00D14C8B" w:rsidRPr="009764EE">
        <w:t>in 2012</w:t>
      </w:r>
      <w:r w:rsidR="00151999">
        <w:t>–</w:t>
      </w:r>
      <w:r w:rsidR="00CF0F48">
        <w:softHyphen/>
      </w:r>
      <w:r w:rsidR="00D14C8B" w:rsidRPr="009764EE">
        <w:t>13</w:t>
      </w:r>
      <w:r w:rsidR="001867FF" w:rsidRPr="009764EE">
        <w:t xml:space="preserve"> to 53.8</w:t>
      </w:r>
      <w:r w:rsidR="001524A0">
        <w:t> per c</w:t>
      </w:r>
      <w:r w:rsidR="001867FF" w:rsidRPr="009764EE">
        <w:t xml:space="preserve">ent </w:t>
      </w:r>
      <w:r w:rsidR="00D14C8B" w:rsidRPr="009764EE">
        <w:t>in 2021</w:t>
      </w:r>
      <w:r w:rsidR="00151999">
        <w:t>–</w:t>
      </w:r>
      <w:r w:rsidR="00D14C8B" w:rsidRPr="009764EE">
        <w:t>22</w:t>
      </w:r>
      <w:r w:rsidR="001524A0">
        <w:t xml:space="preserve"> – </w:t>
      </w:r>
      <w:r w:rsidR="00BE61A3" w:rsidRPr="009764EE">
        <w:t>indicating some progress.</w:t>
      </w:r>
      <w:r w:rsidR="00C3180F" w:rsidRPr="005049F1">
        <w:rPr>
          <w:rStyle w:val="FootnoteReference"/>
        </w:rPr>
        <w:endnoteReference w:id="27"/>
      </w:r>
    </w:p>
    <w:p w14:paraId="5755B346" w14:textId="6978B0B3" w:rsidR="008259FE" w:rsidRPr="009764EE" w:rsidRDefault="006F753C" w:rsidP="00B8112E">
      <w:r w:rsidRPr="009764EE">
        <w:t xml:space="preserve">In general, more women feel unsafe walking alone at night compared to men. In </w:t>
      </w:r>
      <w:r w:rsidR="00562916" w:rsidRPr="009764EE">
        <w:t xml:space="preserve">the </w:t>
      </w:r>
      <w:r w:rsidR="008D7E1F" w:rsidRPr="009764EE">
        <w:t xml:space="preserve">2016 </w:t>
      </w:r>
      <w:r w:rsidR="00562916" w:rsidRPr="009764EE">
        <w:t>ABS Personal Safety Survey</w:t>
      </w:r>
      <w:r w:rsidR="00EC4D12" w:rsidRPr="009764EE">
        <w:t xml:space="preserve"> which includes a</w:t>
      </w:r>
      <w:r w:rsidR="00F35720" w:rsidRPr="009764EE">
        <w:t xml:space="preserve"> gender split</w:t>
      </w:r>
      <w:r w:rsidR="00562916" w:rsidRPr="009764EE">
        <w:t xml:space="preserve">, </w:t>
      </w:r>
      <w:r w:rsidRPr="009764EE">
        <w:t>25.6</w:t>
      </w:r>
      <w:r w:rsidR="001524A0">
        <w:t> per c</w:t>
      </w:r>
      <w:r w:rsidR="00BB6065" w:rsidRPr="009764EE">
        <w:t>ent</w:t>
      </w:r>
      <w:r w:rsidRPr="009764EE">
        <w:t xml:space="preserve"> of women chose not to walk alone at night because they felt unsafe compared to 4.2</w:t>
      </w:r>
      <w:r w:rsidR="001524A0">
        <w:t> per c</w:t>
      </w:r>
      <w:r w:rsidR="00BB6065" w:rsidRPr="009764EE">
        <w:t>ent</w:t>
      </w:r>
      <w:r w:rsidRPr="009764EE">
        <w:t xml:space="preserve"> of men.</w:t>
      </w:r>
      <w:bookmarkStart w:id="58" w:name="_Ref140502686"/>
      <w:r w:rsidRPr="005049F1">
        <w:rPr>
          <w:rStyle w:val="FootnoteReference"/>
        </w:rPr>
        <w:endnoteReference w:id="28"/>
      </w:r>
      <w:bookmarkEnd w:id="58"/>
    </w:p>
    <w:p w14:paraId="35AC9A80" w14:textId="77777777" w:rsidR="008259FE" w:rsidRPr="009764EE" w:rsidRDefault="00F73964" w:rsidP="0012325F">
      <w:pPr>
        <w:pStyle w:val="Heading3"/>
        <w:rPr>
          <w:rFonts w:cs="Calibri"/>
        </w:rPr>
      </w:pPr>
      <w:r w:rsidRPr="009764EE">
        <w:rPr>
          <w:rFonts w:cs="Calibri"/>
        </w:rPr>
        <w:t>Experience of violence</w:t>
      </w:r>
    </w:p>
    <w:p w14:paraId="49A20887" w14:textId="6AFB8DEA" w:rsidR="00F73964" w:rsidRPr="009764EE" w:rsidRDefault="004A7DBB" w:rsidP="002B098A">
      <w:pPr>
        <w:rPr>
          <w:rFonts w:eastAsia="Calibri Light"/>
          <w:color w:val="000000" w:themeColor="text1"/>
        </w:rPr>
      </w:pPr>
      <w:r w:rsidRPr="009764EE">
        <w:t xml:space="preserve">A counterpart to feeling safe is </w:t>
      </w:r>
      <w:r w:rsidR="007229F2" w:rsidRPr="009764EE">
        <w:t>being free from violence</w:t>
      </w:r>
      <w:r w:rsidR="00A40A99" w:rsidRPr="009764EE">
        <w:t xml:space="preserve">. Violence is an incident where a person is </w:t>
      </w:r>
      <w:r w:rsidR="00A40A99" w:rsidRPr="009764EE">
        <w:rPr>
          <w:color w:val="000000"/>
        </w:rPr>
        <w:t>harmed by another person.</w:t>
      </w:r>
      <w:r w:rsidR="007229F2" w:rsidRPr="009764EE">
        <w:rPr>
          <w:rFonts w:eastAsia="Calibri Light"/>
        </w:rPr>
        <w:t xml:space="preserve"> </w:t>
      </w:r>
      <w:r w:rsidR="00526CED" w:rsidRPr="009764EE">
        <w:t>This</w:t>
      </w:r>
      <w:r w:rsidR="00017187" w:rsidRPr="009764EE">
        <w:rPr>
          <w:rFonts w:eastAsia="Calibri Light"/>
        </w:rPr>
        <w:t xml:space="preserve"> </w:t>
      </w:r>
      <w:r w:rsidR="007229F2" w:rsidRPr="009764EE">
        <w:rPr>
          <w:rFonts w:eastAsia="Calibri Light"/>
        </w:rPr>
        <w:t>take</w:t>
      </w:r>
      <w:r w:rsidR="00526CED" w:rsidRPr="009764EE">
        <w:rPr>
          <w:rFonts w:eastAsia="Calibri Light"/>
        </w:rPr>
        <w:t>s</w:t>
      </w:r>
      <w:r w:rsidR="00017187" w:rsidRPr="009764EE">
        <w:rPr>
          <w:rFonts w:eastAsia="Calibri Light"/>
        </w:rPr>
        <w:t xml:space="preserve"> on</w:t>
      </w:r>
      <w:r w:rsidR="007229F2" w:rsidRPr="009764EE">
        <w:rPr>
          <w:rFonts w:eastAsia="Calibri Light"/>
        </w:rPr>
        <w:t xml:space="preserve"> various forms</w:t>
      </w:r>
      <w:r w:rsidR="000C102C" w:rsidRPr="009764EE">
        <w:t>,</w:t>
      </w:r>
      <w:r w:rsidR="002042F9" w:rsidRPr="009764EE">
        <w:rPr>
          <w:rFonts w:eastAsia="Calibri Light"/>
        </w:rPr>
        <w:t xml:space="preserve"> </w:t>
      </w:r>
      <w:r w:rsidR="00C95DA1" w:rsidRPr="009764EE">
        <w:rPr>
          <w:rFonts w:eastAsia="Calibri Light"/>
        </w:rPr>
        <w:t xml:space="preserve">including </w:t>
      </w:r>
      <w:r w:rsidR="000C102C" w:rsidRPr="009764EE">
        <w:rPr>
          <w:rFonts w:eastAsia="Calibri Light"/>
        </w:rPr>
        <w:t>but not limited to</w:t>
      </w:r>
      <w:r w:rsidR="007229F2" w:rsidRPr="009764EE">
        <w:rPr>
          <w:rFonts w:eastAsia="Calibri Light"/>
        </w:rPr>
        <w:t xml:space="preserve"> </w:t>
      </w:r>
      <w:r w:rsidR="00F73964" w:rsidRPr="009764EE">
        <w:rPr>
          <w:rFonts w:eastAsia="Calibri Light"/>
          <w:color w:val="000000" w:themeColor="text1"/>
        </w:rPr>
        <w:t>physical, emotional</w:t>
      </w:r>
      <w:r w:rsidR="00C2595D" w:rsidRPr="009764EE">
        <w:rPr>
          <w:rFonts w:eastAsia="Calibri Light"/>
          <w:color w:val="000000" w:themeColor="text1"/>
        </w:rPr>
        <w:t>,</w:t>
      </w:r>
      <w:r w:rsidR="00F73964" w:rsidRPr="009764EE">
        <w:rPr>
          <w:rFonts w:eastAsia="Calibri Light"/>
          <w:color w:val="000000" w:themeColor="text1"/>
        </w:rPr>
        <w:t xml:space="preserve"> and sexual abuse</w:t>
      </w:r>
      <w:r w:rsidR="00184B84" w:rsidRPr="009764EE">
        <w:rPr>
          <w:rFonts w:eastAsia="Calibri Light"/>
          <w:color w:val="000000" w:themeColor="text1"/>
        </w:rPr>
        <w:t>,</w:t>
      </w:r>
      <w:r w:rsidR="00F73964" w:rsidRPr="009764EE">
        <w:rPr>
          <w:rFonts w:eastAsia="Calibri Light"/>
          <w:color w:val="000000" w:themeColor="text1"/>
        </w:rPr>
        <w:t xml:space="preserve"> and neglect.</w:t>
      </w:r>
      <w:bookmarkStart w:id="59" w:name="_Ref140506542"/>
      <w:r w:rsidR="00F73964" w:rsidRPr="005049F1">
        <w:rPr>
          <w:rStyle w:val="FootnoteReference"/>
          <w:rFonts w:eastAsia="Calibri Light"/>
        </w:rPr>
        <w:endnoteReference w:id="29"/>
      </w:r>
      <w:bookmarkEnd w:id="59"/>
    </w:p>
    <w:p w14:paraId="38A9EC7A" w14:textId="50EEF9D7" w:rsidR="008259FE" w:rsidRPr="009764EE" w:rsidRDefault="00F73964" w:rsidP="002B098A">
      <w:r w:rsidRPr="009764EE">
        <w:t>In Australia, personal safety from physical violence has improved since 2005. The</w:t>
      </w:r>
      <w:r w:rsidR="00BB5108">
        <w:t> </w:t>
      </w:r>
      <w:r w:rsidRPr="009764EE">
        <w:t>prevalence rate of physical violence has declined from 10.4</w:t>
      </w:r>
      <w:r w:rsidR="001524A0">
        <w:t> per c</w:t>
      </w:r>
      <w:r w:rsidRPr="009764EE">
        <w:t>ent for men and 4.7</w:t>
      </w:r>
      <w:r w:rsidR="001524A0">
        <w:t> per c</w:t>
      </w:r>
      <w:r w:rsidRPr="009764EE">
        <w:t>ent for women in 2005 to 6.1</w:t>
      </w:r>
      <w:r w:rsidR="001524A0">
        <w:t> per c</w:t>
      </w:r>
      <w:r w:rsidRPr="009764EE">
        <w:t>ent and 2.9</w:t>
      </w:r>
      <w:r w:rsidR="001524A0">
        <w:t> per c</w:t>
      </w:r>
      <w:r w:rsidRPr="009764EE">
        <w:t>ent respectively in 2021</w:t>
      </w:r>
      <w:r w:rsidR="00151999">
        <w:t>–</w:t>
      </w:r>
      <w:r w:rsidRPr="009764EE">
        <w:t>22.</w:t>
      </w:r>
    </w:p>
    <w:p w14:paraId="3D173231" w14:textId="50FA314D" w:rsidR="008259FE" w:rsidRPr="009764EE" w:rsidRDefault="00F73964" w:rsidP="002B098A">
      <w:r w:rsidRPr="009764EE">
        <w:t xml:space="preserve">Violence </w:t>
      </w:r>
      <w:r w:rsidR="00E67557" w:rsidRPr="009764EE">
        <w:t xml:space="preserve">by </w:t>
      </w:r>
      <w:r w:rsidR="0033358E" w:rsidRPr="009764EE">
        <w:t>an</w:t>
      </w:r>
      <w:r w:rsidR="00E67557" w:rsidRPr="009764EE">
        <w:t xml:space="preserve"> intimate partner</w:t>
      </w:r>
      <w:r w:rsidR="002C4146" w:rsidRPr="009764EE">
        <w:t xml:space="preserve"> (physical</w:t>
      </w:r>
      <w:r w:rsidR="00591102" w:rsidRPr="009764EE">
        <w:t xml:space="preserve"> and/or</w:t>
      </w:r>
      <w:r w:rsidR="002C4146" w:rsidRPr="009764EE">
        <w:t xml:space="preserve"> sexual)</w:t>
      </w:r>
      <w:r w:rsidR="004057A3" w:rsidRPr="009764EE">
        <w:t>,</w:t>
      </w:r>
      <w:r w:rsidRPr="009764EE">
        <w:t xml:space="preserve"> is more commonly experienced by women and impacts many aspects of wellbeing. The rate of intimate partner violence </w:t>
      </w:r>
      <w:r w:rsidR="00F81012" w:rsidRPr="009764EE">
        <w:t xml:space="preserve">was </w:t>
      </w:r>
      <w:r w:rsidRPr="009764EE">
        <w:t>2.3</w:t>
      </w:r>
      <w:r w:rsidR="001524A0">
        <w:t> per c</w:t>
      </w:r>
      <w:r w:rsidRPr="009764EE">
        <w:t xml:space="preserve">ent in 2005 </w:t>
      </w:r>
      <w:r w:rsidR="007E66D6" w:rsidRPr="009764EE">
        <w:t xml:space="preserve">and </w:t>
      </w:r>
      <w:r w:rsidRPr="009764EE">
        <w:t>1.5</w:t>
      </w:r>
      <w:r w:rsidR="001524A0">
        <w:t> per c</w:t>
      </w:r>
      <w:r w:rsidRPr="009764EE">
        <w:t>ent in 2021</w:t>
      </w:r>
      <w:r w:rsidR="00BB5108">
        <w:t>‍</w:t>
      </w:r>
      <w:r w:rsidR="00151999">
        <w:t>–</w:t>
      </w:r>
      <w:r w:rsidR="00BB5108">
        <w:t>‍</w:t>
      </w:r>
      <w:r w:rsidRPr="009764EE">
        <w:t>22 for women</w:t>
      </w:r>
      <w:r w:rsidR="00A965D4" w:rsidRPr="009764EE">
        <w:t>.</w:t>
      </w:r>
      <w:r w:rsidR="008A31B2" w:rsidRPr="009764EE">
        <w:t xml:space="preserve"> </w:t>
      </w:r>
    </w:p>
    <w:p w14:paraId="73667735" w14:textId="72BF04BE" w:rsidR="008259FE" w:rsidRPr="009764EE" w:rsidRDefault="003C592C" w:rsidP="002B098A">
      <w:r w:rsidRPr="009764EE">
        <w:t>The impact of COVID</w:t>
      </w:r>
      <w:r w:rsidR="00135DEA">
        <w:noBreakHyphen/>
      </w:r>
      <w:r w:rsidRPr="009764EE">
        <w:t>19 lockdowns should be taken into consideration when comparing the years and assessing the trends.</w:t>
      </w:r>
      <w:r w:rsidR="00F73964" w:rsidRPr="009764EE">
        <w:t xml:space="preserve"> </w:t>
      </w:r>
      <w:r w:rsidR="00E83F7C" w:rsidRPr="009764EE">
        <w:t xml:space="preserve">Prior to 2021, the rates have </w:t>
      </w:r>
      <w:r w:rsidR="0073155F" w:rsidRPr="009764EE">
        <w:t>remained stable</w:t>
      </w:r>
      <w:r w:rsidR="00EC7E66" w:rsidRPr="009764EE">
        <w:t xml:space="preserve"> and</w:t>
      </w:r>
      <w:r w:rsidR="00E67557" w:rsidRPr="009764EE">
        <w:t xml:space="preserve"> </w:t>
      </w:r>
      <w:r w:rsidR="003A0BAC" w:rsidRPr="009764EE">
        <w:t>intimate partner violence</w:t>
      </w:r>
      <w:r w:rsidR="00E67557" w:rsidRPr="009764EE">
        <w:t xml:space="preserve"> </w:t>
      </w:r>
      <w:r w:rsidR="00512C63" w:rsidRPr="009764EE">
        <w:t>remains</w:t>
      </w:r>
      <w:r w:rsidR="00D8670D" w:rsidRPr="009764EE">
        <w:t xml:space="preserve"> a </w:t>
      </w:r>
      <w:r w:rsidR="00BD6460" w:rsidRPr="009764EE">
        <w:t xml:space="preserve">continual </w:t>
      </w:r>
      <w:r w:rsidR="003A0BAC" w:rsidRPr="009764EE">
        <w:t>issue in Australian society.</w:t>
      </w:r>
    </w:p>
    <w:p w14:paraId="0661ED37" w14:textId="478FA71E" w:rsidR="00B36EFB" w:rsidRDefault="003158D2" w:rsidP="002B098A">
      <w:r w:rsidRPr="009764EE">
        <w:t xml:space="preserve">Emotional abuse by a cohabiting partner </w:t>
      </w:r>
      <w:r w:rsidR="00D66C98">
        <w:t>was</w:t>
      </w:r>
      <w:r w:rsidRPr="009764EE">
        <w:t xml:space="preserve"> experienced at a greater rate for women</w:t>
      </w:r>
      <w:r w:rsidR="00314667">
        <w:t xml:space="preserve"> </w:t>
      </w:r>
      <w:r w:rsidRPr="009764EE">
        <w:t>(3.9</w:t>
      </w:r>
      <w:r w:rsidR="001524A0">
        <w:t> per c</w:t>
      </w:r>
      <w:r w:rsidRPr="009764EE">
        <w:t>ent) than men (2.5</w:t>
      </w:r>
      <w:r w:rsidR="001524A0">
        <w:t> per c</w:t>
      </w:r>
      <w:r w:rsidRPr="009764EE">
        <w:t>ent) in</w:t>
      </w:r>
      <w:r w:rsidR="00314667">
        <w:t xml:space="preserve"> </w:t>
      </w:r>
      <w:r w:rsidRPr="009764EE">
        <w:t>2021</w:t>
      </w:r>
      <w:r w:rsidR="00151999">
        <w:t>–</w:t>
      </w:r>
      <w:r w:rsidR="00BB5108">
        <w:t>‍</w:t>
      </w:r>
      <w:r w:rsidRPr="009764EE">
        <w:t>22. Prior to the COVID</w:t>
      </w:r>
      <w:r w:rsidR="00135DEA">
        <w:noBreakHyphen/>
      </w:r>
      <w:r w:rsidRPr="009764EE">
        <w:t>19 pandemic, the prevalence rate has remained stable for women and increased for men.</w:t>
      </w:r>
    </w:p>
    <w:p w14:paraId="12100537" w14:textId="339A1C9D" w:rsidR="007062A8" w:rsidRPr="009764EE" w:rsidRDefault="007062A8" w:rsidP="002B098A">
      <w:r w:rsidRPr="009764EE">
        <w:t>The COVID</w:t>
      </w:r>
      <w:r w:rsidR="00135DEA">
        <w:noBreakHyphen/>
      </w:r>
      <w:r w:rsidRPr="009764EE">
        <w:t>19 pandemic introduced new and unique stressors into people</w:t>
      </w:r>
      <w:r w:rsidR="00135DEA">
        <w:t>’</w:t>
      </w:r>
      <w:r w:rsidRPr="009764EE">
        <w:t>s lives and may have exacerbated risk or vulnerability.</w:t>
      </w:r>
    </w:p>
    <w:p w14:paraId="4B51BB89" w14:textId="7975E96D" w:rsidR="00F72E1B" w:rsidRPr="009764EE" w:rsidRDefault="007062A8" w:rsidP="002B098A">
      <w:r w:rsidRPr="009764EE">
        <w:t>A 2021 Australian Criminology Institute study found that the COVID</w:t>
      </w:r>
      <w:r w:rsidR="00135DEA">
        <w:noBreakHyphen/>
      </w:r>
      <w:r w:rsidRPr="009764EE">
        <w:t xml:space="preserve">19 pandemic has </w:t>
      </w:r>
      <w:r w:rsidR="00135DEA">
        <w:t>‘</w:t>
      </w:r>
      <w:r w:rsidRPr="009764EE">
        <w:t>coincided</w:t>
      </w:r>
      <w:r w:rsidR="00135DEA">
        <w:t>’</w:t>
      </w:r>
      <w:r w:rsidRPr="009764EE">
        <w:t xml:space="preserve"> with increases in first</w:t>
      </w:r>
      <w:r w:rsidR="00135DEA">
        <w:noBreakHyphen/>
      </w:r>
      <w:r w:rsidRPr="009764EE">
        <w:t>time violence, frequency and severity of violence. They found that around 3 in 5 women reported experiencing physical violence (57.1</w:t>
      </w:r>
      <w:r w:rsidR="001524A0">
        <w:t> per c</w:t>
      </w:r>
      <w:r w:rsidRPr="009764EE">
        <w:t>ent), sexual violence (61.1</w:t>
      </w:r>
      <w:r w:rsidR="001524A0">
        <w:t> per c</w:t>
      </w:r>
      <w:r w:rsidRPr="009764EE">
        <w:t>ent)</w:t>
      </w:r>
      <w:r w:rsidR="009443A3" w:rsidRPr="009764EE">
        <w:t>,</w:t>
      </w:r>
      <w:r w:rsidRPr="009764EE">
        <w:t xml:space="preserve"> or emotional abuse, harassing or controlling behaviours (66.2</w:t>
      </w:r>
      <w:r w:rsidR="001524A0">
        <w:t> per c</w:t>
      </w:r>
      <w:r w:rsidRPr="009764EE">
        <w:t>ent) for the first time</w:t>
      </w:r>
      <w:r w:rsidR="00D606FF" w:rsidRPr="009764EE">
        <w:t>,</w:t>
      </w:r>
      <w:r w:rsidRPr="009764EE">
        <w:t xml:space="preserve"> or an escalation in the frequency and severity of ongoing violence.</w:t>
      </w:r>
      <w:r w:rsidRPr="005049F1">
        <w:rPr>
          <w:rStyle w:val="FootnoteReference"/>
        </w:rPr>
        <w:endnoteReference w:id="30"/>
      </w:r>
    </w:p>
    <w:p w14:paraId="7D40DD62" w14:textId="74EEEF17" w:rsidR="00FD7338" w:rsidRPr="009764EE" w:rsidRDefault="00FD7338" w:rsidP="00FD7338">
      <w:pPr>
        <w:pStyle w:val="Heading3"/>
        <w:rPr>
          <w:rFonts w:cs="Calibri"/>
          <w:szCs w:val="24"/>
        </w:rPr>
      </w:pPr>
      <w:r w:rsidRPr="009764EE">
        <w:rPr>
          <w:rFonts w:cs="Calibri"/>
        </w:rPr>
        <w:lastRenderedPageBreak/>
        <w:t xml:space="preserve">Childhood experience of </w:t>
      </w:r>
      <w:r w:rsidR="00326445" w:rsidRPr="009764EE">
        <w:rPr>
          <w:rFonts w:cs="Calibri"/>
        </w:rPr>
        <w:t>abuse</w:t>
      </w:r>
    </w:p>
    <w:p w14:paraId="53479FEF" w14:textId="66A8A79B" w:rsidR="00CA6A4F" w:rsidRDefault="00314DE6" w:rsidP="002B098A">
      <w:pPr>
        <w:rPr>
          <w:lang w:val="en-GB"/>
        </w:rPr>
      </w:pPr>
      <w:r w:rsidRPr="009764EE">
        <w:rPr>
          <w:lang w:val="en-GB"/>
        </w:rPr>
        <w:t xml:space="preserve">Childhood experience of abuse has </w:t>
      </w:r>
      <w:r w:rsidR="00982015" w:rsidRPr="009764EE">
        <w:rPr>
          <w:lang w:val="en-GB"/>
        </w:rPr>
        <w:t>severe impacts on mental health and health risk behaviours</w:t>
      </w:r>
      <w:r w:rsidR="00F743E0" w:rsidRPr="009764EE">
        <w:rPr>
          <w:lang w:val="en-GB"/>
        </w:rPr>
        <w:t xml:space="preserve"> throughout a person</w:t>
      </w:r>
      <w:r w:rsidR="00135DEA">
        <w:rPr>
          <w:lang w:val="en-GB"/>
        </w:rPr>
        <w:t>’</w:t>
      </w:r>
      <w:r w:rsidR="00F743E0" w:rsidRPr="009764EE">
        <w:rPr>
          <w:lang w:val="en-GB"/>
        </w:rPr>
        <w:t>s life.</w:t>
      </w:r>
      <w:r w:rsidR="00982015" w:rsidRPr="009764EE">
        <w:rPr>
          <w:lang w:val="en-GB"/>
        </w:rPr>
        <w:t xml:space="preserve"> </w:t>
      </w:r>
      <w:r w:rsidR="004F6A63" w:rsidRPr="009764EE">
        <w:rPr>
          <w:lang w:val="en-GB"/>
        </w:rPr>
        <w:t xml:space="preserve">The Australian </w:t>
      </w:r>
      <w:r w:rsidR="002224F4">
        <w:rPr>
          <w:lang w:val="en-GB"/>
        </w:rPr>
        <w:t>s</w:t>
      </w:r>
      <w:r w:rsidR="002224F4" w:rsidRPr="009764EE">
        <w:rPr>
          <w:lang w:val="en-GB"/>
        </w:rPr>
        <w:t>tudy</w:t>
      </w:r>
      <w:r w:rsidR="004F6A63" w:rsidRPr="009764EE">
        <w:rPr>
          <w:lang w:val="en-GB"/>
        </w:rPr>
        <w:t xml:space="preserve"> found that people (</w:t>
      </w:r>
      <w:r w:rsidR="00747B63" w:rsidRPr="009764EE">
        <w:rPr>
          <w:lang w:val="en-GB"/>
        </w:rPr>
        <w:t xml:space="preserve">aged </w:t>
      </w:r>
      <w:r w:rsidR="004F6A63" w:rsidRPr="009764EE">
        <w:rPr>
          <w:lang w:val="en-GB"/>
        </w:rPr>
        <w:t>16</w:t>
      </w:r>
      <w:r w:rsidR="00C239AD">
        <w:rPr>
          <w:lang w:val="en-GB"/>
        </w:rPr>
        <w:t> year</w:t>
      </w:r>
      <w:r w:rsidR="004F6A63" w:rsidRPr="009764EE">
        <w:rPr>
          <w:lang w:val="en-GB"/>
        </w:rPr>
        <w:t>s</w:t>
      </w:r>
      <w:r w:rsidR="00747B63" w:rsidRPr="009764EE">
        <w:rPr>
          <w:lang w:val="en-GB"/>
        </w:rPr>
        <w:t xml:space="preserve"> and above</w:t>
      </w:r>
      <w:r w:rsidR="004F6A63" w:rsidRPr="009764EE">
        <w:rPr>
          <w:lang w:val="en-GB"/>
        </w:rPr>
        <w:t xml:space="preserve">) </w:t>
      </w:r>
      <w:r w:rsidR="00B63A36" w:rsidRPr="009764EE">
        <w:rPr>
          <w:lang w:val="en-GB"/>
        </w:rPr>
        <w:t>who experienced</w:t>
      </w:r>
      <w:r w:rsidR="00D34EA3" w:rsidRPr="009764EE">
        <w:rPr>
          <w:lang w:val="en-GB"/>
        </w:rPr>
        <w:t xml:space="preserve"> childhood maltreatment </w:t>
      </w:r>
      <w:r w:rsidR="007834DE" w:rsidRPr="009764EE">
        <w:rPr>
          <w:lang w:val="en-GB"/>
        </w:rPr>
        <w:t>were 2.</w:t>
      </w:r>
      <w:r w:rsidR="00747B63" w:rsidRPr="009764EE">
        <w:rPr>
          <w:lang w:val="en-GB"/>
        </w:rPr>
        <w:t>8</w:t>
      </w:r>
      <w:r w:rsidR="007834DE" w:rsidRPr="009764EE">
        <w:rPr>
          <w:lang w:val="en-GB"/>
        </w:rPr>
        <w:t xml:space="preserve"> times more likely to experience </w:t>
      </w:r>
      <w:r w:rsidR="008E75FE" w:rsidRPr="009764EE">
        <w:rPr>
          <w:lang w:val="en-GB"/>
        </w:rPr>
        <w:t xml:space="preserve">a </w:t>
      </w:r>
      <w:r w:rsidR="00B337B8" w:rsidRPr="009764EE">
        <w:rPr>
          <w:lang w:val="en-GB"/>
        </w:rPr>
        <w:t>form of</w:t>
      </w:r>
      <w:r w:rsidR="008E75FE" w:rsidRPr="009764EE">
        <w:rPr>
          <w:lang w:val="en-GB"/>
        </w:rPr>
        <w:t xml:space="preserve"> mental health disorder</w:t>
      </w:r>
      <w:r w:rsidR="001524A0">
        <w:rPr>
          <w:lang w:val="en-GB"/>
        </w:rPr>
        <w:t xml:space="preserve"> – </w:t>
      </w:r>
      <w:r w:rsidR="006D5581" w:rsidRPr="009764EE">
        <w:rPr>
          <w:lang w:val="en-GB"/>
        </w:rPr>
        <w:t xml:space="preserve">at least </w:t>
      </w:r>
      <w:r w:rsidR="00FB06F6" w:rsidRPr="009764EE">
        <w:rPr>
          <w:lang w:val="en-GB"/>
        </w:rPr>
        <w:t xml:space="preserve">one of four </w:t>
      </w:r>
      <w:r w:rsidR="00FE6CC9" w:rsidRPr="009764EE">
        <w:rPr>
          <w:lang w:val="en-GB"/>
        </w:rPr>
        <w:t>assessed in the study</w:t>
      </w:r>
      <w:r w:rsidR="001524A0">
        <w:rPr>
          <w:lang w:val="en-GB"/>
        </w:rPr>
        <w:t xml:space="preserve"> – </w:t>
      </w:r>
      <w:r w:rsidR="00FB06F6" w:rsidRPr="009764EE">
        <w:rPr>
          <w:lang w:val="en-GB"/>
        </w:rPr>
        <w:t xml:space="preserve">than those who </w:t>
      </w:r>
      <w:r w:rsidR="008401F1" w:rsidRPr="009764EE">
        <w:rPr>
          <w:lang w:val="en-GB"/>
        </w:rPr>
        <w:t>have not experienced maltreatment.</w:t>
      </w:r>
      <w:r w:rsidR="00111933" w:rsidRPr="005049F1">
        <w:rPr>
          <w:rStyle w:val="FootnoteReference"/>
        </w:rPr>
        <w:endnoteReference w:id="31"/>
      </w:r>
    </w:p>
    <w:p w14:paraId="450D8BFF" w14:textId="3C1EA279" w:rsidR="008259FE" w:rsidRDefault="00FD7338" w:rsidP="00B8112E">
      <w:r w:rsidRPr="009764EE">
        <w:rPr>
          <w:lang w:val="en-GB"/>
        </w:rPr>
        <w:t>The number of people who experience abuse before the age of 15 is unacceptably high. The</w:t>
      </w:r>
      <w:r w:rsidR="00C15716">
        <w:rPr>
          <w:lang w:val="en-GB"/>
        </w:rPr>
        <w:t> </w:t>
      </w:r>
      <w:r w:rsidRPr="009764EE">
        <w:rPr>
          <w:lang w:val="en-GB"/>
        </w:rPr>
        <w:t>ABS Personal Safety Survey in 2021</w:t>
      </w:r>
      <w:r w:rsidR="00CF0F48">
        <w:rPr>
          <w:lang w:val="en-GB"/>
        </w:rPr>
        <w:softHyphen/>
      </w:r>
      <w:r w:rsidR="00151999">
        <w:rPr>
          <w:lang w:val="en-GB"/>
        </w:rPr>
        <w:t>–</w:t>
      </w:r>
      <w:r w:rsidRPr="009764EE">
        <w:rPr>
          <w:lang w:val="en-GB"/>
        </w:rPr>
        <w:t xml:space="preserve">22 found </w:t>
      </w:r>
      <w:r w:rsidR="00DA2BB2">
        <w:rPr>
          <w:lang w:val="en-GB"/>
        </w:rPr>
        <w:t>14.1</w:t>
      </w:r>
      <w:r w:rsidR="001524A0">
        <w:rPr>
          <w:lang w:val="en-GB"/>
        </w:rPr>
        <w:t> per c</w:t>
      </w:r>
      <w:r w:rsidRPr="009764EE">
        <w:rPr>
          <w:lang w:val="en-GB"/>
        </w:rPr>
        <w:t>ent of people aged 18</w:t>
      </w:r>
      <w:r w:rsidR="00C239AD">
        <w:rPr>
          <w:lang w:val="en-GB"/>
        </w:rPr>
        <w:t> year</w:t>
      </w:r>
      <w:r w:rsidRPr="009764EE">
        <w:rPr>
          <w:lang w:val="en-GB"/>
        </w:rPr>
        <w:t>s and over experienced abuse</w:t>
      </w:r>
      <w:r w:rsidR="005C646C" w:rsidRPr="009764EE">
        <w:rPr>
          <w:lang w:val="en-GB"/>
        </w:rPr>
        <w:t xml:space="preserve"> </w:t>
      </w:r>
      <w:r w:rsidRPr="009764EE">
        <w:rPr>
          <w:lang w:val="en-GB"/>
        </w:rPr>
        <w:t xml:space="preserve">during their childhood. </w:t>
      </w:r>
      <w:r w:rsidR="001E6CA8" w:rsidRPr="002B098A">
        <w:t>The proportion of women who experience abuse before the age of 15 is higher at 17.5</w:t>
      </w:r>
      <w:r w:rsidR="001524A0">
        <w:t> per c</w:t>
      </w:r>
      <w:r w:rsidR="001E6CA8" w:rsidRPr="002B098A">
        <w:t xml:space="preserve">ent compared </w:t>
      </w:r>
      <w:r w:rsidR="00872A7C" w:rsidRPr="002B098A">
        <w:t xml:space="preserve">to </w:t>
      </w:r>
      <w:r w:rsidR="001E6CA8" w:rsidRPr="002B098A">
        <w:t>10.6</w:t>
      </w:r>
      <w:r w:rsidR="001524A0">
        <w:t> per c</w:t>
      </w:r>
      <w:r w:rsidR="001E6CA8" w:rsidRPr="002B098A">
        <w:t>ent for men in 2021</w:t>
      </w:r>
      <w:r w:rsidR="00CF0F48" w:rsidRPr="002B098A">
        <w:softHyphen/>
      </w:r>
      <w:r w:rsidR="00151999">
        <w:t>–</w:t>
      </w:r>
      <w:r w:rsidR="001E6CA8" w:rsidRPr="002B098A">
        <w:t>22.</w:t>
      </w:r>
    </w:p>
    <w:p w14:paraId="32B5DB01" w14:textId="2D83015F" w:rsidR="00CA6A4F" w:rsidRDefault="00CA6A4F" w:rsidP="00B8112E"/>
    <w:p w14:paraId="3D64B795" w14:textId="77777777" w:rsidR="0064538C" w:rsidRDefault="0064538C" w:rsidP="00B8112E">
      <w:pPr>
        <w:sectPr w:rsidR="0064538C" w:rsidSect="00DA302B">
          <w:endnotePr>
            <w:numFmt w:val="decimal"/>
          </w:endnotePr>
          <w:pgSz w:w="11906" w:h="16838" w:code="9"/>
          <w:pgMar w:top="1843" w:right="1418" w:bottom="1418" w:left="1418" w:header="851" w:footer="851" w:gutter="0"/>
          <w:cols w:num="2" w:space="567"/>
          <w:docGrid w:linePitch="360"/>
        </w:sectPr>
      </w:pPr>
    </w:p>
    <w:tbl>
      <w:tblPr>
        <w:tblStyle w:val="MWMKey"/>
        <w:tblpPr w:leftFromText="180" w:rightFromText="180" w:vertAnchor="text" w:horzAnchor="margin" w:tblpY="209"/>
        <w:tblW w:w="5000" w:type="pct"/>
        <w:tblLook w:val="0620" w:firstRow="1" w:lastRow="0" w:firstColumn="0" w:lastColumn="0" w:noHBand="1" w:noVBand="1"/>
      </w:tblPr>
      <w:tblGrid>
        <w:gridCol w:w="9070"/>
      </w:tblGrid>
      <w:tr w:rsidR="003223C8" w:rsidRPr="009764EE" w14:paraId="54343702" w14:textId="77777777" w:rsidTr="003223C8">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6B3465D9" w14:textId="733C28F1" w:rsidR="003223C8" w:rsidRPr="00C15716" w:rsidRDefault="003223C8" w:rsidP="003223C8">
            <w:pPr>
              <w:pStyle w:val="BoxHeading"/>
              <w:spacing w:after="0"/>
            </w:pPr>
            <w:r w:rsidRPr="00C15716">
              <w:t>Key Government initiatives to make Australians safer</w:t>
            </w:r>
          </w:p>
        </w:tc>
      </w:tr>
      <w:tr w:rsidR="0064538C" w:rsidRPr="009764EE" w14:paraId="252B9E23" w14:textId="77777777" w:rsidTr="003223C8">
        <w:trPr>
          <w:trHeight w:val="20"/>
        </w:trPr>
        <w:tc>
          <w:tcPr>
            <w:tcW w:w="5000" w:type="pct"/>
            <w:hideMark/>
          </w:tcPr>
          <w:p w14:paraId="24D58D48" w14:textId="793EE9FF" w:rsidR="0064538C" w:rsidRPr="009764EE" w:rsidRDefault="0064538C" w:rsidP="003223C8">
            <w:pPr>
              <w:pStyle w:val="Boxbullet"/>
              <w:rPr>
                <w:lang w:eastAsia="en-US"/>
              </w:rPr>
            </w:pPr>
            <w:r w:rsidRPr="009764EE">
              <w:rPr>
                <w:lang w:eastAsia="en-US"/>
              </w:rPr>
              <w:t>National Plan to End Violence against Women and Children 2022</w:t>
            </w:r>
            <w:r w:rsidR="00151999">
              <w:rPr>
                <w:lang w:eastAsia="en-US"/>
              </w:rPr>
              <w:t>–</w:t>
            </w:r>
            <w:r>
              <w:rPr>
                <w:lang w:eastAsia="en-US"/>
              </w:rPr>
              <w:softHyphen/>
            </w:r>
            <w:r w:rsidRPr="009764EE">
              <w:rPr>
                <w:lang w:eastAsia="en-US"/>
              </w:rPr>
              <w:t>2032</w:t>
            </w:r>
          </w:p>
          <w:p w14:paraId="2F99DC52" w14:textId="77777777" w:rsidR="0064538C" w:rsidRPr="009764EE" w:rsidRDefault="0064538C" w:rsidP="003223C8">
            <w:pPr>
              <w:pStyle w:val="Boxbullet"/>
              <w:rPr>
                <w:lang w:eastAsia="en-US"/>
              </w:rPr>
            </w:pPr>
            <w:r w:rsidRPr="009764EE">
              <w:rPr>
                <w:lang w:eastAsia="en-US"/>
              </w:rPr>
              <w:t>Extension to the Family, Domestic and Sexual Violence Responses National Partnership Agreement</w:t>
            </w:r>
          </w:p>
          <w:p w14:paraId="3CA61579" w14:textId="77777777" w:rsidR="0064538C" w:rsidRPr="009764EE" w:rsidRDefault="0064538C" w:rsidP="003223C8">
            <w:pPr>
              <w:pStyle w:val="Boxbullet"/>
              <w:rPr>
                <w:lang w:eastAsia="en-US"/>
              </w:rPr>
            </w:pPr>
            <w:r w:rsidRPr="009764EE">
              <w:rPr>
                <w:lang w:eastAsia="en-US"/>
              </w:rPr>
              <w:t>Support for migrant women and women on temporary visas to escape violence</w:t>
            </w:r>
          </w:p>
          <w:p w14:paraId="4A929B13" w14:textId="10C2C99D" w:rsidR="0064538C" w:rsidRPr="009764EE" w:rsidRDefault="0064538C" w:rsidP="003223C8">
            <w:pPr>
              <w:pStyle w:val="Boxbullet"/>
              <w:rPr>
                <w:lang w:eastAsia="en-US"/>
              </w:rPr>
            </w:pPr>
            <w:r w:rsidRPr="009764EE">
              <w:rPr>
                <w:lang w:eastAsia="en-US"/>
              </w:rPr>
              <w:t>National Strategy to Prevent and Respond to Child Sexual Abuse 2021</w:t>
            </w:r>
            <w:r>
              <w:rPr>
                <w:lang w:eastAsia="en-US"/>
              </w:rPr>
              <w:softHyphen/>
            </w:r>
            <w:r w:rsidR="00151999">
              <w:rPr>
                <w:lang w:eastAsia="en-US"/>
              </w:rPr>
              <w:t>–</w:t>
            </w:r>
            <w:r w:rsidRPr="009764EE">
              <w:rPr>
                <w:lang w:eastAsia="en-US"/>
              </w:rPr>
              <w:t>2030</w:t>
            </w:r>
          </w:p>
          <w:p w14:paraId="7553F2C1" w14:textId="58A05BC6" w:rsidR="0064538C" w:rsidRPr="009764EE" w:rsidRDefault="0064538C" w:rsidP="003223C8">
            <w:pPr>
              <w:pStyle w:val="Boxbullet"/>
              <w:rPr>
                <w:lang w:eastAsia="en-US"/>
              </w:rPr>
            </w:pPr>
            <w:r w:rsidRPr="009764EE">
              <w:rPr>
                <w:lang w:eastAsia="en-US"/>
              </w:rPr>
              <w:t>Safe and Supported: the National Framework for Protecting Australia</w:t>
            </w:r>
            <w:r w:rsidR="00135DEA">
              <w:rPr>
                <w:lang w:eastAsia="en-US"/>
              </w:rPr>
              <w:t>’</w:t>
            </w:r>
            <w:r w:rsidRPr="009764EE">
              <w:rPr>
                <w:lang w:eastAsia="en-US"/>
              </w:rPr>
              <w:t>s Children 2021</w:t>
            </w:r>
            <w:r w:rsidR="00151999">
              <w:rPr>
                <w:lang w:eastAsia="en-US"/>
              </w:rPr>
              <w:t>–</w:t>
            </w:r>
            <w:r w:rsidRPr="009764EE">
              <w:rPr>
                <w:lang w:eastAsia="en-US"/>
              </w:rPr>
              <w:t>2031</w:t>
            </w:r>
          </w:p>
          <w:p w14:paraId="3094C190" w14:textId="77777777" w:rsidR="0064538C" w:rsidRPr="009764EE" w:rsidRDefault="0064538C" w:rsidP="003223C8">
            <w:pPr>
              <w:pStyle w:val="Boxbullet"/>
              <w:rPr>
                <w:lang w:eastAsia="en-US"/>
              </w:rPr>
            </w:pPr>
            <w:r w:rsidRPr="009764EE">
              <w:rPr>
                <w:lang w:eastAsia="en-US"/>
              </w:rPr>
              <w:t>National Plan to Respond to the Abuse of Older Australians</w:t>
            </w:r>
          </w:p>
          <w:p w14:paraId="55D27712" w14:textId="77777777" w:rsidR="0064538C" w:rsidRPr="009764EE" w:rsidRDefault="0064538C" w:rsidP="003223C8">
            <w:pPr>
              <w:pStyle w:val="Boxbullet"/>
              <w:rPr>
                <w:lang w:eastAsia="en-US"/>
              </w:rPr>
            </w:pPr>
            <w:r w:rsidRPr="009764EE">
              <w:rPr>
                <w:lang w:eastAsia="en-US"/>
              </w:rPr>
              <w:t>Cyber Security Strategy (forthcoming)</w:t>
            </w:r>
          </w:p>
          <w:p w14:paraId="062ECB81" w14:textId="77777777" w:rsidR="0064538C" w:rsidRPr="009764EE" w:rsidRDefault="0064538C" w:rsidP="003223C8">
            <w:pPr>
              <w:pStyle w:val="Boxbullet"/>
              <w:rPr>
                <w:lang w:eastAsia="en-US"/>
              </w:rPr>
            </w:pPr>
            <w:r w:rsidRPr="009764EE">
              <w:rPr>
                <w:lang w:eastAsia="en-US"/>
              </w:rPr>
              <w:t>Data and Digital Government Strategy</w:t>
            </w:r>
          </w:p>
          <w:p w14:paraId="4C41BECC" w14:textId="1BA8A70F" w:rsidR="0064538C" w:rsidRPr="009764EE" w:rsidRDefault="0064538C" w:rsidP="003223C8">
            <w:pPr>
              <w:pStyle w:val="Boxbullet"/>
              <w:rPr>
                <w:lang w:eastAsia="en-US"/>
              </w:rPr>
            </w:pPr>
            <w:r w:rsidRPr="009764EE">
              <w:rPr>
                <w:lang w:eastAsia="en-US"/>
              </w:rPr>
              <w:t>National Action Plan to Combat Modern Slavery 2020</w:t>
            </w:r>
            <w:r w:rsidR="00151999">
              <w:rPr>
                <w:lang w:eastAsia="en-US"/>
              </w:rPr>
              <w:t>–</w:t>
            </w:r>
            <w:r>
              <w:rPr>
                <w:lang w:eastAsia="en-US"/>
              </w:rPr>
              <w:softHyphen/>
            </w:r>
            <w:r w:rsidRPr="009764EE">
              <w:rPr>
                <w:lang w:eastAsia="en-US"/>
              </w:rPr>
              <w:t>25</w:t>
            </w:r>
          </w:p>
          <w:p w14:paraId="11417506" w14:textId="55FE474A" w:rsidR="0064538C" w:rsidRPr="009764EE" w:rsidRDefault="0064538C" w:rsidP="003223C8">
            <w:pPr>
              <w:pStyle w:val="Boxbullet"/>
              <w:rPr>
                <w:lang w:eastAsia="en-US"/>
              </w:rPr>
            </w:pPr>
            <w:r w:rsidRPr="009764EE">
              <w:rPr>
                <w:lang w:eastAsia="en-US"/>
              </w:rPr>
              <w:t>Establishing a new National Anti</w:t>
            </w:r>
            <w:r w:rsidR="00135DEA">
              <w:rPr>
                <w:lang w:eastAsia="en-US"/>
              </w:rPr>
              <w:noBreakHyphen/>
            </w:r>
            <w:r w:rsidRPr="009764EE">
              <w:rPr>
                <w:lang w:eastAsia="en-US"/>
              </w:rPr>
              <w:t>Scam Centre in the Australian Competition and Consumer Commission</w:t>
            </w:r>
          </w:p>
          <w:p w14:paraId="173323A6" w14:textId="39BC2C2C" w:rsidR="0064538C" w:rsidRPr="009764EE" w:rsidRDefault="0064538C" w:rsidP="003223C8">
            <w:pPr>
              <w:pStyle w:val="Boxbullet"/>
              <w:rPr>
                <w:lang w:eastAsia="en-US"/>
              </w:rPr>
            </w:pPr>
            <w:r w:rsidRPr="009764EE">
              <w:rPr>
                <w:lang w:eastAsia="en-US"/>
              </w:rPr>
              <w:t>New anti</w:t>
            </w:r>
            <w:r w:rsidR="00135DEA">
              <w:rPr>
                <w:lang w:eastAsia="en-US"/>
              </w:rPr>
              <w:noBreakHyphen/>
            </w:r>
            <w:r w:rsidRPr="009764EE">
              <w:rPr>
                <w:lang w:eastAsia="en-US"/>
              </w:rPr>
              <w:t>SMS scam rules</w:t>
            </w:r>
          </w:p>
          <w:p w14:paraId="1FEB6130" w14:textId="66F2A3B4" w:rsidR="0064538C" w:rsidRPr="009764EE" w:rsidRDefault="0064538C" w:rsidP="003223C8">
            <w:pPr>
              <w:pStyle w:val="Boxbullet"/>
              <w:rPr>
                <w:lang w:eastAsia="en-US"/>
              </w:rPr>
            </w:pPr>
            <w:r w:rsidRPr="009764EE">
              <w:rPr>
                <w:lang w:eastAsia="en-US"/>
              </w:rPr>
              <w:t>Developing a new anti</w:t>
            </w:r>
            <w:r w:rsidR="00135DEA">
              <w:rPr>
                <w:lang w:eastAsia="en-US"/>
              </w:rPr>
              <w:noBreakHyphen/>
            </w:r>
            <w:r w:rsidRPr="009764EE">
              <w:rPr>
                <w:lang w:eastAsia="en-US"/>
              </w:rPr>
              <w:t>scam industry code</w:t>
            </w:r>
          </w:p>
          <w:p w14:paraId="23FC25A9" w14:textId="77777777" w:rsidR="0064538C" w:rsidRPr="009764EE" w:rsidRDefault="0064538C" w:rsidP="003223C8">
            <w:pPr>
              <w:pStyle w:val="Boxbullet"/>
              <w:rPr>
                <w:lang w:eastAsia="en-US"/>
              </w:rPr>
            </w:pPr>
            <w:r w:rsidRPr="009764EE">
              <w:rPr>
                <w:lang w:eastAsia="en-US"/>
              </w:rPr>
              <w:t>Sustainable biosecurity funding</w:t>
            </w:r>
          </w:p>
          <w:p w14:paraId="1B3D9937" w14:textId="2A39FB2B" w:rsidR="0064538C" w:rsidRPr="009764EE" w:rsidRDefault="0064538C" w:rsidP="003223C8">
            <w:pPr>
              <w:pStyle w:val="Boxbullet"/>
            </w:pPr>
            <w:r w:rsidRPr="009764EE">
              <w:rPr>
                <w:lang w:eastAsia="en-US"/>
              </w:rPr>
              <w:t>Investing in Australia</w:t>
            </w:r>
            <w:r w:rsidR="00135DEA">
              <w:rPr>
                <w:lang w:eastAsia="en-US"/>
              </w:rPr>
              <w:t>’</w:t>
            </w:r>
            <w:r w:rsidRPr="009764EE">
              <w:rPr>
                <w:lang w:eastAsia="en-US"/>
              </w:rPr>
              <w:t>s agricultural traceability systems</w:t>
            </w:r>
          </w:p>
        </w:tc>
      </w:tr>
    </w:tbl>
    <w:p w14:paraId="31D627C2" w14:textId="77777777" w:rsidR="0064538C" w:rsidRDefault="0064538C" w:rsidP="00B8112E"/>
    <w:p w14:paraId="7EC9A8E1" w14:textId="77777777" w:rsidR="0064538C" w:rsidRDefault="0064538C" w:rsidP="00B8112E">
      <w:pPr>
        <w:sectPr w:rsidR="0064538C" w:rsidSect="00DA302B">
          <w:endnotePr>
            <w:numFmt w:val="decimal"/>
          </w:endnotePr>
          <w:type w:val="continuous"/>
          <w:pgSz w:w="11906" w:h="16838" w:code="9"/>
          <w:pgMar w:top="1843" w:right="1418" w:bottom="1418" w:left="1418" w:header="851" w:footer="851" w:gutter="0"/>
          <w:cols w:space="567"/>
          <w:docGrid w:linePitch="360"/>
        </w:sectPr>
      </w:pPr>
    </w:p>
    <w:p w14:paraId="5A0CBD96" w14:textId="77777777" w:rsidR="008259FE" w:rsidRPr="009764EE" w:rsidRDefault="00FD7338" w:rsidP="009F56A9">
      <w:pPr>
        <w:pStyle w:val="Heading3"/>
      </w:pPr>
      <w:r w:rsidRPr="009764EE">
        <w:lastRenderedPageBreak/>
        <w:t>Online safety</w:t>
      </w:r>
    </w:p>
    <w:p w14:paraId="26C04998" w14:textId="29C9C59D" w:rsidR="00FD7338" w:rsidRPr="009764EE" w:rsidRDefault="00FD7338" w:rsidP="00B8112E">
      <w:r w:rsidRPr="009764EE">
        <w:t>Operating in an online space is the norm for most people and affects many aspects of people</w:t>
      </w:r>
      <w:r w:rsidR="00135DEA">
        <w:t>’</w:t>
      </w:r>
      <w:r w:rsidRPr="009764EE">
        <w:t>s lives. In 2016</w:t>
      </w:r>
      <w:r w:rsidR="00151999">
        <w:t>–</w:t>
      </w:r>
      <w:r w:rsidRPr="009764EE">
        <w:t>17, 97</w:t>
      </w:r>
      <w:r w:rsidR="001524A0">
        <w:t> per c</w:t>
      </w:r>
      <w:r w:rsidRPr="009764EE">
        <w:t>ent of households with children aged under 15</w:t>
      </w:r>
      <w:r w:rsidR="00C239AD">
        <w:t> year</w:t>
      </w:r>
      <w:r w:rsidRPr="009764EE">
        <w:t>s had access to the internet</w:t>
      </w:r>
      <w:r w:rsidR="001524A0">
        <w:t xml:space="preserve"> – </w:t>
      </w:r>
      <w:r w:rsidRPr="009764EE">
        <w:t>making online safety increasingly important.</w:t>
      </w:r>
      <w:r w:rsidRPr="009764EE">
        <w:rPr>
          <w:rFonts w:ascii="Calibri" w:hAnsi="Calibri" w:cs="Calibri"/>
        </w:rPr>
        <w:t xml:space="preserve"> </w:t>
      </w:r>
      <w:r w:rsidRPr="005049F1">
        <w:rPr>
          <w:rStyle w:val="FootnoteReference"/>
        </w:rPr>
        <w:endnoteReference w:id="32"/>
      </w:r>
    </w:p>
    <w:p w14:paraId="0393C61E" w14:textId="08A44911" w:rsidR="00FD7338" w:rsidRPr="009764EE" w:rsidRDefault="00FD7338" w:rsidP="00B8112E">
      <w:pPr>
        <w:rPr>
          <w:lang w:val="en-GB"/>
        </w:rPr>
      </w:pPr>
      <w:r w:rsidRPr="009764EE">
        <w:t>Negative online experiences can come in a variety of forms, including being sent unwanted content, scams, impersonation, and offensive communication.</w:t>
      </w:r>
      <w:r w:rsidRPr="009764EE">
        <w:rPr>
          <w:rFonts w:ascii="Calibri" w:hAnsi="Calibri" w:cs="Calibri"/>
        </w:rPr>
        <w:t xml:space="preserve"> </w:t>
      </w:r>
      <w:r w:rsidRPr="005049F1">
        <w:rPr>
          <w:rStyle w:val="FootnoteReference"/>
        </w:rPr>
        <w:endnoteReference w:id="33"/>
      </w:r>
      <w:r w:rsidRPr="009764EE">
        <w:t xml:space="preserve"> The </w:t>
      </w:r>
      <w:r w:rsidR="007777CB" w:rsidRPr="009764EE">
        <w:t xml:space="preserve">proportion </w:t>
      </w:r>
      <w:r w:rsidRPr="009764EE">
        <w:t>of adults with negative online experiences have increased from 58</w:t>
      </w:r>
      <w:r w:rsidR="001524A0">
        <w:t> per c</w:t>
      </w:r>
      <w:r w:rsidRPr="009764EE">
        <w:t>ent in 2019 to 75</w:t>
      </w:r>
      <w:r w:rsidR="001524A0">
        <w:t> per c</w:t>
      </w:r>
      <w:r w:rsidRPr="009764EE">
        <w:t xml:space="preserve">ent in 2022. Australian adults who identify as </w:t>
      </w:r>
      <w:r w:rsidR="00041A42" w:rsidRPr="009764EE">
        <w:t>lesbian</w:t>
      </w:r>
      <w:r w:rsidR="00981D23" w:rsidRPr="009764EE">
        <w:t>, gay, bisexual, transgender</w:t>
      </w:r>
      <w:r w:rsidR="00C05B69" w:rsidRPr="009764EE">
        <w:t>, queer</w:t>
      </w:r>
      <w:r w:rsidR="00BF3B4C" w:rsidRPr="009764EE">
        <w:t>/questioning</w:t>
      </w:r>
      <w:r w:rsidR="007E0930">
        <w:t xml:space="preserve">, </w:t>
      </w:r>
      <w:r w:rsidR="00773E28" w:rsidRPr="009764EE">
        <w:t>intersex</w:t>
      </w:r>
      <w:r w:rsidR="00C05B69" w:rsidRPr="009764EE">
        <w:t xml:space="preserve">, </w:t>
      </w:r>
      <w:r w:rsidR="00EF7F3B" w:rsidRPr="009764EE">
        <w:t>asexual</w:t>
      </w:r>
      <w:r w:rsidR="00F603A3" w:rsidRPr="009764EE">
        <w:t xml:space="preserve"> or</w:t>
      </w:r>
      <w:r w:rsidR="00EF7F3B" w:rsidRPr="009764EE">
        <w:t xml:space="preserve"> </w:t>
      </w:r>
      <w:r w:rsidR="00510B71" w:rsidRPr="009764EE">
        <w:t xml:space="preserve">other </w:t>
      </w:r>
      <w:r w:rsidR="006D24C1" w:rsidRPr="009764EE">
        <w:t xml:space="preserve">sexually or </w:t>
      </w:r>
      <w:r w:rsidR="000E1721" w:rsidRPr="009764EE">
        <w:t>gender diverse</w:t>
      </w:r>
      <w:r w:rsidR="005C3037" w:rsidRPr="009764EE">
        <w:t xml:space="preserve"> </w:t>
      </w:r>
      <w:r w:rsidR="00B26988" w:rsidRPr="009764EE">
        <w:t xml:space="preserve">people </w:t>
      </w:r>
      <w:r w:rsidR="005C3037" w:rsidRPr="009764EE">
        <w:t>(L</w:t>
      </w:r>
      <w:r w:rsidRPr="009764EE">
        <w:t>GBT</w:t>
      </w:r>
      <w:r w:rsidR="00DA0CE9">
        <w:t>I</w:t>
      </w:r>
      <w:r w:rsidR="00773E28" w:rsidRPr="009764EE">
        <w:t>Q</w:t>
      </w:r>
      <w:r w:rsidR="00517BCB">
        <w:t>A</w:t>
      </w:r>
      <w:r w:rsidR="00F603A3" w:rsidRPr="009764EE">
        <w:t>+</w:t>
      </w:r>
      <w:r w:rsidR="005C3037" w:rsidRPr="009764EE">
        <w:t>)</w:t>
      </w:r>
      <w:r w:rsidRPr="009764EE">
        <w:t xml:space="preserve">, </w:t>
      </w:r>
      <w:r w:rsidR="007A571A" w:rsidRPr="009764EE">
        <w:t>culturally and linguistically diverse Australians</w:t>
      </w:r>
      <w:r w:rsidRPr="009764EE">
        <w:t>, those living with disability</w:t>
      </w:r>
      <w:r w:rsidR="00C34087" w:rsidRPr="009764EE">
        <w:t>,</w:t>
      </w:r>
      <w:r w:rsidRPr="009764EE">
        <w:t xml:space="preserve"> and </w:t>
      </w:r>
      <w:r w:rsidR="001524A0">
        <w:rPr>
          <w:lang w:val="en-GB"/>
        </w:rPr>
        <w:t>First Nation</w:t>
      </w:r>
      <w:r w:rsidRPr="009764EE">
        <w:rPr>
          <w:lang w:val="en-GB"/>
        </w:rPr>
        <w:t>s people are more likely to have negative experiences online.</w:t>
      </w:r>
    </w:p>
    <w:p w14:paraId="59A7739E" w14:textId="77777777" w:rsidR="008259FE" w:rsidRPr="009764EE" w:rsidRDefault="00C034A7" w:rsidP="0012325F">
      <w:pPr>
        <w:pStyle w:val="Heading3"/>
        <w:rPr>
          <w:rFonts w:cs="Calibri"/>
        </w:rPr>
      </w:pPr>
      <w:r w:rsidRPr="009764EE">
        <w:rPr>
          <w:rFonts w:cs="Calibri"/>
        </w:rPr>
        <w:t>National Safety</w:t>
      </w:r>
    </w:p>
    <w:p w14:paraId="30BEDF3A" w14:textId="07795759" w:rsidR="002F4161" w:rsidRDefault="006C7671" w:rsidP="0012325F">
      <w:r w:rsidRPr="009764EE">
        <w:t>N</w:t>
      </w:r>
      <w:r w:rsidR="002E5CC3" w:rsidRPr="009764EE">
        <w:t>ational, regional and global events</w:t>
      </w:r>
      <w:r w:rsidR="008234B5" w:rsidRPr="009764EE">
        <w:t xml:space="preserve"> </w:t>
      </w:r>
      <w:r w:rsidR="006379B1" w:rsidRPr="009764EE">
        <w:t xml:space="preserve">undoubtedly </w:t>
      </w:r>
      <w:r w:rsidRPr="009764EE">
        <w:t>influence</w:t>
      </w:r>
      <w:r w:rsidR="006379B1" w:rsidRPr="009764EE">
        <w:t xml:space="preserve"> the</w:t>
      </w:r>
      <w:r w:rsidRPr="009764EE">
        <w:t xml:space="preserve"> </w:t>
      </w:r>
      <w:r w:rsidR="00553337" w:rsidRPr="009764EE">
        <w:t>individual and collective wellbeing</w:t>
      </w:r>
      <w:r w:rsidR="006379B1" w:rsidRPr="009764EE">
        <w:t xml:space="preserve"> of Australians.</w:t>
      </w:r>
      <w:r w:rsidR="007357A0" w:rsidRPr="009764EE">
        <w:t xml:space="preserve"> </w:t>
      </w:r>
      <w:r w:rsidR="0099187B" w:rsidRPr="009764EE">
        <w:t xml:space="preserve">This </w:t>
      </w:r>
      <w:r w:rsidR="003D317A" w:rsidRPr="009764EE">
        <w:t>has</w:t>
      </w:r>
      <w:r w:rsidR="00CC57AB">
        <w:t xml:space="preserve"> </w:t>
      </w:r>
      <w:r w:rsidR="00E42EF8" w:rsidRPr="009764EE">
        <w:t xml:space="preserve">become </w:t>
      </w:r>
      <w:r w:rsidR="0099187B" w:rsidRPr="009764EE">
        <w:t>especially</w:t>
      </w:r>
      <w:r w:rsidR="00E42EF8" w:rsidRPr="009764EE">
        <w:t xml:space="preserve"> </w:t>
      </w:r>
      <w:r w:rsidR="001F4A6A" w:rsidRPr="009764EE">
        <w:t>apparent</w:t>
      </w:r>
      <w:r w:rsidR="0099187B" w:rsidRPr="009764EE">
        <w:t xml:space="preserve"> as </w:t>
      </w:r>
      <w:r w:rsidR="001F4A6A" w:rsidRPr="009764EE">
        <w:t>global</w:t>
      </w:r>
      <w:r w:rsidR="0099187B" w:rsidRPr="009764EE">
        <w:t xml:space="preserve"> </w:t>
      </w:r>
      <w:r w:rsidR="0099187B" w:rsidRPr="009764EE">
        <w:t>interconnected</w:t>
      </w:r>
      <w:r w:rsidR="001F4A6A" w:rsidRPr="009764EE">
        <w:t>ness</w:t>
      </w:r>
      <w:r w:rsidR="0099187B" w:rsidRPr="009764EE">
        <w:t xml:space="preserve"> has </w:t>
      </w:r>
      <w:r w:rsidR="001F4A6A" w:rsidRPr="009764EE">
        <w:t>increased</w:t>
      </w:r>
      <w:r w:rsidR="0099187B" w:rsidRPr="009764EE">
        <w:t xml:space="preserve"> </w:t>
      </w:r>
      <w:r w:rsidR="0059242D" w:rsidRPr="009764EE">
        <w:t>since</w:t>
      </w:r>
      <w:r w:rsidR="001F6983" w:rsidRPr="009764EE">
        <w:t xml:space="preserve"> the second half of the twentieth century.</w:t>
      </w:r>
    </w:p>
    <w:p w14:paraId="299A5DB8" w14:textId="0A862C2F" w:rsidR="003771AC" w:rsidRPr="009764EE" w:rsidRDefault="001F6983" w:rsidP="0012325F">
      <w:r w:rsidRPr="009764EE">
        <w:t>This</w:t>
      </w:r>
      <w:r w:rsidR="00E42EF8" w:rsidRPr="009764EE">
        <w:t xml:space="preserve"> development has</w:t>
      </w:r>
      <w:r w:rsidRPr="009764EE">
        <w:t xml:space="preserve"> created </w:t>
      </w:r>
      <w:r w:rsidR="00A6059A" w:rsidRPr="009764EE">
        <w:t xml:space="preserve">both benefits and risks to the wellbeing of Australians. </w:t>
      </w:r>
      <w:r w:rsidR="00A527CF" w:rsidRPr="009764EE">
        <w:t>We</w:t>
      </w:r>
      <w:r w:rsidR="001E527C" w:rsidRPr="009764EE">
        <w:t xml:space="preserve"> need</w:t>
      </w:r>
      <w:r w:rsidR="00A6059A" w:rsidRPr="009764EE">
        <w:t xml:space="preserve"> international engagemen</w:t>
      </w:r>
      <w:r w:rsidR="00E42EF8" w:rsidRPr="009764EE">
        <w:t xml:space="preserve">t </w:t>
      </w:r>
      <w:r w:rsidR="00314648" w:rsidRPr="009764EE">
        <w:t xml:space="preserve">to maintain a stable and open trading </w:t>
      </w:r>
      <w:r w:rsidR="00C63CC0" w:rsidRPr="009764EE">
        <w:t>environment</w:t>
      </w:r>
      <w:r w:rsidR="00DC2C60" w:rsidRPr="009764EE">
        <w:t>,</w:t>
      </w:r>
      <w:r w:rsidR="00C63CC0" w:rsidRPr="009764EE">
        <w:t xml:space="preserve"> as well as </w:t>
      </w:r>
      <w:r w:rsidR="00C3566F" w:rsidRPr="009764EE">
        <w:t xml:space="preserve">international peace and security. </w:t>
      </w:r>
      <w:r w:rsidR="003771AC" w:rsidRPr="009764EE">
        <w:t>Australia</w:t>
      </w:r>
      <w:r w:rsidR="00135DEA">
        <w:t>’</w:t>
      </w:r>
      <w:r w:rsidR="003771AC" w:rsidRPr="009764EE">
        <w:t>s security is underpinned by an Indo</w:t>
      </w:r>
      <w:r w:rsidR="00135DEA">
        <w:noBreakHyphen/>
      </w:r>
      <w:r w:rsidR="003771AC" w:rsidRPr="009764EE">
        <w:t>Pacific region that is open, stable and prosperous, where sovereignty is respected.</w:t>
      </w:r>
    </w:p>
    <w:p w14:paraId="42222CC1" w14:textId="4821DE72" w:rsidR="001F6983" w:rsidRPr="009764EE" w:rsidRDefault="003771AC" w:rsidP="0012325F">
      <w:r w:rsidRPr="009764EE">
        <w:t>Ensuring Australia</w:t>
      </w:r>
      <w:r w:rsidR="00135DEA">
        <w:t>’</w:t>
      </w:r>
      <w:r w:rsidRPr="009764EE">
        <w:t>s prosperity and security in a more complex world requires all elements of statecraft</w:t>
      </w:r>
      <w:r w:rsidR="001524A0">
        <w:t xml:space="preserve"> – </w:t>
      </w:r>
      <w:r w:rsidRPr="009764EE">
        <w:t>including diplomatic engagement and economic and development capability, underwritten by military capability, economic security, domestic resilience</w:t>
      </w:r>
      <w:r w:rsidR="00C61071" w:rsidRPr="009764EE">
        <w:t>,</w:t>
      </w:r>
      <w:r w:rsidRPr="009764EE">
        <w:t xml:space="preserve"> and strong borders.</w:t>
      </w:r>
    </w:p>
    <w:p w14:paraId="3E0A6189" w14:textId="7C245172" w:rsidR="004D26C8" w:rsidRDefault="00956384" w:rsidP="0012325F">
      <w:r w:rsidRPr="009764EE">
        <w:t>The Lowy Institute Poll 2023 shows that Australians</w:t>
      </w:r>
      <w:r w:rsidR="00135DEA">
        <w:t>’</w:t>
      </w:r>
      <w:r w:rsidRPr="009764EE">
        <w:t xml:space="preserve"> feelings of safety</w:t>
      </w:r>
      <w:r w:rsidR="001524A0">
        <w:t xml:space="preserve"> – </w:t>
      </w:r>
      <w:r w:rsidRPr="009764EE">
        <w:t>based on perceptions of world events</w:t>
      </w:r>
      <w:r w:rsidR="001524A0">
        <w:t xml:space="preserve"> – </w:t>
      </w:r>
      <w:r w:rsidRPr="009764EE">
        <w:t>has trended down since 2005 and hit historic lows in 2020. In 2005, 91</w:t>
      </w:r>
      <w:r w:rsidR="001524A0">
        <w:t> per c</w:t>
      </w:r>
      <w:r w:rsidRPr="009764EE">
        <w:t xml:space="preserve">ent of polled Australians reported feeling </w:t>
      </w:r>
      <w:r w:rsidR="00135DEA">
        <w:t>‘</w:t>
      </w:r>
      <w:r w:rsidRPr="009764EE">
        <w:t>very safe</w:t>
      </w:r>
      <w:r w:rsidR="00135DEA">
        <w:t>’</w:t>
      </w:r>
      <w:r w:rsidRPr="009764EE">
        <w:t xml:space="preserve"> or </w:t>
      </w:r>
      <w:r w:rsidR="00135DEA">
        <w:t>‘</w:t>
      </w:r>
      <w:r w:rsidRPr="009764EE">
        <w:t>safe</w:t>
      </w:r>
      <w:r w:rsidR="00135DEA">
        <w:t>’</w:t>
      </w:r>
      <w:r w:rsidRPr="009764EE">
        <w:t>, this declined to a low of 50</w:t>
      </w:r>
      <w:r w:rsidR="001524A0">
        <w:t> per c</w:t>
      </w:r>
      <w:r w:rsidRPr="009764EE">
        <w:t>ent in 2020</w:t>
      </w:r>
      <w:r w:rsidR="001524A0">
        <w:t xml:space="preserve"> – </w:t>
      </w:r>
      <w:r w:rsidR="00935ADB" w:rsidRPr="009764EE">
        <w:t>coinciding with onset of COVID</w:t>
      </w:r>
      <w:r w:rsidR="00135DEA">
        <w:noBreakHyphen/>
      </w:r>
      <w:r w:rsidR="00935ADB" w:rsidRPr="009764EE">
        <w:t>19 pandemic</w:t>
      </w:r>
      <w:r w:rsidR="001524A0">
        <w:t xml:space="preserve"> – </w:t>
      </w:r>
      <w:r w:rsidR="00830F00" w:rsidRPr="009764EE">
        <w:t>and</w:t>
      </w:r>
      <w:r w:rsidR="004C315F" w:rsidRPr="009764EE">
        <w:t xml:space="preserve"> </w:t>
      </w:r>
      <w:r w:rsidRPr="009764EE">
        <w:t>recovered to 63</w:t>
      </w:r>
      <w:r w:rsidR="001524A0">
        <w:t> per c</w:t>
      </w:r>
      <w:r w:rsidRPr="009764EE">
        <w:t>ent in 2023.</w:t>
      </w:r>
      <w:r w:rsidR="00424B60" w:rsidRPr="005049F1">
        <w:rPr>
          <w:rStyle w:val="FootnoteReference"/>
        </w:rPr>
        <w:endnoteReference w:id="34"/>
      </w:r>
    </w:p>
    <w:p w14:paraId="7FD2499E" w14:textId="16FD1DC7" w:rsidR="002F4161" w:rsidRDefault="002F4161" w:rsidP="0012325F"/>
    <w:p w14:paraId="3FC650B5" w14:textId="415F215E" w:rsidR="0072655D" w:rsidRDefault="0072655D" w:rsidP="00B8112E">
      <w:pPr>
        <w:sectPr w:rsidR="0072655D" w:rsidSect="00BB5108">
          <w:endnotePr>
            <w:numFmt w:val="decimal"/>
          </w:endnotePr>
          <w:pgSz w:w="11906" w:h="16838" w:code="9"/>
          <w:pgMar w:top="1843" w:right="1418" w:bottom="1418" w:left="1418" w:header="851" w:footer="851" w:gutter="0"/>
          <w:cols w:num="2" w:space="567"/>
          <w:docGrid w:linePitch="360"/>
        </w:sectPr>
      </w:pPr>
    </w:p>
    <w:tbl>
      <w:tblPr>
        <w:tblStyle w:val="MWMKey"/>
        <w:tblpPr w:leftFromText="180" w:rightFromText="180" w:vertAnchor="text" w:horzAnchor="margin" w:tblpXSpec="right" w:tblpY="17"/>
        <w:tblW w:w="4999" w:type="pct"/>
        <w:tblLook w:val="0620" w:firstRow="1" w:lastRow="0" w:firstColumn="0" w:lastColumn="0" w:noHBand="1" w:noVBand="1"/>
      </w:tblPr>
      <w:tblGrid>
        <w:gridCol w:w="9068"/>
      </w:tblGrid>
      <w:tr w:rsidR="00E604CF" w:rsidRPr="009764EE" w14:paraId="34B2248D" w14:textId="77777777" w:rsidTr="00E604C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59192520" w14:textId="03F95F2A" w:rsidR="00E604CF" w:rsidRPr="00C15716" w:rsidRDefault="00E604CF" w:rsidP="00E604CF">
            <w:pPr>
              <w:pStyle w:val="BoxHeading"/>
              <w:spacing w:after="0"/>
            </w:pPr>
            <w:r w:rsidRPr="00C15716">
              <w:t xml:space="preserve">Key Government initiatives to make Australians more secure </w:t>
            </w:r>
          </w:p>
        </w:tc>
      </w:tr>
      <w:tr w:rsidR="00831141" w:rsidRPr="009764EE" w14:paraId="7E291332" w14:textId="77777777" w:rsidTr="00E604CF">
        <w:trPr>
          <w:trHeight w:val="20"/>
        </w:trPr>
        <w:tc>
          <w:tcPr>
            <w:tcW w:w="5000" w:type="pct"/>
            <w:hideMark/>
          </w:tcPr>
          <w:p w14:paraId="18AC47F1" w14:textId="358D8D11" w:rsidR="00EC0527" w:rsidRPr="00EC0527" w:rsidRDefault="00EC0527" w:rsidP="002F4161">
            <w:pPr>
              <w:pStyle w:val="Boxbullet"/>
              <w:rPr>
                <w:lang w:eastAsia="en-US"/>
              </w:rPr>
            </w:pPr>
            <w:r w:rsidRPr="00EC0527">
              <w:rPr>
                <w:lang w:eastAsia="en-US"/>
              </w:rPr>
              <w:t>AUKUS investment in defence capability</w:t>
            </w:r>
          </w:p>
          <w:p w14:paraId="2450B953" w14:textId="758B1637" w:rsidR="00EC0527" w:rsidRPr="00EC0527" w:rsidRDefault="00EC0527" w:rsidP="002F4161">
            <w:pPr>
              <w:pStyle w:val="Boxbullet"/>
              <w:rPr>
                <w:lang w:eastAsia="en-US"/>
              </w:rPr>
            </w:pPr>
            <w:r w:rsidRPr="00EC0527">
              <w:rPr>
                <w:lang w:eastAsia="en-US"/>
              </w:rPr>
              <w:t>Defence Strategic Review</w:t>
            </w:r>
          </w:p>
          <w:p w14:paraId="47E277A6" w14:textId="785B57E4" w:rsidR="00EC0527" w:rsidRPr="00EC0527" w:rsidRDefault="00EC0527" w:rsidP="002F4161">
            <w:pPr>
              <w:pStyle w:val="Boxbullet"/>
              <w:rPr>
                <w:lang w:eastAsia="en-US"/>
              </w:rPr>
            </w:pPr>
            <w:r w:rsidRPr="00EC0527">
              <w:rPr>
                <w:lang w:eastAsia="en-US"/>
              </w:rPr>
              <w:t>Enhancing Pacific engagement and security cooperation</w:t>
            </w:r>
          </w:p>
          <w:p w14:paraId="7CF93F04" w14:textId="420A1326" w:rsidR="00EC0527" w:rsidRPr="00EC0527" w:rsidRDefault="00EC0527" w:rsidP="002F4161">
            <w:pPr>
              <w:pStyle w:val="Boxbullet"/>
              <w:rPr>
                <w:lang w:eastAsia="en-US"/>
              </w:rPr>
            </w:pPr>
            <w:r w:rsidRPr="00EC0527">
              <w:rPr>
                <w:lang w:eastAsia="en-US"/>
              </w:rPr>
              <w:t>Deeper partnerships across Southeast Asia and a forthcoming Southeast Asia Economic Strategy</w:t>
            </w:r>
          </w:p>
          <w:p w14:paraId="00F372B2" w14:textId="217D2DA0" w:rsidR="00EC0527" w:rsidRPr="00EC0527" w:rsidRDefault="00EC0527" w:rsidP="002F4161">
            <w:pPr>
              <w:pStyle w:val="Boxbullet"/>
              <w:rPr>
                <w:lang w:eastAsia="en-US"/>
              </w:rPr>
            </w:pPr>
            <w:r w:rsidRPr="00EC0527">
              <w:rPr>
                <w:lang w:eastAsia="en-US"/>
              </w:rPr>
              <w:t>Australia</w:t>
            </w:r>
            <w:r w:rsidR="00135DEA">
              <w:rPr>
                <w:lang w:eastAsia="en-US"/>
              </w:rPr>
              <w:t>’</w:t>
            </w:r>
            <w:r w:rsidRPr="00EC0527">
              <w:rPr>
                <w:lang w:eastAsia="en-US"/>
              </w:rPr>
              <w:t>s New International Development Policy (forthcoming)</w:t>
            </w:r>
          </w:p>
          <w:p w14:paraId="1683BC0E" w14:textId="238EE8F2" w:rsidR="00EC0527" w:rsidRPr="00EC0527" w:rsidRDefault="00EC0527" w:rsidP="002F4161">
            <w:pPr>
              <w:pStyle w:val="Boxbullet"/>
              <w:rPr>
                <w:lang w:eastAsia="en-US"/>
              </w:rPr>
            </w:pPr>
            <w:r w:rsidRPr="00EC0527">
              <w:rPr>
                <w:lang w:eastAsia="en-US"/>
              </w:rPr>
              <w:t>Australian leadership in the World Trade Organization</w:t>
            </w:r>
          </w:p>
          <w:p w14:paraId="58B11F32" w14:textId="26919A77" w:rsidR="00EC0527" w:rsidRPr="00EC0527" w:rsidRDefault="00EC0527" w:rsidP="002F4161">
            <w:pPr>
              <w:pStyle w:val="Boxbullet"/>
              <w:rPr>
                <w:lang w:eastAsia="en-US"/>
              </w:rPr>
            </w:pPr>
            <w:r w:rsidRPr="00EC0527">
              <w:rPr>
                <w:lang w:eastAsia="en-US"/>
              </w:rPr>
              <w:t>Trade and investment diversification through participation in Indo</w:t>
            </w:r>
            <w:r w:rsidR="00135DEA">
              <w:rPr>
                <w:lang w:eastAsia="en-US"/>
              </w:rPr>
              <w:noBreakHyphen/>
            </w:r>
            <w:r w:rsidRPr="00EC0527">
              <w:rPr>
                <w:lang w:eastAsia="en-US"/>
              </w:rPr>
              <w:t>Pacific Economic Framework, APEC, G20, OECD</w:t>
            </w:r>
          </w:p>
          <w:p w14:paraId="1E06A45F" w14:textId="349731BC" w:rsidR="00EC0527" w:rsidRPr="00EC0527" w:rsidRDefault="00EC0527" w:rsidP="002F4161">
            <w:pPr>
              <w:pStyle w:val="Boxbullet"/>
              <w:rPr>
                <w:lang w:eastAsia="en-US"/>
              </w:rPr>
            </w:pPr>
            <w:r w:rsidRPr="00EC0527">
              <w:rPr>
                <w:lang w:eastAsia="en-US"/>
              </w:rPr>
              <w:t>Australia</w:t>
            </w:r>
            <w:r w:rsidR="00135DEA">
              <w:rPr>
                <w:lang w:eastAsia="en-US"/>
              </w:rPr>
              <w:t>’</w:t>
            </w:r>
            <w:r w:rsidRPr="00EC0527">
              <w:rPr>
                <w:lang w:eastAsia="en-US"/>
              </w:rPr>
              <w:t>s candidacy for the UN Security Council for 2029</w:t>
            </w:r>
            <w:r w:rsidR="00151999">
              <w:rPr>
                <w:lang w:eastAsia="en-US"/>
              </w:rPr>
              <w:t>–</w:t>
            </w:r>
            <w:r w:rsidRPr="00EC0527">
              <w:rPr>
                <w:lang w:eastAsia="en-US"/>
              </w:rPr>
              <w:t>30</w:t>
            </w:r>
          </w:p>
          <w:p w14:paraId="17499D6D" w14:textId="65CA1EAA" w:rsidR="00831141" w:rsidRPr="009764EE" w:rsidRDefault="00EC0527" w:rsidP="002F4161">
            <w:pPr>
              <w:pStyle w:val="Boxbullet"/>
              <w:rPr>
                <w:lang w:eastAsia="en-US"/>
              </w:rPr>
            </w:pPr>
            <w:r w:rsidRPr="00EC0527">
              <w:rPr>
                <w:lang w:eastAsia="en-US"/>
              </w:rPr>
              <w:t>Supporting people online through the eSafety Commissioner</w:t>
            </w:r>
          </w:p>
        </w:tc>
      </w:tr>
    </w:tbl>
    <w:p w14:paraId="330599A7" w14:textId="77777777" w:rsidR="0072655D" w:rsidRDefault="0072655D" w:rsidP="00F01939">
      <w:pPr>
        <w:pStyle w:val="SingleParagraph"/>
      </w:pPr>
    </w:p>
    <w:p w14:paraId="0F9CDB99" w14:textId="77777777" w:rsidR="0072655D" w:rsidRDefault="0072655D" w:rsidP="00B8112E">
      <w:pPr>
        <w:sectPr w:rsidR="0072655D" w:rsidSect="00DA302B">
          <w:endnotePr>
            <w:numFmt w:val="decimal"/>
          </w:endnotePr>
          <w:type w:val="continuous"/>
          <w:pgSz w:w="11906" w:h="16838" w:code="9"/>
          <w:pgMar w:top="1843" w:right="1418" w:bottom="1418" w:left="1418" w:header="851" w:footer="851" w:gutter="0"/>
          <w:cols w:space="567"/>
          <w:docGrid w:linePitch="360"/>
        </w:sectPr>
      </w:pPr>
    </w:p>
    <w:p w14:paraId="0BAF5822" w14:textId="14200C16" w:rsidR="00F73964" w:rsidRPr="009764EE" w:rsidRDefault="00F73964" w:rsidP="00F01939">
      <w:pPr>
        <w:pStyle w:val="Heading3"/>
        <w:spacing w:before="0"/>
        <w:rPr>
          <w:color w:val="4D7861"/>
          <w:szCs w:val="24"/>
        </w:rPr>
      </w:pPr>
      <w:r w:rsidRPr="009764EE">
        <w:lastRenderedPageBreak/>
        <w:t xml:space="preserve">Access to </w:t>
      </w:r>
      <w:r w:rsidRPr="00BB5108">
        <w:t>justice</w:t>
      </w:r>
    </w:p>
    <w:p w14:paraId="46B4B4C6" w14:textId="77777777" w:rsidR="00BC27A3" w:rsidRDefault="0078264D" w:rsidP="00B8112E">
      <w:r w:rsidRPr="00C15716">
        <w:t xml:space="preserve">Fair and equal access to justice </w:t>
      </w:r>
      <w:r w:rsidR="00812DEE" w:rsidRPr="00C15716">
        <w:t>is critical if people are to have their rights</w:t>
      </w:r>
      <w:r w:rsidR="00240E02" w:rsidRPr="00C15716">
        <w:t>, freedoms,</w:t>
      </w:r>
      <w:r w:rsidR="00812DEE" w:rsidRPr="00C15716">
        <w:t xml:space="preserve"> and</w:t>
      </w:r>
      <w:r w:rsidR="00240E02" w:rsidRPr="00C15716">
        <w:t xml:space="preserve"> the</w:t>
      </w:r>
      <w:r w:rsidR="00812DEE" w:rsidRPr="00C15716">
        <w:t xml:space="preserve"> ability to pursue lives</w:t>
      </w:r>
      <w:r w:rsidR="00812DEE" w:rsidRPr="009764EE">
        <w:rPr>
          <w:rFonts w:ascii="Calibri" w:hAnsi="Calibri" w:cs="Calibri"/>
        </w:rPr>
        <w:t xml:space="preserve"> </w:t>
      </w:r>
      <w:r w:rsidR="00812DEE" w:rsidRPr="00C15716">
        <w:t>which enhance their wellbeing.</w:t>
      </w:r>
    </w:p>
    <w:p w14:paraId="4081BEB7" w14:textId="4B51F434" w:rsidR="007358A6" w:rsidRDefault="007C4E98" w:rsidP="00BF6823">
      <w:r w:rsidRPr="00C15716">
        <w:t xml:space="preserve">In Australia, the </w:t>
      </w:r>
      <w:r w:rsidR="00E2054D" w:rsidRPr="00C15716">
        <w:t>World Justice Project Rule of Law Index</w:t>
      </w:r>
      <w:r w:rsidR="00435B47" w:rsidRPr="00C15716">
        <w:t>®</w:t>
      </w:r>
      <w:r w:rsidR="00E2054D" w:rsidRPr="00C15716">
        <w:t xml:space="preserve"> indicates that </w:t>
      </w:r>
      <w:r w:rsidR="00EF6C4C" w:rsidRPr="00C15716">
        <w:t xml:space="preserve">the access people </w:t>
      </w:r>
      <w:r w:rsidR="00EF6C4C" w:rsidRPr="00C15716">
        <w:t xml:space="preserve">have to civil justice and whether alternative dispute resolution mechanisms are accessible, impartial, and effective, have remained relatively stable over </w:t>
      </w:r>
      <w:r w:rsidR="00344393" w:rsidRPr="00C15716">
        <w:t>the decade</w:t>
      </w:r>
      <w:r w:rsidR="001524A0">
        <w:t xml:space="preserve"> – </w:t>
      </w:r>
      <w:r w:rsidR="006338EE" w:rsidRPr="00C15716">
        <w:t xml:space="preserve">with an average index </w:t>
      </w:r>
      <w:r w:rsidR="001F30AC" w:rsidRPr="00C15716">
        <w:t xml:space="preserve">score </w:t>
      </w:r>
      <w:r w:rsidR="006338EE" w:rsidRPr="00C15716">
        <w:t>of 0.</w:t>
      </w:r>
      <w:r w:rsidR="0061654D" w:rsidRPr="00C15716">
        <w:t>6</w:t>
      </w:r>
      <w:r w:rsidR="006338EE" w:rsidRPr="00C15716">
        <w:t xml:space="preserve"> and 0.8 </w:t>
      </w:r>
      <w:r w:rsidR="001B0517" w:rsidRPr="00C15716">
        <w:t xml:space="preserve">(out of 1) </w:t>
      </w:r>
      <w:r w:rsidR="006338EE" w:rsidRPr="00C15716">
        <w:t>respectively</w:t>
      </w:r>
      <w:r w:rsidR="003F60C7" w:rsidRPr="00C15716">
        <w:t xml:space="preserve"> between</w:t>
      </w:r>
      <w:r w:rsidR="003F60C7" w:rsidRPr="009764EE">
        <w:rPr>
          <w:rFonts w:ascii="Calibri" w:hAnsi="Calibri" w:cs="Calibri"/>
        </w:rPr>
        <w:t xml:space="preserve"> </w:t>
      </w:r>
      <w:r w:rsidR="003F60C7" w:rsidRPr="00C15716">
        <w:t>201</w:t>
      </w:r>
      <w:r w:rsidR="00F233F9" w:rsidRPr="00C15716">
        <w:t>2</w:t>
      </w:r>
      <w:r w:rsidR="00151999">
        <w:t>–</w:t>
      </w:r>
      <w:r w:rsidR="00F233F9" w:rsidRPr="00C15716">
        <w:softHyphen/>
        <w:t>13</w:t>
      </w:r>
      <w:r w:rsidR="003F60C7" w:rsidRPr="00C15716">
        <w:t xml:space="preserve"> and 2022</w:t>
      </w:r>
      <w:r w:rsidR="006338EE" w:rsidRPr="009764EE">
        <w:rPr>
          <w:rFonts w:ascii="Calibri" w:hAnsi="Calibri" w:cs="Calibri"/>
        </w:rPr>
        <w:t>.</w:t>
      </w:r>
      <w:r w:rsidR="00632162" w:rsidRPr="009764EE">
        <w:rPr>
          <w:rFonts w:ascii="Calibri" w:hAnsi="Calibri" w:cs="Calibri"/>
        </w:rPr>
        <w:t xml:space="preserve"> </w:t>
      </w:r>
    </w:p>
    <w:p w14:paraId="778FE462" w14:textId="77777777" w:rsidR="00452153" w:rsidRDefault="00452153" w:rsidP="00B8112E"/>
    <w:p w14:paraId="02B56B7E" w14:textId="78B5F549" w:rsidR="002A7B33" w:rsidRDefault="002A7B33" w:rsidP="00B8112E">
      <w:pPr>
        <w:sectPr w:rsidR="002A7B33" w:rsidSect="00DA302B">
          <w:endnotePr>
            <w:numFmt w:val="decimal"/>
          </w:endnotePr>
          <w:type w:val="continuous"/>
          <w:pgSz w:w="11906" w:h="16838" w:code="9"/>
          <w:pgMar w:top="1843" w:right="1418" w:bottom="1418" w:left="1418" w:header="851" w:footer="851" w:gutter="0"/>
          <w:cols w:num="2" w:space="567"/>
          <w:docGrid w:linePitch="360"/>
        </w:sectPr>
      </w:pPr>
    </w:p>
    <w:p w14:paraId="46484DAC" w14:textId="27F46238" w:rsidR="00F73964" w:rsidRPr="00BC27A3" w:rsidRDefault="00F73964" w:rsidP="00BF6823">
      <w:pPr>
        <w:pStyle w:val="ChartMainHeading"/>
        <w:spacing w:before="360"/>
      </w:pPr>
      <w:r w:rsidRPr="00BC27A3">
        <w:t xml:space="preserve">Chart </w:t>
      </w:r>
      <w:r w:rsidR="00742BF6" w:rsidRPr="00BC27A3">
        <w:t>5</w:t>
      </w:r>
      <w:r w:rsidRPr="00BC27A3">
        <w:t>: Fair and equal justice index</w:t>
      </w:r>
      <w:r w:rsidR="00C60142" w:rsidRPr="00BC27A3">
        <w:t>es</w:t>
      </w:r>
    </w:p>
    <w:p w14:paraId="2FB308CA" w14:textId="7B7DC2DA" w:rsidR="007358A6" w:rsidRPr="009764EE" w:rsidRDefault="00194FD6" w:rsidP="002A7B33">
      <w:pPr>
        <w:pStyle w:val="ChartGraphic"/>
      </w:pPr>
      <w:r>
        <w:rPr>
          <w:noProof/>
        </w:rPr>
        <w:drawing>
          <wp:inline distT="0" distB="0" distL="0" distR="0" wp14:anchorId="32639ED5" wp14:editId="001F3194">
            <wp:extent cx="5580000" cy="2004424"/>
            <wp:effectExtent l="0" t="0" r="0" b="0"/>
            <wp:docPr id="37" name="Picture 37" descr="This is a line chart that shows Australia's performance on the World Justice Project Rule of Law Index® from 2012-13 to 2022. The index has a score from 0 to 1, with a score of 1 showing Australia is performing well in terms of the access and affordability of civil justice or the access, impartiality and effectiveness of alternative dispute resolution mechanisms. Australia’s score has remained relatively stable between 2012-13 to 2022, with an average index of 0.6 for access and affordability of civil courts and 0.8 (out of 1) for the availability of alternative dispute resolution mechanis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s a line chart that shows Australia's performance on the World Justice Project Rule of Law Index® from 2012-13 to 2022. The index has a score from 0 to 1, with a score of 1 showing Australia is performing well in terms of the access and affordability of civil justice or the access, impartiality and effectiveness of alternative dispute resolution mechanisms. Australia’s score has remained relatively stable between 2012-13 to 2022, with an average index of 0.6 for access and affordability of civil courts and 0.8 (out of 1) for the availability of alternative dispute resolution mechanism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000" cy="2004424"/>
                    </a:xfrm>
                    <a:prstGeom prst="rect">
                      <a:avLst/>
                    </a:prstGeom>
                    <a:noFill/>
                    <a:ln>
                      <a:noFill/>
                    </a:ln>
                  </pic:spPr>
                </pic:pic>
              </a:graphicData>
            </a:graphic>
          </wp:inline>
        </w:drawing>
      </w:r>
    </w:p>
    <w:p w14:paraId="3FE53248" w14:textId="5644D7C1" w:rsidR="00CA7544" w:rsidRDefault="007358A6" w:rsidP="002A7B33">
      <w:pPr>
        <w:pStyle w:val="ChartorTableNote"/>
      </w:pPr>
      <w:r w:rsidRPr="009764EE">
        <w:t>Source: World Justice Project Rule of Law Index</w:t>
      </w:r>
      <w:r w:rsidR="00E21249" w:rsidRPr="009764EE">
        <w:t>®</w:t>
      </w:r>
      <w:r w:rsidR="00257101" w:rsidRPr="009764EE">
        <w:t xml:space="preserve"> (2022) </w:t>
      </w:r>
    </w:p>
    <w:p w14:paraId="108BA8EA" w14:textId="77777777" w:rsidR="002A7B33" w:rsidRPr="002A7B33" w:rsidRDefault="002A7B33" w:rsidP="002A7B33">
      <w:pPr>
        <w:pStyle w:val="SingleParagraph"/>
      </w:pPr>
    </w:p>
    <w:tbl>
      <w:tblPr>
        <w:tblStyle w:val="MWMKey"/>
        <w:tblpPr w:leftFromText="180" w:rightFromText="180" w:vertAnchor="text" w:horzAnchor="margin" w:tblpXSpec="right" w:tblpY="17"/>
        <w:tblW w:w="4999" w:type="pct"/>
        <w:tblLook w:val="0620" w:firstRow="1" w:lastRow="0" w:firstColumn="0" w:lastColumn="0" w:noHBand="1" w:noVBand="1"/>
      </w:tblPr>
      <w:tblGrid>
        <w:gridCol w:w="9068"/>
      </w:tblGrid>
      <w:tr w:rsidR="00E604CF" w:rsidRPr="009764EE" w14:paraId="54AC6943" w14:textId="77777777" w:rsidTr="00E604C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155ABA5E" w14:textId="5414C238" w:rsidR="00E604CF" w:rsidRPr="00C15716" w:rsidRDefault="00E604CF" w:rsidP="00E604CF">
            <w:pPr>
              <w:pStyle w:val="BoxHeading"/>
              <w:spacing w:after="0"/>
            </w:pPr>
            <w:r w:rsidRPr="00C15716">
              <w:t>Key Government initiatives to expand access to fair and equal justice</w:t>
            </w:r>
          </w:p>
        </w:tc>
      </w:tr>
      <w:tr w:rsidR="002F4123" w:rsidRPr="009764EE" w14:paraId="7991851A" w14:textId="77777777" w:rsidTr="00E604CF">
        <w:trPr>
          <w:trHeight w:val="20"/>
        </w:trPr>
        <w:tc>
          <w:tcPr>
            <w:tcW w:w="5000" w:type="pct"/>
            <w:hideMark/>
          </w:tcPr>
          <w:p w14:paraId="43201570" w14:textId="0BF79E9D" w:rsidR="002F4123" w:rsidRPr="00A13FB5" w:rsidRDefault="002F4123" w:rsidP="00BC27A3">
            <w:pPr>
              <w:pStyle w:val="Boxbullet"/>
              <w:rPr>
                <w:lang w:eastAsia="en-US"/>
              </w:rPr>
            </w:pPr>
            <w:r w:rsidRPr="00A13FB5">
              <w:rPr>
                <w:lang w:eastAsia="en-US"/>
              </w:rPr>
              <w:t>National Legal Assistance Partnership 2020</w:t>
            </w:r>
            <w:r w:rsidR="00EB64B2" w:rsidRPr="00A13FB5">
              <w:rPr>
                <w:lang w:eastAsia="en-US"/>
              </w:rPr>
              <w:softHyphen/>
            </w:r>
            <w:r w:rsidR="00151999">
              <w:rPr>
                <w:lang w:eastAsia="en-US"/>
              </w:rPr>
              <w:t>–</w:t>
            </w:r>
            <w:r w:rsidRPr="00A13FB5">
              <w:rPr>
                <w:lang w:eastAsia="en-US"/>
              </w:rPr>
              <w:t xml:space="preserve">2025 </w:t>
            </w:r>
          </w:p>
          <w:p w14:paraId="40E35236" w14:textId="77777777" w:rsidR="002F4123" w:rsidRPr="00A13FB5" w:rsidRDefault="002F4123" w:rsidP="00BC27A3">
            <w:pPr>
              <w:pStyle w:val="Boxbullet"/>
              <w:rPr>
                <w:lang w:eastAsia="en-US"/>
              </w:rPr>
            </w:pPr>
            <w:r w:rsidRPr="00A13FB5">
              <w:rPr>
                <w:lang w:eastAsia="en-US"/>
              </w:rPr>
              <w:t>Family Law reform</w:t>
            </w:r>
          </w:p>
          <w:p w14:paraId="6BD5CA5D" w14:textId="77777777" w:rsidR="002F4123" w:rsidRPr="00A13FB5" w:rsidRDefault="002F4123" w:rsidP="00BC27A3">
            <w:pPr>
              <w:pStyle w:val="Boxbullet"/>
              <w:rPr>
                <w:lang w:eastAsia="en-US"/>
              </w:rPr>
            </w:pPr>
            <w:r w:rsidRPr="00A13FB5">
              <w:rPr>
                <w:lang w:eastAsia="en-US"/>
              </w:rPr>
              <w:t>National Strategic Framework for Legal Assistance</w:t>
            </w:r>
          </w:p>
          <w:p w14:paraId="03C14F72" w14:textId="6FC869D1" w:rsidR="002F4123" w:rsidRPr="00A13FB5" w:rsidRDefault="002F4123" w:rsidP="00BC27A3">
            <w:pPr>
              <w:pStyle w:val="Boxbullet"/>
              <w:rPr>
                <w:lang w:eastAsia="en-US"/>
              </w:rPr>
            </w:pPr>
            <w:r w:rsidRPr="00A13FB5">
              <w:rPr>
                <w:lang w:eastAsia="en-US"/>
              </w:rPr>
              <w:t>Support for separating couples (in 2023</w:t>
            </w:r>
            <w:r w:rsidR="00151999">
              <w:rPr>
                <w:lang w:eastAsia="en-US"/>
              </w:rPr>
              <w:t>–</w:t>
            </w:r>
            <w:r w:rsidRPr="00A13FB5">
              <w:rPr>
                <w:lang w:eastAsia="en-US"/>
              </w:rPr>
              <w:t>24 Budget)</w:t>
            </w:r>
          </w:p>
          <w:p w14:paraId="2A116D0E" w14:textId="1C09758C" w:rsidR="002F4123" w:rsidRPr="00BC27A3" w:rsidRDefault="002A5B4D" w:rsidP="00BC27A3">
            <w:pPr>
              <w:pStyle w:val="Boxbullet"/>
              <w:rPr>
                <w:lang w:eastAsia="en-US"/>
              </w:rPr>
            </w:pPr>
            <w:r w:rsidRPr="00A13FB5">
              <w:rPr>
                <w:lang w:eastAsia="en-US"/>
              </w:rPr>
              <w:t>Scoping the establishment of a Federal Judicial Commission</w:t>
            </w:r>
          </w:p>
        </w:tc>
      </w:tr>
    </w:tbl>
    <w:p w14:paraId="20A1DADA" w14:textId="77777777" w:rsidR="00EE1CE0" w:rsidRPr="009764EE" w:rsidRDefault="00EE1CE0" w:rsidP="002A7B33">
      <w:pPr>
        <w:rPr>
          <w:color w:val="2C384A" w:themeColor="accent1"/>
          <w:kern w:val="32"/>
        </w:rPr>
      </w:pPr>
      <w:r w:rsidRPr="009764EE">
        <w:br w:type="page"/>
      </w:r>
    </w:p>
    <w:p w14:paraId="586850B3" w14:textId="235A7E54" w:rsidR="007305FF" w:rsidRPr="009764EE" w:rsidRDefault="00FB57B6" w:rsidP="00BC27A3">
      <w:pPr>
        <w:pStyle w:val="Heading2"/>
      </w:pPr>
      <w:bookmarkStart w:id="60" w:name="_Toc147497671"/>
      <w:r w:rsidRPr="009764EE">
        <w:lastRenderedPageBreak/>
        <w:t>Having financial</w:t>
      </w:r>
      <w:r w:rsidR="007305FF" w:rsidRPr="009764EE">
        <w:t xml:space="preserve"> secur</w:t>
      </w:r>
      <w:r w:rsidRPr="009764EE">
        <w:t>ity</w:t>
      </w:r>
      <w:r w:rsidR="005A1F6C" w:rsidRPr="009764EE">
        <w:t xml:space="preserve"> and </w:t>
      </w:r>
      <w:r w:rsidR="002730CD" w:rsidRPr="009764EE">
        <w:t>access to</w:t>
      </w:r>
      <w:r w:rsidR="005A1F6C" w:rsidRPr="009764EE">
        <w:t xml:space="preserve"> housing</w:t>
      </w:r>
      <w:bookmarkEnd w:id="60"/>
    </w:p>
    <w:tbl>
      <w:tblPr>
        <w:tblStyle w:val="MWMTables"/>
        <w:tblW w:w="9506" w:type="dxa"/>
        <w:tblLayout w:type="fixed"/>
        <w:tblLook w:val="06A0" w:firstRow="1" w:lastRow="0" w:firstColumn="1" w:lastColumn="0" w:noHBand="1" w:noVBand="1"/>
      </w:tblPr>
      <w:tblGrid>
        <w:gridCol w:w="1659"/>
        <w:gridCol w:w="2307"/>
        <w:gridCol w:w="2410"/>
        <w:gridCol w:w="1418"/>
        <w:gridCol w:w="1712"/>
      </w:tblGrid>
      <w:tr w:rsidR="00163D36" w:rsidRPr="009764EE" w14:paraId="2FD25131" w14:textId="77777777" w:rsidTr="008D79E6">
        <w:trPr>
          <w:cnfStyle w:val="100000000000" w:firstRow="1" w:lastRow="0" w:firstColumn="0" w:lastColumn="0" w:oddVBand="0" w:evenVBand="0" w:oddHBand="0" w:evenHBand="0" w:firstRowFirstColumn="0" w:firstRowLastColumn="0" w:lastRowFirstColumn="0" w:lastRowLastColumn="0"/>
          <w:trHeight w:val="270"/>
        </w:trPr>
        <w:tc>
          <w:tcPr>
            <w:tcW w:w="1659" w:type="dxa"/>
          </w:tcPr>
          <w:p w14:paraId="34ECD465" w14:textId="77777777" w:rsidR="007305FF" w:rsidRPr="009764EE" w:rsidRDefault="007305FF" w:rsidP="00E9555C">
            <w:pPr>
              <w:pStyle w:val="TableColumnHeadingLeft"/>
            </w:pPr>
            <w:r w:rsidRPr="009764EE">
              <w:t>Indicator</w:t>
            </w:r>
          </w:p>
        </w:tc>
        <w:tc>
          <w:tcPr>
            <w:tcW w:w="2307" w:type="dxa"/>
          </w:tcPr>
          <w:p w14:paraId="7C9CF9B5" w14:textId="77777777" w:rsidR="007305FF" w:rsidRPr="009764EE" w:rsidRDefault="007305FF" w:rsidP="00E9555C">
            <w:pPr>
              <w:pStyle w:val="TableColumnHeadingLeft"/>
            </w:pPr>
            <w:r w:rsidRPr="009764EE">
              <w:t>Metric</w:t>
            </w:r>
          </w:p>
        </w:tc>
        <w:tc>
          <w:tcPr>
            <w:tcW w:w="2410" w:type="dxa"/>
          </w:tcPr>
          <w:p w14:paraId="2D249ED9" w14:textId="77777777" w:rsidR="007305FF" w:rsidRPr="009764EE" w:rsidRDefault="007305FF" w:rsidP="00E9555C">
            <w:pPr>
              <w:pStyle w:val="TableColumnHeadingLeft"/>
            </w:pPr>
            <w:r w:rsidRPr="009764EE">
              <w:t xml:space="preserve">Why this metric </w:t>
            </w:r>
          </w:p>
        </w:tc>
        <w:tc>
          <w:tcPr>
            <w:tcW w:w="1418" w:type="dxa"/>
          </w:tcPr>
          <w:p w14:paraId="70EEBBAD" w14:textId="1466AA2C" w:rsidR="007305FF" w:rsidRPr="009764EE" w:rsidRDefault="006F4CAB" w:rsidP="00E9555C">
            <w:pPr>
              <w:pStyle w:val="TableColumnHeadingLeft"/>
            </w:pPr>
            <w:r w:rsidRPr="009764EE">
              <w:t>Progress</w:t>
            </w:r>
          </w:p>
        </w:tc>
        <w:tc>
          <w:tcPr>
            <w:tcW w:w="1712" w:type="dxa"/>
          </w:tcPr>
          <w:p w14:paraId="11A2DBAE" w14:textId="3A7B8189" w:rsidR="007305FF" w:rsidRPr="009764EE" w:rsidRDefault="007305FF" w:rsidP="00E9555C">
            <w:pPr>
              <w:pStyle w:val="TableColumnHeadingLeft"/>
            </w:pPr>
            <w:r w:rsidRPr="009764EE">
              <w:t>Latest Value</w:t>
            </w:r>
            <w:r w:rsidR="006C4F1C" w:rsidRPr="005049F1">
              <w:rPr>
                <w:rStyle w:val="FootnoteReference"/>
              </w:rPr>
              <w:t>(i)</w:t>
            </w:r>
          </w:p>
        </w:tc>
      </w:tr>
      <w:tr w:rsidR="008D79E6" w:rsidRPr="009764EE" w14:paraId="19EC7532" w14:textId="77777777" w:rsidTr="008D79E6">
        <w:trPr>
          <w:trHeight w:val="270"/>
        </w:trPr>
        <w:tc>
          <w:tcPr>
            <w:tcW w:w="1659" w:type="dxa"/>
            <w:vMerge w:val="restart"/>
          </w:tcPr>
          <w:p w14:paraId="3C32BB59" w14:textId="308926C3" w:rsidR="008D79E6" w:rsidRPr="008D79E6" w:rsidRDefault="008D79E6" w:rsidP="008D79E6">
            <w:pPr>
              <w:pStyle w:val="TableTextLeft"/>
              <w:rPr>
                <w:rStyle w:val="Strong"/>
                <w:color w:val="082C44"/>
              </w:rPr>
            </w:pPr>
            <w:r w:rsidRPr="008D79E6">
              <w:rPr>
                <w:rStyle w:val="Strong"/>
                <w:color w:val="082C44"/>
              </w:rPr>
              <w:t>Making ends meet</w:t>
            </w:r>
          </w:p>
        </w:tc>
        <w:tc>
          <w:tcPr>
            <w:tcW w:w="2307" w:type="dxa"/>
            <w:tcBorders>
              <w:top w:val="single" w:sz="4" w:space="0" w:color="216364"/>
              <w:bottom w:val="single" w:sz="4" w:space="0" w:color="EEEEEE" w:themeColor="background2"/>
            </w:tcBorders>
          </w:tcPr>
          <w:p w14:paraId="014A265E" w14:textId="6A923836" w:rsidR="008D79E6" w:rsidRPr="009764EE" w:rsidRDefault="008D79E6" w:rsidP="000768CA">
            <w:pPr>
              <w:pStyle w:val="TableTextLeft"/>
            </w:pPr>
            <w:r w:rsidRPr="009764EE">
              <w:t>Proportion of households who experienced a cash flow problem in the last 12</w:t>
            </w:r>
            <w:r>
              <w:t> </w:t>
            </w:r>
            <w:r w:rsidRPr="009764EE">
              <w:t>months</w:t>
            </w:r>
            <w:r w:rsidRPr="00C239AD">
              <w:rPr>
                <w:rStyle w:val="TableFootnoteReference"/>
              </w:rPr>
              <w:t>(a)</w:t>
            </w:r>
          </w:p>
        </w:tc>
        <w:tc>
          <w:tcPr>
            <w:tcW w:w="2410" w:type="dxa"/>
            <w:vMerge w:val="restart"/>
            <w:tcBorders>
              <w:top w:val="single" w:sz="4" w:space="0" w:color="216364"/>
              <w:bottom w:val="single" w:sz="4" w:space="0" w:color="EEEEEE" w:themeColor="background2"/>
            </w:tcBorders>
          </w:tcPr>
          <w:p w14:paraId="14AEA03E" w14:textId="20EC81FD" w:rsidR="008D79E6" w:rsidRPr="009764EE" w:rsidRDefault="008D79E6" w:rsidP="000768CA">
            <w:pPr>
              <w:pStyle w:val="TableTextLeft"/>
            </w:pPr>
            <w:r w:rsidRPr="009764EE">
              <w:t>Provides insights into the ability of Australians to meet basic financial commitments</w:t>
            </w:r>
          </w:p>
        </w:tc>
        <w:tc>
          <w:tcPr>
            <w:tcW w:w="1418" w:type="dxa"/>
            <w:tcBorders>
              <w:top w:val="single" w:sz="4" w:space="0" w:color="216364"/>
              <w:bottom w:val="single" w:sz="4" w:space="0" w:color="EEEEEE" w:themeColor="background2"/>
            </w:tcBorders>
          </w:tcPr>
          <w:p w14:paraId="3C6B8846" w14:textId="77777777" w:rsidR="008D79E6" w:rsidRPr="009764EE" w:rsidRDefault="008D79E6" w:rsidP="008D79E6">
            <w:pPr>
              <w:pStyle w:val="TableTextCentered"/>
              <w:rPr>
                <w:rFonts w:eastAsia="Century Gothic"/>
              </w:rPr>
            </w:pPr>
            <w:r w:rsidRPr="009764EE">
              <w:rPr>
                <w:rFonts w:eastAsia="Century Gothic"/>
              </w:rPr>
              <w:t>Deteriorated</w:t>
            </w:r>
          </w:p>
          <w:p w14:paraId="0A4637EE" w14:textId="200E951D" w:rsidR="008D79E6" w:rsidRPr="009764EE" w:rsidRDefault="008D79E6" w:rsidP="008D79E6">
            <w:pPr>
              <w:pStyle w:val="TableTextCentered"/>
              <w:rPr>
                <w:rFonts w:eastAsia="Century Gothic"/>
              </w:rPr>
            </w:pPr>
            <w:r w:rsidRPr="009764EE">
              <w:t>2006</w:t>
            </w:r>
            <w:r>
              <w:t>–</w:t>
            </w:r>
            <w:r>
              <w:softHyphen/>
            </w:r>
            <w:r w:rsidRPr="009764EE">
              <w:t>2020</w:t>
            </w:r>
          </w:p>
        </w:tc>
        <w:tc>
          <w:tcPr>
            <w:tcW w:w="1712" w:type="dxa"/>
            <w:tcBorders>
              <w:top w:val="single" w:sz="4" w:space="0" w:color="216364"/>
              <w:bottom w:val="single" w:sz="4" w:space="0" w:color="EEEEEE" w:themeColor="background2"/>
            </w:tcBorders>
          </w:tcPr>
          <w:p w14:paraId="42DC566D" w14:textId="3BBFD07C" w:rsidR="008D79E6" w:rsidRPr="009764EE" w:rsidRDefault="008D79E6" w:rsidP="008D79E6">
            <w:pPr>
              <w:pStyle w:val="TableTextCentered"/>
            </w:pPr>
            <w:r w:rsidRPr="009764EE">
              <w:t>20.7%</w:t>
            </w:r>
          </w:p>
        </w:tc>
      </w:tr>
      <w:tr w:rsidR="008D79E6" w:rsidRPr="009764EE" w14:paraId="34CB3582" w14:textId="77777777" w:rsidTr="008D79E6">
        <w:trPr>
          <w:trHeight w:val="270"/>
        </w:trPr>
        <w:tc>
          <w:tcPr>
            <w:tcW w:w="1659" w:type="dxa"/>
            <w:vMerge/>
          </w:tcPr>
          <w:p w14:paraId="7B8BB091" w14:textId="77777777" w:rsidR="008D79E6" w:rsidRPr="008D79E6" w:rsidRDefault="008D79E6" w:rsidP="008D79E6">
            <w:pPr>
              <w:pStyle w:val="TableTextLeft"/>
              <w:rPr>
                <w:rStyle w:val="Strong"/>
                <w:color w:val="082C44"/>
              </w:rPr>
            </w:pPr>
          </w:p>
        </w:tc>
        <w:tc>
          <w:tcPr>
            <w:tcW w:w="2307" w:type="dxa"/>
            <w:tcBorders>
              <w:top w:val="single" w:sz="4" w:space="0" w:color="EEEEEE" w:themeColor="background2"/>
            </w:tcBorders>
          </w:tcPr>
          <w:p w14:paraId="3901A389" w14:textId="06835B85" w:rsidR="008D79E6" w:rsidRPr="009764EE" w:rsidRDefault="008D79E6" w:rsidP="000768CA">
            <w:pPr>
              <w:pStyle w:val="TableTextLeft"/>
            </w:pPr>
            <w:r w:rsidRPr="009764EE">
              <w:t>Proportion of households unable to raise $2,000</w:t>
            </w:r>
            <w:r w:rsidRPr="00C239AD">
              <w:rPr>
                <w:rStyle w:val="TableFootnoteReference"/>
              </w:rPr>
              <w:t>(i)</w:t>
            </w:r>
            <w:r w:rsidRPr="009764EE">
              <w:t xml:space="preserve"> when needed</w:t>
            </w:r>
            <w:r w:rsidRPr="00C239AD">
              <w:rPr>
                <w:rStyle w:val="TableFootnoteReference"/>
              </w:rPr>
              <w:t>(a)</w:t>
            </w:r>
          </w:p>
        </w:tc>
        <w:tc>
          <w:tcPr>
            <w:tcW w:w="2410" w:type="dxa"/>
            <w:vMerge/>
            <w:tcBorders>
              <w:top w:val="single" w:sz="4" w:space="0" w:color="EEEEEE" w:themeColor="background2"/>
            </w:tcBorders>
          </w:tcPr>
          <w:p w14:paraId="0EEB982A" w14:textId="77777777" w:rsidR="008D79E6" w:rsidRPr="009764EE" w:rsidRDefault="008D79E6" w:rsidP="000768CA">
            <w:pPr>
              <w:pStyle w:val="TableTextLeft"/>
            </w:pPr>
          </w:p>
        </w:tc>
        <w:tc>
          <w:tcPr>
            <w:tcW w:w="1418" w:type="dxa"/>
            <w:tcBorders>
              <w:top w:val="single" w:sz="4" w:space="0" w:color="EEEEEE" w:themeColor="background2"/>
            </w:tcBorders>
          </w:tcPr>
          <w:p w14:paraId="34127A18" w14:textId="77777777" w:rsidR="008D79E6" w:rsidRPr="009764EE" w:rsidRDefault="008D79E6" w:rsidP="008D79E6">
            <w:pPr>
              <w:pStyle w:val="TableTextCentered"/>
              <w:rPr>
                <w:rFonts w:eastAsia="Tahoma"/>
              </w:rPr>
            </w:pPr>
            <w:r w:rsidRPr="009764EE">
              <w:rPr>
                <w:rFonts w:eastAsia="Tahoma"/>
              </w:rPr>
              <w:t>Deteriorated</w:t>
            </w:r>
          </w:p>
          <w:p w14:paraId="7F392B1E" w14:textId="142F8A1B" w:rsidR="008D79E6" w:rsidRPr="009764EE" w:rsidRDefault="008D79E6" w:rsidP="008D79E6">
            <w:pPr>
              <w:pStyle w:val="TableTextCentered"/>
              <w:rPr>
                <w:rFonts w:eastAsia="Century Gothic"/>
              </w:rPr>
            </w:pPr>
            <w:r w:rsidRPr="009764EE">
              <w:rPr>
                <w:rFonts w:eastAsia="Tahoma"/>
              </w:rPr>
              <w:t>2006</w:t>
            </w:r>
            <w:r>
              <w:rPr>
                <w:rFonts w:eastAsia="Tahoma"/>
              </w:rPr>
              <w:softHyphen/>
              <w:t>–</w:t>
            </w:r>
            <w:r w:rsidRPr="009764EE">
              <w:rPr>
                <w:rFonts w:eastAsia="Tahoma"/>
              </w:rPr>
              <w:t>2020</w:t>
            </w:r>
          </w:p>
        </w:tc>
        <w:tc>
          <w:tcPr>
            <w:tcW w:w="1712" w:type="dxa"/>
            <w:tcBorders>
              <w:top w:val="single" w:sz="4" w:space="0" w:color="EEEEEE" w:themeColor="background2"/>
            </w:tcBorders>
          </w:tcPr>
          <w:p w14:paraId="4F381003" w14:textId="48ADF0B9" w:rsidR="008D79E6" w:rsidRPr="009764EE" w:rsidRDefault="008D79E6" w:rsidP="008D79E6">
            <w:pPr>
              <w:pStyle w:val="TableTextCentered"/>
            </w:pPr>
            <w:r w:rsidRPr="009764EE">
              <w:t>18.7%</w:t>
            </w:r>
          </w:p>
        </w:tc>
      </w:tr>
      <w:tr w:rsidR="00D50862" w:rsidRPr="009764EE" w14:paraId="43F51CF6" w14:textId="77777777" w:rsidTr="008D79E6">
        <w:trPr>
          <w:trHeight w:val="270"/>
        </w:trPr>
        <w:tc>
          <w:tcPr>
            <w:tcW w:w="1659" w:type="dxa"/>
          </w:tcPr>
          <w:p w14:paraId="74551F25" w14:textId="101901DD" w:rsidR="00D50862" w:rsidRPr="008D79E6" w:rsidRDefault="00D50862" w:rsidP="008D79E6">
            <w:pPr>
              <w:pStyle w:val="TableTextLeft"/>
              <w:rPr>
                <w:rStyle w:val="Strong"/>
                <w:color w:val="082C44"/>
              </w:rPr>
            </w:pPr>
            <w:r w:rsidRPr="008D79E6">
              <w:rPr>
                <w:rStyle w:val="Strong"/>
                <w:color w:val="082C44"/>
              </w:rPr>
              <w:t>Homelessness</w:t>
            </w:r>
          </w:p>
        </w:tc>
        <w:tc>
          <w:tcPr>
            <w:tcW w:w="2307" w:type="dxa"/>
          </w:tcPr>
          <w:p w14:paraId="7E48639F" w14:textId="2129774A" w:rsidR="00D50862" w:rsidRPr="009764EE" w:rsidRDefault="00D50862" w:rsidP="000768CA">
            <w:pPr>
              <w:pStyle w:val="TableTextLeft"/>
            </w:pPr>
            <w:r w:rsidRPr="009764EE">
              <w:t>Rate of people who are experiencing homelessness</w:t>
            </w:r>
            <w:r w:rsidRPr="00C239AD">
              <w:rPr>
                <w:rStyle w:val="TableFootnoteReference"/>
              </w:rPr>
              <w:t>(b)</w:t>
            </w:r>
            <w:r w:rsidRPr="00C239AD">
              <w:t xml:space="preserve"> </w:t>
            </w:r>
          </w:p>
        </w:tc>
        <w:tc>
          <w:tcPr>
            <w:tcW w:w="2410" w:type="dxa"/>
          </w:tcPr>
          <w:p w14:paraId="3A22D42F" w14:textId="5B74F58A" w:rsidR="00D50862" w:rsidRPr="009764EE" w:rsidRDefault="00D50862" w:rsidP="000768CA">
            <w:pPr>
              <w:pStyle w:val="TableTextLeft"/>
            </w:pPr>
            <w:r w:rsidRPr="009764EE">
              <w:t>Financial insecurity and housing costs is a risk factor for homelessness</w:t>
            </w:r>
            <w:r w:rsidRPr="00C239AD">
              <w:rPr>
                <w:rStyle w:val="TableFootnoteReference"/>
              </w:rPr>
              <w:endnoteReference w:id="35"/>
            </w:r>
            <w:r w:rsidRPr="009764EE">
              <w:t xml:space="preserve"> </w:t>
            </w:r>
          </w:p>
        </w:tc>
        <w:tc>
          <w:tcPr>
            <w:tcW w:w="1418" w:type="dxa"/>
          </w:tcPr>
          <w:p w14:paraId="110896AC" w14:textId="1E8329F2" w:rsidR="00D50862" w:rsidRPr="009764EE" w:rsidRDefault="00D50862" w:rsidP="008D79E6">
            <w:pPr>
              <w:pStyle w:val="TableTextCentered"/>
              <w:rPr>
                <w:rFonts w:eastAsia="Century Gothic"/>
              </w:rPr>
            </w:pPr>
            <w:r w:rsidRPr="009764EE">
              <w:rPr>
                <w:rFonts w:eastAsia="Century Gothic"/>
              </w:rPr>
              <w:t>Deteriorated</w:t>
            </w:r>
          </w:p>
          <w:p w14:paraId="69D6D071" w14:textId="5888137A" w:rsidR="00D50862" w:rsidRPr="009764EE" w:rsidRDefault="00D50862" w:rsidP="008D79E6">
            <w:pPr>
              <w:pStyle w:val="TableTextCentered"/>
              <w:rPr>
                <w:rFonts w:eastAsia="Century Gothic"/>
              </w:rPr>
            </w:pPr>
            <w:r w:rsidRPr="009764EE">
              <w:t>2006</w:t>
            </w:r>
            <w:r>
              <w:softHyphen/>
            </w:r>
            <w:r w:rsidR="00151999">
              <w:t>–</w:t>
            </w:r>
            <w:r w:rsidRPr="009764EE">
              <w:t>2021</w:t>
            </w:r>
          </w:p>
        </w:tc>
        <w:tc>
          <w:tcPr>
            <w:tcW w:w="1712" w:type="dxa"/>
          </w:tcPr>
          <w:p w14:paraId="71076686" w14:textId="7830276A" w:rsidR="00D50862" w:rsidRPr="009764EE" w:rsidRDefault="00D50862" w:rsidP="008D79E6">
            <w:pPr>
              <w:pStyle w:val="TableTextCentered"/>
            </w:pPr>
            <w:r w:rsidRPr="009764EE">
              <w:t>48 per 10,000</w:t>
            </w:r>
            <w:r>
              <w:t> </w:t>
            </w:r>
            <w:r w:rsidRPr="009764EE">
              <w:t>people</w:t>
            </w:r>
          </w:p>
        </w:tc>
      </w:tr>
      <w:tr w:rsidR="00D50862" w:rsidRPr="009764EE" w14:paraId="010CF232" w14:textId="77777777" w:rsidTr="008D79E6">
        <w:trPr>
          <w:trHeight w:val="270"/>
        </w:trPr>
        <w:tc>
          <w:tcPr>
            <w:tcW w:w="1659" w:type="dxa"/>
          </w:tcPr>
          <w:p w14:paraId="14F11CF6" w14:textId="25E3E068" w:rsidR="00D50862" w:rsidRPr="008D79E6" w:rsidRDefault="00D50862" w:rsidP="008D79E6">
            <w:pPr>
              <w:pStyle w:val="TableTextLeft"/>
              <w:rPr>
                <w:rStyle w:val="Strong"/>
                <w:color w:val="082C44"/>
              </w:rPr>
            </w:pPr>
            <w:r w:rsidRPr="008D79E6">
              <w:rPr>
                <w:rStyle w:val="Strong"/>
                <w:color w:val="082C44"/>
              </w:rPr>
              <w:t xml:space="preserve">Housing serviceability </w:t>
            </w:r>
          </w:p>
        </w:tc>
        <w:tc>
          <w:tcPr>
            <w:tcW w:w="2307" w:type="dxa"/>
          </w:tcPr>
          <w:p w14:paraId="00F0BA00" w14:textId="1EA17A1A" w:rsidR="00D50862" w:rsidRPr="00960A0B" w:rsidRDefault="00D50862" w:rsidP="000768CA">
            <w:pPr>
              <w:pStyle w:val="TableTextLeft"/>
              <w:rPr>
                <w:rFonts w:asciiTheme="minorHAnsi" w:hAnsiTheme="minorHAnsi" w:cstheme="minorHAnsi"/>
              </w:rPr>
            </w:pPr>
            <w:r w:rsidRPr="00960A0B">
              <w:rPr>
                <w:rFonts w:asciiTheme="minorHAnsi" w:hAnsiTheme="minorHAnsi" w:cstheme="minorHAnsi"/>
              </w:rPr>
              <w:t>Proportion of housing costs to household gross income, by tenure</w:t>
            </w:r>
            <w:r w:rsidRPr="00C239AD">
              <w:rPr>
                <w:rStyle w:val="TableFootnoteReference"/>
              </w:rPr>
              <w:t>(c)</w:t>
            </w:r>
          </w:p>
        </w:tc>
        <w:tc>
          <w:tcPr>
            <w:tcW w:w="2410" w:type="dxa"/>
          </w:tcPr>
          <w:p w14:paraId="2E1C410E" w14:textId="0A389FAD" w:rsidR="00D50862" w:rsidRPr="00960A0B" w:rsidRDefault="00D50862" w:rsidP="000768CA">
            <w:pPr>
              <w:pStyle w:val="TableTextLeft"/>
              <w:rPr>
                <w:rFonts w:asciiTheme="minorHAnsi" w:hAnsiTheme="minorHAnsi" w:cstheme="minorHAnsi"/>
              </w:rPr>
            </w:pPr>
            <w:r w:rsidRPr="00960A0B">
              <w:rPr>
                <w:rFonts w:asciiTheme="minorHAnsi" w:hAnsiTheme="minorHAnsi" w:cstheme="minorHAnsi"/>
              </w:rPr>
              <w:t>Housing constitutes a large part of the cost for households and plays a role in financial security</w:t>
            </w:r>
          </w:p>
        </w:tc>
        <w:tc>
          <w:tcPr>
            <w:tcW w:w="1418" w:type="dxa"/>
          </w:tcPr>
          <w:p w14:paraId="2C282D5A" w14:textId="73A55323" w:rsidR="00D50862" w:rsidRPr="00960A0B" w:rsidRDefault="00D50862" w:rsidP="008D79E6">
            <w:pPr>
              <w:pStyle w:val="TableTextCentered"/>
              <w:rPr>
                <w:rFonts w:asciiTheme="minorHAnsi" w:eastAsia="Century Gothic" w:hAnsiTheme="minorHAnsi" w:cstheme="minorHAnsi"/>
              </w:rPr>
            </w:pPr>
            <w:r w:rsidRPr="00960A0B">
              <w:rPr>
                <w:rFonts w:asciiTheme="minorHAnsi" w:eastAsia="Century Gothic" w:hAnsiTheme="minorHAnsi" w:cstheme="minorHAnsi"/>
              </w:rPr>
              <w:t>Deteriorated (renters)</w:t>
            </w:r>
          </w:p>
          <w:p w14:paraId="123A1FF5" w14:textId="1514F9C6" w:rsidR="00D50862" w:rsidRPr="00D50862" w:rsidRDefault="00D50862" w:rsidP="008D79E6">
            <w:pPr>
              <w:pStyle w:val="TableTextCentered"/>
              <w:rPr>
                <w:rFonts w:asciiTheme="minorHAnsi" w:eastAsia="Century Gothic" w:hAnsiTheme="minorHAnsi" w:cstheme="minorHAnsi"/>
              </w:rPr>
            </w:pPr>
            <w:r w:rsidRPr="00960A0B">
              <w:rPr>
                <w:rFonts w:asciiTheme="minorHAnsi" w:eastAsia="Century Gothic" w:hAnsiTheme="minorHAnsi" w:cstheme="minorHAnsi"/>
              </w:rPr>
              <w:t>Improved (mor</w:t>
            </w:r>
            <w:r w:rsidRPr="00C15716">
              <w:rPr>
                <w:rFonts w:eastAsia="Century Gothic"/>
              </w:rPr>
              <w:t>tgag</w:t>
            </w:r>
            <w:r w:rsidRPr="00960A0B">
              <w:rPr>
                <w:rFonts w:asciiTheme="minorHAnsi" w:eastAsia="Century Gothic" w:hAnsiTheme="minorHAnsi" w:cstheme="minorHAnsi"/>
              </w:rPr>
              <w:t>e holder)</w:t>
            </w:r>
          </w:p>
          <w:p w14:paraId="4747E366" w14:textId="3E348E90" w:rsidR="00D50862" w:rsidRPr="00960A0B" w:rsidRDefault="00D50862" w:rsidP="008D79E6">
            <w:pPr>
              <w:pStyle w:val="TableTextCentered"/>
              <w:rPr>
                <w:rFonts w:asciiTheme="minorHAnsi" w:hAnsiTheme="minorHAnsi" w:cstheme="minorHAnsi"/>
              </w:rPr>
            </w:pPr>
            <w:r w:rsidRPr="00960A0B">
              <w:rPr>
                <w:rFonts w:asciiTheme="minorHAnsi" w:hAnsiTheme="minorHAnsi" w:cstheme="minorHAnsi"/>
              </w:rPr>
              <w:t>2002</w:t>
            </w:r>
            <w:r w:rsidRPr="00960A0B">
              <w:rPr>
                <w:rFonts w:asciiTheme="minorHAnsi" w:hAnsiTheme="minorHAnsi" w:cstheme="minorHAnsi"/>
              </w:rPr>
              <w:softHyphen/>
            </w:r>
            <w:r w:rsidR="00151999">
              <w:rPr>
                <w:rFonts w:asciiTheme="minorHAnsi" w:hAnsiTheme="minorHAnsi" w:cstheme="minorHAnsi"/>
              </w:rPr>
              <w:t>–</w:t>
            </w:r>
            <w:r w:rsidRPr="00960A0B">
              <w:rPr>
                <w:rFonts w:asciiTheme="minorHAnsi" w:hAnsiTheme="minorHAnsi" w:cstheme="minorHAnsi"/>
              </w:rPr>
              <w:t>03 to</w:t>
            </w:r>
          </w:p>
          <w:p w14:paraId="0DB2A72C" w14:textId="26C337B5" w:rsidR="00D50862" w:rsidRPr="00960A0B" w:rsidRDefault="00D50862" w:rsidP="008D79E6">
            <w:pPr>
              <w:pStyle w:val="TableTextCentered"/>
              <w:rPr>
                <w:rFonts w:asciiTheme="minorHAnsi" w:hAnsiTheme="minorHAnsi" w:cstheme="minorHAnsi"/>
              </w:rPr>
            </w:pPr>
            <w:r w:rsidRPr="00960A0B">
              <w:rPr>
                <w:rFonts w:asciiTheme="minorHAnsi" w:hAnsiTheme="minorHAnsi" w:cstheme="minorHAnsi"/>
              </w:rPr>
              <w:t>2019</w:t>
            </w:r>
            <w:r w:rsidR="00151999">
              <w:rPr>
                <w:rFonts w:asciiTheme="minorHAnsi" w:hAnsiTheme="minorHAnsi" w:cstheme="minorHAnsi"/>
              </w:rPr>
              <w:t>–</w:t>
            </w:r>
            <w:r w:rsidRPr="00960A0B">
              <w:rPr>
                <w:rFonts w:asciiTheme="minorHAnsi" w:hAnsiTheme="minorHAnsi" w:cstheme="minorHAnsi"/>
              </w:rPr>
              <w:t>20</w:t>
            </w:r>
          </w:p>
        </w:tc>
        <w:tc>
          <w:tcPr>
            <w:tcW w:w="1712" w:type="dxa"/>
          </w:tcPr>
          <w:p w14:paraId="1C6A1773" w14:textId="02DFFB12" w:rsidR="00D50862" w:rsidRPr="00960A0B" w:rsidRDefault="00D50862" w:rsidP="008D79E6">
            <w:pPr>
              <w:pStyle w:val="TableTextCentered"/>
              <w:rPr>
                <w:rFonts w:asciiTheme="minorHAnsi" w:hAnsiTheme="minorHAnsi" w:cstheme="minorHAnsi"/>
              </w:rPr>
            </w:pPr>
            <w:r w:rsidRPr="00960A0B">
              <w:rPr>
                <w:rFonts w:asciiTheme="minorHAnsi" w:hAnsiTheme="minorHAnsi" w:cstheme="minorHAnsi"/>
              </w:rPr>
              <w:t>20.2%</w:t>
            </w:r>
            <w:r w:rsidR="00314667">
              <w:rPr>
                <w:rFonts w:asciiTheme="minorHAnsi" w:hAnsiTheme="minorHAnsi" w:cstheme="minorHAnsi"/>
              </w:rPr>
              <w:t xml:space="preserve"> </w:t>
            </w:r>
            <w:r w:rsidRPr="00960A0B">
              <w:rPr>
                <w:rFonts w:asciiTheme="minorHAnsi" w:hAnsiTheme="minorHAnsi" w:cstheme="minorHAnsi"/>
              </w:rPr>
              <w:t>renters from private landlord</w:t>
            </w:r>
          </w:p>
          <w:p w14:paraId="0F37E567" w14:textId="1BA9CF7E" w:rsidR="00D50862" w:rsidRPr="00960A0B" w:rsidRDefault="00D50862" w:rsidP="008D79E6">
            <w:pPr>
              <w:pStyle w:val="TableTextCentered"/>
              <w:rPr>
                <w:rFonts w:asciiTheme="minorHAnsi" w:hAnsiTheme="minorHAnsi" w:cstheme="minorHAnsi"/>
              </w:rPr>
            </w:pPr>
            <w:r w:rsidRPr="00960A0B">
              <w:rPr>
                <w:rFonts w:asciiTheme="minorHAnsi" w:hAnsiTheme="minorHAnsi" w:cstheme="minorHAnsi"/>
              </w:rPr>
              <w:t>19.5%</w:t>
            </w:r>
            <w:r w:rsidR="00314667">
              <w:rPr>
                <w:rFonts w:asciiTheme="minorHAnsi" w:hAnsiTheme="minorHAnsi" w:cstheme="minorHAnsi"/>
              </w:rPr>
              <w:t xml:space="preserve"> </w:t>
            </w:r>
            <w:r w:rsidRPr="00960A0B">
              <w:rPr>
                <w:rFonts w:asciiTheme="minorHAnsi" w:hAnsiTheme="minorHAnsi" w:cstheme="minorHAnsi"/>
              </w:rPr>
              <w:t>renters from state or territory housing authority</w:t>
            </w:r>
          </w:p>
          <w:p w14:paraId="48370022" w14:textId="2F0497B4" w:rsidR="00D50862" w:rsidRPr="00960A0B" w:rsidRDefault="00D50862" w:rsidP="008D79E6">
            <w:pPr>
              <w:pStyle w:val="TableTextCentered"/>
              <w:rPr>
                <w:rFonts w:asciiTheme="minorHAnsi" w:hAnsiTheme="minorHAnsi" w:cstheme="minorHAnsi"/>
              </w:rPr>
            </w:pPr>
            <w:r w:rsidRPr="00960A0B">
              <w:rPr>
                <w:rFonts w:asciiTheme="minorHAnsi" w:hAnsiTheme="minorHAnsi" w:cstheme="minorHAnsi"/>
              </w:rPr>
              <w:t>15.5%</w:t>
            </w:r>
            <w:r w:rsidR="00314667">
              <w:rPr>
                <w:rFonts w:asciiTheme="minorHAnsi" w:hAnsiTheme="minorHAnsi" w:cstheme="minorHAnsi"/>
              </w:rPr>
              <w:t xml:space="preserve"> </w:t>
            </w:r>
            <w:r w:rsidRPr="00960A0B">
              <w:rPr>
                <w:rFonts w:asciiTheme="minorHAnsi" w:hAnsiTheme="minorHAnsi" w:cstheme="minorHAnsi"/>
              </w:rPr>
              <w:t xml:space="preserve">(owned with </w:t>
            </w:r>
            <w:r w:rsidRPr="00C15716">
              <w:t>mortgage)</w:t>
            </w:r>
          </w:p>
        </w:tc>
      </w:tr>
    </w:tbl>
    <w:p w14:paraId="3520416A" w14:textId="09D362CA" w:rsidR="006C7C8E" w:rsidRPr="009764EE" w:rsidRDefault="007305FF" w:rsidP="00BC27A3">
      <w:pPr>
        <w:pStyle w:val="ChartorTableNote"/>
        <w:ind w:left="720" w:hanging="720"/>
      </w:pPr>
      <w:r w:rsidRPr="009764EE">
        <w:rPr>
          <w:szCs w:val="16"/>
        </w:rPr>
        <w:t>Source:</w:t>
      </w:r>
      <w:r w:rsidR="00BC27A3">
        <w:rPr>
          <w:szCs w:val="16"/>
        </w:rPr>
        <w:tab/>
      </w:r>
      <w:r w:rsidRPr="009764EE">
        <w:t>(a) ABS General Social Survey</w:t>
      </w:r>
      <w:r w:rsidR="001A564C" w:rsidRPr="009764EE">
        <w:br/>
      </w:r>
      <w:r w:rsidRPr="009764EE">
        <w:t>(</w:t>
      </w:r>
      <w:r w:rsidR="00417C97" w:rsidRPr="009764EE">
        <w:t>b</w:t>
      </w:r>
      <w:r w:rsidRPr="009764EE">
        <w:t xml:space="preserve">) </w:t>
      </w:r>
      <w:bookmarkStart w:id="61" w:name="_Hlk140239647"/>
      <w:r w:rsidRPr="009764EE">
        <w:t xml:space="preserve">ABS Census of Population and </w:t>
      </w:r>
      <w:r w:rsidR="00C719CE" w:rsidRPr="009764EE">
        <w:t>H</w:t>
      </w:r>
      <w:r w:rsidRPr="009764EE">
        <w:t xml:space="preserve">ousing </w:t>
      </w:r>
      <w:bookmarkEnd w:id="61"/>
      <w:r w:rsidR="001A564C" w:rsidRPr="009764EE">
        <w:br/>
      </w:r>
      <w:r w:rsidRPr="009764EE">
        <w:t>(</w:t>
      </w:r>
      <w:r w:rsidR="00417C97" w:rsidRPr="009764EE">
        <w:t>c</w:t>
      </w:r>
      <w:r w:rsidRPr="009764EE">
        <w:t>) ABS Survey of Income and Housing</w:t>
      </w:r>
    </w:p>
    <w:p w14:paraId="64C040CD" w14:textId="5AC5608C" w:rsidR="00963DCA" w:rsidRPr="009764EE" w:rsidRDefault="00AC74B2" w:rsidP="00BC27A3">
      <w:pPr>
        <w:pStyle w:val="ChartorTableNote"/>
        <w:ind w:left="720" w:hanging="720"/>
      </w:pPr>
      <w:r w:rsidRPr="009764EE">
        <w:t>N</w:t>
      </w:r>
      <w:r w:rsidR="00560E24" w:rsidRPr="009764EE">
        <w:t>ote:</w:t>
      </w:r>
      <w:r w:rsidR="00BC27A3">
        <w:tab/>
      </w:r>
      <w:r w:rsidR="006C4F1C" w:rsidRPr="009764EE">
        <w:t>(i)</w:t>
      </w:r>
      <w:r w:rsidR="00F2080E" w:rsidRPr="009764EE">
        <w:t xml:space="preserve"> </w:t>
      </w:r>
      <w:r w:rsidR="00560E24" w:rsidRPr="009764EE">
        <w:t xml:space="preserve">Unless specified the latest value is the last data point in the </w:t>
      </w:r>
      <w:r w:rsidR="007F64B6">
        <w:t>series</w:t>
      </w:r>
      <w:r w:rsidR="007F64B6" w:rsidRPr="009764EE">
        <w:t xml:space="preserve"> </w:t>
      </w:r>
      <w:r w:rsidR="001A564C" w:rsidRPr="009764EE">
        <w:br/>
      </w:r>
      <w:r w:rsidR="0060273A" w:rsidRPr="009764EE">
        <w:t>(i</w:t>
      </w:r>
      <w:r w:rsidR="006C4F1C" w:rsidRPr="009764EE">
        <w:t>i</w:t>
      </w:r>
      <w:r w:rsidR="0060273A" w:rsidRPr="009764EE">
        <w:t>)</w:t>
      </w:r>
      <w:r w:rsidR="00F2080E" w:rsidRPr="009764EE">
        <w:t xml:space="preserve"> </w:t>
      </w:r>
      <w:r w:rsidR="00CA6479" w:rsidRPr="009764EE">
        <w:t>This is the nominal value, noting purchasing power of $2</w:t>
      </w:r>
      <w:r w:rsidR="00620078">
        <w:t>,</w:t>
      </w:r>
      <w:r w:rsidR="00CA6479" w:rsidRPr="009764EE">
        <w:t>000 is</w:t>
      </w:r>
      <w:r w:rsidR="005561AF" w:rsidRPr="009764EE">
        <w:t xml:space="preserve"> different in 2020 to what</w:t>
      </w:r>
      <w:r w:rsidR="00CA6479" w:rsidRPr="009764EE">
        <w:t xml:space="preserve"> it was in 2006</w:t>
      </w:r>
    </w:p>
    <w:p w14:paraId="183F89D5" w14:textId="77777777" w:rsidR="00C54285" w:rsidRPr="009764EE" w:rsidRDefault="00C54285" w:rsidP="00B8112E"/>
    <w:p w14:paraId="7CE59AD6" w14:textId="59C7E59B" w:rsidR="00963DCA" w:rsidRPr="009764EE" w:rsidRDefault="00963DCA" w:rsidP="00B8112E">
      <w:pPr>
        <w:rPr>
          <w:lang w:val="en-GB"/>
        </w:rPr>
        <w:sectPr w:rsidR="00963DCA" w:rsidRPr="009764EE" w:rsidSect="00DA302B">
          <w:endnotePr>
            <w:numFmt w:val="decimal"/>
          </w:endnotePr>
          <w:type w:val="continuous"/>
          <w:pgSz w:w="11906" w:h="16838" w:code="9"/>
          <w:pgMar w:top="1843" w:right="1418" w:bottom="1418" w:left="1418" w:header="851" w:footer="851" w:gutter="0"/>
          <w:cols w:space="567"/>
          <w:docGrid w:linePitch="360"/>
        </w:sectPr>
      </w:pPr>
    </w:p>
    <w:p w14:paraId="63074A05" w14:textId="07D9C1BD" w:rsidR="007305FF" w:rsidRPr="009764EE" w:rsidRDefault="00DA381F" w:rsidP="00665AD2">
      <w:pPr>
        <w:rPr>
          <w:lang w:val="en-GB"/>
        </w:rPr>
      </w:pPr>
      <w:r w:rsidRPr="009764EE">
        <w:rPr>
          <w:lang w:val="en-GB"/>
        </w:rPr>
        <w:t>Financial security</w:t>
      </w:r>
      <w:r w:rsidR="00084DA8" w:rsidRPr="009764EE">
        <w:rPr>
          <w:lang w:val="en-GB"/>
        </w:rPr>
        <w:t xml:space="preserve"> and access to housing are </w:t>
      </w:r>
      <w:r w:rsidR="007305FF" w:rsidRPr="009764EE">
        <w:rPr>
          <w:lang w:val="en-GB"/>
        </w:rPr>
        <w:t xml:space="preserve">important </w:t>
      </w:r>
      <w:r w:rsidR="009A0CFE" w:rsidRPr="009764EE">
        <w:rPr>
          <w:lang w:val="en-GB"/>
        </w:rPr>
        <w:t>determinant</w:t>
      </w:r>
      <w:r w:rsidR="00303461" w:rsidRPr="009764EE">
        <w:rPr>
          <w:lang w:val="en-GB"/>
        </w:rPr>
        <w:t>s</w:t>
      </w:r>
      <w:r w:rsidR="007305FF" w:rsidRPr="009764EE">
        <w:rPr>
          <w:lang w:val="en-GB"/>
        </w:rPr>
        <w:t xml:space="preserve"> of personal wellbeing.</w:t>
      </w:r>
      <w:r w:rsidR="00FE31FB" w:rsidRPr="009764EE">
        <w:rPr>
          <w:lang w:val="en-GB"/>
        </w:rPr>
        <w:t xml:space="preserve"> </w:t>
      </w:r>
      <w:r w:rsidR="00303461" w:rsidRPr="009764EE">
        <w:rPr>
          <w:lang w:val="en-GB"/>
        </w:rPr>
        <w:t>They</w:t>
      </w:r>
      <w:r w:rsidR="001738EC" w:rsidRPr="009764EE">
        <w:rPr>
          <w:lang w:val="en-GB"/>
        </w:rPr>
        <w:t xml:space="preserve"> reduce people</w:t>
      </w:r>
      <w:r w:rsidR="00135DEA">
        <w:rPr>
          <w:lang w:val="en-GB"/>
        </w:rPr>
        <w:t>’</w:t>
      </w:r>
      <w:r w:rsidR="001738EC" w:rsidRPr="009764EE">
        <w:rPr>
          <w:lang w:val="en-GB"/>
        </w:rPr>
        <w:t>s vulnerability to income fluctuations and enable their full participation in socia</w:t>
      </w:r>
      <w:r w:rsidR="00737FAE">
        <w:rPr>
          <w:lang w:val="en-GB"/>
        </w:rPr>
        <w:t>l and</w:t>
      </w:r>
      <w:r w:rsidR="001738EC" w:rsidRPr="009764EE">
        <w:rPr>
          <w:lang w:val="en-GB"/>
        </w:rPr>
        <w:t xml:space="preserve"> economic activities. </w:t>
      </w:r>
    </w:p>
    <w:p w14:paraId="208DD0D9" w14:textId="46DBFA51" w:rsidR="00F11A42" w:rsidRPr="009764EE" w:rsidRDefault="00F11A42" w:rsidP="00665AD2">
      <w:pPr>
        <w:rPr>
          <w:lang w:val="en-GB"/>
        </w:rPr>
      </w:pPr>
      <w:r w:rsidRPr="009764EE">
        <w:rPr>
          <w:lang w:val="en-GB"/>
        </w:rPr>
        <w:t xml:space="preserve">The metrics outlined </w:t>
      </w:r>
      <w:r w:rsidR="005A271B" w:rsidRPr="009764EE">
        <w:rPr>
          <w:lang w:val="en-GB"/>
        </w:rPr>
        <w:t>below will</w:t>
      </w:r>
      <w:r w:rsidRPr="009764EE">
        <w:rPr>
          <w:lang w:val="en-GB"/>
        </w:rPr>
        <w:t xml:space="preserve"> be used to track </w:t>
      </w:r>
      <w:r w:rsidR="00BD6036" w:rsidRPr="009764EE">
        <w:rPr>
          <w:lang w:val="en-GB"/>
        </w:rPr>
        <w:t>the financial security</w:t>
      </w:r>
      <w:r w:rsidR="00084DA8" w:rsidRPr="009764EE">
        <w:rPr>
          <w:lang w:val="en-GB"/>
        </w:rPr>
        <w:t xml:space="preserve"> and access to housing</w:t>
      </w:r>
      <w:r w:rsidR="00BD6036" w:rsidRPr="009764EE">
        <w:rPr>
          <w:lang w:val="en-GB"/>
        </w:rPr>
        <w:t xml:space="preserve"> of </w:t>
      </w:r>
      <w:r w:rsidR="00136FA0" w:rsidRPr="009764EE">
        <w:rPr>
          <w:lang w:val="en-GB"/>
        </w:rPr>
        <w:t>Australians</w:t>
      </w:r>
      <w:r w:rsidR="00BD6036" w:rsidRPr="009764EE">
        <w:rPr>
          <w:lang w:val="en-GB"/>
        </w:rPr>
        <w:t xml:space="preserve"> over time according to their capacity to make ends meet, </w:t>
      </w:r>
      <w:r w:rsidR="00BD0B15" w:rsidRPr="009764EE">
        <w:rPr>
          <w:lang w:val="en-GB"/>
        </w:rPr>
        <w:t>the</w:t>
      </w:r>
      <w:r w:rsidR="00BD6036" w:rsidRPr="009764EE">
        <w:rPr>
          <w:lang w:val="en-GB"/>
        </w:rPr>
        <w:t xml:space="preserve"> </w:t>
      </w:r>
      <w:r w:rsidR="00136FA0" w:rsidRPr="009764EE">
        <w:rPr>
          <w:lang w:val="en-GB"/>
        </w:rPr>
        <w:t xml:space="preserve">extent of homelessness and housing serviceability trends. </w:t>
      </w:r>
    </w:p>
    <w:p w14:paraId="4E9771A4" w14:textId="76DD402A" w:rsidR="007305FF" w:rsidRPr="009764EE" w:rsidRDefault="007305FF" w:rsidP="00665AD2">
      <w:pPr>
        <w:pStyle w:val="Heading3"/>
        <w:rPr>
          <w:rFonts w:cs="Calibri"/>
          <w:szCs w:val="24"/>
        </w:rPr>
      </w:pPr>
      <w:r w:rsidRPr="009764EE">
        <w:rPr>
          <w:rFonts w:cs="Calibri"/>
        </w:rPr>
        <w:t>Makin</w:t>
      </w:r>
      <w:r w:rsidRPr="009764EE">
        <w:rPr>
          <w:rFonts w:cs="Calibri"/>
          <w:szCs w:val="24"/>
        </w:rPr>
        <w:t xml:space="preserve">g ends meet </w:t>
      </w:r>
    </w:p>
    <w:p w14:paraId="22EF6E0E" w14:textId="03866CF4" w:rsidR="007305FF" w:rsidRPr="009764EE" w:rsidRDefault="007305FF" w:rsidP="00665AD2">
      <w:pPr>
        <w:rPr>
          <w:rFonts w:eastAsiaTheme="minorHAnsi"/>
          <w:lang w:val="en-GB" w:eastAsia="en-US"/>
        </w:rPr>
      </w:pPr>
      <w:r w:rsidRPr="009764EE">
        <w:rPr>
          <w:rFonts w:eastAsiaTheme="minorHAnsi"/>
          <w:lang w:val="en-GB" w:eastAsia="en-US"/>
        </w:rPr>
        <w:t>Financial stress indicators can</w:t>
      </w:r>
      <w:r w:rsidR="00AE092A" w:rsidRPr="009764EE">
        <w:rPr>
          <w:rFonts w:eastAsiaTheme="minorHAnsi"/>
          <w:lang w:val="en-GB" w:eastAsia="en-US"/>
        </w:rPr>
        <w:t xml:space="preserve"> provide an indication </w:t>
      </w:r>
      <w:r w:rsidR="009719F1" w:rsidRPr="009764EE">
        <w:rPr>
          <w:rFonts w:eastAsiaTheme="minorHAnsi"/>
          <w:lang w:val="en-GB" w:eastAsia="en-US"/>
        </w:rPr>
        <w:t>of how many Australians lack financial security</w:t>
      </w:r>
      <w:r w:rsidR="00BE5B89" w:rsidRPr="009764EE">
        <w:rPr>
          <w:rFonts w:eastAsiaTheme="minorHAnsi"/>
          <w:lang w:val="en-GB" w:eastAsia="en-US"/>
        </w:rPr>
        <w:t>.</w:t>
      </w:r>
      <w:r w:rsidRPr="009764EE" w:rsidDel="00BE5B89">
        <w:rPr>
          <w:rFonts w:eastAsiaTheme="minorHAnsi"/>
          <w:lang w:val="en-GB" w:eastAsia="en-US"/>
        </w:rPr>
        <w:t xml:space="preserve"> </w:t>
      </w:r>
    </w:p>
    <w:p w14:paraId="565DE1E1" w14:textId="59313C63" w:rsidR="007305FF" w:rsidRPr="009764EE" w:rsidRDefault="008C73A6" w:rsidP="00665AD2">
      <w:pPr>
        <w:rPr>
          <w:rFonts w:eastAsiaTheme="minorHAnsi"/>
          <w:lang w:val="en-GB" w:eastAsia="en-US"/>
        </w:rPr>
      </w:pPr>
      <w:r w:rsidRPr="009764EE">
        <w:rPr>
          <w:rFonts w:eastAsiaTheme="minorHAnsi"/>
          <w:lang w:val="en-GB" w:eastAsia="en-US"/>
        </w:rPr>
        <w:t>T</w:t>
      </w:r>
      <w:r w:rsidR="007305FF" w:rsidRPr="009764EE">
        <w:rPr>
          <w:rFonts w:eastAsiaTheme="minorHAnsi"/>
          <w:lang w:val="en-GB" w:eastAsia="en-US"/>
        </w:rPr>
        <w:t>he proportion of households experiencing financial stress</w:t>
      </w:r>
      <w:r w:rsidR="002D0DA1" w:rsidRPr="009764EE">
        <w:rPr>
          <w:rFonts w:eastAsiaTheme="minorHAnsi"/>
          <w:lang w:val="en-GB" w:eastAsia="en-US"/>
        </w:rPr>
        <w:t xml:space="preserve"> </w:t>
      </w:r>
      <w:r w:rsidR="007305FF" w:rsidRPr="009764EE">
        <w:rPr>
          <w:rFonts w:eastAsiaTheme="minorHAnsi"/>
          <w:lang w:val="en-GB" w:eastAsia="en-US"/>
        </w:rPr>
        <w:t>has increased since 2006</w:t>
      </w:r>
      <w:r w:rsidR="004D0B8C" w:rsidRPr="009764EE">
        <w:rPr>
          <w:rFonts w:eastAsiaTheme="minorHAnsi"/>
          <w:lang w:val="en-GB" w:eastAsia="en-US"/>
        </w:rPr>
        <w:t>.</w:t>
      </w:r>
      <w:r w:rsidR="00314667">
        <w:rPr>
          <w:rFonts w:eastAsiaTheme="minorHAnsi"/>
          <w:lang w:val="en-GB" w:eastAsia="en-US"/>
        </w:rPr>
        <w:t xml:space="preserve"> </w:t>
      </w:r>
      <w:r w:rsidR="00153E47" w:rsidRPr="009764EE">
        <w:rPr>
          <w:rFonts w:eastAsiaTheme="minorHAnsi"/>
          <w:lang w:val="en-GB" w:eastAsia="en-US"/>
        </w:rPr>
        <w:t>In 2020, a</w:t>
      </w:r>
      <w:r w:rsidR="007305FF" w:rsidRPr="009764EE">
        <w:rPr>
          <w:rFonts w:eastAsiaTheme="minorHAnsi"/>
          <w:lang w:val="en-GB" w:eastAsia="en-US"/>
        </w:rPr>
        <w:t xml:space="preserve">round one in five households </w:t>
      </w:r>
      <w:r w:rsidR="007D7D32" w:rsidRPr="009764EE">
        <w:rPr>
          <w:rFonts w:eastAsiaTheme="minorHAnsi"/>
          <w:lang w:val="en-GB" w:eastAsia="en-US"/>
        </w:rPr>
        <w:t>experienced</w:t>
      </w:r>
      <w:r w:rsidR="007305FF" w:rsidRPr="009764EE">
        <w:rPr>
          <w:rFonts w:eastAsiaTheme="minorHAnsi"/>
          <w:lang w:val="en-GB" w:eastAsia="en-US"/>
        </w:rPr>
        <w:t xml:space="preserve"> each of the t</w:t>
      </w:r>
      <w:r w:rsidR="00665AD2" w:rsidRPr="009764EE">
        <w:rPr>
          <w:rFonts w:eastAsiaTheme="minorHAnsi"/>
          <w:lang w:val="en-GB" w:eastAsia="en-US"/>
        </w:rPr>
        <w:t>wo</w:t>
      </w:r>
      <w:r w:rsidR="007305FF" w:rsidRPr="009764EE">
        <w:rPr>
          <w:rFonts w:eastAsiaTheme="minorHAnsi"/>
          <w:lang w:val="en-GB" w:eastAsia="en-US"/>
        </w:rPr>
        <w:t xml:space="preserve"> financial stress indicators</w:t>
      </w:r>
      <w:r w:rsidR="00C517E4">
        <w:rPr>
          <w:rFonts w:eastAsiaTheme="minorHAnsi"/>
          <w:lang w:val="en-GB" w:eastAsia="en-US"/>
        </w:rPr>
        <w:t xml:space="preserve">: </w:t>
      </w:r>
      <w:r w:rsidR="006D0EE0" w:rsidRPr="009764EE">
        <w:rPr>
          <w:rFonts w:eastAsiaTheme="minorHAnsi"/>
          <w:lang w:val="en-GB" w:eastAsia="en-US"/>
        </w:rPr>
        <w:t xml:space="preserve">cash flow problems and </w:t>
      </w:r>
      <w:r w:rsidR="0004210F" w:rsidRPr="009764EE">
        <w:rPr>
          <w:rFonts w:eastAsiaTheme="minorHAnsi"/>
          <w:lang w:val="en-GB" w:eastAsia="en-US"/>
        </w:rPr>
        <w:t>unable to raise funds</w:t>
      </w:r>
      <w:r w:rsidR="005B190B" w:rsidRPr="009764EE">
        <w:rPr>
          <w:rFonts w:eastAsiaTheme="minorHAnsi"/>
          <w:lang w:val="en-GB" w:eastAsia="en-US"/>
        </w:rPr>
        <w:t>.</w:t>
      </w:r>
      <w:r w:rsidR="007305FF" w:rsidRPr="009764EE">
        <w:rPr>
          <w:rFonts w:eastAsiaTheme="minorHAnsi"/>
          <w:lang w:val="en-GB" w:eastAsia="en-US"/>
        </w:rPr>
        <w:t xml:space="preserve"> </w:t>
      </w:r>
      <w:r w:rsidR="00780433" w:rsidRPr="009764EE">
        <w:rPr>
          <w:rFonts w:eastAsiaTheme="minorHAnsi"/>
          <w:lang w:val="en-GB" w:eastAsia="en-US"/>
        </w:rPr>
        <w:t>T</w:t>
      </w:r>
      <w:r w:rsidR="002D0DA1" w:rsidRPr="009764EE">
        <w:rPr>
          <w:rFonts w:eastAsiaTheme="minorHAnsi"/>
          <w:lang w:val="en-GB" w:eastAsia="en-US"/>
        </w:rPr>
        <w:t xml:space="preserve">he proportion of </w:t>
      </w:r>
      <w:r w:rsidR="009215C1" w:rsidRPr="009764EE">
        <w:rPr>
          <w:rFonts w:eastAsiaTheme="minorHAnsi"/>
          <w:lang w:val="en-GB" w:eastAsia="en-US"/>
        </w:rPr>
        <w:t xml:space="preserve">households experiencing cash flow problems also increased </w:t>
      </w:r>
      <w:r w:rsidR="009215C1" w:rsidRPr="009764EE">
        <w:rPr>
          <w:rFonts w:eastAsiaTheme="minorHAnsi"/>
          <w:lang w:val="en-GB" w:eastAsia="en-US"/>
        </w:rPr>
        <w:t>over this period from 18.5</w:t>
      </w:r>
      <w:r w:rsidR="001524A0">
        <w:rPr>
          <w:rFonts w:eastAsiaTheme="minorHAnsi"/>
          <w:lang w:val="en-GB" w:eastAsia="en-US"/>
        </w:rPr>
        <w:t> per c</w:t>
      </w:r>
      <w:r w:rsidR="009215C1" w:rsidRPr="009764EE">
        <w:rPr>
          <w:rFonts w:eastAsiaTheme="minorHAnsi"/>
          <w:lang w:val="en-GB" w:eastAsia="en-US"/>
        </w:rPr>
        <w:t>ent to 20.7</w:t>
      </w:r>
      <w:r w:rsidR="001524A0">
        <w:rPr>
          <w:lang w:val="en-GB" w:eastAsia="en-US"/>
        </w:rPr>
        <w:t> per c</w:t>
      </w:r>
      <w:r w:rsidR="009215C1" w:rsidRPr="009764EE">
        <w:rPr>
          <w:rFonts w:eastAsiaTheme="minorHAnsi"/>
          <w:lang w:val="en-GB" w:eastAsia="en-US"/>
        </w:rPr>
        <w:t>ent</w:t>
      </w:r>
      <w:r w:rsidR="00B32B6E" w:rsidRPr="009764EE">
        <w:rPr>
          <w:rFonts w:eastAsiaTheme="minorHAnsi"/>
          <w:lang w:val="en-GB" w:eastAsia="en-US"/>
        </w:rPr>
        <w:t xml:space="preserve">. </w:t>
      </w:r>
      <w:r w:rsidR="00780433" w:rsidRPr="009764EE">
        <w:rPr>
          <w:rFonts w:eastAsiaTheme="minorHAnsi"/>
          <w:lang w:val="en-GB" w:eastAsia="en-US"/>
        </w:rPr>
        <w:t>Similarly, the proportion of people unable to raise $2,000 within a week</w:t>
      </w:r>
      <w:r w:rsidR="00575230" w:rsidRPr="009764EE">
        <w:rPr>
          <w:rFonts w:eastAsiaTheme="minorHAnsi"/>
          <w:lang w:val="en-GB" w:eastAsia="en-US"/>
        </w:rPr>
        <w:t>,</w:t>
      </w:r>
      <w:r w:rsidR="00780433" w:rsidRPr="009764EE">
        <w:rPr>
          <w:rFonts w:eastAsiaTheme="minorHAnsi"/>
          <w:lang w:val="en-GB" w:eastAsia="en-US"/>
        </w:rPr>
        <w:t xml:space="preserve"> </w:t>
      </w:r>
      <w:r w:rsidR="00706D0A" w:rsidRPr="009764EE">
        <w:rPr>
          <w:rFonts w:eastAsiaTheme="minorHAnsi"/>
          <w:lang w:val="en-GB" w:eastAsia="en-US"/>
        </w:rPr>
        <w:t>when needed</w:t>
      </w:r>
      <w:r w:rsidR="00575230" w:rsidRPr="009764EE">
        <w:rPr>
          <w:rFonts w:eastAsiaTheme="minorHAnsi"/>
          <w:lang w:val="en-GB" w:eastAsia="en-US"/>
        </w:rPr>
        <w:t>,</w:t>
      </w:r>
      <w:r w:rsidR="00780433" w:rsidRPr="009764EE">
        <w:rPr>
          <w:rFonts w:eastAsiaTheme="minorHAnsi"/>
          <w:lang w:val="en-GB" w:eastAsia="en-US"/>
        </w:rPr>
        <w:t xml:space="preserve"> has increased from 14.5</w:t>
      </w:r>
      <w:r w:rsidR="001524A0">
        <w:rPr>
          <w:rFonts w:eastAsiaTheme="minorHAnsi"/>
          <w:lang w:val="en-GB" w:eastAsia="en-US"/>
        </w:rPr>
        <w:t> per c</w:t>
      </w:r>
      <w:r w:rsidR="00780433" w:rsidRPr="009764EE">
        <w:rPr>
          <w:rFonts w:eastAsiaTheme="minorHAnsi"/>
          <w:lang w:val="en-GB" w:eastAsia="en-US"/>
        </w:rPr>
        <w:t>ent in 2006 to 18.7</w:t>
      </w:r>
      <w:r w:rsidR="001524A0">
        <w:rPr>
          <w:rFonts w:eastAsiaTheme="minorHAnsi"/>
          <w:lang w:val="en-GB" w:eastAsia="en-US"/>
        </w:rPr>
        <w:t> per c</w:t>
      </w:r>
      <w:r w:rsidR="00780433" w:rsidRPr="009764EE">
        <w:rPr>
          <w:rFonts w:eastAsiaTheme="minorHAnsi"/>
          <w:lang w:val="en-GB" w:eastAsia="en-US"/>
        </w:rPr>
        <w:t>ent in 2020.</w:t>
      </w:r>
      <w:r w:rsidR="00116D55" w:rsidRPr="005049F1">
        <w:rPr>
          <w:rStyle w:val="FootnoteReference"/>
          <w:rFonts w:eastAsiaTheme="minorHAnsi"/>
        </w:rPr>
        <w:endnoteReference w:id="36"/>
      </w:r>
      <w:r w:rsidR="00780433" w:rsidRPr="009764EE">
        <w:rPr>
          <w:rFonts w:eastAsiaTheme="minorHAnsi"/>
          <w:lang w:val="en-GB" w:eastAsia="en-US"/>
        </w:rPr>
        <w:t xml:space="preserve"> </w:t>
      </w:r>
    </w:p>
    <w:p w14:paraId="737F4ABF" w14:textId="6023BB9E" w:rsidR="000768CA" w:rsidRDefault="007305FF" w:rsidP="00665AD2">
      <w:r w:rsidRPr="009764EE">
        <w:rPr>
          <w:lang w:val="en-GB"/>
        </w:rPr>
        <w:t xml:space="preserve">Differing household </w:t>
      </w:r>
      <w:r w:rsidR="00C61750" w:rsidRPr="009764EE">
        <w:rPr>
          <w:lang w:val="en-GB"/>
        </w:rPr>
        <w:t>composition is</w:t>
      </w:r>
      <w:r w:rsidRPr="009764EE">
        <w:rPr>
          <w:lang w:val="en-GB"/>
        </w:rPr>
        <w:t xml:space="preserve"> associated with different </w:t>
      </w:r>
      <w:r w:rsidR="00C61750" w:rsidRPr="009764EE">
        <w:rPr>
          <w:lang w:val="en-GB"/>
        </w:rPr>
        <w:t>levels of reported financial stress</w:t>
      </w:r>
      <w:r w:rsidR="005331CB" w:rsidRPr="009764EE">
        <w:rPr>
          <w:lang w:val="en-GB"/>
        </w:rPr>
        <w:t>.</w:t>
      </w:r>
      <w:r w:rsidRPr="009764EE" w:rsidDel="00C61750">
        <w:rPr>
          <w:lang w:val="en-GB"/>
        </w:rPr>
        <w:t xml:space="preserve"> </w:t>
      </w:r>
      <w:r w:rsidR="005331CB" w:rsidRPr="009764EE">
        <w:rPr>
          <w:lang w:val="en-GB"/>
        </w:rPr>
        <w:t>For example,</w:t>
      </w:r>
      <w:r w:rsidR="004854DB" w:rsidRPr="009764EE">
        <w:rPr>
          <w:lang w:val="en-GB"/>
        </w:rPr>
        <w:t xml:space="preserve"> in 2020</w:t>
      </w:r>
      <w:r w:rsidR="005331CB" w:rsidRPr="009764EE">
        <w:rPr>
          <w:lang w:val="en-GB"/>
        </w:rPr>
        <w:t xml:space="preserve"> o</w:t>
      </w:r>
      <w:r w:rsidRPr="009764EE">
        <w:rPr>
          <w:lang w:val="en-GB"/>
        </w:rPr>
        <w:t xml:space="preserve">ne parent families with dependent children were </w:t>
      </w:r>
      <w:r w:rsidR="00720D84" w:rsidRPr="009764EE">
        <w:rPr>
          <w:lang w:val="en-GB"/>
        </w:rPr>
        <w:t xml:space="preserve">more likely to </w:t>
      </w:r>
      <w:r w:rsidR="006C0F80" w:rsidRPr="009764EE">
        <w:rPr>
          <w:lang w:val="en-GB"/>
        </w:rPr>
        <w:t xml:space="preserve">just break </w:t>
      </w:r>
      <w:r w:rsidR="00551548" w:rsidRPr="00C15716">
        <w:t>even most weeks</w:t>
      </w:r>
      <w:r w:rsidR="00F216D8" w:rsidRPr="00C15716">
        <w:t xml:space="preserve"> </w:t>
      </w:r>
      <w:r w:rsidR="00B95687" w:rsidRPr="00C15716">
        <w:t xml:space="preserve">than couple parent </w:t>
      </w:r>
      <w:r w:rsidR="005F79B9" w:rsidRPr="00C15716">
        <w:t>families</w:t>
      </w:r>
      <w:r w:rsidR="00E53095" w:rsidRPr="00C15716">
        <w:t xml:space="preserve"> with dependent children</w:t>
      </w:r>
      <w:r w:rsidR="001524A0">
        <w:t xml:space="preserve"> – </w:t>
      </w:r>
      <w:r w:rsidR="00F216D8" w:rsidRPr="00C15716">
        <w:t>48.6</w:t>
      </w:r>
      <w:r w:rsidR="001524A0">
        <w:t> per c</w:t>
      </w:r>
      <w:r w:rsidRPr="00C15716">
        <w:t xml:space="preserve">ent compared to </w:t>
      </w:r>
      <w:r w:rsidR="00F216D8" w:rsidRPr="00C15716">
        <w:t>34.4</w:t>
      </w:r>
      <w:r w:rsidR="001524A0">
        <w:t> per c</w:t>
      </w:r>
      <w:r w:rsidR="006C7C8E" w:rsidRPr="00C15716">
        <w:t>ent</w:t>
      </w:r>
      <w:r w:rsidR="005F79B9" w:rsidRPr="00C15716">
        <w:t>.</w:t>
      </w:r>
      <w:r w:rsidR="001C562B" w:rsidRPr="005049F1">
        <w:rPr>
          <w:rStyle w:val="FootnoteReference"/>
        </w:rPr>
        <w:endnoteReference w:id="37"/>
      </w:r>
    </w:p>
    <w:p w14:paraId="32D9D889" w14:textId="2F7269E1" w:rsidR="00047AB1" w:rsidRDefault="00047AB1" w:rsidP="00665AD2">
      <w:pPr>
        <w:rPr>
          <w:lang w:val="en-GB"/>
        </w:rPr>
      </w:pPr>
      <w:r w:rsidRPr="00C15716">
        <w:t xml:space="preserve">The impact of </w:t>
      </w:r>
      <w:r w:rsidR="00135CA2" w:rsidRPr="00C15716">
        <w:t xml:space="preserve">the </w:t>
      </w:r>
      <w:r w:rsidRPr="00C15716">
        <w:t>COVID</w:t>
      </w:r>
      <w:r w:rsidR="00135DEA">
        <w:noBreakHyphen/>
      </w:r>
      <w:r w:rsidRPr="00C15716">
        <w:t>19 pandemic</w:t>
      </w:r>
      <w:r w:rsidR="0029277E" w:rsidRPr="00C15716">
        <w:t xml:space="preserve">, global price shocks, </w:t>
      </w:r>
      <w:r w:rsidRPr="00C15716">
        <w:t>inflation</w:t>
      </w:r>
      <w:r w:rsidR="004A1E1D" w:rsidRPr="00C15716">
        <w:t xml:space="preserve"> and the impact of interest rate</w:t>
      </w:r>
      <w:r w:rsidR="00A20B7E" w:rsidRPr="00C15716">
        <w:t xml:space="preserve"> rises</w:t>
      </w:r>
      <w:r w:rsidR="004A1E1D" w:rsidRPr="00C15716">
        <w:t xml:space="preserve"> on households</w:t>
      </w:r>
      <w:r w:rsidRPr="00C15716">
        <w:t xml:space="preserve"> is not captured in the latest ABS release (2020). </w:t>
      </w:r>
      <w:r w:rsidR="00A20B7E" w:rsidRPr="00C15716">
        <w:t xml:space="preserve">More recent survey </w:t>
      </w:r>
      <w:r w:rsidR="0068089E" w:rsidRPr="00C15716">
        <w:t>data</w:t>
      </w:r>
      <w:r w:rsidRPr="00C15716">
        <w:t xml:space="preserve"> ha</w:t>
      </w:r>
      <w:r w:rsidR="0068089E" w:rsidRPr="00C15716">
        <w:t>s</w:t>
      </w:r>
      <w:r w:rsidR="00A20B7E" w:rsidRPr="00C15716">
        <w:t xml:space="preserve"> highlighted these factors are placing additional pressure on</w:t>
      </w:r>
      <w:r w:rsidRPr="00C15716">
        <w:t xml:space="preserve"> </w:t>
      </w:r>
      <w:r w:rsidR="0068089E" w:rsidRPr="00C15716">
        <w:t>household budgets</w:t>
      </w:r>
      <w:r w:rsidRPr="00C15716">
        <w:t xml:space="preserve"> </w:t>
      </w:r>
      <w:r w:rsidR="00730F0D" w:rsidRPr="00C15716">
        <w:t>and</w:t>
      </w:r>
      <w:r w:rsidRPr="00C15716">
        <w:t xml:space="preserve"> the number of Australians </w:t>
      </w:r>
      <w:r w:rsidR="00730F0D" w:rsidRPr="00C15716">
        <w:t xml:space="preserve">experiencing </w:t>
      </w:r>
      <w:r w:rsidRPr="00C15716">
        <w:t>financial hardship</w:t>
      </w:r>
      <w:r w:rsidRPr="009764EE">
        <w:rPr>
          <w:lang w:val="en-GB"/>
        </w:rPr>
        <w:t>.</w:t>
      </w:r>
      <w:r w:rsidR="00920A8E" w:rsidRPr="005049F1">
        <w:rPr>
          <w:rStyle w:val="FootnoteReference"/>
        </w:rPr>
        <w:endnoteReference w:id="38"/>
      </w:r>
      <w:r w:rsidRPr="009764EE">
        <w:rPr>
          <w:lang w:val="en-GB"/>
        </w:rPr>
        <w:t xml:space="preserve"> </w:t>
      </w:r>
    </w:p>
    <w:p w14:paraId="0FC3F66C" w14:textId="77777777" w:rsidR="00F05A1A" w:rsidRDefault="00F05A1A" w:rsidP="00B8112E">
      <w:pPr>
        <w:rPr>
          <w:lang w:val="en-GB"/>
        </w:rPr>
      </w:pPr>
    </w:p>
    <w:p w14:paraId="22AF4AA4" w14:textId="33B3B217" w:rsidR="000768CA" w:rsidRDefault="000768CA" w:rsidP="00B8112E">
      <w:pPr>
        <w:rPr>
          <w:lang w:val="en-GB"/>
        </w:rPr>
        <w:sectPr w:rsidR="000768CA" w:rsidSect="00DA302B">
          <w:endnotePr>
            <w:numFmt w:val="decimal"/>
          </w:endnotePr>
          <w:type w:val="continuous"/>
          <w:pgSz w:w="11906" w:h="16838" w:code="9"/>
          <w:pgMar w:top="1843" w:right="1418" w:bottom="1418" w:left="1418" w:header="851" w:footer="851" w:gutter="0"/>
          <w:cols w:num="2" w:space="567"/>
          <w:docGrid w:linePitch="360"/>
        </w:sectPr>
      </w:pPr>
    </w:p>
    <w:tbl>
      <w:tblPr>
        <w:tblStyle w:val="MWMKey"/>
        <w:tblW w:w="5001" w:type="pct"/>
        <w:tblLook w:val="0620" w:firstRow="1" w:lastRow="0" w:firstColumn="0" w:lastColumn="0" w:noHBand="1" w:noVBand="1"/>
      </w:tblPr>
      <w:tblGrid>
        <w:gridCol w:w="9072"/>
      </w:tblGrid>
      <w:tr w:rsidR="00E604CF" w:rsidRPr="009764EE" w14:paraId="79A59AE7" w14:textId="77777777" w:rsidTr="00E604CF">
        <w:trPr>
          <w:cnfStyle w:val="100000000000" w:firstRow="1" w:lastRow="0" w:firstColumn="0" w:lastColumn="0" w:oddVBand="0" w:evenVBand="0" w:oddHBand="0" w:evenHBand="0" w:firstRowFirstColumn="0" w:firstRowLastColumn="0" w:lastRowFirstColumn="0" w:lastRowLastColumn="0"/>
          <w:trHeight w:val="170"/>
        </w:trPr>
        <w:tc>
          <w:tcPr>
            <w:tcW w:w="5000" w:type="pct"/>
          </w:tcPr>
          <w:p w14:paraId="641AF7E9" w14:textId="0C79A0D6" w:rsidR="00E604CF" w:rsidRPr="00C15716" w:rsidRDefault="00E604CF" w:rsidP="00E604CF">
            <w:pPr>
              <w:pStyle w:val="BoxHeading"/>
              <w:spacing w:after="0"/>
            </w:pPr>
            <w:r w:rsidRPr="00C15716">
              <w:lastRenderedPageBreak/>
              <w:t>Key Government initiatives to help make ends meet</w:t>
            </w:r>
          </w:p>
        </w:tc>
      </w:tr>
      <w:tr w:rsidR="00F05A1A" w:rsidRPr="009764EE" w14:paraId="730FD708" w14:textId="77777777" w:rsidTr="00E604CF">
        <w:trPr>
          <w:trHeight w:val="170"/>
        </w:trPr>
        <w:tc>
          <w:tcPr>
            <w:tcW w:w="5000" w:type="pct"/>
            <w:hideMark/>
          </w:tcPr>
          <w:p w14:paraId="46182994" w14:textId="2678AA27" w:rsidR="00F05A1A" w:rsidRPr="00FB5185" w:rsidRDefault="00F05A1A" w:rsidP="000768CA">
            <w:pPr>
              <w:pStyle w:val="Boxbullet"/>
              <w:rPr>
                <w:lang w:eastAsia="en-US"/>
              </w:rPr>
            </w:pPr>
            <w:r w:rsidRPr="00FB5185">
              <w:rPr>
                <w:lang w:eastAsia="en-US"/>
              </w:rPr>
              <w:t>Cost of living relief package (2023</w:t>
            </w:r>
            <w:r w:rsidR="00151999">
              <w:rPr>
                <w:lang w:eastAsia="en-US"/>
              </w:rPr>
              <w:t>–</w:t>
            </w:r>
            <w:r w:rsidRPr="00FB5185">
              <w:rPr>
                <w:lang w:eastAsia="en-US"/>
              </w:rPr>
              <w:softHyphen/>
              <w:t>24 Budget):</w:t>
            </w:r>
          </w:p>
          <w:p w14:paraId="27FFDDD8" w14:textId="77777777" w:rsidR="00F05A1A" w:rsidRPr="00FB5185" w:rsidRDefault="00F05A1A" w:rsidP="000768CA">
            <w:pPr>
              <w:pStyle w:val="Boxdash"/>
            </w:pPr>
            <w:r w:rsidRPr="00FB5185">
              <w:t xml:space="preserve">assisting with power bills </w:t>
            </w:r>
          </w:p>
          <w:p w14:paraId="1DEE8176" w14:textId="0B31042A" w:rsidR="00F05A1A" w:rsidRPr="00FB5185" w:rsidRDefault="00F05A1A" w:rsidP="000768CA">
            <w:pPr>
              <w:pStyle w:val="Boxdash"/>
            </w:pPr>
            <w:r w:rsidRPr="00FB5185">
              <w:t>cheaper medicines and reducing out</w:t>
            </w:r>
            <w:r w:rsidR="00135DEA">
              <w:noBreakHyphen/>
            </w:r>
            <w:r w:rsidRPr="00FB5185">
              <w:t>of</w:t>
            </w:r>
            <w:r w:rsidR="00135DEA">
              <w:noBreakHyphen/>
            </w:r>
            <w:r w:rsidRPr="00FB5185">
              <w:t>pocket health costs</w:t>
            </w:r>
          </w:p>
          <w:p w14:paraId="61E9451C" w14:textId="77777777" w:rsidR="00F05A1A" w:rsidRPr="00FB5185" w:rsidRDefault="00F05A1A" w:rsidP="000768CA">
            <w:pPr>
              <w:pStyle w:val="Boxdash"/>
            </w:pPr>
            <w:r w:rsidRPr="00FB5185">
              <w:t>targeted support for single parents</w:t>
            </w:r>
          </w:p>
          <w:p w14:paraId="4D0D3AAF" w14:textId="77777777" w:rsidR="00F05A1A" w:rsidRPr="00FB5185" w:rsidRDefault="00F05A1A" w:rsidP="000768CA">
            <w:pPr>
              <w:pStyle w:val="Boxdash"/>
            </w:pPr>
            <w:r w:rsidRPr="00FB5185">
              <w:t xml:space="preserve">increasing the rate of income support payments </w:t>
            </w:r>
          </w:p>
          <w:p w14:paraId="0F911A8D" w14:textId="77777777" w:rsidR="00F05A1A" w:rsidRPr="00FB5185" w:rsidRDefault="00F05A1A" w:rsidP="000768CA">
            <w:pPr>
              <w:pStyle w:val="Boxdash"/>
            </w:pPr>
            <w:r w:rsidRPr="00FB5185">
              <w:t xml:space="preserve">more affordable housing, including increasing the maximum rate of Commonwealth Rent Assistance </w:t>
            </w:r>
          </w:p>
          <w:p w14:paraId="4CB457EE" w14:textId="55BA36F6" w:rsidR="00F05A1A" w:rsidRPr="00FB5185" w:rsidRDefault="00F05A1A" w:rsidP="000768CA">
            <w:pPr>
              <w:pStyle w:val="Boxbullet"/>
              <w:rPr>
                <w:lang w:eastAsia="en-US"/>
              </w:rPr>
            </w:pPr>
            <w:r w:rsidRPr="00FB5185">
              <w:rPr>
                <w:lang w:eastAsia="en-US"/>
              </w:rPr>
              <w:t>Targeting entrenched community disadvantage package (2023</w:t>
            </w:r>
            <w:r w:rsidR="00151999">
              <w:rPr>
                <w:lang w:eastAsia="en-US"/>
              </w:rPr>
              <w:t>–</w:t>
            </w:r>
            <w:r w:rsidRPr="00FB5185">
              <w:rPr>
                <w:lang w:eastAsia="en-US"/>
              </w:rPr>
              <w:t>24 Budget)</w:t>
            </w:r>
          </w:p>
          <w:p w14:paraId="3D9E34F4" w14:textId="77777777" w:rsidR="00F05A1A" w:rsidRPr="00FB5185" w:rsidRDefault="00F05A1A" w:rsidP="000768CA">
            <w:pPr>
              <w:pStyle w:val="Boxbullet"/>
              <w:rPr>
                <w:lang w:eastAsia="en-US"/>
              </w:rPr>
            </w:pPr>
            <w:r w:rsidRPr="00FB5185">
              <w:rPr>
                <w:lang w:eastAsia="en-US"/>
              </w:rPr>
              <w:t>Reinvigorating enterprise bargaining</w:t>
            </w:r>
          </w:p>
          <w:p w14:paraId="79625944" w14:textId="3DF19283" w:rsidR="00F05A1A" w:rsidRPr="00FB5185" w:rsidRDefault="00F05A1A" w:rsidP="000768CA">
            <w:pPr>
              <w:pStyle w:val="Boxbullet"/>
              <w:rPr>
                <w:lang w:eastAsia="en-US"/>
              </w:rPr>
            </w:pPr>
            <w:r w:rsidRPr="00FB5185">
              <w:rPr>
                <w:lang w:eastAsia="en-US"/>
              </w:rPr>
              <w:t>Supporting a pay increase for low</w:t>
            </w:r>
            <w:r w:rsidR="00135DEA">
              <w:rPr>
                <w:lang w:eastAsia="en-US"/>
              </w:rPr>
              <w:noBreakHyphen/>
            </w:r>
            <w:r w:rsidRPr="00FB5185">
              <w:rPr>
                <w:lang w:eastAsia="en-US"/>
              </w:rPr>
              <w:t>paid workers including funding 15</w:t>
            </w:r>
            <w:r w:rsidR="001524A0">
              <w:rPr>
                <w:lang w:eastAsia="en-US"/>
              </w:rPr>
              <w:t> per c</w:t>
            </w:r>
            <w:r w:rsidRPr="00FB5185">
              <w:rPr>
                <w:lang w:eastAsia="en-US"/>
              </w:rPr>
              <w:t>ent pay rise on award wages for aged care workers</w:t>
            </w:r>
          </w:p>
          <w:p w14:paraId="4D0783BB" w14:textId="77777777" w:rsidR="00F05A1A" w:rsidRPr="00FB5185" w:rsidRDefault="00F05A1A" w:rsidP="000768CA">
            <w:pPr>
              <w:pStyle w:val="Boxbullet"/>
              <w:rPr>
                <w:lang w:eastAsia="en-US"/>
              </w:rPr>
            </w:pPr>
            <w:r w:rsidRPr="00FB5185">
              <w:rPr>
                <w:lang w:eastAsia="en-US"/>
              </w:rPr>
              <w:t>Expanding Paid Parental Leave</w:t>
            </w:r>
          </w:p>
          <w:p w14:paraId="34558ADB" w14:textId="77777777" w:rsidR="00F05A1A" w:rsidRPr="00FB5185" w:rsidRDefault="00F05A1A" w:rsidP="000768CA">
            <w:pPr>
              <w:pStyle w:val="Boxbullet"/>
              <w:rPr>
                <w:lang w:eastAsia="en-US"/>
              </w:rPr>
            </w:pPr>
            <w:r w:rsidRPr="00FB5185">
              <w:rPr>
                <w:lang w:eastAsia="en-US"/>
              </w:rPr>
              <w:t>Supporting regional households and farmers in times of drought or natural disasters</w:t>
            </w:r>
          </w:p>
          <w:p w14:paraId="50BCB8F1" w14:textId="77777777" w:rsidR="00F05A1A" w:rsidRPr="009764EE" w:rsidRDefault="00F05A1A" w:rsidP="000768CA">
            <w:pPr>
              <w:pStyle w:val="Boxbullet"/>
            </w:pPr>
            <w:r w:rsidRPr="00FB5185">
              <w:rPr>
                <w:lang w:eastAsia="en-US"/>
              </w:rPr>
              <w:t>Cheaper childcare reforms</w:t>
            </w:r>
          </w:p>
        </w:tc>
      </w:tr>
    </w:tbl>
    <w:p w14:paraId="58ED4B04" w14:textId="77777777" w:rsidR="000768CA" w:rsidRDefault="000768CA" w:rsidP="00B8112E">
      <w:pPr>
        <w:rPr>
          <w:lang w:val="en-GB"/>
        </w:rPr>
      </w:pPr>
    </w:p>
    <w:p w14:paraId="26E289D8" w14:textId="062873C0" w:rsidR="000768CA" w:rsidRDefault="000768CA" w:rsidP="00B8112E">
      <w:pPr>
        <w:rPr>
          <w:lang w:val="en-GB"/>
        </w:rPr>
        <w:sectPr w:rsidR="000768CA" w:rsidSect="00DA302B">
          <w:endnotePr>
            <w:numFmt w:val="decimal"/>
          </w:endnotePr>
          <w:type w:val="continuous"/>
          <w:pgSz w:w="11906" w:h="16838" w:code="9"/>
          <w:pgMar w:top="1843" w:right="1418" w:bottom="1418" w:left="1418" w:header="851" w:footer="851" w:gutter="0"/>
          <w:cols w:space="567"/>
          <w:docGrid w:linePitch="360"/>
        </w:sectPr>
      </w:pPr>
    </w:p>
    <w:p w14:paraId="667F863B" w14:textId="137B1544" w:rsidR="007305FF" w:rsidRPr="00D01C32" w:rsidRDefault="007305FF" w:rsidP="009F56A9">
      <w:pPr>
        <w:pStyle w:val="Heading3"/>
      </w:pPr>
      <w:r w:rsidRPr="009F56A9">
        <w:lastRenderedPageBreak/>
        <w:t>Homelessness</w:t>
      </w:r>
    </w:p>
    <w:p w14:paraId="2CAF9C0F" w14:textId="7007BDA0" w:rsidR="003976D4" w:rsidRPr="009764EE" w:rsidRDefault="009735D5" w:rsidP="00B8112E">
      <w:r w:rsidRPr="009764EE">
        <w:t>H</w:t>
      </w:r>
      <w:r w:rsidR="005E1DFA" w:rsidRPr="009764EE">
        <w:t>omelessness</w:t>
      </w:r>
      <w:r w:rsidR="00A2599E" w:rsidRPr="009764EE">
        <w:t xml:space="preserve"> </w:t>
      </w:r>
      <w:r w:rsidR="0086419F" w:rsidRPr="006F5630">
        <w:t>can be</w:t>
      </w:r>
      <w:r w:rsidR="002129F5" w:rsidRPr="006F5630">
        <w:t xml:space="preserve"> </w:t>
      </w:r>
      <w:r w:rsidR="00A2599E" w:rsidRPr="006F5630">
        <w:rPr>
          <w:rFonts w:eastAsia="Calibri Light"/>
        </w:rPr>
        <w:t>defined as when</w:t>
      </w:r>
      <w:r w:rsidR="00A2599E" w:rsidRPr="009764EE">
        <w:rPr>
          <w:rFonts w:ascii="Calibri" w:eastAsia="Calibri Light" w:hAnsi="Calibri" w:cs="Calibri"/>
          <w:color w:val="000000" w:themeColor="text1"/>
        </w:rPr>
        <w:t xml:space="preserve"> </w:t>
      </w:r>
      <w:r w:rsidR="00A2599E" w:rsidRPr="00B8112E">
        <w:rPr>
          <w:rFonts w:eastAsia="Calibri Light"/>
        </w:rPr>
        <w:t xml:space="preserve">a </w:t>
      </w:r>
      <w:r w:rsidR="00A2599E" w:rsidRPr="006F5630">
        <w:rPr>
          <w:rFonts w:eastAsia="Calibri Light"/>
          <w:color w:val="000000" w:themeColor="text1"/>
        </w:rPr>
        <w:t xml:space="preserve">person does not have </w:t>
      </w:r>
      <w:r w:rsidR="00984AF3" w:rsidRPr="006F5630">
        <w:rPr>
          <w:rFonts w:eastAsia="Calibri Light"/>
          <w:color w:val="000000" w:themeColor="text1"/>
        </w:rPr>
        <w:t xml:space="preserve">secure </w:t>
      </w:r>
      <w:r w:rsidR="00A2599E" w:rsidRPr="006F5630">
        <w:rPr>
          <w:rFonts w:eastAsia="Calibri Light"/>
          <w:color w:val="000000" w:themeColor="text1"/>
        </w:rPr>
        <w:t>access to adequate housing. This includes people who</w:t>
      </w:r>
      <w:r w:rsidR="00BE3B13" w:rsidRPr="006F5630">
        <w:rPr>
          <w:rFonts w:eastAsia="Calibri Light"/>
          <w:color w:val="000000" w:themeColor="text1"/>
        </w:rPr>
        <w:t>:</w:t>
      </w:r>
      <w:r w:rsidR="00A2599E" w:rsidRPr="006F5630">
        <w:rPr>
          <w:rFonts w:eastAsia="Calibri Light"/>
          <w:color w:val="000000" w:themeColor="text1"/>
        </w:rPr>
        <w:t xml:space="preserve"> are </w:t>
      </w:r>
      <w:r w:rsidR="00FA2DC4" w:rsidRPr="006F5630">
        <w:rPr>
          <w:rFonts w:eastAsia="Calibri Light"/>
          <w:color w:val="000000" w:themeColor="text1"/>
        </w:rPr>
        <w:t>not in a</w:t>
      </w:r>
      <w:r w:rsidR="00733B32" w:rsidRPr="006F5630">
        <w:rPr>
          <w:rFonts w:eastAsia="Calibri Light"/>
          <w:color w:val="000000" w:themeColor="text1"/>
        </w:rPr>
        <w:t xml:space="preserve"> dwelling</w:t>
      </w:r>
      <w:r w:rsidR="00A2599E" w:rsidRPr="006F5630">
        <w:rPr>
          <w:rFonts w:eastAsia="Calibri Light"/>
          <w:color w:val="000000" w:themeColor="text1"/>
        </w:rPr>
        <w:t xml:space="preserve">, in </w:t>
      </w:r>
      <w:r w:rsidR="00A2599E" w:rsidRPr="006F5630">
        <w:rPr>
          <w:rFonts w:eastAsia="Calibri Light"/>
        </w:rPr>
        <w:t xml:space="preserve">a dwelling that </w:t>
      </w:r>
      <w:r w:rsidR="00FA2DC4" w:rsidRPr="006F5630">
        <w:rPr>
          <w:rFonts w:eastAsia="Calibri Light"/>
        </w:rPr>
        <w:t xml:space="preserve">is </w:t>
      </w:r>
      <w:r w:rsidR="00CD6B97" w:rsidRPr="006F5630">
        <w:rPr>
          <w:rFonts w:eastAsia="Calibri Light"/>
        </w:rPr>
        <w:t>not adequate</w:t>
      </w:r>
      <w:r w:rsidR="00EC5381" w:rsidRPr="006F5630">
        <w:rPr>
          <w:rFonts w:eastAsia="Calibri Light"/>
        </w:rPr>
        <w:t xml:space="preserve"> or </w:t>
      </w:r>
      <w:r w:rsidR="00A2599E" w:rsidRPr="006F5630">
        <w:rPr>
          <w:rFonts w:eastAsia="Calibri Light"/>
        </w:rPr>
        <w:t>has uncertain tenure</w:t>
      </w:r>
      <w:r w:rsidR="00290130" w:rsidRPr="006F5630">
        <w:rPr>
          <w:rFonts w:eastAsia="Calibri Light"/>
          <w:color w:val="000000" w:themeColor="text1"/>
        </w:rPr>
        <w:t>,</w:t>
      </w:r>
      <w:r w:rsidR="00A2599E" w:rsidRPr="006F5630">
        <w:rPr>
          <w:rFonts w:eastAsia="Calibri Light"/>
          <w:color w:val="000000" w:themeColor="text1"/>
        </w:rPr>
        <w:t xml:space="preserve"> living in a house that is </w:t>
      </w:r>
      <w:r w:rsidR="00733B32" w:rsidRPr="006F5630">
        <w:rPr>
          <w:rFonts w:eastAsia="Calibri Light"/>
          <w:color w:val="000000" w:themeColor="text1"/>
        </w:rPr>
        <w:t xml:space="preserve">severely </w:t>
      </w:r>
      <w:r w:rsidR="00A2599E" w:rsidRPr="006F5630">
        <w:rPr>
          <w:rFonts w:eastAsia="Calibri Light"/>
          <w:color w:val="000000" w:themeColor="text1"/>
        </w:rPr>
        <w:t>crowded</w:t>
      </w:r>
      <w:r w:rsidR="00733B32" w:rsidRPr="006F5630">
        <w:rPr>
          <w:rFonts w:eastAsia="Calibri Light"/>
          <w:color w:val="000000" w:themeColor="text1"/>
        </w:rPr>
        <w:t>,</w:t>
      </w:r>
      <w:r w:rsidR="00A2599E" w:rsidRPr="006F5630">
        <w:rPr>
          <w:rFonts w:eastAsia="Calibri Light"/>
          <w:color w:val="000000" w:themeColor="text1"/>
        </w:rPr>
        <w:t xml:space="preserve"> or living in temporary lodging.</w:t>
      </w:r>
      <w:r w:rsidR="00A2599E" w:rsidRPr="005049F1">
        <w:rPr>
          <w:rStyle w:val="FootnoteReference"/>
          <w:rFonts w:eastAsia="Calibri Light"/>
        </w:rPr>
        <w:endnoteReference w:id="39"/>
      </w:r>
      <w:r w:rsidR="00A2599E" w:rsidRPr="009764EE">
        <w:rPr>
          <w:rFonts w:ascii="Calibri" w:eastAsia="Calibri Light" w:hAnsi="Calibri" w:cs="Calibri"/>
          <w:color w:val="000000" w:themeColor="text1"/>
        </w:rPr>
        <w:t xml:space="preserve"> </w:t>
      </w:r>
    </w:p>
    <w:p w14:paraId="454D7D2B" w14:textId="40A68BE0" w:rsidR="007305FF" w:rsidRPr="009764EE" w:rsidRDefault="007305FF" w:rsidP="00234CE9">
      <w:r w:rsidRPr="009764EE">
        <w:t xml:space="preserve">There has been little change in </w:t>
      </w:r>
      <w:r w:rsidR="008B2F85" w:rsidRPr="009764EE">
        <w:t>the</w:t>
      </w:r>
      <w:r w:rsidRPr="009764EE">
        <w:t xml:space="preserve"> </w:t>
      </w:r>
      <w:r w:rsidR="003655A3" w:rsidRPr="009764EE">
        <w:t xml:space="preserve">rate of </w:t>
      </w:r>
      <w:r w:rsidRPr="009764EE">
        <w:t xml:space="preserve">homelessness in Australia </w:t>
      </w:r>
      <w:r w:rsidR="00B91CF2" w:rsidRPr="009764EE">
        <w:t>since 2006</w:t>
      </w:r>
      <w:r w:rsidRPr="009764EE">
        <w:t>. The</w:t>
      </w:r>
      <w:r w:rsidR="00F01939">
        <w:t> </w:t>
      </w:r>
      <w:r w:rsidRPr="009764EE">
        <w:t>homelessness rate in 2006 was 45 per 10,000</w:t>
      </w:r>
      <w:r w:rsidR="00F01939">
        <w:t> </w:t>
      </w:r>
      <w:r w:rsidRPr="009764EE">
        <w:t>people compared to 48 per 10,000</w:t>
      </w:r>
      <w:r w:rsidR="00F01939">
        <w:t> </w:t>
      </w:r>
      <w:r w:rsidRPr="009764EE">
        <w:t xml:space="preserve">people in 2021. Both </w:t>
      </w:r>
      <w:r w:rsidR="0085549D" w:rsidRPr="009764EE">
        <w:t>youth</w:t>
      </w:r>
      <w:r w:rsidRPr="009764EE">
        <w:t xml:space="preserve"> </w:t>
      </w:r>
      <w:r w:rsidR="00C44FE9" w:rsidRPr="009764EE">
        <w:t xml:space="preserve">aged </w:t>
      </w:r>
      <w:r w:rsidRPr="009764EE">
        <w:t>12</w:t>
      </w:r>
      <w:r w:rsidR="00F01939">
        <w:t>‍</w:t>
      </w:r>
      <w:r w:rsidR="00151999">
        <w:t>–</w:t>
      </w:r>
      <w:r w:rsidR="00F01939">
        <w:t>‍</w:t>
      </w:r>
      <w:r w:rsidRPr="009764EE">
        <w:t>24</w:t>
      </w:r>
      <w:r w:rsidR="00C239AD">
        <w:t> year</w:t>
      </w:r>
      <w:r w:rsidRPr="009764EE">
        <w:t xml:space="preserve">s and </w:t>
      </w:r>
      <w:r w:rsidR="001524A0">
        <w:t>First Nation</w:t>
      </w:r>
      <w:r w:rsidRPr="009764EE">
        <w:t xml:space="preserve">s people have a higher rate of homelessness compared to the </w:t>
      </w:r>
      <w:r w:rsidR="005135A6" w:rsidRPr="009764EE">
        <w:t>national average</w:t>
      </w:r>
      <w:r w:rsidRPr="009764EE">
        <w:t>.</w:t>
      </w:r>
    </w:p>
    <w:p w14:paraId="6244A8AA" w14:textId="60BBFF1F" w:rsidR="00DA5A95" w:rsidRPr="009764EE" w:rsidRDefault="007305FF" w:rsidP="0049712D">
      <w:r w:rsidRPr="009764EE">
        <w:t>The most common form of homelessness is living in severely crowded dwellings</w:t>
      </w:r>
      <w:r w:rsidR="001524A0">
        <w:t xml:space="preserve"> – </w:t>
      </w:r>
      <w:r w:rsidRPr="009764EE">
        <w:t>with nearly two in five (39</w:t>
      </w:r>
      <w:r w:rsidR="001524A0">
        <w:t> per c</w:t>
      </w:r>
      <w:r w:rsidRPr="009764EE">
        <w:t>ent) people experiencing homelessness in 2021 living in these conditions. 52</w:t>
      </w:r>
      <w:r w:rsidR="001524A0">
        <w:t> per c</w:t>
      </w:r>
      <w:r w:rsidRPr="009764EE">
        <w:t xml:space="preserve">ent of </w:t>
      </w:r>
      <w:r w:rsidR="004717A0" w:rsidRPr="009764EE">
        <w:t>men</w:t>
      </w:r>
      <w:r w:rsidRPr="009764EE">
        <w:t xml:space="preserve"> and 49</w:t>
      </w:r>
      <w:r w:rsidR="001524A0">
        <w:t> per c</w:t>
      </w:r>
      <w:r w:rsidRPr="009764EE">
        <w:t xml:space="preserve">ent of </w:t>
      </w:r>
      <w:r w:rsidR="004717A0" w:rsidRPr="009764EE">
        <w:t>women</w:t>
      </w:r>
      <w:r w:rsidRPr="009764EE">
        <w:t xml:space="preserve"> aged 12</w:t>
      </w:r>
      <w:r w:rsidR="001524A0">
        <w:t>‍–‍</w:t>
      </w:r>
      <w:r w:rsidRPr="009764EE">
        <w:t>24</w:t>
      </w:r>
      <w:r w:rsidR="00C239AD">
        <w:t> year</w:t>
      </w:r>
      <w:r w:rsidRPr="009764EE">
        <w:t>s</w:t>
      </w:r>
      <w:r w:rsidR="00F23680" w:rsidRPr="009764EE">
        <w:t xml:space="preserve"> who experience homelessness</w:t>
      </w:r>
      <w:r w:rsidR="006B0DA4">
        <w:t xml:space="preserve"> </w:t>
      </w:r>
      <w:r w:rsidRPr="009764EE">
        <w:t>liv</w:t>
      </w:r>
      <w:r w:rsidR="00F23680" w:rsidRPr="009764EE">
        <w:t>e</w:t>
      </w:r>
      <w:r w:rsidRPr="009764EE">
        <w:t xml:space="preserve"> in severely crowded dwellings.</w:t>
      </w:r>
      <w:bookmarkStart w:id="62" w:name="_Ref140502978"/>
      <w:r w:rsidR="00546EE3" w:rsidRPr="005049F1">
        <w:rPr>
          <w:rStyle w:val="FootnoteReference"/>
        </w:rPr>
        <w:endnoteReference w:id="40"/>
      </w:r>
      <w:bookmarkEnd w:id="62"/>
      <w:r w:rsidR="00962A4A" w:rsidRPr="009764EE">
        <w:t xml:space="preserve"> </w:t>
      </w:r>
    </w:p>
    <w:p w14:paraId="2D6B0670" w14:textId="22AFC73C" w:rsidR="00EB46AF" w:rsidRPr="009764EE" w:rsidRDefault="00D8668C" w:rsidP="0049712D">
      <w:pPr>
        <w:rPr>
          <w:lang w:val="en-GB"/>
        </w:rPr>
      </w:pPr>
      <w:r w:rsidRPr="009764EE">
        <w:t xml:space="preserve">The National Agreement </w:t>
      </w:r>
      <w:r w:rsidR="008A1383" w:rsidRPr="009764EE">
        <w:t xml:space="preserve">on Closing the Gap </w:t>
      </w:r>
      <w:r w:rsidRPr="009764EE">
        <w:t xml:space="preserve">recognises </w:t>
      </w:r>
      <w:r w:rsidR="00A81695" w:rsidRPr="009764EE">
        <w:t xml:space="preserve">the importance of </w:t>
      </w:r>
      <w:r w:rsidR="00C87D4C" w:rsidRPr="009764EE">
        <w:t>secure</w:t>
      </w:r>
      <w:r w:rsidR="00A81695" w:rsidRPr="009764EE">
        <w:t>,</w:t>
      </w:r>
      <w:r w:rsidR="00C87D4C" w:rsidRPr="009764EE">
        <w:t xml:space="preserve"> appropriate</w:t>
      </w:r>
      <w:r w:rsidR="00A81695" w:rsidRPr="009764EE">
        <w:t xml:space="preserve"> and</w:t>
      </w:r>
      <w:r w:rsidR="00C87D4C" w:rsidRPr="009764EE">
        <w:t xml:space="preserve"> affordable housing that is aligned with </w:t>
      </w:r>
      <w:r w:rsidR="001524A0">
        <w:t>First Nation</w:t>
      </w:r>
      <w:r w:rsidR="001E6400" w:rsidRPr="009764EE">
        <w:t>s people</w:t>
      </w:r>
      <w:r w:rsidR="00135DEA">
        <w:t>’</w:t>
      </w:r>
      <w:r w:rsidR="001E6400" w:rsidRPr="009764EE">
        <w:t>s</w:t>
      </w:r>
      <w:r w:rsidR="00C87D4C" w:rsidRPr="009764EE">
        <w:t xml:space="preserve"> priorities and need</w:t>
      </w:r>
      <w:r w:rsidR="00775C60" w:rsidRPr="009764EE">
        <w:t>s</w:t>
      </w:r>
      <w:r w:rsidR="00A81695" w:rsidRPr="009764EE">
        <w:t>. I</w:t>
      </w:r>
      <w:r w:rsidR="00962A4A" w:rsidRPr="009764EE">
        <w:t>n 2021, 81.4</w:t>
      </w:r>
      <w:r w:rsidR="001524A0">
        <w:t> per c</w:t>
      </w:r>
      <w:r w:rsidR="00962A4A" w:rsidRPr="009764EE">
        <w:t xml:space="preserve">ent of Aboriginal and </w:t>
      </w:r>
      <w:r w:rsidR="001524A0">
        <w:t>Torres Strait</w:t>
      </w:r>
      <w:r w:rsidR="00962A4A" w:rsidRPr="009764EE">
        <w:t xml:space="preserve"> Islander people were living in appropriately sized (not overcrowded) housing</w:t>
      </w:r>
      <w:r w:rsidR="001524A0">
        <w:t xml:space="preserve"> – </w:t>
      </w:r>
      <w:r w:rsidR="006B0DA4">
        <w:t>t</w:t>
      </w:r>
      <w:r w:rsidR="00962A4A" w:rsidRPr="009764EE">
        <w:t xml:space="preserve">his </w:t>
      </w:r>
      <w:r w:rsidR="00A81695" w:rsidRPr="009764EE">
        <w:t>wa</w:t>
      </w:r>
      <w:r w:rsidR="00962A4A" w:rsidRPr="009764EE">
        <w:t>s an increase from 78.9</w:t>
      </w:r>
      <w:r w:rsidR="001524A0">
        <w:t> per c</w:t>
      </w:r>
      <w:r w:rsidR="00962A4A" w:rsidRPr="009764EE">
        <w:t>ent in 2016</w:t>
      </w:r>
      <w:r w:rsidR="00962A4A" w:rsidRPr="009764EE" w:rsidDel="00537ABD">
        <w:t>.</w:t>
      </w:r>
      <w:r w:rsidR="008A1E01" w:rsidRPr="005049F1">
        <w:rPr>
          <w:rStyle w:val="FootnoteReference"/>
        </w:rPr>
        <w:endnoteReference w:id="41"/>
      </w:r>
      <w:r w:rsidR="008A1E01" w:rsidRPr="009764EE">
        <w:rPr>
          <w:sz w:val="24"/>
          <w:szCs w:val="24"/>
        </w:rPr>
        <w:t xml:space="preserve"> </w:t>
      </w:r>
    </w:p>
    <w:p w14:paraId="2D843E3B" w14:textId="372C0A39" w:rsidR="00F46303" w:rsidRPr="009764EE" w:rsidRDefault="007305FF" w:rsidP="00964778">
      <w:pPr>
        <w:pStyle w:val="Heading3"/>
        <w:rPr>
          <w:rFonts w:cs="Calibri"/>
          <w:szCs w:val="24"/>
        </w:rPr>
      </w:pPr>
      <w:r w:rsidRPr="009764EE">
        <w:rPr>
          <w:rFonts w:cs="Calibri"/>
        </w:rPr>
        <w:t xml:space="preserve">Housing Serviceability </w:t>
      </w:r>
    </w:p>
    <w:p w14:paraId="0DE095AB" w14:textId="3AA4B2A3" w:rsidR="00CE54E1" w:rsidRPr="009764EE" w:rsidRDefault="00D73A51" w:rsidP="00964778">
      <w:pPr>
        <w:rPr>
          <w:lang w:val="en-GB"/>
        </w:rPr>
      </w:pPr>
      <w:r w:rsidRPr="009764EE">
        <w:rPr>
          <w:lang w:val="en-GB"/>
        </w:rPr>
        <w:t xml:space="preserve">Beyond homelessness, we have other ways of measuring housing stress, including serviceability. </w:t>
      </w:r>
    </w:p>
    <w:p w14:paraId="11D04A3D" w14:textId="77EFBCBA" w:rsidR="007305FF" w:rsidRPr="009764EE" w:rsidRDefault="007305FF" w:rsidP="00964778">
      <w:r w:rsidRPr="009764EE">
        <w:t xml:space="preserve">Measuring housing serviceability is not straightforward since Australians rent, buy or access housing </w:t>
      </w:r>
      <w:r w:rsidR="00870632" w:rsidRPr="009764EE">
        <w:t xml:space="preserve">in </w:t>
      </w:r>
      <w:r w:rsidRPr="009764EE">
        <w:t>a variety of ways. The</w:t>
      </w:r>
      <w:r w:rsidR="00BD03E0">
        <w:t> </w:t>
      </w:r>
      <w:r w:rsidRPr="009764EE">
        <w:t xml:space="preserve">simplest and most </w:t>
      </w:r>
      <w:r w:rsidR="00C05796" w:rsidRPr="009764EE">
        <w:t xml:space="preserve">common </w:t>
      </w:r>
      <w:r w:rsidRPr="009764EE">
        <w:t xml:space="preserve">measure of housing stress refers to the relationship </w:t>
      </w:r>
      <w:r w:rsidRPr="009764EE">
        <w:t>between housing costs</w:t>
      </w:r>
      <w:r w:rsidR="001524A0">
        <w:t xml:space="preserve"> – </w:t>
      </w:r>
      <w:r w:rsidR="006B0DA4">
        <w:t>t</w:t>
      </w:r>
      <w:r w:rsidR="006B0DA4" w:rsidRPr="009764EE">
        <w:t>hat</w:t>
      </w:r>
      <w:r w:rsidRPr="009764EE">
        <w:t xml:space="preserve"> is, the prices of rent or mortgage payments</w:t>
      </w:r>
      <w:r w:rsidR="001524A0">
        <w:t xml:space="preserve"> – </w:t>
      </w:r>
      <w:r w:rsidRPr="009764EE">
        <w:t xml:space="preserve">and household incomes. </w:t>
      </w:r>
    </w:p>
    <w:p w14:paraId="31368FED" w14:textId="29502B60" w:rsidR="00F0567C" w:rsidRPr="009764EE" w:rsidRDefault="007305FF" w:rsidP="00964778">
      <w:r w:rsidRPr="009764EE">
        <w:t xml:space="preserve">In the past two decades, </w:t>
      </w:r>
      <w:r w:rsidR="008E7B09" w:rsidRPr="009764EE">
        <w:t xml:space="preserve">real </w:t>
      </w:r>
      <w:r w:rsidR="0018724E" w:rsidRPr="009764EE">
        <w:t>absolute</w:t>
      </w:r>
      <w:r w:rsidR="008E7B09" w:rsidRPr="009764EE">
        <w:t xml:space="preserve"> </w:t>
      </w:r>
      <w:r w:rsidRPr="009764EE">
        <w:t>housing costs have increased for all tenure type</w:t>
      </w:r>
      <w:r w:rsidR="002C2882" w:rsidRPr="009764EE">
        <w:t>s</w:t>
      </w:r>
      <w:r w:rsidR="00174B4B" w:rsidRPr="009764EE">
        <w:t xml:space="preserve">. </w:t>
      </w:r>
      <w:r w:rsidR="00D72B7B" w:rsidRPr="009764EE">
        <w:t>The</w:t>
      </w:r>
      <w:r w:rsidR="00BD03E0">
        <w:t> </w:t>
      </w:r>
      <w:r w:rsidR="0060684F" w:rsidRPr="009764EE">
        <w:t xml:space="preserve">most recent ABS release </w:t>
      </w:r>
      <w:r w:rsidR="00F82AB0" w:rsidRPr="009764EE">
        <w:t>(2019</w:t>
      </w:r>
      <w:r w:rsidR="00207B01">
        <w:softHyphen/>
      </w:r>
      <w:r w:rsidR="00151999">
        <w:t>–</w:t>
      </w:r>
      <w:r w:rsidR="00F82AB0" w:rsidRPr="009764EE">
        <w:t xml:space="preserve">20) </w:t>
      </w:r>
      <w:r w:rsidR="0060684F" w:rsidRPr="009764EE">
        <w:t>on housing</w:t>
      </w:r>
      <w:r w:rsidR="007B39C1" w:rsidRPr="009764EE">
        <w:t xml:space="preserve"> is some years old</w:t>
      </w:r>
      <w:r w:rsidR="00D72B7B" w:rsidRPr="009764EE">
        <w:t>.</w:t>
      </w:r>
      <w:r w:rsidR="00DD6437" w:rsidRPr="009764EE">
        <w:t xml:space="preserve"> In it</w:t>
      </w:r>
      <w:r w:rsidR="0060684F" w:rsidRPr="009764EE">
        <w:t xml:space="preserve">, the </w:t>
      </w:r>
      <w:r w:rsidR="00861278" w:rsidRPr="009764EE">
        <w:t xml:space="preserve">average </w:t>
      </w:r>
      <w:r w:rsidRPr="009764EE">
        <w:t>weekly costs for housing were $379 for renters</w:t>
      </w:r>
      <w:r w:rsidR="007E1122" w:rsidRPr="009764EE">
        <w:t xml:space="preserve"> and</w:t>
      </w:r>
      <w:r w:rsidR="00A72574" w:rsidRPr="009764EE">
        <w:t xml:space="preserve"> </w:t>
      </w:r>
      <w:r w:rsidRPr="009764EE">
        <w:t>$493 for owners with a mortgage.</w:t>
      </w:r>
      <w:r w:rsidRPr="005049F1">
        <w:rPr>
          <w:rStyle w:val="FootnoteReference"/>
        </w:rPr>
        <w:endnoteReference w:id="42"/>
      </w:r>
      <w:r w:rsidRPr="009764EE">
        <w:t xml:space="preserve"> </w:t>
      </w:r>
    </w:p>
    <w:p w14:paraId="54835984" w14:textId="163FC8D0" w:rsidR="000A4B84" w:rsidRPr="009764EE" w:rsidRDefault="0060684F" w:rsidP="00964778">
      <w:r w:rsidRPr="009764EE">
        <w:t xml:space="preserve">However, </w:t>
      </w:r>
      <w:r w:rsidR="00E73C70" w:rsidRPr="009764EE">
        <w:t>since the COVID</w:t>
      </w:r>
      <w:r w:rsidR="00135DEA">
        <w:noBreakHyphen/>
      </w:r>
      <w:r w:rsidR="00E73C70" w:rsidRPr="009764EE">
        <w:t>19 pandemic, there has been a</w:t>
      </w:r>
      <w:r w:rsidR="00C81368" w:rsidRPr="009764EE">
        <w:t xml:space="preserve"> marked increase </w:t>
      </w:r>
      <w:r w:rsidR="00572042" w:rsidRPr="009764EE">
        <w:t>in housing costs across the board</w:t>
      </w:r>
      <w:r w:rsidR="00B70452" w:rsidRPr="009764EE">
        <w:t xml:space="preserve"> that is not captured in </w:t>
      </w:r>
      <w:r w:rsidR="00783A98" w:rsidRPr="009764EE">
        <w:t xml:space="preserve">the </w:t>
      </w:r>
      <w:r w:rsidR="00B70452" w:rsidRPr="009764EE">
        <w:t xml:space="preserve">ABS </w:t>
      </w:r>
      <w:r w:rsidR="00467533" w:rsidRPr="009764EE">
        <w:t>release</w:t>
      </w:r>
      <w:r w:rsidR="00B70452" w:rsidRPr="009764EE">
        <w:t xml:space="preserve">. The </w:t>
      </w:r>
      <w:r w:rsidR="007D62AB" w:rsidRPr="009764EE">
        <w:t>medi</w:t>
      </w:r>
      <w:r w:rsidR="00D008DB" w:rsidRPr="009764EE">
        <w:t xml:space="preserve">an weekly cost for rent </w:t>
      </w:r>
      <w:r w:rsidR="00E73122" w:rsidRPr="009764EE">
        <w:t xml:space="preserve">in </w:t>
      </w:r>
      <w:r w:rsidR="003D5E66" w:rsidRPr="009764EE">
        <w:t>June</w:t>
      </w:r>
      <w:r w:rsidR="00BD03E0">
        <w:t> </w:t>
      </w:r>
      <w:r w:rsidR="00E73122" w:rsidRPr="009764EE">
        <w:t>2023</w:t>
      </w:r>
      <w:r w:rsidR="001524A0">
        <w:t xml:space="preserve"> – </w:t>
      </w:r>
      <w:r w:rsidR="00A6285D" w:rsidRPr="009764EE">
        <w:t>according to CoreLogic data</w:t>
      </w:r>
      <w:r w:rsidR="001524A0">
        <w:t xml:space="preserve"> – </w:t>
      </w:r>
      <w:r w:rsidR="00AA070D" w:rsidRPr="009764EE">
        <w:t xml:space="preserve">was </w:t>
      </w:r>
      <w:r w:rsidR="00D008DB" w:rsidRPr="009764EE">
        <w:t>$5</w:t>
      </w:r>
      <w:r w:rsidR="003D5E66" w:rsidRPr="009764EE">
        <w:t>89</w:t>
      </w:r>
      <w:r w:rsidR="009E0276" w:rsidRPr="009764EE">
        <w:t xml:space="preserve">, while </w:t>
      </w:r>
      <w:r w:rsidR="00133731" w:rsidRPr="009764EE">
        <w:t xml:space="preserve">housing costs for </w:t>
      </w:r>
      <w:r w:rsidR="00B0107A" w:rsidRPr="009764EE">
        <w:t>many households</w:t>
      </w:r>
      <w:r w:rsidR="00133731" w:rsidRPr="009764EE">
        <w:t xml:space="preserve"> with a mortgage </w:t>
      </w:r>
      <w:r w:rsidR="00B91E86" w:rsidRPr="009764EE">
        <w:t xml:space="preserve">have been affected by </w:t>
      </w:r>
      <w:r w:rsidR="0077622F" w:rsidRPr="009764EE">
        <w:t xml:space="preserve">the </w:t>
      </w:r>
      <w:r w:rsidR="000A7797" w:rsidRPr="009764EE">
        <w:t xml:space="preserve">current </w:t>
      </w:r>
      <w:r w:rsidR="00B0107A" w:rsidRPr="009764EE">
        <w:t>interest rate</w:t>
      </w:r>
      <w:r w:rsidR="000A7797" w:rsidRPr="009764EE">
        <w:t xml:space="preserve"> tightening cycle.</w:t>
      </w:r>
      <w:r w:rsidR="006E19A9" w:rsidRPr="005049F1">
        <w:rPr>
          <w:rStyle w:val="FootnoteReference"/>
        </w:rPr>
        <w:endnoteReference w:id="43"/>
      </w:r>
      <w:r w:rsidR="005F6F13" w:rsidRPr="009764EE">
        <w:rPr>
          <w:rFonts w:ascii="Calibri" w:hAnsi="Calibri" w:cs="Calibri"/>
        </w:rPr>
        <w:t xml:space="preserve"> </w:t>
      </w:r>
    </w:p>
    <w:p w14:paraId="2B245D20" w14:textId="1D8E64E0" w:rsidR="007305FF" w:rsidRPr="009764EE" w:rsidRDefault="007305FF" w:rsidP="00964778">
      <w:r w:rsidRPr="009764EE">
        <w:t>In 2019</w:t>
      </w:r>
      <w:r w:rsidR="00151999">
        <w:t>–</w:t>
      </w:r>
      <w:r w:rsidRPr="009764EE">
        <w:t xml:space="preserve">20, the share of </w:t>
      </w:r>
      <w:r w:rsidR="0064007B" w:rsidRPr="009764EE">
        <w:t>gross</w:t>
      </w:r>
      <w:r w:rsidRPr="009764EE">
        <w:t xml:space="preserve"> household income spent on housing was around 20.2</w:t>
      </w:r>
      <w:r w:rsidR="001524A0">
        <w:t> per c</w:t>
      </w:r>
      <w:r w:rsidRPr="009764EE">
        <w:t xml:space="preserve">ent for </w:t>
      </w:r>
      <w:r w:rsidR="00970DED" w:rsidRPr="009764EE">
        <w:t xml:space="preserve">private </w:t>
      </w:r>
      <w:r w:rsidRPr="009764EE">
        <w:t xml:space="preserve">renters, </w:t>
      </w:r>
      <w:r w:rsidR="00054618" w:rsidRPr="009764EE">
        <w:t>19.5</w:t>
      </w:r>
      <w:r w:rsidR="001524A0">
        <w:t> per c</w:t>
      </w:r>
      <w:r w:rsidR="00054618" w:rsidRPr="009764EE">
        <w:t xml:space="preserve">ent for renters from a housing authority and </w:t>
      </w:r>
      <w:r w:rsidRPr="009764EE">
        <w:t>15.5</w:t>
      </w:r>
      <w:r w:rsidR="001524A0">
        <w:t> per c</w:t>
      </w:r>
      <w:r w:rsidRPr="009764EE">
        <w:t>ent for owners with a mortgage.</w:t>
      </w:r>
      <w:r w:rsidR="0052635A" w:rsidRPr="009764EE">
        <w:t xml:space="preserve"> </w:t>
      </w:r>
      <w:r w:rsidR="00A552E7" w:rsidRPr="009764EE">
        <w:t>In</w:t>
      </w:r>
      <w:r w:rsidR="00BD03E0">
        <w:t> </w:t>
      </w:r>
      <w:r w:rsidR="00A552E7" w:rsidRPr="009764EE">
        <w:t>that year a</w:t>
      </w:r>
      <w:r w:rsidR="00B7759B" w:rsidRPr="009764EE">
        <w:t>round a third of Australian households either rent</w:t>
      </w:r>
      <w:r w:rsidR="00972B1E" w:rsidRPr="009764EE">
        <w:t>ed</w:t>
      </w:r>
      <w:r w:rsidR="00B7759B" w:rsidRPr="009764EE">
        <w:t xml:space="preserve"> (31</w:t>
      </w:r>
      <w:r w:rsidR="007A0F70" w:rsidRPr="009764EE">
        <w:t>.4</w:t>
      </w:r>
      <w:r w:rsidR="001524A0">
        <w:t> per c</w:t>
      </w:r>
      <w:r w:rsidR="00B7759B" w:rsidRPr="009764EE">
        <w:t>ent), owned their home outright (</w:t>
      </w:r>
      <w:r w:rsidR="009566DE" w:rsidRPr="009764EE">
        <w:t>29.5</w:t>
      </w:r>
      <w:r w:rsidR="001524A0">
        <w:t> per c</w:t>
      </w:r>
      <w:r w:rsidR="00B7759B" w:rsidRPr="009764EE">
        <w:t xml:space="preserve">ent) </w:t>
      </w:r>
      <w:r w:rsidR="00F36BE2" w:rsidRPr="009764EE">
        <w:t>or</w:t>
      </w:r>
      <w:r w:rsidR="00B7759B" w:rsidRPr="009764EE">
        <w:t xml:space="preserve"> </w:t>
      </w:r>
      <w:r w:rsidR="00972B1E" w:rsidRPr="009764EE">
        <w:t xml:space="preserve">were </w:t>
      </w:r>
      <w:r w:rsidR="00B7759B" w:rsidRPr="009764EE">
        <w:t>homeowners with mortgages</w:t>
      </w:r>
      <w:r w:rsidR="00746B6C" w:rsidRPr="009764EE">
        <w:t xml:space="preserve"> (36.8</w:t>
      </w:r>
      <w:r w:rsidR="001524A0">
        <w:t> per c</w:t>
      </w:r>
      <w:r w:rsidR="00746B6C" w:rsidRPr="009764EE">
        <w:t>ent)</w:t>
      </w:r>
      <w:r w:rsidR="00B7759B" w:rsidRPr="009764EE">
        <w:t xml:space="preserve">. </w:t>
      </w:r>
    </w:p>
    <w:p w14:paraId="15856131" w14:textId="07AF6056" w:rsidR="001B3609" w:rsidRPr="009764EE" w:rsidRDefault="007305FF" w:rsidP="00964778">
      <w:r w:rsidRPr="009764EE">
        <w:t xml:space="preserve">These </w:t>
      </w:r>
      <w:r w:rsidR="00027CC2" w:rsidRPr="009764EE">
        <w:t>cost</w:t>
      </w:r>
      <w:r w:rsidR="00135DEA">
        <w:noBreakHyphen/>
      </w:r>
      <w:r w:rsidR="00027CC2" w:rsidRPr="009764EE">
        <w:t>to</w:t>
      </w:r>
      <w:r w:rsidR="00135DEA">
        <w:noBreakHyphen/>
      </w:r>
      <w:r w:rsidR="00027CC2" w:rsidRPr="009764EE">
        <w:t>income</w:t>
      </w:r>
      <w:r w:rsidRPr="009764EE">
        <w:t xml:space="preserve"> ratios have generally remained steady over the last several years prior to </w:t>
      </w:r>
      <w:r w:rsidR="00036459" w:rsidRPr="009764EE">
        <w:t xml:space="preserve">the </w:t>
      </w:r>
      <w:r w:rsidRPr="009764EE">
        <w:t>COVID</w:t>
      </w:r>
      <w:r w:rsidR="00135DEA">
        <w:noBreakHyphen/>
      </w:r>
      <w:r w:rsidRPr="009764EE">
        <w:t xml:space="preserve">19 pandemic. However, </w:t>
      </w:r>
      <w:r w:rsidR="00775E14" w:rsidRPr="009764EE">
        <w:t xml:space="preserve">these averages can mask incidence of </w:t>
      </w:r>
      <w:r w:rsidRPr="009764EE">
        <w:t xml:space="preserve">housing stress </w:t>
      </w:r>
      <w:r w:rsidR="00775E14" w:rsidRPr="009764EE">
        <w:t>across different groups of households or regions</w:t>
      </w:r>
      <w:r w:rsidR="00234AEB" w:rsidRPr="009764EE">
        <w:t>.</w:t>
      </w:r>
      <w:r w:rsidRPr="009764EE">
        <w:t xml:space="preserve"> </w:t>
      </w:r>
      <w:r w:rsidR="00214AE8" w:rsidRPr="009764EE">
        <w:t xml:space="preserve">For instance, </w:t>
      </w:r>
      <w:r w:rsidR="00976F5F" w:rsidRPr="009764EE">
        <w:t>nearly half (</w:t>
      </w:r>
      <w:r w:rsidR="0001739D" w:rsidRPr="009764EE">
        <w:t>46.7</w:t>
      </w:r>
      <w:r w:rsidR="001524A0">
        <w:t> per c</w:t>
      </w:r>
      <w:r w:rsidR="00214AE8" w:rsidRPr="009764EE">
        <w:t>ent</w:t>
      </w:r>
      <w:r w:rsidR="00096347" w:rsidRPr="009764EE">
        <w:t>)</w:t>
      </w:r>
      <w:r w:rsidR="00214AE8" w:rsidRPr="009764EE">
        <w:t xml:space="preserve"> of low</w:t>
      </w:r>
      <w:r w:rsidR="00135DEA">
        <w:noBreakHyphen/>
      </w:r>
      <w:r w:rsidR="00214AE8" w:rsidRPr="009764EE">
        <w:t>income earners who rent spend more than 30</w:t>
      </w:r>
      <w:r w:rsidR="001524A0">
        <w:t> per c</w:t>
      </w:r>
      <w:r w:rsidR="00214AE8" w:rsidRPr="009764EE">
        <w:t>ent of their weekly income on housing costs.</w:t>
      </w:r>
    </w:p>
    <w:p w14:paraId="0699578A" w14:textId="5872D53D" w:rsidR="00662485" w:rsidRDefault="006A045E" w:rsidP="00964778">
      <w:r w:rsidRPr="009764EE">
        <w:t>In 2019</w:t>
      </w:r>
      <w:r w:rsidR="00151999">
        <w:t>–</w:t>
      </w:r>
      <w:r w:rsidRPr="009764EE">
        <w:t>20, 17.4</w:t>
      </w:r>
      <w:r w:rsidR="001524A0">
        <w:t> per c</w:t>
      </w:r>
      <w:r w:rsidRPr="009764EE">
        <w:t xml:space="preserve">ent (or </w:t>
      </w:r>
      <w:r w:rsidR="002C0797" w:rsidRPr="009764EE">
        <w:t>618</w:t>
      </w:r>
      <w:r w:rsidRPr="009764EE">
        <w:t>,</w:t>
      </w:r>
      <w:r w:rsidR="002C0797" w:rsidRPr="009764EE">
        <w:t>400</w:t>
      </w:r>
      <w:r w:rsidRPr="009764EE">
        <w:t xml:space="preserve">) of Australian household homeowners </w:t>
      </w:r>
      <w:r w:rsidR="002C0797" w:rsidRPr="009764EE">
        <w:t xml:space="preserve">with mortgages </w:t>
      </w:r>
      <w:r w:rsidRPr="009764EE">
        <w:t>spent more than 30</w:t>
      </w:r>
      <w:r w:rsidR="001524A0">
        <w:t> per c</w:t>
      </w:r>
      <w:r w:rsidRPr="009764EE">
        <w:t xml:space="preserve">ent of their gross household income on </w:t>
      </w:r>
      <w:r w:rsidR="002C0797" w:rsidRPr="009764EE">
        <w:t>housing costs</w:t>
      </w:r>
      <w:r w:rsidRPr="009764EE">
        <w:t xml:space="preserve"> compared to only 2.8</w:t>
      </w:r>
      <w:r w:rsidR="001524A0">
        <w:t> per c</w:t>
      </w:r>
      <w:r w:rsidRPr="009764EE">
        <w:t xml:space="preserve">ent </w:t>
      </w:r>
      <w:r w:rsidR="00BA3D5B" w:rsidRPr="009764EE">
        <w:t xml:space="preserve">(or 79,800) </w:t>
      </w:r>
      <w:r w:rsidRPr="009764EE">
        <w:t>of homeowners without mortgages.</w:t>
      </w:r>
    </w:p>
    <w:p w14:paraId="79E65677" w14:textId="77777777" w:rsidR="00174EA2" w:rsidRDefault="00174EA2" w:rsidP="00964778">
      <w:pPr>
        <w:rPr>
          <w:rFonts w:ascii="Calibri" w:hAnsi="Calibri" w:cs="Calibri"/>
        </w:rPr>
      </w:pPr>
    </w:p>
    <w:p w14:paraId="6F6A974E" w14:textId="0521B9EC" w:rsidR="000768CA" w:rsidRDefault="000768CA" w:rsidP="00964778">
      <w:pPr>
        <w:rPr>
          <w:rFonts w:ascii="Calibri" w:hAnsi="Calibri" w:cs="Calibri"/>
        </w:rPr>
        <w:sectPr w:rsidR="000768CA" w:rsidSect="00DA302B">
          <w:endnotePr>
            <w:numFmt w:val="decimal"/>
          </w:endnotePr>
          <w:pgSz w:w="11906" w:h="16838" w:code="9"/>
          <w:pgMar w:top="1843" w:right="1418" w:bottom="1418" w:left="1418" w:header="851" w:footer="851" w:gutter="0"/>
          <w:cols w:num="2" w:space="567"/>
          <w:docGrid w:linePitch="360"/>
        </w:sectPr>
      </w:pPr>
    </w:p>
    <w:p w14:paraId="1163278F" w14:textId="44AE8BDA" w:rsidR="00E7472F" w:rsidRPr="00620078" w:rsidRDefault="00E7472F" w:rsidP="00620078">
      <w:pPr>
        <w:pStyle w:val="ChartMainHeading"/>
      </w:pPr>
      <w:r w:rsidRPr="00620078">
        <w:lastRenderedPageBreak/>
        <w:t xml:space="preserve">Chart </w:t>
      </w:r>
      <w:r w:rsidR="00742BF6" w:rsidRPr="00620078">
        <w:t>6</w:t>
      </w:r>
      <w:r w:rsidRPr="00620078">
        <w:t>: Housing costs as a proportion of household income</w:t>
      </w:r>
      <w:r w:rsidR="00FA565F" w:rsidRPr="00620078">
        <w:t>, 2019</w:t>
      </w:r>
      <w:r w:rsidR="00151999" w:rsidRPr="00620078">
        <w:t>–</w:t>
      </w:r>
      <w:r w:rsidR="00FA565F" w:rsidRPr="00620078">
        <w:t>20</w:t>
      </w:r>
    </w:p>
    <w:p w14:paraId="03A24A61" w14:textId="05D69D6E" w:rsidR="000C06DA" w:rsidRPr="009764EE" w:rsidRDefault="00877CC3" w:rsidP="000768CA">
      <w:pPr>
        <w:pStyle w:val="ChartGraphic"/>
      </w:pPr>
      <w:r>
        <w:rPr>
          <w:noProof/>
        </w:rPr>
        <w:drawing>
          <wp:inline distT="0" distB="0" distL="0" distR="0" wp14:anchorId="3D1E6544" wp14:editId="59466219">
            <wp:extent cx="5580000" cy="2004424"/>
            <wp:effectExtent l="0" t="0" r="1905" b="0"/>
            <wp:docPr id="40" name="Picture 40" descr="This chart shows the proportion of households with different tenures (owner with a mortgage, renter from a private landlord, renter from a state or territory housing authority) spending: more than 25% to 30%, more than 30% to 50% and more than 50% of their income on housing cos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chart shows the proportion of households with different tenures (owner with a mortgage, renter from a private landlord, renter from a state or territory housing authority) spending: more than 25% to 30%, more than 30% to 50% and more than 50% of their income on housing costs.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000" cy="2004424"/>
                    </a:xfrm>
                    <a:prstGeom prst="rect">
                      <a:avLst/>
                    </a:prstGeom>
                    <a:noFill/>
                    <a:ln>
                      <a:noFill/>
                    </a:ln>
                  </pic:spPr>
                </pic:pic>
              </a:graphicData>
            </a:graphic>
          </wp:inline>
        </w:drawing>
      </w:r>
    </w:p>
    <w:p w14:paraId="03CB5D51" w14:textId="58946F8D" w:rsidR="002C51F7" w:rsidRDefault="00E7472F" w:rsidP="000768CA">
      <w:pPr>
        <w:pStyle w:val="ChartorTableNote"/>
      </w:pPr>
      <w:r w:rsidRPr="003978D7">
        <w:t xml:space="preserve">Source: </w:t>
      </w:r>
      <w:r w:rsidR="00BD03E0">
        <w:tab/>
      </w:r>
      <w:r w:rsidRPr="003978D7">
        <w:t xml:space="preserve">ABS Survey of </w:t>
      </w:r>
      <w:r w:rsidR="0040353C" w:rsidRPr="003978D7">
        <w:t>I</w:t>
      </w:r>
      <w:r w:rsidRPr="003978D7">
        <w:t xml:space="preserve">ncome and </w:t>
      </w:r>
      <w:r w:rsidR="005838C1" w:rsidRPr="003978D7">
        <w:t>h</w:t>
      </w:r>
      <w:r w:rsidRPr="003978D7">
        <w:t>ousing</w:t>
      </w:r>
      <w:r w:rsidR="00FE46B4" w:rsidRPr="003978D7">
        <w:t xml:space="preserve"> </w:t>
      </w:r>
      <w:r w:rsidR="00FE46B4" w:rsidRPr="000768CA">
        <w:t>2019</w:t>
      </w:r>
      <w:r w:rsidR="00151999">
        <w:t>–</w:t>
      </w:r>
      <w:r w:rsidR="00FE46B4" w:rsidRPr="003978D7">
        <w:t>20</w:t>
      </w:r>
      <w:r w:rsidR="00A51DD7" w:rsidRPr="003978D7">
        <w:t>.</w:t>
      </w:r>
    </w:p>
    <w:p w14:paraId="7667A7B8" w14:textId="64595D6A" w:rsidR="00E7472F" w:rsidRDefault="00DB62F7" w:rsidP="000768CA">
      <w:pPr>
        <w:pStyle w:val="ChartorTableNote"/>
      </w:pPr>
      <w:r w:rsidRPr="003978D7">
        <w:t xml:space="preserve">Note: </w:t>
      </w:r>
      <w:r w:rsidR="00BD03E0">
        <w:tab/>
      </w:r>
      <w:r w:rsidR="00DD309B" w:rsidRPr="003978D7">
        <w:t>C</w:t>
      </w:r>
      <w:r w:rsidRPr="003978D7">
        <w:t xml:space="preserve">aution </w:t>
      </w:r>
      <w:r w:rsidR="00534B77" w:rsidRPr="003978D7">
        <w:t xml:space="preserve">should be taken </w:t>
      </w:r>
      <w:r w:rsidRPr="003978D7">
        <w:t>when using the more than 50</w:t>
      </w:r>
      <w:r w:rsidR="001524A0">
        <w:t> per c</w:t>
      </w:r>
      <w:r w:rsidR="00F149E8" w:rsidRPr="003978D7">
        <w:t>ent</w:t>
      </w:r>
      <w:r w:rsidRPr="003978D7">
        <w:t xml:space="preserve"> figure for state and territory housing authority due to the high margin of error associated with this value.</w:t>
      </w:r>
    </w:p>
    <w:p w14:paraId="01AEA9C3" w14:textId="77777777" w:rsidR="000768CA" w:rsidRPr="000768CA" w:rsidRDefault="000768CA" w:rsidP="000768CA">
      <w:pPr>
        <w:pStyle w:val="SingleParagraph"/>
      </w:pPr>
    </w:p>
    <w:tbl>
      <w:tblPr>
        <w:tblStyle w:val="MWMKey"/>
        <w:tblW w:w="5000" w:type="pct"/>
        <w:tblLook w:val="0620" w:firstRow="1" w:lastRow="0" w:firstColumn="0" w:lastColumn="0" w:noHBand="1" w:noVBand="1"/>
      </w:tblPr>
      <w:tblGrid>
        <w:gridCol w:w="9070"/>
      </w:tblGrid>
      <w:tr w:rsidR="00E604CF" w:rsidRPr="009764EE" w:rsidDel="001F62AD" w14:paraId="06AAE159" w14:textId="77777777" w:rsidTr="00E604CF">
        <w:trPr>
          <w:cnfStyle w:val="100000000000" w:firstRow="1" w:lastRow="0" w:firstColumn="0" w:lastColumn="0" w:oddVBand="0" w:evenVBand="0" w:oddHBand="0" w:evenHBand="0" w:firstRowFirstColumn="0" w:firstRowLastColumn="0" w:lastRowFirstColumn="0" w:lastRowLastColumn="0"/>
          <w:trHeight w:val="20"/>
        </w:trPr>
        <w:tc>
          <w:tcPr>
            <w:tcW w:w="4229" w:type="dxa"/>
          </w:tcPr>
          <w:p w14:paraId="43A75D16" w14:textId="295C9EBC" w:rsidR="00E604CF" w:rsidRPr="003978D7" w:rsidDel="001F62AD" w:rsidRDefault="00E604CF" w:rsidP="00E604CF">
            <w:pPr>
              <w:pStyle w:val="BoxHeading"/>
              <w:spacing w:after="0"/>
            </w:pPr>
            <w:r w:rsidRPr="003978D7" w:rsidDel="001F62AD">
              <w:t xml:space="preserve">Key Government housing initiatives </w:t>
            </w:r>
          </w:p>
        </w:tc>
      </w:tr>
      <w:tr w:rsidR="00A813E5" w:rsidRPr="009764EE" w:rsidDel="001F62AD" w14:paraId="2A5A79BC" w14:textId="77777777" w:rsidTr="00E604CF">
        <w:trPr>
          <w:trHeight w:val="20"/>
        </w:trPr>
        <w:tc>
          <w:tcPr>
            <w:tcW w:w="4229" w:type="dxa"/>
          </w:tcPr>
          <w:p w14:paraId="71E09117" w14:textId="0BFE41B7" w:rsidR="00A813E5" w:rsidRPr="009764EE" w:rsidDel="001F62AD" w:rsidRDefault="00A813E5" w:rsidP="000768CA">
            <w:pPr>
              <w:pStyle w:val="Boxbullet"/>
              <w:rPr>
                <w:lang w:eastAsia="en-US"/>
              </w:rPr>
            </w:pPr>
            <w:r w:rsidRPr="009764EE" w:rsidDel="001F62AD">
              <w:rPr>
                <w:lang w:eastAsia="en-US"/>
              </w:rPr>
              <w:t>National Housing Accord to build one</w:t>
            </w:r>
            <w:r w:rsidR="00C239AD">
              <w:rPr>
                <w:lang w:eastAsia="en-US"/>
              </w:rPr>
              <w:t> million</w:t>
            </w:r>
            <w:r w:rsidRPr="009764EE" w:rsidDel="001F62AD">
              <w:rPr>
                <w:lang w:eastAsia="en-US"/>
              </w:rPr>
              <w:t xml:space="preserve"> new</w:t>
            </w:r>
            <w:r w:rsidRPr="0004529E" w:rsidDel="001F62AD">
              <w:rPr>
                <w:lang w:eastAsia="en-US"/>
              </w:rPr>
              <w:t xml:space="preserve"> </w:t>
            </w:r>
            <w:r w:rsidRPr="009764EE" w:rsidDel="001F62AD">
              <w:rPr>
                <w:lang w:eastAsia="en-US"/>
              </w:rPr>
              <w:t>well</w:t>
            </w:r>
            <w:r w:rsidR="00135DEA">
              <w:rPr>
                <w:lang w:eastAsia="en-US"/>
              </w:rPr>
              <w:noBreakHyphen/>
            </w:r>
            <w:r w:rsidRPr="009764EE" w:rsidDel="001F62AD">
              <w:rPr>
                <w:lang w:eastAsia="en-US"/>
              </w:rPr>
              <w:t xml:space="preserve">located homes over </w:t>
            </w:r>
            <w:r>
              <w:rPr>
                <w:lang w:eastAsia="en-US"/>
              </w:rPr>
              <w:t>5</w:t>
            </w:r>
            <w:r w:rsidR="00C239AD">
              <w:rPr>
                <w:lang w:eastAsia="en-US"/>
              </w:rPr>
              <w:t> year</w:t>
            </w:r>
            <w:r w:rsidRPr="009764EE" w:rsidDel="001F62AD">
              <w:rPr>
                <w:lang w:eastAsia="en-US"/>
              </w:rPr>
              <w:t>s</w:t>
            </w:r>
            <w:r w:rsidR="00C239AD">
              <w:rPr>
                <w:lang w:eastAsia="en-US"/>
              </w:rPr>
              <w:t xml:space="preserve"> </w:t>
            </w:r>
            <w:r w:rsidRPr="009764EE" w:rsidDel="001F62AD">
              <w:rPr>
                <w:lang w:eastAsia="en-US"/>
              </w:rPr>
              <w:t xml:space="preserve">from 2024 </w:t>
            </w:r>
          </w:p>
          <w:p w14:paraId="4F2B2254" w14:textId="0140489D" w:rsidR="00A813E5" w:rsidRPr="009764EE" w:rsidDel="001F62AD" w:rsidRDefault="00A813E5" w:rsidP="000768CA">
            <w:pPr>
              <w:pStyle w:val="Boxbullet"/>
              <w:rPr>
                <w:lang w:eastAsia="en-US"/>
              </w:rPr>
            </w:pPr>
            <w:r w:rsidRPr="009764EE" w:rsidDel="001F62AD">
              <w:rPr>
                <w:lang w:eastAsia="en-US"/>
              </w:rPr>
              <w:t>$2</w:t>
            </w:r>
            <w:r w:rsidR="00C239AD">
              <w:rPr>
                <w:lang w:eastAsia="en-US"/>
              </w:rPr>
              <w:t> billion</w:t>
            </w:r>
            <w:r w:rsidRPr="009764EE" w:rsidDel="001F62AD">
              <w:rPr>
                <w:lang w:eastAsia="en-US"/>
              </w:rPr>
              <w:t xml:space="preserve"> for social housing through the Social Housing Accelerator</w:t>
            </w:r>
          </w:p>
          <w:p w14:paraId="44D0DDD6" w14:textId="42223E9F" w:rsidR="00A813E5" w:rsidRPr="009764EE" w:rsidDel="001F62AD" w:rsidRDefault="00A813E5" w:rsidP="000768CA">
            <w:pPr>
              <w:pStyle w:val="Boxbullet"/>
              <w:rPr>
                <w:lang w:eastAsia="en-US"/>
              </w:rPr>
            </w:pPr>
            <w:r w:rsidRPr="009764EE" w:rsidDel="001F62AD">
              <w:rPr>
                <w:lang w:eastAsia="en-US"/>
              </w:rPr>
              <w:t>$10</w:t>
            </w:r>
            <w:r w:rsidR="00C239AD">
              <w:rPr>
                <w:lang w:eastAsia="en-US"/>
              </w:rPr>
              <w:t> billion</w:t>
            </w:r>
            <w:r w:rsidRPr="009764EE" w:rsidDel="001F62AD">
              <w:rPr>
                <w:lang w:eastAsia="en-US"/>
              </w:rPr>
              <w:t xml:space="preserve"> Housing Australia Future Fund</w:t>
            </w:r>
          </w:p>
          <w:p w14:paraId="1BDB351C" w14:textId="4BC6C29B" w:rsidR="00A813E5" w:rsidRPr="009764EE" w:rsidDel="001F62AD" w:rsidRDefault="00A813E5" w:rsidP="000768CA">
            <w:pPr>
              <w:pStyle w:val="Boxbullet"/>
              <w:rPr>
                <w:lang w:eastAsia="en-US"/>
              </w:rPr>
            </w:pPr>
            <w:r w:rsidRPr="009764EE" w:rsidDel="001F62AD">
              <w:rPr>
                <w:lang w:eastAsia="en-US"/>
              </w:rPr>
              <w:t>$410.4</w:t>
            </w:r>
            <w:r w:rsidR="00C239AD">
              <w:rPr>
                <w:lang w:eastAsia="en-US"/>
              </w:rPr>
              <w:t> million</w:t>
            </w:r>
            <w:r w:rsidRPr="009764EE" w:rsidDel="001F62AD">
              <w:rPr>
                <w:lang w:eastAsia="en-US"/>
              </w:rPr>
              <w:t xml:space="preserve"> for critical investments in housing and infrastructure for </w:t>
            </w:r>
            <w:r w:rsidR="001524A0">
              <w:rPr>
                <w:lang w:eastAsia="en-US"/>
              </w:rPr>
              <w:t>First Nation</w:t>
            </w:r>
            <w:r w:rsidRPr="009764EE" w:rsidDel="001F62AD">
              <w:rPr>
                <w:lang w:eastAsia="en-US"/>
              </w:rPr>
              <w:t>s communities</w:t>
            </w:r>
          </w:p>
          <w:p w14:paraId="439128E5" w14:textId="77777777" w:rsidR="00A813E5" w:rsidRPr="009764EE" w:rsidDel="001F62AD" w:rsidRDefault="00A813E5" w:rsidP="000768CA">
            <w:pPr>
              <w:pStyle w:val="Boxbullet"/>
              <w:rPr>
                <w:lang w:eastAsia="en-US"/>
              </w:rPr>
            </w:pPr>
            <w:r w:rsidRPr="009764EE" w:rsidDel="001F62AD">
              <w:rPr>
                <w:lang w:eastAsia="en-US"/>
              </w:rPr>
              <w:t>Help to Buy Scheme</w:t>
            </w:r>
          </w:p>
          <w:p w14:paraId="32DABC19" w14:textId="77CC866A" w:rsidR="00A813E5" w:rsidRPr="009764EE" w:rsidDel="001F62AD" w:rsidRDefault="00A813E5" w:rsidP="000768CA">
            <w:pPr>
              <w:pStyle w:val="Boxbullet"/>
              <w:rPr>
                <w:lang w:eastAsia="en-US"/>
              </w:rPr>
            </w:pPr>
            <w:r>
              <w:rPr>
                <w:lang w:eastAsia="en-US"/>
              </w:rPr>
              <w:t xml:space="preserve">Largest increase in </w:t>
            </w:r>
            <w:r w:rsidRPr="009764EE" w:rsidDel="001F62AD">
              <w:rPr>
                <w:lang w:eastAsia="en-US"/>
              </w:rPr>
              <w:t xml:space="preserve">Commonwealth Rent Assistance </w:t>
            </w:r>
            <w:r>
              <w:rPr>
                <w:lang w:eastAsia="en-US"/>
              </w:rPr>
              <w:t>in over 30</w:t>
            </w:r>
            <w:r w:rsidR="00C239AD">
              <w:rPr>
                <w:lang w:eastAsia="en-US"/>
              </w:rPr>
              <w:t> year</w:t>
            </w:r>
            <w:r>
              <w:rPr>
                <w:lang w:eastAsia="en-US"/>
              </w:rPr>
              <w:t xml:space="preserve">s </w:t>
            </w:r>
          </w:p>
          <w:p w14:paraId="0C6EDBEF" w14:textId="77777777" w:rsidR="00A813E5" w:rsidRPr="009764EE" w:rsidDel="001F62AD" w:rsidRDefault="00A813E5" w:rsidP="000768CA">
            <w:pPr>
              <w:pStyle w:val="Boxbullet"/>
              <w:rPr>
                <w:lang w:eastAsia="en-US"/>
              </w:rPr>
            </w:pPr>
            <w:r w:rsidRPr="009764EE" w:rsidDel="001F62AD">
              <w:rPr>
                <w:lang w:eastAsia="en-US"/>
              </w:rPr>
              <w:t>National Housing and Homelessness Plan</w:t>
            </w:r>
          </w:p>
          <w:p w14:paraId="13F812EE" w14:textId="50F19C0E" w:rsidR="00A813E5" w:rsidRPr="009764EE" w:rsidDel="001F62AD" w:rsidRDefault="00A813E5" w:rsidP="000768CA">
            <w:pPr>
              <w:pStyle w:val="Boxbullet"/>
              <w:rPr>
                <w:lang w:eastAsia="en-US"/>
              </w:rPr>
            </w:pPr>
            <w:r w:rsidRPr="009764EE" w:rsidDel="001F62AD">
              <w:rPr>
                <w:lang w:eastAsia="en-US"/>
              </w:rPr>
              <w:t>Providing tax incentives to support build</w:t>
            </w:r>
            <w:r w:rsidR="00135DEA">
              <w:rPr>
                <w:lang w:eastAsia="en-US"/>
              </w:rPr>
              <w:noBreakHyphen/>
            </w:r>
            <w:r w:rsidRPr="009764EE" w:rsidDel="001F62AD">
              <w:rPr>
                <w:lang w:eastAsia="en-US"/>
              </w:rPr>
              <w:t>to</w:t>
            </w:r>
            <w:r w:rsidR="00135DEA">
              <w:rPr>
                <w:lang w:eastAsia="en-US"/>
              </w:rPr>
              <w:noBreakHyphen/>
            </w:r>
            <w:r w:rsidRPr="009764EE" w:rsidDel="001F62AD">
              <w:rPr>
                <w:lang w:eastAsia="en-US"/>
              </w:rPr>
              <w:t xml:space="preserve">rent developments </w:t>
            </w:r>
          </w:p>
          <w:p w14:paraId="2EFAE34B" w14:textId="014137F9" w:rsidR="00A813E5" w:rsidRPr="009764EE" w:rsidDel="001F62AD" w:rsidRDefault="00A813E5" w:rsidP="000768CA">
            <w:pPr>
              <w:pStyle w:val="Boxbullet"/>
              <w:rPr>
                <w:lang w:eastAsia="en-US"/>
              </w:rPr>
            </w:pPr>
            <w:r w:rsidRPr="009764EE" w:rsidDel="001F62AD">
              <w:rPr>
                <w:lang w:eastAsia="en-US"/>
              </w:rPr>
              <w:t>Increasing the National Housing Finance and Investment Corporation</w:t>
            </w:r>
            <w:r w:rsidR="00135DEA">
              <w:rPr>
                <w:lang w:eastAsia="en-US"/>
              </w:rPr>
              <w:t>’</w:t>
            </w:r>
            <w:r w:rsidRPr="009764EE" w:rsidDel="001F62AD">
              <w:rPr>
                <w:lang w:eastAsia="en-US"/>
              </w:rPr>
              <w:t>s (NHFIC) liability cap, supporting an additional 7,000 dwellings</w:t>
            </w:r>
          </w:p>
          <w:p w14:paraId="69EE7BE0" w14:textId="77777777" w:rsidR="00A813E5" w:rsidRPr="009764EE" w:rsidDel="001F62AD" w:rsidRDefault="00A813E5" w:rsidP="000768CA">
            <w:pPr>
              <w:pStyle w:val="Boxbullet"/>
              <w:rPr>
                <w:lang w:eastAsia="en-US"/>
              </w:rPr>
            </w:pPr>
            <w:r w:rsidRPr="009764EE" w:rsidDel="001F62AD">
              <w:rPr>
                <w:lang w:eastAsia="en-US"/>
              </w:rPr>
              <w:t>Broadening the National Housing Infrastructure Facility</w:t>
            </w:r>
          </w:p>
          <w:p w14:paraId="7D133316" w14:textId="1080AC53" w:rsidR="00A813E5" w:rsidRPr="009764EE" w:rsidDel="001F62AD" w:rsidRDefault="00A813E5" w:rsidP="000768CA">
            <w:pPr>
              <w:pStyle w:val="Boxbullet"/>
              <w:rPr>
                <w:lang w:eastAsia="en-US"/>
              </w:rPr>
            </w:pPr>
            <w:r w:rsidRPr="009764EE" w:rsidDel="001F62AD">
              <w:rPr>
                <w:lang w:eastAsia="en-US"/>
              </w:rPr>
              <w:t>Strengthening Renters</w:t>
            </w:r>
            <w:r w:rsidR="00135DEA">
              <w:rPr>
                <w:lang w:eastAsia="en-US"/>
              </w:rPr>
              <w:t>’</w:t>
            </w:r>
            <w:r w:rsidRPr="009764EE" w:rsidDel="001F62AD">
              <w:rPr>
                <w:lang w:eastAsia="en-US"/>
              </w:rPr>
              <w:t xml:space="preserve"> Rights</w:t>
            </w:r>
          </w:p>
          <w:p w14:paraId="649BD6B7" w14:textId="77777777" w:rsidR="00A813E5" w:rsidRPr="009764EE" w:rsidDel="001F62AD" w:rsidRDefault="00A813E5" w:rsidP="000768CA">
            <w:pPr>
              <w:pStyle w:val="Boxbullet"/>
              <w:rPr>
                <w:lang w:eastAsia="en-US"/>
              </w:rPr>
            </w:pPr>
            <w:r w:rsidRPr="009764EE" w:rsidDel="001F62AD">
              <w:rPr>
                <w:lang w:eastAsia="en-US"/>
              </w:rPr>
              <w:t>Enhancements to the Home Guarantee Scheme</w:t>
            </w:r>
          </w:p>
          <w:p w14:paraId="498910E8" w14:textId="4074F818" w:rsidR="00A813E5" w:rsidRPr="009764EE" w:rsidDel="001F62AD" w:rsidRDefault="00A813E5" w:rsidP="000768CA">
            <w:pPr>
              <w:pStyle w:val="Boxbullet"/>
            </w:pPr>
            <w:r w:rsidRPr="009764EE" w:rsidDel="001F62AD">
              <w:rPr>
                <w:lang w:eastAsia="en-US"/>
              </w:rPr>
              <w:t>Superannuation</w:t>
            </w:r>
            <w:r w:rsidR="001524A0">
              <w:rPr>
                <w:lang w:eastAsia="en-US"/>
              </w:rPr>
              <w:t xml:space="preserve"> – </w:t>
            </w:r>
            <w:r w:rsidRPr="009764EE" w:rsidDel="001F62AD">
              <w:rPr>
                <w:lang w:eastAsia="en-US"/>
              </w:rPr>
              <w:t>expanding eligibility for downsizer contributions</w:t>
            </w:r>
          </w:p>
        </w:tc>
      </w:tr>
    </w:tbl>
    <w:p w14:paraId="51D48938" w14:textId="7E2B3727" w:rsidR="00A813E5" w:rsidRPr="009764EE" w:rsidRDefault="00A813E5" w:rsidP="00964778">
      <w:pPr>
        <w:rPr>
          <w:rFonts w:ascii="Calibri" w:hAnsi="Calibri" w:cs="Calibri"/>
        </w:rPr>
        <w:sectPr w:rsidR="00A813E5" w:rsidRPr="009764EE" w:rsidSect="00DA302B">
          <w:endnotePr>
            <w:numFmt w:val="decimal"/>
          </w:endnotePr>
          <w:type w:val="continuous"/>
          <w:pgSz w:w="11906" w:h="16838" w:code="9"/>
          <w:pgMar w:top="1843" w:right="1418" w:bottom="1418" w:left="1418" w:header="851" w:footer="851" w:gutter="0"/>
          <w:cols w:space="567"/>
          <w:docGrid w:linePitch="360"/>
        </w:sectPr>
      </w:pPr>
    </w:p>
    <w:p w14:paraId="5F42E825" w14:textId="77777777" w:rsidR="00515A97" w:rsidRPr="009764EE" w:rsidRDefault="00515A97" w:rsidP="00037C32">
      <w:pPr>
        <w:pStyle w:val="Heading1"/>
        <w:rPr>
          <w:lang w:val="en-GB"/>
        </w:rPr>
      </w:pPr>
      <w:bookmarkStart w:id="63" w:name="_Toc147497672"/>
      <w:bookmarkStart w:id="64" w:name="_Toc140164495"/>
      <w:r w:rsidRPr="009764EE">
        <w:lastRenderedPageBreak/>
        <w:t>Sustainable</w:t>
      </w:r>
      <w:bookmarkEnd w:id="63"/>
    </w:p>
    <w:p w14:paraId="5A27BF3E" w14:textId="77777777" w:rsidR="00515A97" w:rsidRPr="009764EE" w:rsidRDefault="00515A97" w:rsidP="00037C32">
      <w:pPr>
        <w:pStyle w:val="IntrotextMWM"/>
      </w:pPr>
      <w:r w:rsidRPr="009764EE">
        <w:t xml:space="preserve">A society that sustainably uses natural and financial resources, protects and repairs the environment and builds resilience to combat challenges. </w:t>
      </w:r>
    </w:p>
    <w:p w14:paraId="2863D9F6" w14:textId="77777777" w:rsidR="001524A0" w:rsidRDefault="00135DEA" w:rsidP="00037C32">
      <w:pPr>
        <w:pStyle w:val="Quote"/>
      </w:pPr>
      <w:r>
        <w:t>“</w:t>
      </w:r>
      <w:r w:rsidR="00515A97" w:rsidRPr="009764EE">
        <w:t>An environment with rich biodiversity, clean air and water, and sustainable natural capital stocks supports healthy, enriched lives.</w:t>
      </w:r>
      <w:r>
        <w:t>”</w:t>
      </w:r>
      <w:r w:rsidR="00515A97" w:rsidRPr="005049F1">
        <w:rPr>
          <w:rStyle w:val="FootnoteReference"/>
        </w:rPr>
        <w:endnoteReference w:id="44"/>
      </w:r>
      <w:r w:rsidR="00515A97">
        <w:t xml:space="preserve"> </w:t>
      </w:r>
    </w:p>
    <w:p w14:paraId="2512B9BE" w14:textId="4999B28E" w:rsidR="00515A97" w:rsidRPr="009764EE" w:rsidRDefault="00151999" w:rsidP="00037C32">
      <w:pPr>
        <w:pStyle w:val="Quote"/>
      </w:pPr>
      <w:r>
        <w:t>–</w:t>
      </w:r>
      <w:r w:rsidR="00515A97" w:rsidRPr="009764EE">
        <w:t xml:space="preserve"> Climateworks Centre Submission</w:t>
      </w:r>
    </w:p>
    <w:p w14:paraId="2C7ADE6D" w14:textId="5DF0B2C8" w:rsidR="00D8253A" w:rsidRPr="009764EE" w:rsidRDefault="00D8253A" w:rsidP="00F03629">
      <w:pPr>
        <w:pStyle w:val="Heading2"/>
      </w:pPr>
      <w:bookmarkStart w:id="65" w:name="_Toc147497673"/>
      <w:bookmarkEnd w:id="64"/>
      <w:r w:rsidRPr="009764EE">
        <w:t>Protect</w:t>
      </w:r>
      <w:r w:rsidR="008B192A" w:rsidRPr="009764EE">
        <w:t>,</w:t>
      </w:r>
      <w:r w:rsidR="000C66FA" w:rsidRPr="009764EE">
        <w:t xml:space="preserve"> repair and </w:t>
      </w:r>
      <w:r w:rsidR="000C66FA" w:rsidRPr="00F03629">
        <w:t>manage</w:t>
      </w:r>
      <w:r w:rsidR="000C66FA" w:rsidRPr="009764EE">
        <w:t xml:space="preserve"> </w:t>
      </w:r>
      <w:r w:rsidRPr="009764EE">
        <w:t>the environment</w:t>
      </w:r>
      <w:bookmarkEnd w:id="65"/>
      <w:r w:rsidR="00A947B9" w:rsidRPr="009764EE">
        <w:t xml:space="preserve"> </w:t>
      </w:r>
    </w:p>
    <w:tbl>
      <w:tblPr>
        <w:tblStyle w:val="MWMTables"/>
        <w:tblW w:w="9072" w:type="dxa"/>
        <w:tblLook w:val="06A0" w:firstRow="1" w:lastRow="0" w:firstColumn="1" w:lastColumn="0" w:noHBand="1" w:noVBand="1"/>
      </w:tblPr>
      <w:tblGrid>
        <w:gridCol w:w="1133"/>
        <w:gridCol w:w="2548"/>
        <w:gridCol w:w="2548"/>
        <w:gridCol w:w="1425"/>
        <w:gridCol w:w="1418"/>
      </w:tblGrid>
      <w:tr w:rsidR="00665AD2" w:rsidRPr="009764EE" w14:paraId="7D830688" w14:textId="22FF5405" w:rsidTr="00330B86">
        <w:trPr>
          <w:cnfStyle w:val="100000000000" w:firstRow="1" w:lastRow="0" w:firstColumn="0" w:lastColumn="0" w:oddVBand="0" w:evenVBand="0" w:oddHBand="0" w:evenHBand="0" w:firstRowFirstColumn="0" w:firstRowLastColumn="0" w:lastRowFirstColumn="0" w:lastRowLastColumn="0"/>
          <w:trHeight w:val="113"/>
        </w:trPr>
        <w:tc>
          <w:tcPr>
            <w:tcW w:w="1134" w:type="dxa"/>
          </w:tcPr>
          <w:p w14:paraId="69EE986F" w14:textId="00EB3EFC" w:rsidR="007836AF" w:rsidRPr="009764EE" w:rsidRDefault="007836AF" w:rsidP="00062616">
            <w:pPr>
              <w:pStyle w:val="TableColumnHeadingLeft"/>
            </w:pPr>
            <w:r w:rsidRPr="009764EE">
              <w:t>Indicator</w:t>
            </w:r>
          </w:p>
        </w:tc>
        <w:tc>
          <w:tcPr>
            <w:tcW w:w="2552" w:type="dxa"/>
          </w:tcPr>
          <w:p w14:paraId="015ACED8" w14:textId="31F5EAED" w:rsidR="007836AF" w:rsidRPr="009764EE" w:rsidRDefault="00457317" w:rsidP="00062616">
            <w:pPr>
              <w:pStyle w:val="TableColumnHeadingLeft"/>
            </w:pPr>
            <w:r w:rsidRPr="009764EE">
              <w:t>Metric</w:t>
            </w:r>
          </w:p>
        </w:tc>
        <w:tc>
          <w:tcPr>
            <w:tcW w:w="2552" w:type="dxa"/>
          </w:tcPr>
          <w:p w14:paraId="13BDD2E5" w14:textId="77777777" w:rsidR="007836AF" w:rsidRPr="009764EE" w:rsidRDefault="007836AF" w:rsidP="00062616">
            <w:pPr>
              <w:pStyle w:val="TableColumnHeadingLeft"/>
            </w:pPr>
            <w:r w:rsidRPr="009764EE">
              <w:t xml:space="preserve">Why this metric </w:t>
            </w:r>
          </w:p>
        </w:tc>
        <w:tc>
          <w:tcPr>
            <w:tcW w:w="1426" w:type="dxa"/>
          </w:tcPr>
          <w:p w14:paraId="745044ED" w14:textId="2ACE3F0D" w:rsidR="007836AF" w:rsidRPr="009764EE" w:rsidRDefault="00016967" w:rsidP="00062616">
            <w:pPr>
              <w:pStyle w:val="TableColumnHeadingLeft"/>
            </w:pPr>
            <w:r w:rsidRPr="009764EE">
              <w:t>Progress</w:t>
            </w:r>
          </w:p>
        </w:tc>
        <w:tc>
          <w:tcPr>
            <w:tcW w:w="1418" w:type="dxa"/>
          </w:tcPr>
          <w:p w14:paraId="4671241B" w14:textId="2C3D4B63" w:rsidR="007836AF" w:rsidRPr="009764EE" w:rsidRDefault="007836AF" w:rsidP="00062616">
            <w:pPr>
              <w:pStyle w:val="TableColumnHeadingLeft"/>
            </w:pPr>
            <w:r w:rsidRPr="009764EE">
              <w:t>Latest Value</w:t>
            </w:r>
            <w:r w:rsidR="00885B43" w:rsidRPr="005049F1">
              <w:rPr>
                <w:rStyle w:val="FootnoteReference"/>
              </w:rPr>
              <w:t>(i)</w:t>
            </w:r>
          </w:p>
        </w:tc>
      </w:tr>
      <w:tr w:rsidR="00CE0959" w:rsidRPr="009764EE" w14:paraId="635594D1" w14:textId="6D991B1F" w:rsidTr="00330B86">
        <w:trPr>
          <w:trHeight w:val="113"/>
        </w:trPr>
        <w:tc>
          <w:tcPr>
            <w:tcW w:w="1134" w:type="dxa"/>
            <w:vMerge w:val="restart"/>
          </w:tcPr>
          <w:p w14:paraId="0695412A" w14:textId="62A4A25A" w:rsidR="000A6649" w:rsidRPr="00AA4A4D" w:rsidRDefault="000A6649" w:rsidP="008D79E6">
            <w:pPr>
              <w:pStyle w:val="TableTextLeft"/>
              <w:rPr>
                <w:rStyle w:val="Strong"/>
                <w:color w:val="082C44"/>
              </w:rPr>
            </w:pPr>
            <w:r w:rsidRPr="00AA4A4D">
              <w:rPr>
                <w:rStyle w:val="Strong"/>
                <w:color w:val="082C44"/>
              </w:rPr>
              <w:t>Emissions reduction</w:t>
            </w:r>
          </w:p>
        </w:tc>
        <w:tc>
          <w:tcPr>
            <w:tcW w:w="2552" w:type="dxa"/>
            <w:tcBorders>
              <w:top w:val="single" w:sz="4" w:space="0" w:color="216364"/>
              <w:bottom w:val="single" w:sz="4" w:space="0" w:color="EEEEEE" w:themeColor="background2"/>
            </w:tcBorders>
          </w:tcPr>
          <w:p w14:paraId="26F1955E" w14:textId="76BAF250" w:rsidR="000A6649" w:rsidRPr="009764EE" w:rsidRDefault="000A6649" w:rsidP="00062616">
            <w:pPr>
              <w:pStyle w:val="TableTextLeft"/>
            </w:pPr>
            <w:r w:rsidRPr="009764EE">
              <w:t xml:space="preserve">Proportion of reduction in </w:t>
            </w:r>
            <w:r w:rsidR="004D7CBC" w:rsidRPr="009764EE">
              <w:t>Australia</w:t>
            </w:r>
            <w:r w:rsidR="00135DEA">
              <w:t>’</w:t>
            </w:r>
            <w:r w:rsidR="004D7CBC" w:rsidRPr="009764EE">
              <w:t xml:space="preserve">s net </w:t>
            </w:r>
            <w:r w:rsidRPr="009764EE">
              <w:t>greenhouse gas</w:t>
            </w:r>
            <w:r w:rsidR="004323BF" w:rsidRPr="009764EE">
              <w:t xml:space="preserve"> emissions</w:t>
            </w:r>
            <w:r w:rsidR="3EF58971" w:rsidRPr="009764EE">
              <w:t xml:space="preserve"> </w:t>
            </w:r>
            <w:r w:rsidRPr="009764EE">
              <w:t>from 2005</w:t>
            </w:r>
            <w:r w:rsidR="00215CD1" w:rsidRPr="009764EE">
              <w:t xml:space="preserve"> levels</w:t>
            </w:r>
            <w:r w:rsidRPr="00BC491B">
              <w:rPr>
                <w:rStyle w:val="TableFootnoteReference"/>
              </w:rPr>
              <w:t>(a)</w:t>
            </w:r>
          </w:p>
        </w:tc>
        <w:tc>
          <w:tcPr>
            <w:tcW w:w="2552" w:type="dxa"/>
            <w:vMerge w:val="restart"/>
            <w:tcBorders>
              <w:top w:val="single" w:sz="4" w:space="0" w:color="216364"/>
              <w:bottom w:val="single" w:sz="4" w:space="0" w:color="EEEEEE" w:themeColor="background2"/>
            </w:tcBorders>
          </w:tcPr>
          <w:p w14:paraId="1CFBF7F7" w14:textId="72030647" w:rsidR="000A6649" w:rsidRPr="009764EE" w:rsidRDefault="003A72E2" w:rsidP="00062616">
            <w:pPr>
              <w:pStyle w:val="TableTextLeft"/>
              <w:rPr>
                <w:lang w:val="en-GB"/>
              </w:rPr>
            </w:pPr>
            <w:r w:rsidRPr="009764EE">
              <w:t>Together the metrics i</w:t>
            </w:r>
            <w:r w:rsidR="000A6649" w:rsidRPr="009764EE">
              <w:t xml:space="preserve">ndicate progress on reducing emissions in a way </w:t>
            </w:r>
            <w:r w:rsidR="00F025D5" w:rsidRPr="009764EE">
              <w:t xml:space="preserve">that </w:t>
            </w:r>
            <w:r w:rsidR="000A6649" w:rsidRPr="009764EE">
              <w:t>is comparable to Australia</w:t>
            </w:r>
            <w:r w:rsidR="00135DEA">
              <w:t>’</w:t>
            </w:r>
            <w:r w:rsidR="000A6649" w:rsidRPr="009764EE">
              <w:t xml:space="preserve">s 2030 and </w:t>
            </w:r>
            <w:r w:rsidR="000A6649" w:rsidRPr="009764EE">
              <w:rPr>
                <w:lang w:val="en-GB"/>
              </w:rPr>
              <w:t>2050 emissions reduction goals</w:t>
            </w:r>
          </w:p>
        </w:tc>
        <w:tc>
          <w:tcPr>
            <w:tcW w:w="1426" w:type="dxa"/>
            <w:tcBorders>
              <w:top w:val="single" w:sz="4" w:space="0" w:color="216364"/>
              <w:bottom w:val="single" w:sz="4" w:space="0" w:color="EEEEEE" w:themeColor="background2"/>
            </w:tcBorders>
          </w:tcPr>
          <w:p w14:paraId="0D047222" w14:textId="6A05D1E8" w:rsidR="00573FDE" w:rsidRPr="009764EE" w:rsidRDefault="00D00624" w:rsidP="00F03629">
            <w:pPr>
              <w:pStyle w:val="TableTextCentered"/>
            </w:pPr>
            <w:r w:rsidRPr="009764EE">
              <w:t>Improved</w:t>
            </w:r>
          </w:p>
          <w:p w14:paraId="096476C8" w14:textId="61D974CE" w:rsidR="000A6649" w:rsidRPr="009764EE" w:rsidRDefault="000A6649" w:rsidP="00062616">
            <w:pPr>
              <w:pStyle w:val="TableTextCentered"/>
            </w:pPr>
            <w:r w:rsidRPr="009764EE">
              <w:t>2005</w:t>
            </w:r>
            <w:r w:rsidR="00151999">
              <w:t>–</w:t>
            </w:r>
            <w:r w:rsidR="00721131">
              <w:softHyphen/>
            </w:r>
            <w:r w:rsidRPr="009764EE">
              <w:t>2022</w:t>
            </w:r>
          </w:p>
        </w:tc>
        <w:tc>
          <w:tcPr>
            <w:tcW w:w="1418" w:type="dxa"/>
            <w:tcBorders>
              <w:top w:val="single" w:sz="4" w:space="0" w:color="216364"/>
              <w:bottom w:val="single" w:sz="4" w:space="0" w:color="EEEEEE" w:themeColor="background2"/>
            </w:tcBorders>
          </w:tcPr>
          <w:p w14:paraId="6E2D8509" w14:textId="5A65EFF4" w:rsidR="00DF0EB4" w:rsidRPr="009764EE" w:rsidRDefault="000A6649" w:rsidP="00062616">
            <w:pPr>
              <w:pStyle w:val="TableTextCentered"/>
            </w:pPr>
            <w:r w:rsidRPr="009764EE">
              <w:t>24.7%</w:t>
            </w:r>
            <w:r w:rsidR="00971901" w:rsidRPr="009764EE">
              <w:t xml:space="preserve"> </w:t>
            </w:r>
            <w:r w:rsidRPr="009764EE">
              <w:t xml:space="preserve">below </w:t>
            </w:r>
            <w:r w:rsidR="00225ABF" w:rsidRPr="009764EE">
              <w:t>year to June</w:t>
            </w:r>
            <w:r w:rsidRPr="009764EE">
              <w:t xml:space="preserve"> 2005 in year to Dec</w:t>
            </w:r>
            <w:r w:rsidR="00225ABF" w:rsidRPr="009764EE">
              <w:t>ember</w:t>
            </w:r>
            <w:r w:rsidR="00620078">
              <w:t> </w:t>
            </w:r>
            <w:r w:rsidRPr="009764EE">
              <w:t>2022</w:t>
            </w:r>
          </w:p>
        </w:tc>
      </w:tr>
      <w:tr w:rsidR="00665AD2" w:rsidRPr="009764EE" w14:paraId="568D39EF" w14:textId="049A8439" w:rsidTr="00330B86">
        <w:trPr>
          <w:trHeight w:val="113"/>
        </w:trPr>
        <w:tc>
          <w:tcPr>
            <w:tcW w:w="1134" w:type="dxa"/>
            <w:vMerge/>
          </w:tcPr>
          <w:p w14:paraId="26724DF5" w14:textId="77777777" w:rsidR="000A6649" w:rsidRPr="00AA4A4D" w:rsidRDefault="000A6649" w:rsidP="008D79E6">
            <w:pPr>
              <w:pStyle w:val="TableTextLeft"/>
              <w:rPr>
                <w:rStyle w:val="Strong"/>
                <w:color w:val="082C44"/>
              </w:rPr>
            </w:pPr>
          </w:p>
        </w:tc>
        <w:tc>
          <w:tcPr>
            <w:tcW w:w="2552" w:type="dxa"/>
            <w:tcBorders>
              <w:top w:val="single" w:sz="4" w:space="0" w:color="EEEEEE" w:themeColor="background2"/>
            </w:tcBorders>
          </w:tcPr>
          <w:p w14:paraId="0A25899F" w14:textId="34385D79" w:rsidR="000A6649" w:rsidRPr="009764EE" w:rsidRDefault="008044E5" w:rsidP="00062616">
            <w:pPr>
              <w:pStyle w:val="TableTextLeft"/>
            </w:pPr>
            <w:r w:rsidRPr="009764EE">
              <w:t xml:space="preserve">Renewable share of electricity </w:t>
            </w:r>
            <w:r w:rsidR="00BC491B">
              <w:t>g</w:t>
            </w:r>
            <w:r w:rsidRPr="009764EE">
              <w:t>eneration</w:t>
            </w:r>
            <w:r w:rsidR="00394858" w:rsidRPr="00BC491B">
              <w:rPr>
                <w:rStyle w:val="TableFootnoteReference"/>
              </w:rPr>
              <w:t>(b)</w:t>
            </w:r>
            <w:r w:rsidR="004D247D" w:rsidRPr="00BC491B">
              <w:rPr>
                <w:rStyle w:val="TableFootnoteReference"/>
              </w:rPr>
              <w:t>(</w:t>
            </w:r>
            <w:r w:rsidR="00885B43" w:rsidRPr="00BC491B">
              <w:rPr>
                <w:rStyle w:val="TableFootnoteReference"/>
              </w:rPr>
              <w:t>i</w:t>
            </w:r>
            <w:r w:rsidR="004D247D" w:rsidRPr="00BC491B">
              <w:rPr>
                <w:rStyle w:val="TableFootnoteReference"/>
              </w:rPr>
              <w:t>i)</w:t>
            </w:r>
            <w:r w:rsidR="008259FE" w:rsidRPr="009764EE">
              <w:rPr>
                <w:rFonts w:ascii="Calibri" w:hAnsi="Calibri" w:cs="Calibri"/>
                <w:shd w:val="clear" w:color="auto" w:fill="FFFFFF"/>
              </w:rPr>
              <w:t xml:space="preserve"> </w:t>
            </w:r>
          </w:p>
        </w:tc>
        <w:tc>
          <w:tcPr>
            <w:tcW w:w="2552" w:type="dxa"/>
            <w:vMerge/>
            <w:tcBorders>
              <w:top w:val="single" w:sz="4" w:space="0" w:color="EEEEEE" w:themeColor="background2"/>
            </w:tcBorders>
          </w:tcPr>
          <w:p w14:paraId="5D1D5587" w14:textId="632E539D" w:rsidR="000A6649" w:rsidRPr="009764EE" w:rsidRDefault="000A6649" w:rsidP="00062616">
            <w:pPr>
              <w:pStyle w:val="TableTextLeft"/>
              <w:rPr>
                <w:lang w:val="en-GB"/>
              </w:rPr>
            </w:pPr>
          </w:p>
        </w:tc>
        <w:tc>
          <w:tcPr>
            <w:tcW w:w="1426" w:type="dxa"/>
            <w:tcBorders>
              <w:top w:val="single" w:sz="4" w:space="0" w:color="EEEEEE" w:themeColor="background2"/>
            </w:tcBorders>
          </w:tcPr>
          <w:p w14:paraId="5A4E2203" w14:textId="0672220D" w:rsidR="0003616D" w:rsidRPr="009764EE" w:rsidRDefault="003165D0" w:rsidP="00062616">
            <w:pPr>
              <w:pStyle w:val="TableTextCentered"/>
              <w:rPr>
                <w:rFonts w:eastAsia="Century Gothic"/>
              </w:rPr>
            </w:pPr>
            <w:r w:rsidRPr="009764EE">
              <w:t>Improved</w:t>
            </w:r>
          </w:p>
          <w:p w14:paraId="496701CC" w14:textId="09B9B76F" w:rsidR="000A6649" w:rsidRPr="009764EE" w:rsidRDefault="002C7268" w:rsidP="008D79E6">
            <w:pPr>
              <w:pStyle w:val="TableTextCentered"/>
            </w:pPr>
            <w:r w:rsidRPr="009764EE">
              <w:t>200</w:t>
            </w:r>
            <w:r w:rsidR="002D3DE0" w:rsidRPr="009764EE">
              <w:t>1</w:t>
            </w:r>
            <w:r w:rsidR="00151999">
              <w:t>–</w:t>
            </w:r>
            <w:r w:rsidR="00721131" w:rsidRPr="008D79E6">
              <w:softHyphen/>
            </w:r>
            <w:r w:rsidRPr="008D79E6">
              <w:t>0</w:t>
            </w:r>
            <w:r w:rsidR="002D3DE0" w:rsidRPr="008D79E6">
              <w:t>2</w:t>
            </w:r>
            <w:r w:rsidRPr="008D79E6">
              <w:t xml:space="preserve"> to</w:t>
            </w:r>
            <w:r w:rsidR="008D79E6">
              <w:rPr>
                <w:rFonts w:ascii="Calibri" w:hAnsi="Calibri" w:cs="Calibri"/>
              </w:rPr>
              <w:t xml:space="preserve"> </w:t>
            </w:r>
            <w:r w:rsidR="005E13FB" w:rsidRPr="009764EE">
              <w:t>2021</w:t>
            </w:r>
            <w:r w:rsidR="00151999">
              <w:t>–</w:t>
            </w:r>
            <w:r w:rsidR="005E13FB" w:rsidRPr="009764EE">
              <w:t>22</w:t>
            </w:r>
          </w:p>
        </w:tc>
        <w:tc>
          <w:tcPr>
            <w:tcW w:w="1418" w:type="dxa"/>
            <w:tcBorders>
              <w:top w:val="single" w:sz="4" w:space="0" w:color="EEEEEE" w:themeColor="background2"/>
            </w:tcBorders>
          </w:tcPr>
          <w:p w14:paraId="0FBCBC37" w14:textId="395E4F03" w:rsidR="000A6649" w:rsidRPr="009764EE" w:rsidRDefault="00C80744" w:rsidP="00062616">
            <w:pPr>
              <w:pStyle w:val="TableTextCentered"/>
            </w:pPr>
            <w:r w:rsidRPr="009764EE">
              <w:t>30.9%</w:t>
            </w:r>
            <w:r w:rsidR="00314667">
              <w:t xml:space="preserve"> </w:t>
            </w:r>
            <w:r w:rsidR="00C86488">
              <w:t>(</w:t>
            </w:r>
            <w:r w:rsidRPr="009764EE">
              <w:t>of electricity generation</w:t>
            </w:r>
            <w:r w:rsidR="00C86488">
              <w:t>)</w:t>
            </w:r>
            <w:r w:rsidRPr="009764EE">
              <w:rPr>
                <w:rFonts w:ascii="Calibri" w:hAnsi="Calibri" w:cs="Calibri"/>
              </w:rPr>
              <w:t> </w:t>
            </w:r>
          </w:p>
        </w:tc>
      </w:tr>
      <w:tr w:rsidR="00665AD2" w:rsidRPr="009764EE" w14:paraId="5DB46488" w14:textId="5F388E2B" w:rsidTr="00330B86">
        <w:trPr>
          <w:trHeight w:val="113"/>
        </w:trPr>
        <w:tc>
          <w:tcPr>
            <w:tcW w:w="1134" w:type="dxa"/>
          </w:tcPr>
          <w:p w14:paraId="55BB866C" w14:textId="557D0A07" w:rsidR="007836AF" w:rsidRPr="00AA4A4D" w:rsidRDefault="00323B06" w:rsidP="008D79E6">
            <w:pPr>
              <w:pStyle w:val="TableTextLeft"/>
              <w:rPr>
                <w:rStyle w:val="Strong"/>
                <w:color w:val="082C44"/>
              </w:rPr>
            </w:pPr>
            <w:r w:rsidRPr="00AA4A4D">
              <w:rPr>
                <w:rStyle w:val="Strong"/>
                <w:color w:val="082C44"/>
              </w:rPr>
              <w:t>Air quality</w:t>
            </w:r>
          </w:p>
        </w:tc>
        <w:tc>
          <w:tcPr>
            <w:tcW w:w="2552" w:type="dxa"/>
          </w:tcPr>
          <w:p w14:paraId="1620BA73" w14:textId="6390F243" w:rsidR="007836AF" w:rsidRPr="009764EE" w:rsidRDefault="004E2F2F" w:rsidP="00062616">
            <w:pPr>
              <w:pStyle w:val="TableTextLeft"/>
              <w:rPr>
                <w:vertAlign w:val="superscript"/>
              </w:rPr>
            </w:pPr>
            <w:r w:rsidRPr="009764EE">
              <w:t>Exposure to outdoor air pollution of PM2.5</w:t>
            </w:r>
            <w:r w:rsidR="00C01452" w:rsidRPr="00BC491B">
              <w:rPr>
                <w:rStyle w:val="TableFootnoteReference"/>
              </w:rPr>
              <w:t>(</w:t>
            </w:r>
            <w:r w:rsidR="00883774" w:rsidRPr="00BC491B">
              <w:rPr>
                <w:rStyle w:val="TableFootnoteReference"/>
              </w:rPr>
              <w:t>c</w:t>
            </w:r>
            <w:r w:rsidR="00C01452" w:rsidRPr="00BC491B">
              <w:rPr>
                <w:rStyle w:val="TableFootnoteReference"/>
              </w:rPr>
              <w:t>)</w:t>
            </w:r>
            <w:r w:rsidR="00C01452" w:rsidRPr="00C239AD">
              <w:t xml:space="preserve"> </w:t>
            </w:r>
          </w:p>
        </w:tc>
        <w:tc>
          <w:tcPr>
            <w:tcW w:w="2552" w:type="dxa"/>
          </w:tcPr>
          <w:p w14:paraId="009D7FC2" w14:textId="47B49C27" w:rsidR="007836AF" w:rsidRPr="009764EE" w:rsidRDefault="00524B34" w:rsidP="00062616">
            <w:pPr>
              <w:pStyle w:val="TableTextLeft"/>
            </w:pPr>
            <w:r w:rsidRPr="009764EE">
              <w:rPr>
                <w:lang w:val="en-GB"/>
              </w:rPr>
              <w:t>Particulate matter is commonly used as a proxy indicator for exposure to air pollution</w:t>
            </w:r>
          </w:p>
        </w:tc>
        <w:tc>
          <w:tcPr>
            <w:tcW w:w="1426" w:type="dxa"/>
          </w:tcPr>
          <w:p w14:paraId="6816D08C" w14:textId="69755055" w:rsidR="00174FDF" w:rsidRPr="00F03629" w:rsidRDefault="005A44DD" w:rsidP="00F03629">
            <w:pPr>
              <w:pStyle w:val="TableTextCentered"/>
              <w:rPr>
                <w:rFonts w:eastAsia="Tahoma"/>
              </w:rPr>
            </w:pPr>
            <w:r>
              <w:rPr>
                <w:rFonts w:eastAsia="Tahoma"/>
              </w:rPr>
              <w:t>Stable</w:t>
            </w:r>
          </w:p>
          <w:p w14:paraId="30EAC019" w14:textId="06994F5A" w:rsidR="007836AF" w:rsidRPr="009764EE" w:rsidRDefault="00C26765" w:rsidP="008D79E6">
            <w:pPr>
              <w:pStyle w:val="TableTextCentered"/>
            </w:pPr>
            <w:r w:rsidRPr="009764EE">
              <w:t>2017</w:t>
            </w:r>
            <w:r w:rsidR="00721131">
              <w:softHyphen/>
            </w:r>
            <w:r w:rsidR="00151999">
              <w:t>–</w:t>
            </w:r>
            <w:r w:rsidRPr="009764EE">
              <w:t xml:space="preserve">18 </w:t>
            </w:r>
            <w:r w:rsidR="00E25436" w:rsidRPr="00BC491B">
              <w:t xml:space="preserve">to </w:t>
            </w:r>
            <w:r w:rsidRPr="009764EE">
              <w:t>2021</w:t>
            </w:r>
            <w:r w:rsidR="00151999">
              <w:t>–</w:t>
            </w:r>
            <w:r w:rsidR="00721131">
              <w:softHyphen/>
            </w:r>
            <w:r w:rsidRPr="009764EE">
              <w:t>22</w:t>
            </w:r>
          </w:p>
        </w:tc>
        <w:tc>
          <w:tcPr>
            <w:tcW w:w="1418" w:type="dxa"/>
          </w:tcPr>
          <w:p w14:paraId="38D85151" w14:textId="373EE487" w:rsidR="00DF0EB4" w:rsidRPr="009764EE" w:rsidRDefault="00971901" w:rsidP="00062616">
            <w:pPr>
              <w:pStyle w:val="TableTextCentered"/>
            </w:pPr>
            <w:r w:rsidRPr="009764EE">
              <w:t>Varies by region</w:t>
            </w:r>
          </w:p>
        </w:tc>
      </w:tr>
      <w:tr w:rsidR="00665AD2" w:rsidRPr="009764EE" w14:paraId="5283EBD0" w14:textId="3FEFC5D8" w:rsidTr="00330B86">
        <w:trPr>
          <w:trHeight w:val="113"/>
        </w:trPr>
        <w:tc>
          <w:tcPr>
            <w:tcW w:w="1134" w:type="dxa"/>
          </w:tcPr>
          <w:p w14:paraId="6C819E4E" w14:textId="7C8438A1" w:rsidR="007836AF" w:rsidRPr="00AA4A4D" w:rsidRDefault="0020116A" w:rsidP="008D79E6">
            <w:pPr>
              <w:pStyle w:val="TableTextLeft"/>
              <w:rPr>
                <w:rStyle w:val="Strong"/>
                <w:color w:val="082C44"/>
              </w:rPr>
            </w:pPr>
            <w:r w:rsidRPr="00AA4A4D">
              <w:rPr>
                <w:rStyle w:val="Strong"/>
                <w:color w:val="082C44"/>
              </w:rPr>
              <w:t xml:space="preserve">Protected </w:t>
            </w:r>
            <w:r w:rsidR="004F620E" w:rsidRPr="00AA4A4D">
              <w:rPr>
                <w:rStyle w:val="Strong"/>
                <w:color w:val="082C44"/>
              </w:rPr>
              <w:t>areas</w:t>
            </w:r>
          </w:p>
        </w:tc>
        <w:tc>
          <w:tcPr>
            <w:tcW w:w="2552" w:type="dxa"/>
          </w:tcPr>
          <w:p w14:paraId="43A2FB90" w14:textId="78C5E323" w:rsidR="007836AF" w:rsidRPr="009764EE" w:rsidRDefault="00AF33B2" w:rsidP="00062616">
            <w:pPr>
              <w:pStyle w:val="TableTextLeft"/>
            </w:pPr>
            <w:r w:rsidRPr="009764EE">
              <w:t xml:space="preserve">Proportion </w:t>
            </w:r>
            <w:r w:rsidR="00B70F61" w:rsidRPr="009764EE">
              <w:t>of l</w:t>
            </w:r>
            <w:r w:rsidR="004E2F2F" w:rsidRPr="009764EE">
              <w:t>and</w:t>
            </w:r>
            <w:r w:rsidR="0067777D" w:rsidRPr="009764EE">
              <w:t xml:space="preserve"> and water</w:t>
            </w:r>
            <w:r w:rsidR="00350EC0">
              <w:t xml:space="preserve"> area</w:t>
            </w:r>
            <w:r w:rsidR="00673A48">
              <w:t>s</w:t>
            </w:r>
            <w:r w:rsidR="004E2F2F" w:rsidRPr="009764EE">
              <w:t xml:space="preserve"> dedicated to the </w:t>
            </w:r>
            <w:r w:rsidR="00B552E4" w:rsidRPr="009764EE">
              <w:t>long</w:t>
            </w:r>
            <w:r w:rsidR="00135DEA">
              <w:noBreakHyphen/>
            </w:r>
            <w:r w:rsidR="00B552E4" w:rsidRPr="009764EE">
              <w:t>term</w:t>
            </w:r>
            <w:r w:rsidR="004E2F2F" w:rsidRPr="009764EE">
              <w:t xml:space="preserve"> conservation of nature, its ecosystem and cultural values</w:t>
            </w:r>
            <w:r w:rsidR="00A30E35" w:rsidRPr="00C239AD">
              <w:rPr>
                <w:rStyle w:val="TableFootnoteReference"/>
              </w:rPr>
              <w:t>(</w:t>
            </w:r>
            <w:r w:rsidR="00883774" w:rsidRPr="00C239AD">
              <w:rPr>
                <w:rStyle w:val="TableFootnoteReference"/>
              </w:rPr>
              <w:t>d</w:t>
            </w:r>
            <w:r w:rsidR="00A30E35" w:rsidRPr="00C239AD">
              <w:rPr>
                <w:rStyle w:val="TableFootnoteReference"/>
              </w:rPr>
              <w:t>)</w:t>
            </w:r>
            <w:r w:rsidR="004E2F2F" w:rsidRPr="009764EE">
              <w:t> </w:t>
            </w:r>
          </w:p>
        </w:tc>
        <w:tc>
          <w:tcPr>
            <w:tcW w:w="2552" w:type="dxa"/>
          </w:tcPr>
          <w:p w14:paraId="5E99AC6F" w14:textId="6F27A545" w:rsidR="007836AF" w:rsidRPr="009764EE" w:rsidRDefault="008E005C" w:rsidP="00062616">
            <w:pPr>
              <w:pStyle w:val="TableTextLeft"/>
            </w:pPr>
            <w:r w:rsidRPr="009764EE">
              <w:rPr>
                <w:lang w:val="en-GB"/>
              </w:rPr>
              <w:t>Tracks the national target to protect and conserve 30</w:t>
            </w:r>
            <w:r w:rsidR="001524A0">
              <w:rPr>
                <w:lang w:val="en-GB"/>
              </w:rPr>
              <w:t> per c</w:t>
            </w:r>
            <w:r w:rsidRPr="009764EE">
              <w:rPr>
                <w:lang w:val="en-GB"/>
              </w:rPr>
              <w:t>ent of Australia</w:t>
            </w:r>
            <w:r w:rsidR="00135DEA">
              <w:rPr>
                <w:lang w:val="en-GB"/>
              </w:rPr>
              <w:t>’</w:t>
            </w:r>
            <w:r w:rsidRPr="009764EE">
              <w:rPr>
                <w:lang w:val="en-GB"/>
              </w:rPr>
              <w:t>s landmass and marine areas by 2030</w:t>
            </w:r>
          </w:p>
        </w:tc>
        <w:tc>
          <w:tcPr>
            <w:tcW w:w="1426" w:type="dxa"/>
          </w:tcPr>
          <w:p w14:paraId="41AD507F" w14:textId="0A8FF42F" w:rsidR="00174FDF" w:rsidRPr="00F03629" w:rsidRDefault="00573FDE" w:rsidP="00F03629">
            <w:pPr>
              <w:pStyle w:val="TableTextCentered"/>
              <w:rPr>
                <w:rFonts w:eastAsia="Century Gothic"/>
              </w:rPr>
            </w:pPr>
            <w:r w:rsidRPr="009764EE">
              <w:t>Improved</w:t>
            </w:r>
            <w:r w:rsidRPr="009764EE" w:rsidDel="00862D24">
              <w:rPr>
                <w:rFonts w:eastAsia="Century Gothic"/>
              </w:rPr>
              <w:t xml:space="preserve"> </w:t>
            </w:r>
          </w:p>
          <w:p w14:paraId="68AC1D30" w14:textId="0F64109D" w:rsidR="007836AF" w:rsidRPr="009764EE" w:rsidRDefault="008E5287" w:rsidP="00062616">
            <w:pPr>
              <w:pStyle w:val="TableTextCentered"/>
            </w:pPr>
            <w:r w:rsidRPr="009764EE">
              <w:t>2002</w:t>
            </w:r>
            <w:r w:rsidR="00721131">
              <w:softHyphen/>
            </w:r>
            <w:r w:rsidR="00151999">
              <w:t>–</w:t>
            </w:r>
            <w:r w:rsidR="00833824" w:rsidRPr="009764EE">
              <w:t>2022</w:t>
            </w:r>
          </w:p>
        </w:tc>
        <w:tc>
          <w:tcPr>
            <w:tcW w:w="1418" w:type="dxa"/>
          </w:tcPr>
          <w:p w14:paraId="6AA701EA" w14:textId="6CEC9872" w:rsidR="00621B60" w:rsidRPr="009764EE" w:rsidRDefault="00621B60" w:rsidP="00062616">
            <w:pPr>
              <w:pStyle w:val="TableTextCentered"/>
            </w:pPr>
            <w:r w:rsidRPr="009764EE">
              <w:t>22.1% of land</w:t>
            </w:r>
          </w:p>
          <w:p w14:paraId="2DE8AEBA" w14:textId="1953BBA7" w:rsidR="007836AF" w:rsidRPr="009764EE" w:rsidRDefault="00621B60" w:rsidP="00F03629">
            <w:pPr>
              <w:pStyle w:val="TableTextCentered"/>
            </w:pPr>
            <w:r w:rsidRPr="009764EE">
              <w:t>45% of marine</w:t>
            </w:r>
          </w:p>
        </w:tc>
      </w:tr>
      <w:tr w:rsidR="00665AD2" w:rsidRPr="009764EE" w14:paraId="56D9FCA7" w14:textId="7B6BB908" w:rsidTr="00330B86">
        <w:trPr>
          <w:trHeight w:val="113"/>
        </w:trPr>
        <w:tc>
          <w:tcPr>
            <w:tcW w:w="1134" w:type="dxa"/>
          </w:tcPr>
          <w:p w14:paraId="73C13B01" w14:textId="1DF873EF" w:rsidR="0020116A" w:rsidRPr="00AA4A4D" w:rsidRDefault="00E22467" w:rsidP="008D79E6">
            <w:pPr>
              <w:pStyle w:val="TableTextLeft"/>
              <w:rPr>
                <w:rStyle w:val="Strong"/>
                <w:color w:val="082C44"/>
              </w:rPr>
            </w:pPr>
            <w:r w:rsidRPr="00AA4A4D">
              <w:rPr>
                <w:rStyle w:val="Strong"/>
                <w:color w:val="082C44"/>
              </w:rPr>
              <w:t>Biological diversity</w:t>
            </w:r>
          </w:p>
        </w:tc>
        <w:tc>
          <w:tcPr>
            <w:tcW w:w="2552" w:type="dxa"/>
            <w:tcBorders>
              <w:bottom w:val="single" w:sz="4" w:space="0" w:color="216364"/>
            </w:tcBorders>
          </w:tcPr>
          <w:p w14:paraId="5701812F" w14:textId="510FDB62" w:rsidR="0020116A" w:rsidRPr="009764EE" w:rsidRDefault="00FA329B" w:rsidP="00062616">
            <w:pPr>
              <w:pStyle w:val="TableTextLeft"/>
            </w:pPr>
            <w:r w:rsidRPr="009764EE">
              <w:rPr>
                <w:color w:val="000000" w:themeColor="text1"/>
              </w:rPr>
              <w:t>Proportion</w:t>
            </w:r>
            <w:r w:rsidR="004B5C7F" w:rsidRPr="009764EE">
              <w:rPr>
                <w:color w:val="000000" w:themeColor="text1"/>
              </w:rPr>
              <w:t xml:space="preserve"> of decline </w:t>
            </w:r>
            <w:r w:rsidR="00AF03CF" w:rsidRPr="009764EE">
              <w:rPr>
                <w:color w:val="000000" w:themeColor="text1"/>
              </w:rPr>
              <w:t xml:space="preserve">in </w:t>
            </w:r>
            <w:r w:rsidR="00CA6050" w:rsidRPr="009764EE">
              <w:rPr>
                <w:color w:val="000000" w:themeColor="text1"/>
              </w:rPr>
              <w:t>Australia</w:t>
            </w:r>
            <w:r w:rsidR="00135DEA">
              <w:rPr>
                <w:color w:val="000000" w:themeColor="text1"/>
              </w:rPr>
              <w:t>’</w:t>
            </w:r>
            <w:r w:rsidR="00CA6050" w:rsidRPr="009764EE">
              <w:rPr>
                <w:color w:val="000000" w:themeColor="text1"/>
              </w:rPr>
              <w:t xml:space="preserve">s threatened and near threatened species </w:t>
            </w:r>
            <w:r w:rsidR="00D56E90" w:rsidRPr="009764EE">
              <w:rPr>
                <w:color w:val="000000" w:themeColor="text1"/>
              </w:rPr>
              <w:t xml:space="preserve">from the </w:t>
            </w:r>
            <w:r w:rsidR="00135DEA">
              <w:rPr>
                <w:color w:val="000000" w:themeColor="text1"/>
              </w:rPr>
              <w:t>‘</w:t>
            </w:r>
            <w:r w:rsidR="00A76560" w:rsidRPr="009764EE">
              <w:rPr>
                <w:color w:val="000000" w:themeColor="text1"/>
              </w:rPr>
              <w:t>Threatened Species Index</w:t>
            </w:r>
            <w:r w:rsidR="00135DEA">
              <w:rPr>
                <w:color w:val="000000" w:themeColor="text1"/>
              </w:rPr>
              <w:t>’</w:t>
            </w:r>
            <w:r w:rsidR="545CA2F1" w:rsidRPr="00BC491B">
              <w:rPr>
                <w:rStyle w:val="TableFootnoteReference"/>
              </w:rPr>
              <w:t>(</w:t>
            </w:r>
            <w:r w:rsidR="00883774" w:rsidRPr="00BC491B">
              <w:rPr>
                <w:rStyle w:val="TableFootnoteReference"/>
              </w:rPr>
              <w:t>e</w:t>
            </w:r>
            <w:r w:rsidR="00A30E35" w:rsidRPr="00BC491B">
              <w:rPr>
                <w:rStyle w:val="TableFootnoteReference"/>
              </w:rPr>
              <w:t>)</w:t>
            </w:r>
            <w:r w:rsidR="00A76560" w:rsidRPr="00C239AD">
              <w:t xml:space="preserve"> </w:t>
            </w:r>
          </w:p>
        </w:tc>
        <w:tc>
          <w:tcPr>
            <w:tcW w:w="2552" w:type="dxa"/>
            <w:tcBorders>
              <w:bottom w:val="single" w:sz="4" w:space="0" w:color="216364"/>
            </w:tcBorders>
          </w:tcPr>
          <w:p w14:paraId="6FC5D099" w14:textId="57D018EE" w:rsidR="0020116A" w:rsidRPr="009764EE" w:rsidRDefault="007D4817" w:rsidP="00062616">
            <w:pPr>
              <w:pStyle w:val="TableTextLeft"/>
            </w:pPr>
            <w:r w:rsidRPr="009764EE">
              <w:rPr>
                <w:lang w:val="en-GB"/>
              </w:rPr>
              <w:t>Indicator of bio</w:t>
            </w:r>
            <w:r w:rsidR="00E84D71" w:rsidRPr="009764EE">
              <w:rPr>
                <w:lang w:val="en-GB"/>
              </w:rPr>
              <w:t>di</w:t>
            </w:r>
            <w:r w:rsidRPr="009764EE">
              <w:rPr>
                <w:lang w:val="en-GB"/>
              </w:rPr>
              <w:t>versity lost and h</w:t>
            </w:r>
            <w:r w:rsidR="00CD28F8" w:rsidRPr="009764EE">
              <w:rPr>
                <w:lang w:val="en-GB"/>
              </w:rPr>
              <w:t xml:space="preserve">elps to gauge the </w:t>
            </w:r>
            <w:r w:rsidR="00CD28F8" w:rsidRPr="009764EE">
              <w:t>success of conservation policies</w:t>
            </w:r>
          </w:p>
        </w:tc>
        <w:tc>
          <w:tcPr>
            <w:tcW w:w="1426" w:type="dxa"/>
            <w:tcBorders>
              <w:bottom w:val="single" w:sz="4" w:space="0" w:color="216364"/>
            </w:tcBorders>
          </w:tcPr>
          <w:p w14:paraId="282770FD" w14:textId="3C2E9A65" w:rsidR="00174FDF" w:rsidRPr="009764EE" w:rsidRDefault="00573FDE" w:rsidP="00F03629">
            <w:pPr>
              <w:pStyle w:val="TableTextCentered"/>
              <w:rPr>
                <w:rFonts w:eastAsia="Century Gothic"/>
              </w:rPr>
            </w:pPr>
            <w:r w:rsidRPr="009764EE">
              <w:t xml:space="preserve">Deteriorated </w:t>
            </w:r>
          </w:p>
          <w:p w14:paraId="12E06656" w14:textId="1232A4C4" w:rsidR="0020116A" w:rsidRPr="009764EE" w:rsidRDefault="00BB295B" w:rsidP="00F03629">
            <w:pPr>
              <w:pStyle w:val="TableTextCentered"/>
            </w:pPr>
            <w:r>
              <w:t>2002</w:t>
            </w:r>
            <w:r w:rsidR="00151999">
              <w:t>–</w:t>
            </w:r>
            <w:r w:rsidR="00721131">
              <w:softHyphen/>
            </w:r>
            <w:r w:rsidR="00833824" w:rsidRPr="009764EE">
              <w:t>2019</w:t>
            </w:r>
          </w:p>
        </w:tc>
        <w:tc>
          <w:tcPr>
            <w:tcW w:w="1418" w:type="dxa"/>
            <w:tcBorders>
              <w:bottom w:val="single" w:sz="4" w:space="0" w:color="216364"/>
            </w:tcBorders>
          </w:tcPr>
          <w:p w14:paraId="45C2A252" w14:textId="006D6DF4" w:rsidR="00DF0EB4" w:rsidRPr="009764EE" w:rsidRDefault="00951054" w:rsidP="008D79E6">
            <w:pPr>
              <w:pStyle w:val="TableTextCentered"/>
            </w:pPr>
            <w:r w:rsidRPr="009764EE">
              <w:t>55%</w:t>
            </w:r>
            <w:r w:rsidR="00EC3EFC" w:rsidRPr="009764EE">
              <w:t xml:space="preserve"> average</w:t>
            </w:r>
            <w:r w:rsidR="006466F6" w:rsidRPr="009764EE">
              <w:t xml:space="preserve"> decline in relative abundance for the 278 species represented</w:t>
            </w:r>
            <w:r w:rsidR="008D79E6">
              <w:t xml:space="preserve"> </w:t>
            </w:r>
            <w:r w:rsidR="008739D1">
              <w:t>s</w:t>
            </w:r>
            <w:r w:rsidR="007D078E">
              <w:t>ince 1985</w:t>
            </w:r>
          </w:p>
        </w:tc>
      </w:tr>
      <w:tr w:rsidR="00EF6079" w:rsidRPr="009764EE" w14:paraId="07F67357" w14:textId="3D67394A" w:rsidTr="00330B86">
        <w:trPr>
          <w:trHeight w:val="113"/>
        </w:trPr>
        <w:tc>
          <w:tcPr>
            <w:tcW w:w="1134" w:type="dxa"/>
            <w:vMerge w:val="restart"/>
          </w:tcPr>
          <w:p w14:paraId="0447A885" w14:textId="53BB036D" w:rsidR="0020116A" w:rsidRPr="00AA4A4D" w:rsidRDefault="00DE3DCD" w:rsidP="008D79E6">
            <w:pPr>
              <w:pStyle w:val="TableTextLeft"/>
              <w:rPr>
                <w:rStyle w:val="Strong"/>
                <w:color w:val="082C44"/>
              </w:rPr>
            </w:pPr>
            <w:r w:rsidRPr="00AA4A4D">
              <w:rPr>
                <w:rStyle w:val="Strong"/>
                <w:color w:val="082C44"/>
              </w:rPr>
              <w:t xml:space="preserve">Resource </w:t>
            </w:r>
            <w:r w:rsidR="009602C9" w:rsidRPr="00AA4A4D">
              <w:rPr>
                <w:rStyle w:val="Strong"/>
                <w:color w:val="082C44"/>
              </w:rPr>
              <w:t>u</w:t>
            </w:r>
            <w:r w:rsidRPr="00AA4A4D">
              <w:rPr>
                <w:rStyle w:val="Strong"/>
                <w:color w:val="082C44"/>
              </w:rPr>
              <w:t xml:space="preserve">se and </w:t>
            </w:r>
            <w:r w:rsidR="004C4701" w:rsidRPr="00AA4A4D">
              <w:rPr>
                <w:rStyle w:val="Strong"/>
                <w:color w:val="082C44"/>
              </w:rPr>
              <w:t>w</w:t>
            </w:r>
            <w:r w:rsidRPr="00AA4A4D">
              <w:rPr>
                <w:rStyle w:val="Strong"/>
                <w:color w:val="082C44"/>
              </w:rPr>
              <w:t xml:space="preserve">aste </w:t>
            </w:r>
            <w:r w:rsidR="004C4701" w:rsidRPr="00AA4A4D">
              <w:rPr>
                <w:rStyle w:val="Strong"/>
                <w:color w:val="082C44"/>
              </w:rPr>
              <w:t>g</w:t>
            </w:r>
            <w:r w:rsidRPr="00AA4A4D">
              <w:rPr>
                <w:rStyle w:val="Strong"/>
                <w:color w:val="082C44"/>
              </w:rPr>
              <w:t>eneration</w:t>
            </w:r>
          </w:p>
        </w:tc>
        <w:tc>
          <w:tcPr>
            <w:tcW w:w="2552" w:type="dxa"/>
            <w:tcBorders>
              <w:top w:val="single" w:sz="4" w:space="0" w:color="216364"/>
              <w:bottom w:val="single" w:sz="4" w:space="0" w:color="EEEEEE" w:themeColor="background2"/>
            </w:tcBorders>
          </w:tcPr>
          <w:p w14:paraId="4C18B8DA" w14:textId="57CD82B3" w:rsidR="0020116A" w:rsidRPr="009764EE" w:rsidRDefault="00B371FE" w:rsidP="00062616">
            <w:pPr>
              <w:pStyle w:val="TableTextLeft"/>
              <w:rPr>
                <w:vertAlign w:val="superscript"/>
              </w:rPr>
            </w:pPr>
            <w:r w:rsidRPr="009764EE">
              <w:t>W</w:t>
            </w:r>
            <w:r w:rsidR="00A76560" w:rsidRPr="009764EE">
              <w:t xml:space="preserve">aste </w:t>
            </w:r>
            <w:r w:rsidRPr="009764EE">
              <w:t xml:space="preserve">generation </w:t>
            </w:r>
            <w:r w:rsidR="00A76560" w:rsidRPr="009764EE">
              <w:t>per person</w:t>
            </w:r>
            <w:r w:rsidR="00175718" w:rsidRPr="00C239AD">
              <w:rPr>
                <w:rStyle w:val="TableFootnoteReference"/>
              </w:rPr>
              <w:t>(</w:t>
            </w:r>
            <w:r w:rsidR="00883774" w:rsidRPr="00C239AD">
              <w:rPr>
                <w:rStyle w:val="TableFootnoteReference"/>
              </w:rPr>
              <w:t>f</w:t>
            </w:r>
            <w:r w:rsidR="00175718" w:rsidRPr="00C239AD">
              <w:rPr>
                <w:rStyle w:val="TableFootnoteReference"/>
              </w:rPr>
              <w:t>)</w:t>
            </w:r>
          </w:p>
        </w:tc>
        <w:tc>
          <w:tcPr>
            <w:tcW w:w="2552" w:type="dxa"/>
            <w:vMerge w:val="restart"/>
            <w:tcBorders>
              <w:top w:val="single" w:sz="4" w:space="0" w:color="216364"/>
              <w:bottom w:val="single" w:sz="4" w:space="0" w:color="EEEEEE" w:themeColor="background2"/>
            </w:tcBorders>
          </w:tcPr>
          <w:p w14:paraId="6B78686C" w14:textId="6F9EA2AB" w:rsidR="0020116A" w:rsidRPr="009764EE" w:rsidRDefault="00B13F7E" w:rsidP="00062616">
            <w:pPr>
              <w:pStyle w:val="TableTextLeft"/>
              <w:rPr>
                <w:color w:val="auto"/>
              </w:rPr>
            </w:pPr>
            <w:r w:rsidRPr="009764EE">
              <w:t>Together these indicators measure resources disposed</w:t>
            </w:r>
            <w:r w:rsidR="00135DEA">
              <w:noBreakHyphen/>
            </w:r>
            <w:r w:rsidRPr="009764EE">
              <w:t>of and recovered for further use</w:t>
            </w:r>
          </w:p>
        </w:tc>
        <w:tc>
          <w:tcPr>
            <w:tcW w:w="1426" w:type="dxa"/>
            <w:tcBorders>
              <w:top w:val="single" w:sz="4" w:space="0" w:color="216364"/>
              <w:bottom w:val="single" w:sz="4" w:space="0" w:color="EEEEEE" w:themeColor="background2"/>
            </w:tcBorders>
          </w:tcPr>
          <w:p w14:paraId="2E7AE7D7" w14:textId="2E3DF0B1" w:rsidR="00D22AE0" w:rsidRPr="00F03629" w:rsidRDefault="00573FDE" w:rsidP="00F03629">
            <w:pPr>
              <w:pStyle w:val="TableTextCentered"/>
              <w:rPr>
                <w:rFonts w:eastAsia="Century Gothic"/>
              </w:rPr>
            </w:pPr>
            <w:r w:rsidRPr="009764EE">
              <w:t xml:space="preserve">Improved </w:t>
            </w:r>
          </w:p>
          <w:p w14:paraId="054AE04A" w14:textId="7950D8C9" w:rsidR="0020116A" w:rsidRPr="009764EE" w:rsidRDefault="00E75C58" w:rsidP="008D79E6">
            <w:pPr>
              <w:pStyle w:val="TableTextCentered"/>
            </w:pPr>
            <w:r w:rsidRPr="009764EE">
              <w:t>2006</w:t>
            </w:r>
            <w:r w:rsidR="00151999">
              <w:t>–</w:t>
            </w:r>
            <w:r w:rsidR="00721131">
              <w:softHyphen/>
            </w:r>
            <w:r w:rsidRPr="009764EE">
              <w:t xml:space="preserve">07 </w:t>
            </w:r>
            <w:r w:rsidR="00E25436" w:rsidRPr="009764EE">
              <w:t>to</w:t>
            </w:r>
            <w:r w:rsidRPr="009764EE">
              <w:t xml:space="preserve"> 2020</w:t>
            </w:r>
            <w:r w:rsidR="00151999">
              <w:t>–</w:t>
            </w:r>
            <w:r w:rsidR="00721131">
              <w:softHyphen/>
            </w:r>
            <w:r w:rsidRPr="009764EE">
              <w:t>21</w:t>
            </w:r>
          </w:p>
        </w:tc>
        <w:tc>
          <w:tcPr>
            <w:tcW w:w="1418" w:type="dxa"/>
            <w:tcBorders>
              <w:top w:val="single" w:sz="4" w:space="0" w:color="216364"/>
              <w:bottom w:val="single" w:sz="4" w:space="0" w:color="EEEEEE" w:themeColor="background2"/>
            </w:tcBorders>
          </w:tcPr>
          <w:p w14:paraId="248B1D79" w14:textId="67218855" w:rsidR="0020116A" w:rsidRPr="009764EE" w:rsidRDefault="00951054" w:rsidP="00062616">
            <w:pPr>
              <w:pStyle w:val="TableTextCentered"/>
            </w:pPr>
            <w:r w:rsidRPr="009764EE">
              <w:t>3.3%</w:t>
            </w:r>
            <w:r w:rsidR="004858FA" w:rsidRPr="009764EE">
              <w:t xml:space="preserve"> decline in waste </w:t>
            </w:r>
            <w:r w:rsidR="00E74C76" w:rsidRPr="009764EE">
              <w:t>generation per person</w:t>
            </w:r>
          </w:p>
        </w:tc>
      </w:tr>
      <w:tr w:rsidR="00216531" w:rsidRPr="009764EE" w14:paraId="12D0DFB0" w14:textId="1979A25B" w:rsidTr="00330B86">
        <w:trPr>
          <w:trHeight w:val="113"/>
        </w:trPr>
        <w:tc>
          <w:tcPr>
            <w:tcW w:w="1134" w:type="dxa"/>
            <w:vMerge/>
          </w:tcPr>
          <w:p w14:paraId="04D94854" w14:textId="77777777" w:rsidR="00A76560" w:rsidRPr="009764EE" w:rsidRDefault="00A76560" w:rsidP="00964778">
            <w:pPr>
              <w:spacing w:before="0" w:after="0"/>
              <w:rPr>
                <w:rFonts w:ascii="Calibri" w:hAnsi="Calibri" w:cs="Calibri"/>
              </w:rPr>
            </w:pPr>
          </w:p>
        </w:tc>
        <w:tc>
          <w:tcPr>
            <w:tcW w:w="2552" w:type="dxa"/>
            <w:tcBorders>
              <w:top w:val="single" w:sz="4" w:space="0" w:color="EEEEEE" w:themeColor="background2"/>
            </w:tcBorders>
          </w:tcPr>
          <w:p w14:paraId="1EB86A5A" w14:textId="021BFBA0" w:rsidR="00A76560" w:rsidRPr="009764EE" w:rsidRDefault="00E22467" w:rsidP="00062616">
            <w:pPr>
              <w:pStyle w:val="TableTextLeft"/>
              <w:rPr>
                <w:vertAlign w:val="superscript"/>
              </w:rPr>
            </w:pPr>
            <w:r w:rsidRPr="009764EE">
              <w:t>P</w:t>
            </w:r>
            <w:r w:rsidR="00B56CD2" w:rsidRPr="009764EE">
              <w:t>rop</w:t>
            </w:r>
            <w:r w:rsidRPr="009764EE">
              <w:t xml:space="preserve">ortion of waste </w:t>
            </w:r>
            <w:r w:rsidR="00781815" w:rsidRPr="009764EE">
              <w:t xml:space="preserve">recovered for </w:t>
            </w:r>
            <w:r w:rsidR="00B6358F" w:rsidRPr="00A32C10">
              <w:t>reuse</w:t>
            </w:r>
            <w:r w:rsidR="00B6358F" w:rsidRPr="009764EE">
              <w:t xml:space="preserve">, </w:t>
            </w:r>
            <w:r w:rsidRPr="009764EE">
              <w:t>recycl</w:t>
            </w:r>
            <w:r w:rsidR="00B6358F" w:rsidRPr="009764EE">
              <w:t>ing</w:t>
            </w:r>
            <w:r w:rsidR="00ED17E8" w:rsidRPr="009764EE">
              <w:t xml:space="preserve"> or energy</w:t>
            </w:r>
            <w:r w:rsidR="00175718" w:rsidRPr="00C239AD">
              <w:rPr>
                <w:rStyle w:val="TableFootnoteReference"/>
              </w:rPr>
              <w:t>(</w:t>
            </w:r>
            <w:r w:rsidR="00883774" w:rsidRPr="00C239AD">
              <w:rPr>
                <w:rStyle w:val="TableFootnoteReference"/>
              </w:rPr>
              <w:t>f</w:t>
            </w:r>
            <w:r w:rsidR="003220DC" w:rsidRPr="00C239AD">
              <w:rPr>
                <w:rStyle w:val="TableFootnoteReference"/>
              </w:rPr>
              <w:t>)</w:t>
            </w:r>
            <w:r w:rsidR="00175718" w:rsidRPr="00C239AD">
              <w:t xml:space="preserve"> </w:t>
            </w:r>
          </w:p>
        </w:tc>
        <w:tc>
          <w:tcPr>
            <w:tcW w:w="2552" w:type="dxa"/>
            <w:vMerge/>
            <w:tcBorders>
              <w:top w:val="single" w:sz="4" w:space="0" w:color="EEEEEE" w:themeColor="background2"/>
            </w:tcBorders>
          </w:tcPr>
          <w:p w14:paraId="23D4C7A3" w14:textId="77777777" w:rsidR="00A76560" w:rsidRPr="009764EE" w:rsidRDefault="00A76560" w:rsidP="00964778">
            <w:pPr>
              <w:spacing w:before="0" w:after="0"/>
              <w:rPr>
                <w:rFonts w:ascii="Calibri" w:hAnsi="Calibri" w:cs="Calibri"/>
              </w:rPr>
            </w:pPr>
          </w:p>
        </w:tc>
        <w:tc>
          <w:tcPr>
            <w:tcW w:w="1426" w:type="dxa"/>
            <w:tcBorders>
              <w:top w:val="single" w:sz="4" w:space="0" w:color="EEEEEE" w:themeColor="background2"/>
            </w:tcBorders>
          </w:tcPr>
          <w:p w14:paraId="2CD72C40" w14:textId="45864AD4" w:rsidR="00E21332" w:rsidRPr="00F03629" w:rsidRDefault="00D22AE0" w:rsidP="00F03629">
            <w:pPr>
              <w:pStyle w:val="TableTextCentered"/>
              <w:rPr>
                <w:rFonts w:ascii="Calibri" w:hAnsi="Calibri" w:cs="Calibri"/>
              </w:rPr>
            </w:pPr>
            <w:r w:rsidRPr="009764EE">
              <w:t>Improved</w:t>
            </w:r>
          </w:p>
          <w:p w14:paraId="34FB7099" w14:textId="60431C79" w:rsidR="00A76560" w:rsidRPr="009764EE" w:rsidRDefault="00E75C58" w:rsidP="008D79E6">
            <w:pPr>
              <w:pStyle w:val="TableTextCentered"/>
            </w:pPr>
            <w:r w:rsidRPr="009764EE">
              <w:t>2006</w:t>
            </w:r>
            <w:r w:rsidR="00151999">
              <w:t>–</w:t>
            </w:r>
            <w:r w:rsidRPr="009764EE">
              <w:t xml:space="preserve">07 </w:t>
            </w:r>
            <w:r w:rsidR="00E25436" w:rsidRPr="009764EE">
              <w:rPr>
                <w:rFonts w:ascii="Calibri" w:hAnsi="Calibri" w:cs="Calibri"/>
              </w:rPr>
              <w:t>to</w:t>
            </w:r>
            <w:r w:rsidRPr="009764EE">
              <w:rPr>
                <w:rFonts w:ascii="Calibri" w:hAnsi="Calibri" w:cs="Calibri"/>
              </w:rPr>
              <w:t xml:space="preserve"> </w:t>
            </w:r>
            <w:r w:rsidRPr="009764EE">
              <w:t>2020</w:t>
            </w:r>
            <w:r w:rsidR="00151999">
              <w:t>–</w:t>
            </w:r>
            <w:r w:rsidR="00721131">
              <w:softHyphen/>
            </w:r>
            <w:r w:rsidRPr="009764EE">
              <w:t>21</w:t>
            </w:r>
          </w:p>
        </w:tc>
        <w:tc>
          <w:tcPr>
            <w:tcW w:w="1418" w:type="dxa"/>
            <w:tcBorders>
              <w:top w:val="single" w:sz="4" w:space="0" w:color="EEEEEE" w:themeColor="background2"/>
            </w:tcBorders>
          </w:tcPr>
          <w:p w14:paraId="2D1B7E81" w14:textId="24E7C748" w:rsidR="00A76560" w:rsidRPr="009764EE" w:rsidRDefault="00B13F7E" w:rsidP="008D79E6">
            <w:pPr>
              <w:pStyle w:val="TableTextCentered"/>
            </w:pPr>
            <w:r w:rsidRPr="009764EE">
              <w:t>63</w:t>
            </w:r>
            <w:r w:rsidR="00951054" w:rsidRPr="009764EE">
              <w:t>%</w:t>
            </w:r>
            <w:r w:rsidR="005E0FA8" w:rsidRPr="009764EE">
              <w:t xml:space="preserve"> </w:t>
            </w:r>
            <w:r w:rsidR="00862EE5" w:rsidRPr="009764EE">
              <w:t xml:space="preserve">of </w:t>
            </w:r>
            <w:r w:rsidR="005E0FA8" w:rsidRPr="009764EE">
              <w:t>waste</w:t>
            </w:r>
            <w:r w:rsidR="008D79E6">
              <w:t xml:space="preserve"> </w:t>
            </w:r>
            <w:r w:rsidR="00705839" w:rsidRPr="009764EE">
              <w:t>recovered</w:t>
            </w:r>
          </w:p>
        </w:tc>
      </w:tr>
    </w:tbl>
    <w:p w14:paraId="42BCE4C6" w14:textId="484EC777" w:rsidR="000768CA" w:rsidRPr="00BC491B" w:rsidRDefault="009D2944" w:rsidP="00BC491B">
      <w:pPr>
        <w:pStyle w:val="ChartorTableNote"/>
      </w:pPr>
      <w:r w:rsidRPr="00BC491B">
        <w:t>Source:</w:t>
      </w:r>
      <w:r w:rsidR="00062616" w:rsidRPr="00BC491B">
        <w:tab/>
      </w:r>
      <w:r w:rsidRPr="00BC491B">
        <w:t xml:space="preserve">(a) </w:t>
      </w:r>
      <w:r w:rsidR="00B25F65" w:rsidRPr="00BC491B">
        <w:t>DCCEEW Quarterly Update of Australia</w:t>
      </w:r>
      <w:r w:rsidR="00135DEA" w:rsidRPr="00BC491B">
        <w:t>’</w:t>
      </w:r>
      <w:r w:rsidR="00B25F65" w:rsidRPr="00BC491B">
        <w:t xml:space="preserve">s National Greenhouse Gas Inventory: December 2022 </w:t>
      </w:r>
      <w:r w:rsidR="0004163A" w:rsidRPr="00BC491B">
        <w:br/>
      </w:r>
      <w:r w:rsidRPr="00BC491B">
        <w:t xml:space="preserve">(b) </w:t>
      </w:r>
      <w:r w:rsidR="002D659D" w:rsidRPr="00BC491B">
        <w:t>DCCEEW</w:t>
      </w:r>
      <w:r w:rsidRPr="00BC491B">
        <w:t xml:space="preserve"> Australian Energy Statistics, Table O June 2023</w:t>
      </w:r>
      <w:r w:rsidRPr="00BC491B" w:rsidDel="004D247D">
        <w:t xml:space="preserve"> </w:t>
      </w:r>
      <w:r w:rsidR="00F94083" w:rsidRPr="00BC491B">
        <w:br/>
      </w:r>
      <w:r w:rsidRPr="00BC491B">
        <w:t>(c) National Environment Protection Council National Environment Protection (Ambient Air Quality) Measure</w:t>
      </w:r>
      <w:r w:rsidR="007C4B46" w:rsidRPr="00BC491B">
        <w:t xml:space="preserve"> and unpublished data</w:t>
      </w:r>
      <w:r w:rsidRPr="00BC491B">
        <w:t xml:space="preserve"> </w:t>
      </w:r>
      <w:r w:rsidR="00F94083" w:rsidRPr="00BC491B">
        <w:br/>
      </w:r>
      <w:r w:rsidRPr="00BC491B">
        <w:t>(d) DCCEEW the Collaborative Australian Protected Areas Database</w:t>
      </w:r>
      <w:r w:rsidR="00DA2DA3" w:rsidRPr="00BC491B">
        <w:t>, 2022</w:t>
      </w:r>
      <w:r w:rsidRPr="00BC491B">
        <w:t xml:space="preserve"> </w:t>
      </w:r>
      <w:r w:rsidR="00F94083" w:rsidRPr="00BC491B">
        <w:br/>
      </w:r>
      <w:r w:rsidRPr="00BC491B">
        <w:t>(e) Terrestrial Ecosystem Research Network the Threatened Species Network</w:t>
      </w:r>
      <w:r w:rsidR="002B5806" w:rsidRPr="00BC491B">
        <w:t xml:space="preserve"> 2022</w:t>
      </w:r>
      <w:r w:rsidRPr="00BC491B">
        <w:t xml:space="preserve"> </w:t>
      </w:r>
      <w:r w:rsidR="00F94083" w:rsidRPr="00BC491B">
        <w:br/>
      </w:r>
      <w:r w:rsidRPr="00BC491B">
        <w:t>(f) DCCEEW National Waste Report</w:t>
      </w:r>
      <w:r w:rsidR="00C71074" w:rsidRPr="00BC491B">
        <w:t xml:space="preserve"> 2022</w:t>
      </w:r>
    </w:p>
    <w:p w14:paraId="27212A5A" w14:textId="4043AD03" w:rsidR="00763542" w:rsidRPr="00BC491B" w:rsidRDefault="00AC74B2" w:rsidP="00BC491B">
      <w:pPr>
        <w:pStyle w:val="ChartorTableNote"/>
      </w:pPr>
      <w:r w:rsidRPr="00BC491B">
        <w:t>N</w:t>
      </w:r>
      <w:r w:rsidR="00763542" w:rsidRPr="00BC491B">
        <w:t>ote:</w:t>
      </w:r>
      <w:r w:rsidR="00062616" w:rsidRPr="00BC491B">
        <w:tab/>
      </w:r>
      <w:r w:rsidR="00885B43" w:rsidRPr="00BC491B">
        <w:t>(i)</w:t>
      </w:r>
      <w:r w:rsidR="00F0049C" w:rsidRPr="00BC491B">
        <w:t xml:space="preserve"> </w:t>
      </w:r>
      <w:r w:rsidR="00763542" w:rsidRPr="00BC491B">
        <w:t xml:space="preserve">Unless specified the latest value is the last data point in the </w:t>
      </w:r>
      <w:r w:rsidR="00B21E22" w:rsidRPr="00BC491B">
        <w:t>series</w:t>
      </w:r>
      <w:r w:rsidR="00F94083" w:rsidRPr="00BC491B">
        <w:br/>
      </w:r>
      <w:r w:rsidR="004D247D" w:rsidRPr="00BC491B">
        <w:t>(i</w:t>
      </w:r>
      <w:r w:rsidR="00885B43" w:rsidRPr="00BC491B">
        <w:t>i</w:t>
      </w:r>
      <w:r w:rsidR="004D247D" w:rsidRPr="00BC491B">
        <w:t xml:space="preserve">) </w:t>
      </w:r>
      <w:r w:rsidR="00B110ED" w:rsidRPr="00BC491B">
        <w:t>T</w:t>
      </w:r>
      <w:r w:rsidR="004D247D" w:rsidRPr="00BC491B">
        <w:t>his includes both on</w:t>
      </w:r>
      <w:r w:rsidR="00135DEA" w:rsidRPr="00BC491B">
        <w:noBreakHyphen/>
      </w:r>
      <w:r w:rsidR="004D247D" w:rsidRPr="00BC491B">
        <w:t>grid and off</w:t>
      </w:r>
      <w:r w:rsidR="00135DEA" w:rsidRPr="00BC491B">
        <w:noBreakHyphen/>
      </w:r>
      <w:r w:rsidR="004D247D" w:rsidRPr="00BC491B">
        <w:t>grid electricity generation</w:t>
      </w:r>
    </w:p>
    <w:p w14:paraId="565AF319" w14:textId="77777777" w:rsidR="000768CA" w:rsidRDefault="000768CA" w:rsidP="000768CA"/>
    <w:p w14:paraId="01095F77" w14:textId="3120E76C" w:rsidR="000768CA" w:rsidRPr="000768CA" w:rsidRDefault="000768CA" w:rsidP="000768CA">
      <w:pPr>
        <w:sectPr w:rsidR="000768CA" w:rsidRPr="000768CA" w:rsidSect="00DA302B">
          <w:endnotePr>
            <w:numFmt w:val="decimal"/>
          </w:endnotePr>
          <w:pgSz w:w="11906" w:h="16838" w:code="9"/>
          <w:pgMar w:top="1843" w:right="1418" w:bottom="1418" w:left="1418" w:header="851" w:footer="851" w:gutter="0"/>
          <w:cols w:space="567"/>
          <w:docGrid w:linePitch="360"/>
        </w:sectPr>
      </w:pPr>
    </w:p>
    <w:p w14:paraId="6DE9FC18" w14:textId="2D63245C" w:rsidR="00FE45F1" w:rsidRPr="009764EE" w:rsidRDefault="005C773B" w:rsidP="004E4E24">
      <w:r w:rsidRPr="009764EE">
        <w:t>Protecting</w:t>
      </w:r>
      <w:r w:rsidR="00E235A1" w:rsidRPr="009764EE">
        <w:t xml:space="preserve">, repairing and managing </w:t>
      </w:r>
      <w:r w:rsidRPr="009764EE">
        <w:t>a</w:t>
      </w:r>
      <w:r w:rsidR="00923A11" w:rsidRPr="009764EE">
        <w:t xml:space="preserve"> healthy and sustainable natural environment is essential for </w:t>
      </w:r>
      <w:r w:rsidR="00BF62AD" w:rsidRPr="009764EE">
        <w:t>a strong economy, thriving industries, a healthy population, and quality of life</w:t>
      </w:r>
      <w:r w:rsidR="00CC4ECC" w:rsidRPr="009764EE">
        <w:t>.</w:t>
      </w:r>
      <w:r w:rsidR="002A6A5D" w:rsidRPr="009764EE">
        <w:t xml:space="preserve"> </w:t>
      </w:r>
      <w:r w:rsidR="008D2642" w:rsidRPr="009764EE">
        <w:t>For</w:t>
      </w:r>
      <w:r w:rsidR="009D4B42" w:rsidRPr="009764EE">
        <w:t xml:space="preserve"> many Australians</w:t>
      </w:r>
      <w:r w:rsidR="001524A0">
        <w:t xml:space="preserve"> – </w:t>
      </w:r>
      <w:r w:rsidR="009D4B42" w:rsidRPr="009764EE">
        <w:t>including</w:t>
      </w:r>
      <w:r w:rsidR="008D2642" w:rsidRPr="009764EE">
        <w:t xml:space="preserve"> </w:t>
      </w:r>
      <w:r w:rsidR="001524A0">
        <w:t>First Nation</w:t>
      </w:r>
      <w:r w:rsidR="008D2642" w:rsidRPr="009764EE">
        <w:t>s people</w:t>
      </w:r>
      <w:r w:rsidR="001524A0">
        <w:t xml:space="preserve"> – </w:t>
      </w:r>
      <w:r w:rsidR="008D2642" w:rsidRPr="009764EE">
        <w:t>the natural environment provides a source o</w:t>
      </w:r>
      <w:r w:rsidR="0049388E" w:rsidRPr="009764EE">
        <w:t>f cultural and spiritual connection</w:t>
      </w:r>
      <w:r w:rsidR="00C831F8" w:rsidRPr="009764EE">
        <w:t xml:space="preserve">. </w:t>
      </w:r>
    </w:p>
    <w:p w14:paraId="06C121A7" w14:textId="0C7B97B4" w:rsidR="006223AD" w:rsidRPr="009764EE" w:rsidRDefault="00FE45F1" w:rsidP="004E4E24">
      <w:r w:rsidRPr="009764EE">
        <w:t>Access to adequate, good</w:t>
      </w:r>
      <w:r w:rsidR="00135DEA">
        <w:noBreakHyphen/>
      </w:r>
      <w:r w:rsidRPr="009764EE">
        <w:t xml:space="preserve">quality water is vital for our environment, communities, economy, and culture. Climate change threatens our water resources as severe droughts are projected to occur more frequently and last longer, extreme events become more </w:t>
      </w:r>
      <w:r w:rsidR="00A67C06" w:rsidRPr="009764EE">
        <w:t>frequent</w:t>
      </w:r>
      <w:r w:rsidR="00E15B7F">
        <w:t xml:space="preserve">, </w:t>
      </w:r>
      <w:r w:rsidR="00A67C06" w:rsidRPr="009764EE">
        <w:t>and</w:t>
      </w:r>
      <w:r w:rsidRPr="009764EE">
        <w:t xml:space="preserve"> intense and cool</w:t>
      </w:r>
      <w:r w:rsidR="00135DEA">
        <w:noBreakHyphen/>
      </w:r>
      <w:r w:rsidRPr="009764EE">
        <w:t>season rainfall is forecast to continue decreas</w:t>
      </w:r>
      <w:r w:rsidR="00791B74" w:rsidRPr="009764EE">
        <w:t>ing</w:t>
      </w:r>
      <w:r w:rsidRPr="009764EE">
        <w:t>.</w:t>
      </w:r>
    </w:p>
    <w:p w14:paraId="3A51290F" w14:textId="19109521" w:rsidR="004A082B" w:rsidRPr="009764EE" w:rsidRDefault="004A082B" w:rsidP="004E4E24">
      <w:r w:rsidRPr="009764EE">
        <w:t>As the urgency of addressing climate change increases and the impacts of changes that have already occurred become more pronounced, the importance of progress on these measures has increased.</w:t>
      </w:r>
    </w:p>
    <w:p w14:paraId="081F4F4F" w14:textId="27DB190E" w:rsidR="003349AF" w:rsidRPr="009764EE" w:rsidRDefault="003349AF" w:rsidP="004E4E24">
      <w:r w:rsidRPr="009764EE">
        <w:t xml:space="preserve">The metrics included in this section are intended to help us capture the elements that go towards </w:t>
      </w:r>
      <w:r w:rsidR="00D9761C" w:rsidRPr="009764EE">
        <w:t xml:space="preserve">greater sustainability: emissions reduction, air quality, </w:t>
      </w:r>
      <w:r w:rsidR="002A4D0B" w:rsidRPr="009764EE">
        <w:t>protected areas, biological diversity and resource us</w:t>
      </w:r>
      <w:r w:rsidR="00BD0B15" w:rsidRPr="009764EE">
        <w:t>e</w:t>
      </w:r>
      <w:r w:rsidR="002A4D0B" w:rsidRPr="009764EE">
        <w:t>.</w:t>
      </w:r>
      <w:r w:rsidR="00D9761C" w:rsidRPr="009764EE">
        <w:t xml:space="preserve"> </w:t>
      </w:r>
    </w:p>
    <w:p w14:paraId="70D23599" w14:textId="77777777" w:rsidR="00B81BA3" w:rsidRDefault="002A4D0B" w:rsidP="00B81BA3">
      <w:r w:rsidRPr="009764EE">
        <w:t xml:space="preserve">They </w:t>
      </w:r>
      <w:r w:rsidR="00BD0B15" w:rsidRPr="009764EE">
        <w:t>will</w:t>
      </w:r>
      <w:r w:rsidR="00BA24E4" w:rsidRPr="009764EE">
        <w:t xml:space="preserve"> complement the</w:t>
      </w:r>
      <w:r w:rsidR="0029307D" w:rsidRPr="009764EE">
        <w:t xml:space="preserve"> </w:t>
      </w:r>
      <w:r w:rsidR="00FE3FD7" w:rsidRPr="009764EE">
        <w:t>high</w:t>
      </w:r>
      <w:r w:rsidR="00135DEA">
        <w:noBreakHyphen/>
      </w:r>
      <w:r w:rsidR="00FE3FD7" w:rsidRPr="009764EE">
        <w:t xml:space="preserve">quality environmental information </w:t>
      </w:r>
      <w:r w:rsidR="00F969D6" w:rsidRPr="009764EE">
        <w:t xml:space="preserve">that will come </w:t>
      </w:r>
      <w:r w:rsidR="003E1685" w:rsidRPr="009764EE">
        <w:t>from</w:t>
      </w:r>
      <w:r w:rsidR="00F969D6" w:rsidRPr="009764EE">
        <w:t xml:space="preserve"> </w:t>
      </w:r>
      <w:r w:rsidR="0029307D" w:rsidRPr="00FB6842">
        <w:rPr>
          <w:rStyle w:val="Emphasis"/>
        </w:rPr>
        <w:t>Environment Information Australia</w:t>
      </w:r>
      <w:r w:rsidR="00B952A2" w:rsidRPr="00FB6842">
        <w:rPr>
          <w:rStyle w:val="Emphasis"/>
        </w:rPr>
        <w:t>,</w:t>
      </w:r>
      <w:r w:rsidR="0029307D" w:rsidRPr="009764EE">
        <w:t xml:space="preserve"> </w:t>
      </w:r>
      <w:r w:rsidR="00F969D6" w:rsidRPr="009764EE">
        <w:t>which</w:t>
      </w:r>
      <w:r w:rsidR="0029307D" w:rsidRPr="009764EE">
        <w:t xml:space="preserve"> </w:t>
      </w:r>
      <w:r w:rsidR="00BA24E4" w:rsidRPr="009764EE">
        <w:t>the Government is establishing</w:t>
      </w:r>
      <w:r w:rsidR="0029307D" w:rsidRPr="009764EE">
        <w:t xml:space="preserve">. </w:t>
      </w:r>
    </w:p>
    <w:p w14:paraId="3D1B221F" w14:textId="693830E6" w:rsidR="004C77AA" w:rsidRPr="00515A97" w:rsidRDefault="00B81BA3" w:rsidP="00B81BA3">
      <w:pPr>
        <w:pStyle w:val="Heading3"/>
        <w:rPr>
          <w:szCs w:val="24"/>
        </w:rPr>
      </w:pPr>
      <w:r>
        <w:br w:type="column"/>
      </w:r>
      <w:r w:rsidR="004C77AA" w:rsidRPr="00515A97">
        <w:t>Emission</w:t>
      </w:r>
      <w:r w:rsidR="00320600" w:rsidRPr="00515A97">
        <w:t>s</w:t>
      </w:r>
      <w:r w:rsidR="004C77AA" w:rsidRPr="00515A97">
        <w:t xml:space="preserve"> reduction</w:t>
      </w:r>
    </w:p>
    <w:p w14:paraId="32F171FB" w14:textId="2089C65C" w:rsidR="00F266EF" w:rsidRDefault="00BF4D6B" w:rsidP="004E4E24">
      <w:r w:rsidRPr="009764EE">
        <w:t>Around the world, action to achieve net zero emissions has accelerated. This transformation is the most significant shift in the world</w:t>
      </w:r>
      <w:r w:rsidR="00135DEA">
        <w:t>’</w:t>
      </w:r>
      <w:r w:rsidRPr="009764EE">
        <w:t>s economy since the industrial revolution. It is changing the value of countries</w:t>
      </w:r>
      <w:r w:rsidR="00135DEA">
        <w:t>’</w:t>
      </w:r>
      <w:r w:rsidRPr="009764EE">
        <w:t xml:space="preserve"> natural endowments, disrupting trade patterns, creating new markets, requiring heightened adaptability and rewarding </w:t>
      </w:r>
      <w:r w:rsidR="004A082B" w:rsidRPr="009764EE">
        <w:t xml:space="preserve">innovation. </w:t>
      </w:r>
    </w:p>
    <w:p w14:paraId="013A7E9D" w14:textId="3B313973" w:rsidR="00E953FA" w:rsidRPr="009764EE" w:rsidRDefault="00BF4D6B" w:rsidP="004E4E24">
      <w:r w:rsidRPr="009764EE">
        <w:t>Australia is among the countries best positioned to benefit from this transformation. Our</w:t>
      </w:r>
      <w:r w:rsidR="00AA4A4D">
        <w:t> </w:t>
      </w:r>
      <w:r w:rsidRPr="009764EE">
        <w:t xml:space="preserve">abundance of sun, wind and land means Australia </w:t>
      </w:r>
      <w:r w:rsidR="00FD16BF" w:rsidRPr="009764EE">
        <w:t xml:space="preserve">has potential to </w:t>
      </w:r>
      <w:r w:rsidRPr="009764EE">
        <w:t xml:space="preserve">generate large volumes of cheap electricity to power our homes and industries, and to export. </w:t>
      </w:r>
      <w:r w:rsidR="00C8767E" w:rsidRPr="009764EE">
        <w:t>Reducing emissions and growing new low</w:t>
      </w:r>
      <w:r w:rsidR="00135DEA">
        <w:noBreakHyphen/>
      </w:r>
      <w:r w:rsidR="00C8767E" w:rsidRPr="009764EE">
        <w:t>carbon industries will be key to realising this economic opportunity.</w:t>
      </w:r>
      <w:r w:rsidR="00F553AA" w:rsidRPr="009764EE">
        <w:t xml:space="preserve"> The costs of inaction or delaying action will far outweigh </w:t>
      </w:r>
      <w:r w:rsidR="00BB4ABA" w:rsidRPr="009764EE">
        <w:t xml:space="preserve">the </w:t>
      </w:r>
      <w:r w:rsidR="00F553AA" w:rsidRPr="009764EE">
        <w:t xml:space="preserve">costs of </w:t>
      </w:r>
      <w:r w:rsidR="00BB4ABA" w:rsidRPr="009764EE">
        <w:t>efficient mitigation</w:t>
      </w:r>
      <w:r w:rsidR="00F553AA" w:rsidRPr="009764EE">
        <w:t>.</w:t>
      </w:r>
    </w:p>
    <w:p w14:paraId="6879F9F4" w14:textId="796F87C7" w:rsidR="004C77AA" w:rsidRPr="009764EE" w:rsidRDefault="004C77AA" w:rsidP="004E4E24">
      <w:r w:rsidRPr="009764EE">
        <w:t>In Australia, annual greenhouse gas emissions have fallen by 24.7</w:t>
      </w:r>
      <w:r w:rsidR="001524A0">
        <w:t> per c</w:t>
      </w:r>
      <w:r w:rsidRPr="009764EE">
        <w:t xml:space="preserve">ent since June 2005 </w:t>
      </w:r>
      <w:r w:rsidR="00151999">
        <w:t>–</w:t>
      </w:r>
      <w:r w:rsidRPr="009764EE">
        <w:t>the baseline year for Australia</w:t>
      </w:r>
      <w:r w:rsidR="00135DEA">
        <w:t>’</w:t>
      </w:r>
      <w:r w:rsidRPr="009764EE">
        <w:t>s 2030 target under the Paris Agreement</w:t>
      </w:r>
      <w:r w:rsidR="001524A0">
        <w:t xml:space="preserve"> – </w:t>
      </w:r>
      <w:r w:rsidR="004E532A" w:rsidRPr="009764EE">
        <w:t>however</w:t>
      </w:r>
      <w:r w:rsidR="004624F1">
        <w:t>,</w:t>
      </w:r>
      <w:r w:rsidR="004E532A" w:rsidRPr="009764EE">
        <w:t xml:space="preserve"> emissions</w:t>
      </w:r>
      <w:r w:rsidR="001524A0">
        <w:t> per c</w:t>
      </w:r>
      <w:r w:rsidR="004E532A" w:rsidRPr="009764EE">
        <w:t>apita are higher than the OECD average</w:t>
      </w:r>
      <w:r w:rsidR="00337DE5" w:rsidRPr="009764EE">
        <w:t xml:space="preserve">. </w:t>
      </w:r>
      <w:r w:rsidR="004224E7" w:rsidRPr="009764EE">
        <w:t>S</w:t>
      </w:r>
      <w:r w:rsidR="00966BD7" w:rsidRPr="009764EE">
        <w:t>ubstantial further progress needs to be made to reach Australia</w:t>
      </w:r>
      <w:r w:rsidR="00135DEA">
        <w:t>’</w:t>
      </w:r>
      <w:r w:rsidR="00966BD7" w:rsidRPr="009764EE">
        <w:t>s legislated commitment to reduce emissions by 43</w:t>
      </w:r>
      <w:r w:rsidR="001524A0">
        <w:t> per c</w:t>
      </w:r>
      <w:r w:rsidR="00D31495" w:rsidRPr="009764EE">
        <w:t>ent</w:t>
      </w:r>
      <w:r w:rsidR="00966BD7" w:rsidRPr="009764EE">
        <w:t xml:space="preserve"> by 2030.</w:t>
      </w:r>
      <w:r w:rsidRPr="009764EE">
        <w:t xml:space="preserve"> </w:t>
      </w:r>
    </w:p>
    <w:p w14:paraId="3A11DF47" w14:textId="690A3F7B" w:rsidR="00805831" w:rsidRDefault="004C77AA" w:rsidP="004E4E24">
      <w:r w:rsidRPr="009764EE">
        <w:t>Recent declines have been driven largely by land use, land</w:t>
      </w:r>
      <w:r w:rsidR="00135DEA">
        <w:noBreakHyphen/>
      </w:r>
      <w:r w:rsidRPr="009764EE">
        <w:t xml:space="preserve">use change and </w:t>
      </w:r>
      <w:r w:rsidR="00BB62F2" w:rsidRPr="009764EE">
        <w:t>the</w:t>
      </w:r>
      <w:r w:rsidRPr="009764EE">
        <w:t xml:space="preserve"> forestry sector becoming a net carbon sink rather than a net source, along with the rapidly increasing share of renewables in electricity generation.</w:t>
      </w:r>
    </w:p>
    <w:p w14:paraId="0890693D" w14:textId="36990916" w:rsidR="00654DB7" w:rsidRDefault="00654DB7" w:rsidP="00B81BA3">
      <w:pPr>
        <w:pStyle w:val="SingleParagraph"/>
      </w:pPr>
    </w:p>
    <w:p w14:paraId="0452E609" w14:textId="77777777" w:rsidR="00805831" w:rsidRDefault="00805831" w:rsidP="00B81BA3">
      <w:pPr>
        <w:pStyle w:val="SingleParagraph"/>
        <w:sectPr w:rsidR="00805831" w:rsidSect="00DA302B">
          <w:endnotePr>
            <w:numFmt w:val="decimal"/>
          </w:endnotePr>
          <w:type w:val="continuous"/>
          <w:pgSz w:w="11906" w:h="16838"/>
          <w:pgMar w:top="1843" w:right="1418" w:bottom="1418" w:left="1418" w:header="851" w:footer="851" w:gutter="0"/>
          <w:cols w:num="2" w:space="567"/>
        </w:sectPr>
      </w:pPr>
    </w:p>
    <w:tbl>
      <w:tblPr>
        <w:tblStyle w:val="Style1"/>
        <w:tblW w:w="5000" w:type="pct"/>
        <w:tblLook w:val="0620" w:firstRow="1" w:lastRow="0" w:firstColumn="0" w:lastColumn="0" w:noHBand="1" w:noVBand="1"/>
      </w:tblPr>
      <w:tblGrid>
        <w:gridCol w:w="9070"/>
      </w:tblGrid>
      <w:tr w:rsidR="00E67500" w:rsidRPr="009764EE" w14:paraId="0FAB735D" w14:textId="77777777" w:rsidTr="00BC491B">
        <w:trPr>
          <w:cnfStyle w:val="100000000000" w:firstRow="1" w:lastRow="0" w:firstColumn="0" w:lastColumn="0" w:oddVBand="0" w:evenVBand="0" w:oddHBand="0" w:evenHBand="0" w:firstRowFirstColumn="0" w:firstRowLastColumn="0" w:lastRowFirstColumn="0" w:lastRowLastColumn="0"/>
        </w:trPr>
        <w:tc>
          <w:tcPr>
            <w:tcW w:w="5000" w:type="pct"/>
            <w:hideMark/>
          </w:tcPr>
          <w:p w14:paraId="0A180F96" w14:textId="52ABDFD6" w:rsidR="00E67500" w:rsidRPr="009764EE" w:rsidRDefault="003704B0" w:rsidP="006970A7">
            <w:pPr>
              <w:pStyle w:val="BoxHeading"/>
            </w:pPr>
            <w:r w:rsidRPr="009764EE">
              <w:lastRenderedPageBreak/>
              <w:t xml:space="preserve">Box </w:t>
            </w:r>
            <w:r w:rsidR="00A62195">
              <w:t>4</w:t>
            </w:r>
            <w:r w:rsidRPr="009764EE">
              <w:t xml:space="preserve">: </w:t>
            </w:r>
            <w:r w:rsidR="00E67500" w:rsidRPr="009764EE">
              <w:t>Net Zero Authority</w:t>
            </w:r>
          </w:p>
          <w:p w14:paraId="787C1B31" w14:textId="48F8EB44" w:rsidR="00E67500" w:rsidRPr="009764EE" w:rsidRDefault="00782ED2" w:rsidP="006970A7">
            <w:pPr>
              <w:pStyle w:val="BoxText"/>
              <w:rPr>
                <w:lang w:eastAsia="en-US"/>
              </w:rPr>
            </w:pPr>
            <w:r w:rsidRPr="006A30E4">
              <w:t>The global transformation to a net zero economy is</w:t>
            </w:r>
            <w:r w:rsidRPr="009764EE">
              <w:rPr>
                <w:lang w:eastAsia="en-US"/>
              </w:rPr>
              <w:t xml:space="preserve"> </w:t>
            </w:r>
            <w:r w:rsidRPr="006A30E4">
              <w:t>a massive source of economic opportunity for Australia, its regions, industries and workers</w:t>
            </w:r>
            <w:r w:rsidRPr="009764EE">
              <w:rPr>
                <w:lang w:eastAsia="en-US"/>
              </w:rPr>
              <w:t xml:space="preserve">. </w:t>
            </w:r>
          </w:p>
          <w:p w14:paraId="2B6F1111" w14:textId="12A71829" w:rsidR="00812B7B" w:rsidRPr="00EF2450" w:rsidRDefault="00812B7B" w:rsidP="006970A7">
            <w:pPr>
              <w:pStyle w:val="BoxText"/>
            </w:pPr>
            <w:r w:rsidRPr="00EF2450">
              <w:t>The Net Zero Authority will:</w:t>
            </w:r>
          </w:p>
          <w:p w14:paraId="5EEE7138" w14:textId="26EFEC01" w:rsidR="00812B7B" w:rsidRPr="00B81BA3" w:rsidRDefault="00812B7B" w:rsidP="00B81BA3">
            <w:pPr>
              <w:pStyle w:val="Boxbullet"/>
            </w:pPr>
            <w:r w:rsidRPr="0018375F">
              <w:t xml:space="preserve">Support workers in </w:t>
            </w:r>
            <w:r w:rsidRPr="00B81BA3">
              <w:t>emissions</w:t>
            </w:r>
            <w:r w:rsidR="00135DEA" w:rsidRPr="00B81BA3">
              <w:noBreakHyphen/>
            </w:r>
            <w:r w:rsidRPr="00B81BA3">
              <w:t>intensive sectors to access new employment, skills and support as the net zero transformation continues.</w:t>
            </w:r>
          </w:p>
          <w:p w14:paraId="7C7A6C73" w14:textId="1FB00A26" w:rsidR="00812B7B" w:rsidRPr="00B81BA3" w:rsidRDefault="00812B7B" w:rsidP="00B81BA3">
            <w:pPr>
              <w:pStyle w:val="Boxbullet"/>
            </w:pPr>
            <w:r w:rsidRPr="00B81BA3">
              <w:t>Coordinate programs and policies across government to support regions and communities to attract and take advantage of new clean energy industries and set those industries up for success.</w:t>
            </w:r>
          </w:p>
          <w:p w14:paraId="2213753A" w14:textId="7F9F6252" w:rsidR="00E67500" w:rsidRPr="009764EE" w:rsidRDefault="00812B7B" w:rsidP="00B81BA3">
            <w:pPr>
              <w:pStyle w:val="Boxbullet"/>
              <w:rPr>
                <w:b/>
              </w:rPr>
            </w:pPr>
            <w:r w:rsidRPr="00B81BA3">
              <w:t>Help investors and companies</w:t>
            </w:r>
            <w:r w:rsidRPr="0018375F">
              <w:t xml:space="preserve"> to engage with net zero transformation opportunities.</w:t>
            </w:r>
          </w:p>
        </w:tc>
      </w:tr>
    </w:tbl>
    <w:p w14:paraId="59332777" w14:textId="77777777" w:rsidR="00805831" w:rsidRDefault="00805831" w:rsidP="004E4E24">
      <w:pPr>
        <w:rPr>
          <w:rFonts w:ascii="Calibri" w:hAnsi="Calibri" w:cs="Calibri"/>
        </w:rPr>
        <w:sectPr w:rsidR="00805831" w:rsidSect="00DA302B">
          <w:endnotePr>
            <w:numFmt w:val="decimal"/>
          </w:endnotePr>
          <w:type w:val="continuous"/>
          <w:pgSz w:w="11906" w:h="16838"/>
          <w:pgMar w:top="1843" w:right="1418" w:bottom="1418" w:left="1418" w:header="851" w:footer="851" w:gutter="0"/>
          <w:cols w:space="567"/>
        </w:sectPr>
      </w:pPr>
    </w:p>
    <w:p w14:paraId="0AB2BB72" w14:textId="0B9B0004" w:rsidR="00E945A3" w:rsidRPr="009764EE" w:rsidRDefault="00817CF4" w:rsidP="00687656">
      <w:r w:rsidRPr="009764EE">
        <w:t xml:space="preserve">Electricity generated from renewable energy has increased from </w:t>
      </w:r>
      <w:r w:rsidR="00204982" w:rsidRPr="009764EE">
        <w:t>7.7</w:t>
      </w:r>
      <w:r w:rsidR="001524A0">
        <w:t> per c</w:t>
      </w:r>
      <w:r w:rsidRPr="009764EE">
        <w:t>ent in 200</w:t>
      </w:r>
      <w:r w:rsidR="00204982" w:rsidRPr="009764EE">
        <w:t>1</w:t>
      </w:r>
      <w:r w:rsidR="00151999">
        <w:t>–</w:t>
      </w:r>
      <w:r w:rsidRPr="009764EE">
        <w:t>0</w:t>
      </w:r>
      <w:r w:rsidR="00204982" w:rsidRPr="009764EE">
        <w:t>2</w:t>
      </w:r>
      <w:r w:rsidRPr="009764EE">
        <w:t xml:space="preserve"> to 30.9</w:t>
      </w:r>
      <w:r w:rsidR="001524A0">
        <w:t> per c</w:t>
      </w:r>
      <w:r w:rsidRPr="009764EE">
        <w:t>ent in 2021</w:t>
      </w:r>
      <w:r w:rsidR="00151999">
        <w:t>–</w:t>
      </w:r>
      <w:r w:rsidR="0060749B">
        <w:softHyphen/>
      </w:r>
      <w:r w:rsidRPr="009764EE">
        <w:t>22. This has been driven by an increase in electricity generated from wind from 0.</w:t>
      </w:r>
      <w:r w:rsidR="00773181" w:rsidRPr="009764EE">
        <w:t>2</w:t>
      </w:r>
      <w:r w:rsidR="001524A0">
        <w:t> per c</w:t>
      </w:r>
      <w:r w:rsidRPr="009764EE">
        <w:t>ent to 10.7</w:t>
      </w:r>
      <w:r w:rsidR="001524A0">
        <w:t> per c</w:t>
      </w:r>
      <w:r w:rsidRPr="009764EE">
        <w:t>ent and solar from less than 0.1</w:t>
      </w:r>
      <w:r w:rsidR="001524A0">
        <w:t> per c</w:t>
      </w:r>
      <w:r w:rsidRPr="009764EE">
        <w:t>ent to 12.8</w:t>
      </w:r>
      <w:r w:rsidR="001524A0">
        <w:t> per c</w:t>
      </w:r>
      <w:r w:rsidRPr="009764EE">
        <w:t xml:space="preserve">ent over the period. </w:t>
      </w:r>
      <w:r w:rsidR="00EB408F" w:rsidRPr="009764EE">
        <w:t>Australia</w:t>
      </w:r>
      <w:r w:rsidR="00135DEA">
        <w:t>’</w:t>
      </w:r>
      <w:r w:rsidR="00EB408F" w:rsidRPr="009764EE">
        <w:t>s electricity system is currently undergoing a historic transformation to reach the target of 82</w:t>
      </w:r>
      <w:r w:rsidR="001524A0">
        <w:t> per c</w:t>
      </w:r>
      <w:r w:rsidR="00971901" w:rsidRPr="009764EE">
        <w:t>ent</w:t>
      </w:r>
      <w:r w:rsidR="00EB408F" w:rsidRPr="009764EE">
        <w:t xml:space="preserve"> renewable energy by 2030.</w:t>
      </w:r>
      <w:r w:rsidR="004C50E8">
        <w:br w:type="column"/>
      </w:r>
      <w:r w:rsidR="004715BF" w:rsidRPr="009764EE">
        <w:t xml:space="preserve">The Government </w:t>
      </w:r>
      <w:r w:rsidR="00E945A3" w:rsidRPr="009764EE">
        <w:t>is developing a National Energy Performance Strategy to improve energy performance and affordability and reduce emissions. To measure progress, consideration is being given to the development metrics that track energy efficiency and productivity. </w:t>
      </w:r>
    </w:p>
    <w:p w14:paraId="51BC95DC" w14:textId="50346F2B" w:rsidR="00805831" w:rsidRDefault="001F4CFF" w:rsidP="00116EAA">
      <w:r w:rsidRPr="009764EE">
        <w:t>The Annual Climate Change Statement provides more detailed information on Australia</w:t>
      </w:r>
      <w:r w:rsidR="00135DEA">
        <w:t>’</w:t>
      </w:r>
      <w:r w:rsidRPr="009764EE">
        <w:t>s progress in reducing emissions</w:t>
      </w:r>
      <w:r w:rsidR="00B81BA3">
        <w:t>.</w:t>
      </w:r>
    </w:p>
    <w:p w14:paraId="5B73A2AA" w14:textId="77777777" w:rsidR="004C50E8" w:rsidRDefault="004C50E8" w:rsidP="00116EAA">
      <w:pPr>
        <w:rPr>
          <w:rFonts w:ascii="Calibri" w:hAnsi="Calibri" w:cs="Calibri"/>
        </w:rPr>
      </w:pPr>
    </w:p>
    <w:p w14:paraId="7E3433E3" w14:textId="77777777" w:rsidR="004C50E8" w:rsidRDefault="004C50E8" w:rsidP="00116EAA">
      <w:pPr>
        <w:rPr>
          <w:rFonts w:ascii="Calibri" w:hAnsi="Calibri" w:cs="Calibri"/>
        </w:rPr>
        <w:sectPr w:rsidR="004C50E8" w:rsidSect="00DA302B">
          <w:endnotePr>
            <w:numFmt w:val="decimal"/>
          </w:endnotePr>
          <w:type w:val="continuous"/>
          <w:pgSz w:w="11906" w:h="16838"/>
          <w:pgMar w:top="1843" w:right="1418" w:bottom="1418" w:left="1418" w:header="851" w:footer="851" w:gutter="0"/>
          <w:cols w:num="2" w:space="567"/>
        </w:sectPr>
      </w:pPr>
    </w:p>
    <w:p w14:paraId="6F87FD74" w14:textId="12DE17B7" w:rsidR="004C50E8" w:rsidRPr="006970A7" w:rsidRDefault="004C50E8" w:rsidP="000768CA">
      <w:pPr>
        <w:pStyle w:val="ChartMainHeading"/>
      </w:pPr>
      <w:r w:rsidRPr="006970A7">
        <w:t>Chart 7: Australia</w:t>
      </w:r>
      <w:r w:rsidR="00135DEA">
        <w:t>’</w:t>
      </w:r>
      <w:r w:rsidRPr="006970A7">
        <w:t xml:space="preserve">s net national greenhouse gas </w:t>
      </w:r>
      <w:r w:rsidRPr="000768CA">
        <w:t>emissions</w:t>
      </w:r>
    </w:p>
    <w:p w14:paraId="4F134B58" w14:textId="21C1FD5C" w:rsidR="004C50E8" w:rsidRPr="004A4ECF" w:rsidRDefault="004C50E8" w:rsidP="000768CA">
      <w:pPr>
        <w:pStyle w:val="ChartGraphic"/>
      </w:pPr>
      <w:r w:rsidRPr="004A4ECF">
        <w:rPr>
          <w:noProof/>
        </w:rPr>
        <w:drawing>
          <wp:inline distT="0" distB="0" distL="0" distR="0" wp14:anchorId="6F01D8B3" wp14:editId="10EF760F">
            <wp:extent cx="5580000" cy="2029331"/>
            <wp:effectExtent l="0" t="0" r="1905" b="9525"/>
            <wp:docPr id="11" name="Picture 11" descr="This is a line chart that shows that the annual greenhouse gas emissions have fallen from 622 Mt CO2-e in 2005 to 464 MT CO2-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line chart that shows that the annual greenhouse gas emissions have fallen from 622 Mt CO2-e in 2005 to 464 MT CO2-e in 2022."/>
                    <pic:cNvPicPr/>
                  </pic:nvPicPr>
                  <pic:blipFill>
                    <a:blip r:embed="rId48"/>
                    <a:stretch>
                      <a:fillRect/>
                    </a:stretch>
                  </pic:blipFill>
                  <pic:spPr>
                    <a:xfrm>
                      <a:off x="0" y="0"/>
                      <a:ext cx="5580000" cy="2029331"/>
                    </a:xfrm>
                    <a:prstGeom prst="rect">
                      <a:avLst/>
                    </a:prstGeom>
                  </pic:spPr>
                </pic:pic>
              </a:graphicData>
            </a:graphic>
          </wp:inline>
        </w:drawing>
      </w:r>
    </w:p>
    <w:p w14:paraId="19458CD7" w14:textId="5EC80E84" w:rsidR="004C50E8" w:rsidRPr="000768CA" w:rsidRDefault="004C50E8" w:rsidP="000768CA">
      <w:pPr>
        <w:pStyle w:val="ChartorTableNote"/>
      </w:pPr>
      <w:r w:rsidRPr="009764EE">
        <w:t>Source: DCCEEW Quarterly Update of Australia</w:t>
      </w:r>
      <w:r w:rsidR="00135DEA">
        <w:t>’</w:t>
      </w:r>
      <w:r w:rsidRPr="009764EE">
        <w:t>s National Greenhouse Gas Inventory December 2022.</w:t>
      </w:r>
    </w:p>
    <w:tbl>
      <w:tblPr>
        <w:tblStyle w:val="MWMKey"/>
        <w:tblW w:w="5000" w:type="pct"/>
        <w:tblLook w:val="0620" w:firstRow="1" w:lastRow="0" w:firstColumn="0" w:lastColumn="0" w:noHBand="1" w:noVBand="1"/>
      </w:tblPr>
      <w:tblGrid>
        <w:gridCol w:w="9070"/>
      </w:tblGrid>
      <w:tr w:rsidR="00E604CF" w:rsidRPr="009764EE" w14:paraId="1FE69EC1" w14:textId="77777777" w:rsidTr="00E604C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402D2B65" w14:textId="55F42912" w:rsidR="00E604CF" w:rsidRPr="009764EE" w:rsidRDefault="00E604CF" w:rsidP="00E604CF">
            <w:pPr>
              <w:pStyle w:val="BoxHeading"/>
              <w:spacing w:after="0"/>
            </w:pPr>
            <w:r w:rsidRPr="009764EE">
              <w:lastRenderedPageBreak/>
              <w:t>Key Government climate change initiatives</w:t>
            </w:r>
          </w:p>
        </w:tc>
      </w:tr>
      <w:tr w:rsidR="004C50E8" w:rsidRPr="009764EE" w14:paraId="176A95CF" w14:textId="77777777" w:rsidTr="00E604CF">
        <w:trPr>
          <w:trHeight w:val="20"/>
        </w:trPr>
        <w:tc>
          <w:tcPr>
            <w:tcW w:w="5000" w:type="pct"/>
            <w:hideMark/>
          </w:tcPr>
          <w:p w14:paraId="4CB189BE" w14:textId="75DD42A9" w:rsidR="004C50E8" w:rsidRPr="00B81BA3" w:rsidRDefault="004C50E8" w:rsidP="00B81BA3">
            <w:pPr>
              <w:pStyle w:val="Boxbullet"/>
            </w:pPr>
            <w:bookmarkStart w:id="66" w:name="_Hlk139538208"/>
            <w:r w:rsidRPr="0004529E">
              <w:rPr>
                <w:lang w:eastAsia="en-US"/>
              </w:rPr>
              <w:t xml:space="preserve">Legislated emissions </w:t>
            </w:r>
            <w:r w:rsidRPr="00B81BA3">
              <w:t>reduction targets of 43</w:t>
            </w:r>
            <w:r w:rsidR="001524A0" w:rsidRPr="00B81BA3">
              <w:t> per c</w:t>
            </w:r>
            <w:r w:rsidRPr="00B81BA3">
              <w:t>ent by 2030 and net zero emissions by 2050</w:t>
            </w:r>
          </w:p>
          <w:p w14:paraId="51FE2CD7" w14:textId="77777777" w:rsidR="004C50E8" w:rsidRPr="00B81BA3" w:rsidRDefault="004C50E8" w:rsidP="00B81BA3">
            <w:pPr>
              <w:pStyle w:val="Boxbullet"/>
            </w:pPr>
            <w:r w:rsidRPr="00B81BA3">
              <w:t>Safeguard Mechanism to reduce emissions from industry</w:t>
            </w:r>
          </w:p>
          <w:p w14:paraId="1F0B26C0" w14:textId="77777777" w:rsidR="004C50E8" w:rsidRPr="00B81BA3" w:rsidRDefault="004C50E8" w:rsidP="00B81BA3">
            <w:pPr>
              <w:pStyle w:val="Boxbullet"/>
            </w:pPr>
            <w:r w:rsidRPr="00B81BA3">
              <w:t>Powering Australia Plan</w:t>
            </w:r>
          </w:p>
          <w:p w14:paraId="09DA43C8" w14:textId="77777777" w:rsidR="004C50E8" w:rsidRPr="00B81BA3" w:rsidRDefault="004C50E8" w:rsidP="00B81BA3">
            <w:pPr>
              <w:pStyle w:val="Boxbullet"/>
            </w:pPr>
            <w:r w:rsidRPr="00B81BA3">
              <w:t>Household Energy Upgrades Fund and Small Business Energy Incentive to support electrification and energy efficiency upgrades</w:t>
            </w:r>
          </w:p>
          <w:p w14:paraId="156713B2" w14:textId="4BBAADFB" w:rsidR="004C50E8" w:rsidRPr="00B81BA3" w:rsidRDefault="004C50E8" w:rsidP="00B81BA3">
            <w:pPr>
              <w:pStyle w:val="Boxbullet"/>
            </w:pPr>
            <w:r w:rsidRPr="00B81BA3">
              <w:t>National renewable electricity target of 82</w:t>
            </w:r>
            <w:r w:rsidR="001524A0" w:rsidRPr="00B81BA3">
              <w:t> per c</w:t>
            </w:r>
            <w:r w:rsidRPr="00B81BA3">
              <w:t>ent by 2030</w:t>
            </w:r>
          </w:p>
          <w:p w14:paraId="2E6B4472" w14:textId="77777777" w:rsidR="004C50E8" w:rsidRPr="00B81BA3" w:rsidRDefault="004C50E8" w:rsidP="00B81BA3">
            <w:pPr>
              <w:pStyle w:val="Boxbullet"/>
            </w:pPr>
            <w:r w:rsidRPr="00B81BA3">
              <w:t>National Electric Vehicle Strategy</w:t>
            </w:r>
          </w:p>
          <w:p w14:paraId="642D8667" w14:textId="77777777" w:rsidR="004C50E8" w:rsidRPr="00B81BA3" w:rsidRDefault="004C50E8" w:rsidP="00B81BA3">
            <w:pPr>
              <w:pStyle w:val="Boxbullet"/>
            </w:pPr>
            <w:r w:rsidRPr="00B81BA3">
              <w:t>Net Zero Authority</w:t>
            </w:r>
          </w:p>
          <w:p w14:paraId="418A1813" w14:textId="77777777" w:rsidR="004C50E8" w:rsidRPr="00B81BA3" w:rsidRDefault="004C50E8" w:rsidP="00B81BA3">
            <w:pPr>
              <w:pStyle w:val="Boxbullet"/>
            </w:pPr>
            <w:r w:rsidRPr="00B81BA3">
              <w:t>Community Energy Upgrades Fund</w:t>
            </w:r>
          </w:p>
          <w:p w14:paraId="69CA7800" w14:textId="77777777" w:rsidR="004C50E8" w:rsidRPr="009764EE" w:rsidRDefault="004C50E8" w:rsidP="00B81BA3">
            <w:pPr>
              <w:pStyle w:val="Boxbullet"/>
            </w:pPr>
            <w:r w:rsidRPr="00B81BA3">
              <w:t>National Energy Performance Strategy</w:t>
            </w:r>
          </w:p>
        </w:tc>
      </w:tr>
      <w:bookmarkEnd w:id="66"/>
    </w:tbl>
    <w:p w14:paraId="23B80DF8" w14:textId="77777777" w:rsidR="004C50E8" w:rsidRDefault="004C50E8" w:rsidP="00E604CF"/>
    <w:p w14:paraId="31FB3F49" w14:textId="423EB03A" w:rsidR="004C50E8" w:rsidRDefault="004C50E8" w:rsidP="00E604CF">
      <w:pPr>
        <w:sectPr w:rsidR="004C50E8" w:rsidSect="00DA302B">
          <w:endnotePr>
            <w:numFmt w:val="decimal"/>
          </w:endnotePr>
          <w:type w:val="continuous"/>
          <w:pgSz w:w="11906" w:h="16838"/>
          <w:pgMar w:top="1843" w:right="1418" w:bottom="1418" w:left="1418" w:header="851" w:footer="851" w:gutter="0"/>
          <w:cols w:space="567"/>
        </w:sectPr>
      </w:pPr>
    </w:p>
    <w:p w14:paraId="7A6B305E" w14:textId="49D228E4" w:rsidR="00CD71F4" w:rsidRPr="009764EE" w:rsidRDefault="00CD71F4" w:rsidP="00E604CF">
      <w:pPr>
        <w:pStyle w:val="Heading3"/>
        <w:spacing w:before="0"/>
        <w:rPr>
          <w:rFonts w:cs="Calibri"/>
          <w:szCs w:val="24"/>
        </w:rPr>
      </w:pPr>
      <w:r w:rsidRPr="009764EE">
        <w:rPr>
          <w:rFonts w:cs="Calibri"/>
        </w:rPr>
        <w:t xml:space="preserve">Air </w:t>
      </w:r>
      <w:r w:rsidR="00114980" w:rsidRPr="009764EE">
        <w:rPr>
          <w:rFonts w:cs="Calibri"/>
          <w:szCs w:val="24"/>
        </w:rPr>
        <w:t>q</w:t>
      </w:r>
      <w:r w:rsidRPr="009764EE">
        <w:rPr>
          <w:rFonts w:cs="Calibri"/>
          <w:szCs w:val="24"/>
        </w:rPr>
        <w:t xml:space="preserve">uality </w:t>
      </w:r>
    </w:p>
    <w:p w14:paraId="068B6A37" w14:textId="2FC3BE60" w:rsidR="00541904" w:rsidRPr="009764EE" w:rsidRDefault="00CD71F4" w:rsidP="004E4E24">
      <w:r w:rsidRPr="009764EE">
        <w:t xml:space="preserve">Clean air is critical to a healthy population. </w:t>
      </w:r>
      <w:r w:rsidR="002B71D5" w:rsidRPr="009764EE">
        <w:t>T</w:t>
      </w:r>
      <w:r w:rsidRPr="009764EE">
        <w:t>here is a strong body of evidence that long</w:t>
      </w:r>
      <w:r w:rsidR="00135DEA">
        <w:noBreakHyphen/>
      </w:r>
      <w:r w:rsidRPr="009764EE">
        <w:t>term exposure to PM2.5</w:t>
      </w:r>
      <w:r w:rsidR="00D552B8" w:rsidRPr="009764EE">
        <w:t xml:space="preserve"> (</w:t>
      </w:r>
      <w:r w:rsidR="00D552B8" w:rsidRPr="009764EE">
        <w:rPr>
          <w:rFonts w:eastAsia="Calibri Light"/>
        </w:rPr>
        <w:t>particles with a diameter of 2.5 micrometres are less</w:t>
      </w:r>
      <w:r w:rsidR="00DA7C01" w:rsidRPr="009764EE">
        <w:rPr>
          <w:rFonts w:eastAsia="Calibri Light"/>
        </w:rPr>
        <w:t>)</w:t>
      </w:r>
      <w:r w:rsidR="001524A0">
        <w:t xml:space="preserve"> – </w:t>
      </w:r>
      <w:r w:rsidRPr="009764EE">
        <w:t>even at low concentrations</w:t>
      </w:r>
      <w:r w:rsidR="001524A0">
        <w:t xml:space="preserve"> – </w:t>
      </w:r>
      <w:r w:rsidRPr="009764EE">
        <w:t>can cause a range of adverse health effects including cardiovascular and respiratory disease, reduced lung function, cancer, and reduced life expectancy</w:t>
      </w:r>
      <w:r w:rsidR="008C678C" w:rsidRPr="009764EE">
        <w:t>.</w:t>
      </w:r>
      <w:r w:rsidR="00E30204" w:rsidRPr="005049F1">
        <w:rPr>
          <w:rStyle w:val="FootnoteReference"/>
        </w:rPr>
        <w:endnoteReference w:id="45"/>
      </w:r>
      <w:r w:rsidRPr="009764EE">
        <w:t> </w:t>
      </w:r>
    </w:p>
    <w:p w14:paraId="166D0599" w14:textId="36E56518" w:rsidR="00CD71F4" w:rsidRPr="009764EE" w:rsidRDefault="00541904" w:rsidP="004E4E24">
      <w:r w:rsidRPr="009764EE">
        <w:t>There are geographical limitations on measuring air quality</w:t>
      </w:r>
      <w:r w:rsidR="00847CA7" w:rsidRPr="009764EE">
        <w:t>,</w:t>
      </w:r>
      <w:r w:rsidRPr="009764EE">
        <w:t xml:space="preserve"> so it is challenging to draw broad conclusions. 31 of the 35 monitoring stations for which data was available for both 2017</w:t>
      </w:r>
      <w:r w:rsidR="0060749B">
        <w:softHyphen/>
      </w:r>
      <w:r w:rsidR="00151999">
        <w:t>–</w:t>
      </w:r>
      <w:r w:rsidRPr="009764EE">
        <w:t>18 and 2021</w:t>
      </w:r>
      <w:r w:rsidR="0060749B">
        <w:softHyphen/>
      </w:r>
      <w:r w:rsidR="00151999">
        <w:t>–</w:t>
      </w:r>
      <w:r w:rsidRPr="009764EE">
        <w:t>22 improved.</w:t>
      </w:r>
      <w:r w:rsidRPr="005049F1">
        <w:rPr>
          <w:rStyle w:val="FootnoteReference"/>
        </w:rPr>
        <w:endnoteReference w:id="46"/>
      </w:r>
      <w:r w:rsidR="002B71D5" w:rsidRPr="009764EE">
        <w:t xml:space="preserve"> Air quality was negatively impacted by the Black Summer bushfires which caused a spike in PM2.5 particles in 2019</w:t>
      </w:r>
      <w:r w:rsidR="0060749B">
        <w:softHyphen/>
      </w:r>
      <w:r w:rsidR="00151999">
        <w:t>–</w:t>
      </w:r>
      <w:r w:rsidR="002B71D5" w:rsidRPr="009764EE">
        <w:t>20.</w:t>
      </w:r>
    </w:p>
    <w:p w14:paraId="713CCAE2" w14:textId="25AFE279" w:rsidR="004F422B" w:rsidRPr="009764EE" w:rsidRDefault="004F422B" w:rsidP="00964778">
      <w:pPr>
        <w:pStyle w:val="Heading3"/>
        <w:rPr>
          <w:rFonts w:cs="Calibri"/>
          <w:szCs w:val="24"/>
        </w:rPr>
      </w:pPr>
      <w:r w:rsidRPr="009764EE">
        <w:rPr>
          <w:rFonts w:cs="Calibri"/>
        </w:rPr>
        <w:t>Protect</w:t>
      </w:r>
      <w:r w:rsidRPr="009764EE">
        <w:rPr>
          <w:rFonts w:cs="Calibri"/>
          <w:szCs w:val="24"/>
        </w:rPr>
        <w:t>ed areas</w:t>
      </w:r>
      <w:r w:rsidR="00620078">
        <w:rPr>
          <w:rFonts w:cs="Calibri"/>
          <w:szCs w:val="24"/>
        </w:rPr>
        <w:t xml:space="preserve"> </w:t>
      </w:r>
    </w:p>
    <w:p w14:paraId="30E6F9C9" w14:textId="57A83C63" w:rsidR="00D50666" w:rsidRPr="00B81BA3" w:rsidRDefault="00940283" w:rsidP="004E4E24">
      <w:pPr>
        <w:rPr>
          <w:rFonts w:eastAsia="Calibri Light"/>
          <w:spacing w:val="-2"/>
        </w:rPr>
      </w:pPr>
      <w:r w:rsidRPr="00B81BA3">
        <w:rPr>
          <w:rFonts w:eastAsia="Calibri Light"/>
          <w:spacing w:val="-2"/>
        </w:rPr>
        <w:t>The National Reserve System, with its network of protected areas, is conserving our biodiversity</w:t>
      </w:r>
      <w:r w:rsidR="00242341" w:rsidRPr="00B81BA3">
        <w:rPr>
          <w:rFonts w:eastAsia="Calibri Light"/>
          <w:spacing w:val="-2"/>
        </w:rPr>
        <w:t xml:space="preserve">, </w:t>
      </w:r>
      <w:r w:rsidRPr="00B81BA3">
        <w:rPr>
          <w:rFonts w:eastAsia="Calibri Light"/>
          <w:spacing w:val="-2"/>
        </w:rPr>
        <w:t>protecting our ecosystems</w:t>
      </w:r>
      <w:r w:rsidR="00B8619D" w:rsidRPr="00B81BA3">
        <w:rPr>
          <w:rFonts w:eastAsia="Calibri Light"/>
          <w:spacing w:val="-2"/>
        </w:rPr>
        <w:t xml:space="preserve"> and providing opportunit</w:t>
      </w:r>
      <w:r w:rsidR="00242341" w:rsidRPr="00B81BA3">
        <w:rPr>
          <w:rFonts w:eastAsia="Calibri Light"/>
          <w:spacing w:val="-2"/>
        </w:rPr>
        <w:t>y</w:t>
      </w:r>
      <w:r w:rsidR="00B8619D" w:rsidRPr="00B81BA3">
        <w:rPr>
          <w:rFonts w:eastAsia="Calibri Light"/>
          <w:spacing w:val="-2"/>
        </w:rPr>
        <w:t xml:space="preserve"> for Australians to connect with nature</w:t>
      </w:r>
      <w:r w:rsidR="001524A0" w:rsidRPr="00B81BA3">
        <w:rPr>
          <w:rFonts w:eastAsia="Calibri Light"/>
          <w:spacing w:val="-2"/>
        </w:rPr>
        <w:t xml:space="preserve"> – </w:t>
      </w:r>
      <w:r w:rsidR="002D4CD6" w:rsidRPr="00B81BA3">
        <w:rPr>
          <w:rFonts w:eastAsia="Calibri Light"/>
          <w:spacing w:val="-2"/>
        </w:rPr>
        <w:t xml:space="preserve">a critical part of our national identity and </w:t>
      </w:r>
      <w:r w:rsidR="000C4D18" w:rsidRPr="00B81BA3">
        <w:rPr>
          <w:rFonts w:eastAsia="Calibri Light"/>
          <w:spacing w:val="-2"/>
        </w:rPr>
        <w:t>an</w:t>
      </w:r>
      <w:r w:rsidR="00D50666" w:rsidRPr="00B81BA3">
        <w:rPr>
          <w:rFonts w:eastAsia="Calibri Light"/>
          <w:spacing w:val="-2"/>
        </w:rPr>
        <w:t xml:space="preserve"> essential</w:t>
      </w:r>
      <w:r w:rsidR="002D4CD6" w:rsidRPr="00B81BA3">
        <w:rPr>
          <w:rFonts w:eastAsia="Calibri Light"/>
          <w:spacing w:val="-2"/>
        </w:rPr>
        <w:t xml:space="preserve"> </w:t>
      </w:r>
      <w:r w:rsidR="000C4D18" w:rsidRPr="00B81BA3">
        <w:rPr>
          <w:rFonts w:eastAsia="Calibri Light"/>
          <w:spacing w:val="-2"/>
        </w:rPr>
        <w:t>part</w:t>
      </w:r>
      <w:r w:rsidR="002D4CD6" w:rsidRPr="00B81BA3">
        <w:rPr>
          <w:rFonts w:eastAsia="Calibri Light"/>
          <w:spacing w:val="-2"/>
        </w:rPr>
        <w:t xml:space="preserve"> </w:t>
      </w:r>
      <w:r w:rsidR="000C4D18" w:rsidRPr="00B81BA3">
        <w:rPr>
          <w:rFonts w:eastAsia="Calibri Light"/>
          <w:spacing w:val="-2"/>
        </w:rPr>
        <w:t>of</w:t>
      </w:r>
      <w:r w:rsidR="002D4CD6" w:rsidRPr="00B81BA3">
        <w:rPr>
          <w:rFonts w:eastAsia="Calibri Light"/>
          <w:spacing w:val="-2"/>
        </w:rPr>
        <w:t xml:space="preserve"> </w:t>
      </w:r>
      <w:r w:rsidR="001524A0" w:rsidRPr="00B81BA3">
        <w:rPr>
          <w:rFonts w:eastAsia="Calibri Light"/>
          <w:spacing w:val="-2"/>
        </w:rPr>
        <w:t>First Nation</w:t>
      </w:r>
      <w:r w:rsidR="002D4CD6" w:rsidRPr="00B81BA3">
        <w:rPr>
          <w:rFonts w:eastAsia="Calibri Light"/>
          <w:spacing w:val="-2"/>
        </w:rPr>
        <w:t>s culture</w:t>
      </w:r>
      <w:r w:rsidRPr="00B81BA3" w:rsidDel="002D4CD6">
        <w:rPr>
          <w:rFonts w:eastAsia="Calibri Light"/>
          <w:spacing w:val="-2"/>
        </w:rPr>
        <w:t>.</w:t>
      </w:r>
      <w:r w:rsidRPr="00B81BA3">
        <w:rPr>
          <w:rFonts w:eastAsia="Calibri Light"/>
          <w:spacing w:val="-2"/>
        </w:rPr>
        <w:t xml:space="preserve"> </w:t>
      </w:r>
    </w:p>
    <w:p w14:paraId="047E6A04" w14:textId="1CE0D1A3" w:rsidR="00076F81" w:rsidRPr="009764EE" w:rsidRDefault="00735497" w:rsidP="004E4E24">
      <w:pPr>
        <w:rPr>
          <w:rFonts w:eastAsia="Calibri Light"/>
        </w:rPr>
      </w:pPr>
      <w:r w:rsidRPr="009764EE">
        <w:rPr>
          <w:rFonts w:eastAsia="Calibri Light"/>
        </w:rPr>
        <w:t xml:space="preserve">Marine protected areas are recognised as one of the best ways to conserve and protect </w:t>
      </w:r>
      <w:r w:rsidRPr="009764EE">
        <w:rPr>
          <w:rFonts w:eastAsia="Calibri Light"/>
        </w:rPr>
        <w:t>biodiversity in our oceans. Australia has a world</w:t>
      </w:r>
      <w:r w:rsidR="00135DEA">
        <w:rPr>
          <w:rFonts w:eastAsia="Calibri Light"/>
        </w:rPr>
        <w:noBreakHyphen/>
      </w:r>
      <w:r w:rsidRPr="009764EE">
        <w:rPr>
          <w:rFonts w:eastAsia="Calibri Light"/>
        </w:rPr>
        <w:t>leading National Representative System of Marine Protected Areas, which contributes to the long</w:t>
      </w:r>
      <w:r w:rsidR="00135DEA">
        <w:rPr>
          <w:rFonts w:eastAsia="Calibri Light"/>
        </w:rPr>
        <w:noBreakHyphen/>
      </w:r>
      <w:r w:rsidRPr="009764EE">
        <w:rPr>
          <w:rFonts w:eastAsia="Calibri Light"/>
        </w:rPr>
        <w:t xml:space="preserve">term viability of the marine environment. </w:t>
      </w:r>
      <w:r w:rsidR="00940283" w:rsidRPr="009764EE">
        <w:rPr>
          <w:rFonts w:eastAsia="Calibri Light"/>
        </w:rPr>
        <w:t xml:space="preserve">Progress has been made </w:t>
      </w:r>
      <w:r w:rsidR="003267A5" w:rsidRPr="009764EE">
        <w:rPr>
          <w:rFonts w:eastAsia="Calibri Light"/>
        </w:rPr>
        <w:t>on the</w:t>
      </w:r>
      <w:r w:rsidR="00940283" w:rsidRPr="009764EE">
        <w:rPr>
          <w:rFonts w:eastAsia="Calibri Light"/>
        </w:rPr>
        <w:t xml:space="preserve"> protection of the natural environment in Australia</w:t>
      </w:r>
      <w:r w:rsidR="00242341" w:rsidRPr="009764EE">
        <w:rPr>
          <w:rFonts w:eastAsia="Calibri Light"/>
        </w:rPr>
        <w:t xml:space="preserve">, with </w:t>
      </w:r>
      <w:r w:rsidR="00CC6A16" w:rsidRPr="009764EE">
        <w:rPr>
          <w:rFonts w:eastAsia="Calibri Light"/>
        </w:rPr>
        <w:t>the proportion of protected landmass growing significantly since 1997</w:t>
      </w:r>
      <w:r w:rsidR="00CE01A0" w:rsidRPr="009764EE">
        <w:rPr>
          <w:rFonts w:eastAsia="Calibri Light"/>
        </w:rPr>
        <w:t>.</w:t>
      </w:r>
      <w:r w:rsidR="00CE01A0" w:rsidRPr="005049F1">
        <w:rPr>
          <w:rStyle w:val="FootnoteReference"/>
          <w:rFonts w:eastAsia="Calibri Light"/>
        </w:rPr>
        <w:endnoteReference w:id="47"/>
      </w:r>
      <w:r w:rsidR="004A7DD3" w:rsidRPr="009764EE">
        <w:rPr>
          <w:rFonts w:eastAsia="Calibri Light"/>
        </w:rPr>
        <w:t xml:space="preserve"> </w:t>
      </w:r>
      <w:r w:rsidR="00940283" w:rsidRPr="009764EE">
        <w:rPr>
          <w:rFonts w:eastAsia="Calibri Light"/>
        </w:rPr>
        <w:t>A</w:t>
      </w:r>
      <w:r w:rsidR="00B81BA3">
        <w:rPr>
          <w:rFonts w:eastAsia="Calibri Light"/>
        </w:rPr>
        <w:t> </w:t>
      </w:r>
      <w:r w:rsidR="00940283" w:rsidRPr="009764EE">
        <w:rPr>
          <w:rFonts w:eastAsia="Calibri Light"/>
        </w:rPr>
        <w:t>large portion of the growth has come from the increase in Indigenous Protected Areas</w:t>
      </w:r>
      <w:r w:rsidR="00B6119D" w:rsidRPr="009764EE">
        <w:rPr>
          <w:rFonts w:eastAsia="Calibri Light"/>
        </w:rPr>
        <w:t xml:space="preserve">, which are managed by </w:t>
      </w:r>
      <w:r w:rsidR="001524A0">
        <w:rPr>
          <w:rFonts w:eastAsia="Calibri Light"/>
        </w:rPr>
        <w:t>First Nation</w:t>
      </w:r>
      <w:r w:rsidR="00B6119D" w:rsidRPr="009764EE">
        <w:rPr>
          <w:rFonts w:eastAsia="Calibri Light"/>
        </w:rPr>
        <w:t xml:space="preserve">s </w:t>
      </w:r>
      <w:r w:rsidR="00822A8B" w:rsidRPr="009764EE">
        <w:rPr>
          <w:rFonts w:eastAsia="Calibri Light"/>
        </w:rPr>
        <w:t>g</w:t>
      </w:r>
      <w:r w:rsidR="00B6119D" w:rsidRPr="009764EE">
        <w:rPr>
          <w:rFonts w:eastAsia="Calibri Light"/>
        </w:rPr>
        <w:t xml:space="preserve">roups in accordance with </w:t>
      </w:r>
      <w:r w:rsidR="00D46E9E" w:rsidRPr="009764EE">
        <w:rPr>
          <w:rFonts w:eastAsia="Calibri Light"/>
        </w:rPr>
        <w:t>Traditional</w:t>
      </w:r>
      <w:r w:rsidR="00B6119D" w:rsidRPr="009764EE">
        <w:rPr>
          <w:rFonts w:eastAsia="Calibri Light"/>
        </w:rPr>
        <w:t xml:space="preserve"> Owners</w:t>
      </w:r>
      <w:r w:rsidR="00135DEA">
        <w:rPr>
          <w:rFonts w:eastAsia="Calibri Light"/>
        </w:rPr>
        <w:t>’</w:t>
      </w:r>
      <w:r w:rsidR="00B6119D" w:rsidRPr="009764EE">
        <w:rPr>
          <w:rFonts w:eastAsia="Calibri Light"/>
        </w:rPr>
        <w:t xml:space="preserve"> objectives</w:t>
      </w:r>
      <w:r w:rsidR="00940283" w:rsidRPr="009764EE">
        <w:rPr>
          <w:rFonts w:eastAsia="Calibri Light"/>
        </w:rPr>
        <w:t>.</w:t>
      </w:r>
      <w:r w:rsidR="000303B0" w:rsidRPr="005049F1">
        <w:rPr>
          <w:rStyle w:val="FootnoteReference"/>
          <w:rFonts w:eastAsia="Calibri Light"/>
        </w:rPr>
        <w:endnoteReference w:id="48"/>
      </w:r>
      <w:r w:rsidR="00940283" w:rsidRPr="009764EE">
        <w:rPr>
          <w:rFonts w:eastAsia="Calibri Light"/>
        </w:rPr>
        <w:t xml:space="preserve"> </w:t>
      </w:r>
    </w:p>
    <w:p w14:paraId="02E75649" w14:textId="2B4E7CDD" w:rsidR="00D6444C" w:rsidRPr="009764EE" w:rsidRDefault="00076F81" w:rsidP="004E4E24">
      <w:pPr>
        <w:rPr>
          <w:rFonts w:eastAsia="Calibri Light"/>
        </w:rPr>
      </w:pPr>
      <w:r w:rsidRPr="009764EE">
        <w:rPr>
          <w:rFonts w:eastAsia="Calibri Light"/>
        </w:rPr>
        <w:t>Australia</w:t>
      </w:r>
      <w:r w:rsidR="00135DEA">
        <w:rPr>
          <w:rFonts w:eastAsia="Calibri Light"/>
        </w:rPr>
        <w:t>’</w:t>
      </w:r>
      <w:r w:rsidRPr="009764EE">
        <w:rPr>
          <w:rFonts w:eastAsia="Calibri Light"/>
        </w:rPr>
        <w:t xml:space="preserve">s National Representative System of Marine Protected Areas </w:t>
      </w:r>
      <w:r w:rsidR="00471861" w:rsidRPr="009764EE">
        <w:rPr>
          <w:rFonts w:eastAsia="Calibri Light"/>
        </w:rPr>
        <w:t xml:space="preserve">was designed to create a </w:t>
      </w:r>
      <w:r w:rsidRPr="009764EE">
        <w:rPr>
          <w:rFonts w:eastAsia="Calibri Light"/>
        </w:rPr>
        <w:t xml:space="preserve">comprehensive, adequate and representative </w:t>
      </w:r>
      <w:r w:rsidR="00A60850" w:rsidRPr="009764EE">
        <w:rPr>
          <w:rFonts w:eastAsia="Calibri Light"/>
        </w:rPr>
        <w:t>system of protected area</w:t>
      </w:r>
      <w:r w:rsidR="00BF3EA5" w:rsidRPr="009764EE">
        <w:rPr>
          <w:rFonts w:eastAsia="Calibri Light"/>
        </w:rPr>
        <w:t>s</w:t>
      </w:r>
      <w:r w:rsidR="00A60850" w:rsidRPr="009764EE">
        <w:rPr>
          <w:rFonts w:eastAsia="Calibri Light"/>
        </w:rPr>
        <w:t xml:space="preserve">, </w:t>
      </w:r>
      <w:r w:rsidRPr="009764EE">
        <w:rPr>
          <w:rFonts w:eastAsia="Calibri Light"/>
        </w:rPr>
        <w:t>which contributes to the long</w:t>
      </w:r>
      <w:r w:rsidR="00135DEA">
        <w:rPr>
          <w:rFonts w:eastAsia="Calibri Light"/>
        </w:rPr>
        <w:noBreakHyphen/>
      </w:r>
      <w:r w:rsidRPr="009764EE">
        <w:rPr>
          <w:rFonts w:eastAsia="Calibri Light"/>
        </w:rPr>
        <w:t xml:space="preserve">term viability of the marine environment. </w:t>
      </w:r>
      <w:r w:rsidR="0027535A" w:rsidRPr="009764EE">
        <w:rPr>
          <w:rFonts w:eastAsia="Calibri Light"/>
        </w:rPr>
        <w:t>In 202</w:t>
      </w:r>
      <w:r w:rsidR="001F6066" w:rsidRPr="009764EE">
        <w:rPr>
          <w:rFonts w:eastAsia="Calibri Light"/>
        </w:rPr>
        <w:t>2</w:t>
      </w:r>
      <w:r w:rsidR="00767AD5" w:rsidRPr="009764EE">
        <w:rPr>
          <w:rFonts w:eastAsia="Calibri Light"/>
        </w:rPr>
        <w:t>,</w:t>
      </w:r>
      <w:r w:rsidR="0027535A" w:rsidRPr="009764EE">
        <w:rPr>
          <w:rFonts w:eastAsia="Calibri Light"/>
        </w:rPr>
        <w:t xml:space="preserve"> t</w:t>
      </w:r>
      <w:r w:rsidRPr="009764EE">
        <w:rPr>
          <w:rFonts w:eastAsia="Calibri Light"/>
        </w:rPr>
        <w:t>his system cover</w:t>
      </w:r>
      <w:r w:rsidR="0027535A" w:rsidRPr="009764EE">
        <w:rPr>
          <w:rFonts w:eastAsia="Calibri Light"/>
        </w:rPr>
        <w:t>ed</w:t>
      </w:r>
      <w:r w:rsidRPr="009764EE">
        <w:rPr>
          <w:rFonts w:eastAsia="Calibri Light"/>
        </w:rPr>
        <w:t xml:space="preserve"> 4</w:t>
      </w:r>
      <w:r w:rsidR="0069390E" w:rsidRPr="009764EE">
        <w:rPr>
          <w:rFonts w:eastAsia="Calibri Light"/>
        </w:rPr>
        <w:t>5</w:t>
      </w:r>
      <w:r w:rsidR="001524A0">
        <w:rPr>
          <w:rFonts w:eastAsia="Calibri Light"/>
        </w:rPr>
        <w:t> per c</w:t>
      </w:r>
      <w:r w:rsidRPr="009764EE">
        <w:rPr>
          <w:rFonts w:eastAsia="Calibri Light"/>
        </w:rPr>
        <w:t>ent of our ocean.</w:t>
      </w:r>
    </w:p>
    <w:p w14:paraId="5D41B549" w14:textId="2AA18AD9" w:rsidR="00D6444C" w:rsidRPr="009764EE" w:rsidRDefault="00D6444C" w:rsidP="00964778">
      <w:pPr>
        <w:pStyle w:val="Heading3"/>
        <w:rPr>
          <w:rFonts w:cs="Calibri"/>
          <w:szCs w:val="24"/>
        </w:rPr>
      </w:pPr>
      <w:r w:rsidRPr="009764EE">
        <w:rPr>
          <w:rFonts w:cs="Calibri"/>
        </w:rPr>
        <w:t>B</w:t>
      </w:r>
      <w:r w:rsidRPr="009764EE">
        <w:rPr>
          <w:rFonts w:cs="Calibri"/>
          <w:szCs w:val="24"/>
        </w:rPr>
        <w:t>io</w:t>
      </w:r>
      <w:r w:rsidR="00E800C8" w:rsidRPr="009764EE">
        <w:rPr>
          <w:rFonts w:cs="Calibri"/>
          <w:szCs w:val="24"/>
        </w:rPr>
        <w:t xml:space="preserve">logical </w:t>
      </w:r>
      <w:r w:rsidRPr="009764EE">
        <w:rPr>
          <w:rFonts w:cs="Calibri"/>
          <w:szCs w:val="24"/>
        </w:rPr>
        <w:t>diversity</w:t>
      </w:r>
    </w:p>
    <w:p w14:paraId="43301556" w14:textId="1C0839F0" w:rsidR="008C2920" w:rsidRPr="009764EE" w:rsidRDefault="003F1BFE" w:rsidP="004E4E24">
      <w:r w:rsidRPr="009764EE">
        <w:t>Biodiversity</w:t>
      </w:r>
      <w:r w:rsidR="001524A0">
        <w:t xml:space="preserve"> – </w:t>
      </w:r>
      <w:r w:rsidRPr="009764EE">
        <w:t xml:space="preserve">the variety and variability of living things </w:t>
      </w:r>
      <w:r w:rsidR="00D53231" w:rsidRPr="009764EE">
        <w:t>including animals,</w:t>
      </w:r>
      <w:r w:rsidR="0065798E" w:rsidRPr="009764EE">
        <w:t xml:space="preserve"> </w:t>
      </w:r>
      <w:r w:rsidR="00D53231" w:rsidRPr="009764EE">
        <w:t xml:space="preserve">plants, </w:t>
      </w:r>
      <w:r w:rsidR="00CC63DC" w:rsidRPr="009764EE">
        <w:t>fungi</w:t>
      </w:r>
      <w:r w:rsidR="005A54EE" w:rsidRPr="009764EE">
        <w:t xml:space="preserve"> </w:t>
      </w:r>
      <w:r w:rsidR="00CC63DC" w:rsidRPr="009764EE">
        <w:t>and microorganisms like bacteria</w:t>
      </w:r>
      <w:r w:rsidR="001524A0">
        <w:t xml:space="preserve"> – </w:t>
      </w:r>
      <w:r w:rsidRPr="009764EE">
        <w:t xml:space="preserve">is central to the health of natural ecosystems. </w:t>
      </w:r>
      <w:r w:rsidR="000876F4" w:rsidRPr="009764EE">
        <w:t xml:space="preserve">A loss of biodiversity </w:t>
      </w:r>
      <w:r w:rsidR="001816EC" w:rsidRPr="009764EE">
        <w:t xml:space="preserve">threatens </w:t>
      </w:r>
      <w:r w:rsidR="008C32BA" w:rsidRPr="009764EE">
        <w:t xml:space="preserve">the capacity of our environment to sustain </w:t>
      </w:r>
      <w:r w:rsidR="00D1007B" w:rsidRPr="009764EE">
        <w:t xml:space="preserve">and provide clean air, </w:t>
      </w:r>
      <w:r w:rsidR="00D1007B" w:rsidRPr="009764EE">
        <w:lastRenderedPageBreak/>
        <w:t xml:space="preserve">water, medicines and </w:t>
      </w:r>
      <w:r w:rsidR="00EA7047" w:rsidRPr="009764EE">
        <w:t xml:space="preserve">is contributing to the emergence </w:t>
      </w:r>
      <w:r w:rsidR="009C04EC" w:rsidRPr="009764EE">
        <w:t xml:space="preserve">and </w:t>
      </w:r>
      <w:r w:rsidR="00CC039E" w:rsidRPr="009764EE">
        <w:t>transmission of disease.</w:t>
      </w:r>
      <w:r w:rsidR="00322715" w:rsidRPr="005049F1">
        <w:rPr>
          <w:rStyle w:val="FootnoteReference"/>
        </w:rPr>
        <w:endnoteReference w:id="49"/>
      </w:r>
      <w:r w:rsidR="008C2920" w:rsidRPr="009764EE">
        <w:t xml:space="preserve"> </w:t>
      </w:r>
    </w:p>
    <w:p w14:paraId="1EE852A7" w14:textId="3FEBDD66" w:rsidR="00D86BE3" w:rsidRDefault="00CE5A4A" w:rsidP="004E4E24">
      <w:r w:rsidRPr="009764EE">
        <w:t>Australia</w:t>
      </w:r>
      <w:r w:rsidR="00135DEA">
        <w:t>’</w:t>
      </w:r>
      <w:r w:rsidRPr="009764EE">
        <w:t xml:space="preserve">s threatened and near threatened species </w:t>
      </w:r>
      <w:r w:rsidR="00AA7314" w:rsidRPr="009764EE">
        <w:t>populations</w:t>
      </w:r>
      <w:r w:rsidRPr="009764EE">
        <w:t xml:space="preserve"> </w:t>
      </w:r>
      <w:r w:rsidR="00A613D0" w:rsidRPr="009764EE">
        <w:t xml:space="preserve">are </w:t>
      </w:r>
      <w:r w:rsidRPr="009764EE">
        <w:t>continu</w:t>
      </w:r>
      <w:r w:rsidR="00A613D0" w:rsidRPr="009764EE">
        <w:t xml:space="preserve">ing </w:t>
      </w:r>
      <w:r w:rsidRPr="009764EE">
        <w:t xml:space="preserve">to decline, </w:t>
      </w:r>
      <w:r w:rsidR="00D77D44" w:rsidRPr="009764EE">
        <w:t xml:space="preserve">at an </w:t>
      </w:r>
      <w:r w:rsidRPr="009764EE">
        <w:t>average</w:t>
      </w:r>
      <w:r w:rsidRPr="009764EE" w:rsidDel="00D77D44">
        <w:t xml:space="preserve"> </w:t>
      </w:r>
      <w:r w:rsidR="00CC79AA" w:rsidRPr="009764EE">
        <w:t xml:space="preserve">rate </w:t>
      </w:r>
      <w:r w:rsidRPr="009764EE">
        <w:t>of 55</w:t>
      </w:r>
      <w:r w:rsidR="001524A0">
        <w:t> per c</w:t>
      </w:r>
      <w:r w:rsidR="00B73355" w:rsidRPr="009764EE">
        <w:t>ent</w:t>
      </w:r>
      <w:r w:rsidRPr="009764EE">
        <w:t xml:space="preserve"> in </w:t>
      </w:r>
      <w:r w:rsidR="0033794B" w:rsidRPr="009764EE">
        <w:t>relative</w:t>
      </w:r>
      <w:r w:rsidRPr="009764EE">
        <w:t xml:space="preserve"> abundance </w:t>
      </w:r>
      <w:r w:rsidR="00345C08" w:rsidRPr="009764EE">
        <w:t>in</w:t>
      </w:r>
      <w:r w:rsidRPr="009764EE">
        <w:t xml:space="preserve"> 2019 </w:t>
      </w:r>
      <w:r w:rsidR="00345C08" w:rsidRPr="009764EE">
        <w:t>compared to the 1985 baseline</w:t>
      </w:r>
      <w:r w:rsidRPr="009764EE">
        <w:t xml:space="preserve"> for the 278 species represented</w:t>
      </w:r>
      <w:r w:rsidR="006142D2" w:rsidRPr="009764EE">
        <w:t>.</w:t>
      </w:r>
      <w:r w:rsidR="008E2186" w:rsidRPr="005049F1">
        <w:rPr>
          <w:rStyle w:val="FootnoteReference"/>
        </w:rPr>
        <w:endnoteReference w:id="50"/>
      </w:r>
      <w:r w:rsidR="00620078">
        <w:t xml:space="preserve"> </w:t>
      </w:r>
    </w:p>
    <w:p w14:paraId="07F0B5A5" w14:textId="77777777" w:rsidR="002F6209" w:rsidRDefault="002F6209" w:rsidP="004E4E24">
      <w:pPr>
        <w:rPr>
          <w:rFonts w:ascii="Calibri" w:hAnsi="Calibri" w:cs="Calibri"/>
        </w:rPr>
      </w:pPr>
    </w:p>
    <w:p w14:paraId="387524C1" w14:textId="77777777" w:rsidR="002F6209" w:rsidRDefault="002F6209" w:rsidP="004E4E24">
      <w:pPr>
        <w:rPr>
          <w:rFonts w:ascii="Calibri" w:hAnsi="Calibri" w:cs="Calibri"/>
        </w:rPr>
        <w:sectPr w:rsidR="002F6209" w:rsidSect="00DA302B">
          <w:endnotePr>
            <w:numFmt w:val="decimal"/>
          </w:endnotePr>
          <w:type w:val="continuous"/>
          <w:pgSz w:w="11906" w:h="16838"/>
          <w:pgMar w:top="1843" w:right="1418" w:bottom="1418" w:left="1418" w:header="851" w:footer="851" w:gutter="0"/>
          <w:cols w:num="2" w:space="567"/>
        </w:sectPr>
      </w:pPr>
    </w:p>
    <w:p w14:paraId="13987509" w14:textId="0797EB12" w:rsidR="002F6209" w:rsidRPr="000768CA" w:rsidRDefault="002F6209" w:rsidP="000768CA">
      <w:pPr>
        <w:pStyle w:val="ChartMainHeading"/>
      </w:pPr>
      <w:r w:rsidRPr="006970A7">
        <w:t>Chart 8: Australia</w:t>
      </w:r>
      <w:r w:rsidR="00135DEA">
        <w:t>’</w:t>
      </w:r>
      <w:r w:rsidRPr="006970A7">
        <w:t>s Threatened Species Index</w:t>
      </w:r>
    </w:p>
    <w:p w14:paraId="6AEFAD9D" w14:textId="77777777" w:rsidR="000768CA" w:rsidRDefault="002F6209" w:rsidP="000768CA">
      <w:pPr>
        <w:pStyle w:val="ChartGraphic"/>
      </w:pPr>
      <w:r w:rsidRPr="009340C8">
        <w:rPr>
          <w:noProof/>
        </w:rPr>
        <w:drawing>
          <wp:inline distT="0" distB="0" distL="0" distR="0" wp14:anchorId="419964A1" wp14:editId="34B63A3F">
            <wp:extent cx="5400000" cy="1991961"/>
            <wp:effectExtent l="0" t="0" r="0" b="8890"/>
            <wp:docPr id="12" name="Picture 12" descr="This line chart shows Australia’s threatened and near threatened species populations have declined, at an average rate of 55 per cent in relative abundance in 2019 compared to the 1985 baseline for the 278 species represented. Populations of birds, mammals and plants have all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line chart shows Australia’s threatened and near threatened species populations have declined, at an average rate of 55 per cent in relative abundance in 2019 compared to the 1985 baseline for the 278 species represented. Populations of birds, mammals and plants have all declined."/>
                    <pic:cNvPicPr/>
                  </pic:nvPicPr>
                  <pic:blipFill>
                    <a:blip r:embed="rId49"/>
                    <a:stretch>
                      <a:fillRect/>
                    </a:stretch>
                  </pic:blipFill>
                  <pic:spPr>
                    <a:xfrm>
                      <a:off x="0" y="0"/>
                      <a:ext cx="5400000" cy="1991961"/>
                    </a:xfrm>
                    <a:prstGeom prst="rect">
                      <a:avLst/>
                    </a:prstGeom>
                  </pic:spPr>
                </pic:pic>
              </a:graphicData>
            </a:graphic>
          </wp:inline>
        </w:drawing>
      </w:r>
    </w:p>
    <w:p w14:paraId="5474A1FD" w14:textId="418533CF" w:rsidR="002F6209" w:rsidRPr="000768CA" w:rsidRDefault="002F6209" w:rsidP="000768CA">
      <w:pPr>
        <w:pStyle w:val="ChartorTableNote"/>
      </w:pPr>
      <w:r w:rsidRPr="009764EE">
        <w:t>Source: Terrestrial Ecosystem Research Network, the Threatened Species Network 2022.</w:t>
      </w:r>
    </w:p>
    <w:p w14:paraId="6E9CEF1F" w14:textId="77777777" w:rsidR="003C5048" w:rsidRDefault="003C5048" w:rsidP="002F6209">
      <w:pPr>
        <w:rPr>
          <w:rFonts w:ascii="Calibri" w:hAnsi="Calibri" w:cs="Calibri"/>
          <w:sz w:val="18"/>
          <w:szCs w:val="14"/>
        </w:rPr>
      </w:pPr>
    </w:p>
    <w:p w14:paraId="385D282C" w14:textId="32EDFA02" w:rsidR="000768CA" w:rsidRDefault="000768CA" w:rsidP="000768CA">
      <w:pPr>
        <w:sectPr w:rsidR="000768CA" w:rsidSect="00DA302B">
          <w:endnotePr>
            <w:numFmt w:val="decimal"/>
          </w:endnotePr>
          <w:type w:val="continuous"/>
          <w:pgSz w:w="11906" w:h="16838"/>
          <w:pgMar w:top="1843" w:right="1418" w:bottom="1418" w:left="1418" w:header="851" w:footer="851" w:gutter="0"/>
          <w:cols w:space="567"/>
        </w:sectPr>
      </w:pPr>
    </w:p>
    <w:p w14:paraId="409884EF" w14:textId="77C334FF" w:rsidR="0089619E" w:rsidRPr="009764EE" w:rsidRDefault="00B455EB" w:rsidP="00AA4A4D">
      <w:pPr>
        <w:pStyle w:val="Heading3"/>
        <w:spacing w:before="0"/>
        <w:rPr>
          <w:rFonts w:cs="Calibri"/>
          <w:szCs w:val="24"/>
        </w:rPr>
      </w:pPr>
      <w:r w:rsidRPr="009764EE">
        <w:rPr>
          <w:rFonts w:cs="Calibri"/>
        </w:rPr>
        <w:t>Resource use and w</w:t>
      </w:r>
      <w:r w:rsidR="0089619E" w:rsidRPr="009764EE">
        <w:rPr>
          <w:rFonts w:cs="Calibri"/>
          <w:szCs w:val="24"/>
        </w:rPr>
        <w:t xml:space="preserve">aste generation </w:t>
      </w:r>
    </w:p>
    <w:p w14:paraId="6EFB5C8B" w14:textId="6FED1626" w:rsidR="00A00B62" w:rsidRPr="009764EE" w:rsidRDefault="00704131" w:rsidP="00964778">
      <w:pPr>
        <w:rPr>
          <w:rFonts w:eastAsia="Calibri Light"/>
        </w:rPr>
      </w:pPr>
      <w:r w:rsidRPr="004B18FC">
        <w:t>Australians are aware of the impact of using resources and are strongly invested</w:t>
      </w:r>
      <w:r w:rsidRPr="009764EE">
        <w:rPr>
          <w:rFonts w:ascii="Calibri" w:hAnsi="Calibri" w:cs="Calibri"/>
        </w:rPr>
        <w:t xml:space="preserve"> </w:t>
      </w:r>
      <w:r w:rsidR="001B0675" w:rsidRPr="009764EE">
        <w:rPr>
          <w:rFonts w:eastAsia="Calibri Light"/>
        </w:rPr>
        <w:t>in participating in a more sustainable economy where materials are recycled, reused and repaired.</w:t>
      </w:r>
      <w:r w:rsidR="00A00B62" w:rsidRPr="009764EE">
        <w:rPr>
          <w:rFonts w:eastAsia="Calibri Light"/>
        </w:rPr>
        <w:t xml:space="preserve"> </w:t>
      </w:r>
    </w:p>
    <w:p w14:paraId="7430973F" w14:textId="517EC85F" w:rsidR="000A466B" w:rsidRPr="009764EE" w:rsidRDefault="001B0675" w:rsidP="00964778">
      <w:pPr>
        <w:rPr>
          <w:rFonts w:eastAsia="Calibri Light"/>
        </w:rPr>
      </w:pPr>
      <w:r w:rsidRPr="009764EE">
        <w:rPr>
          <w:rFonts w:eastAsia="Calibri Light"/>
        </w:rPr>
        <w:t xml:space="preserve">There </w:t>
      </w:r>
      <w:r w:rsidR="00C54285" w:rsidRPr="009764EE">
        <w:rPr>
          <w:rFonts w:eastAsia="Calibri Light"/>
        </w:rPr>
        <w:t>have</w:t>
      </w:r>
      <w:r w:rsidRPr="009764EE">
        <w:rPr>
          <w:rFonts w:eastAsia="Calibri Light"/>
        </w:rPr>
        <w:t xml:space="preserve"> been positive </w:t>
      </w:r>
      <w:r w:rsidR="00FD79EC" w:rsidRPr="009764EE">
        <w:rPr>
          <w:rFonts w:eastAsia="Calibri Light"/>
        </w:rPr>
        <w:t xml:space="preserve">improvements </w:t>
      </w:r>
      <w:r w:rsidRPr="009764EE">
        <w:rPr>
          <w:rFonts w:eastAsia="Calibri Light"/>
        </w:rPr>
        <w:t xml:space="preserve">in waste generation and recovery. </w:t>
      </w:r>
      <w:r w:rsidR="003637D3" w:rsidRPr="009764EE">
        <w:rPr>
          <w:rFonts w:eastAsia="Calibri Light"/>
        </w:rPr>
        <w:t>Since 2006</w:t>
      </w:r>
      <w:r w:rsidR="00151999">
        <w:t>–</w:t>
      </w:r>
      <w:r w:rsidR="0060749B">
        <w:rPr>
          <w:rFonts w:eastAsia="Calibri Light"/>
        </w:rPr>
        <w:softHyphen/>
      </w:r>
      <w:r w:rsidR="003637D3" w:rsidRPr="009764EE">
        <w:rPr>
          <w:rFonts w:eastAsia="Calibri Light"/>
        </w:rPr>
        <w:t>07, waste generation on a</w:t>
      </w:r>
      <w:r w:rsidR="001524A0">
        <w:rPr>
          <w:rFonts w:eastAsia="Calibri Light"/>
        </w:rPr>
        <w:t> per c</w:t>
      </w:r>
      <w:r w:rsidR="003637D3" w:rsidRPr="009764EE">
        <w:rPr>
          <w:rFonts w:eastAsia="Calibri Light"/>
        </w:rPr>
        <w:t>apita basis declined from 3.05 tonnes to 2.95 tonnes in 2020</w:t>
      </w:r>
      <w:r w:rsidR="0060749B">
        <w:rPr>
          <w:rFonts w:eastAsia="Calibri Light"/>
        </w:rPr>
        <w:softHyphen/>
      </w:r>
      <w:r w:rsidR="00151999">
        <w:t>–</w:t>
      </w:r>
      <w:r w:rsidR="003637D3" w:rsidRPr="009764EE">
        <w:rPr>
          <w:rFonts w:eastAsia="Calibri Light"/>
        </w:rPr>
        <w:t xml:space="preserve">21. </w:t>
      </w:r>
      <w:r w:rsidR="003637D3" w:rsidRPr="009764EE">
        <w:rPr>
          <w:rFonts w:eastAsia="Calibri Light"/>
        </w:rPr>
        <w:t xml:space="preserve">Over the same time period, waste </w:t>
      </w:r>
      <w:r w:rsidR="00CD3300" w:rsidRPr="009764EE">
        <w:rPr>
          <w:rFonts w:eastAsia="Calibri Light"/>
        </w:rPr>
        <w:t>recovered for</w:t>
      </w:r>
      <w:r w:rsidR="003637D3" w:rsidRPr="009764EE">
        <w:rPr>
          <w:rFonts w:eastAsia="Calibri Light"/>
        </w:rPr>
        <w:t xml:space="preserve"> recycl</w:t>
      </w:r>
      <w:r w:rsidR="00CD3300" w:rsidRPr="009764EE">
        <w:rPr>
          <w:rFonts w:eastAsia="Calibri Light"/>
        </w:rPr>
        <w:t xml:space="preserve">ing, reuse and energy generation has </w:t>
      </w:r>
      <w:r w:rsidR="003637D3" w:rsidRPr="009764EE">
        <w:rPr>
          <w:rFonts w:eastAsia="Calibri Light"/>
        </w:rPr>
        <w:t>increased markedly</w:t>
      </w:r>
      <w:r w:rsidR="001524A0">
        <w:rPr>
          <w:rFonts w:eastAsia="Calibri Light"/>
        </w:rPr>
        <w:t xml:space="preserve"> – </w:t>
      </w:r>
      <w:r w:rsidR="003637D3" w:rsidRPr="009764EE">
        <w:rPr>
          <w:rFonts w:eastAsia="Calibri Light"/>
        </w:rPr>
        <w:t>from 50</w:t>
      </w:r>
      <w:r w:rsidR="001524A0">
        <w:rPr>
          <w:rFonts w:eastAsia="Calibri Light"/>
        </w:rPr>
        <w:t> per c</w:t>
      </w:r>
      <w:r w:rsidR="003637D3" w:rsidRPr="009764EE">
        <w:rPr>
          <w:rFonts w:eastAsia="Calibri Light"/>
        </w:rPr>
        <w:t>ent to 63</w:t>
      </w:r>
      <w:r w:rsidR="001524A0">
        <w:rPr>
          <w:rFonts w:eastAsia="Calibri Light"/>
        </w:rPr>
        <w:t> per c</w:t>
      </w:r>
      <w:r w:rsidR="003637D3" w:rsidRPr="009764EE">
        <w:rPr>
          <w:rFonts w:eastAsia="Calibri Light"/>
        </w:rPr>
        <w:t>ent.</w:t>
      </w:r>
      <w:r w:rsidR="00083D0B" w:rsidRPr="009764EE">
        <w:rPr>
          <w:rFonts w:eastAsia="Calibri Light"/>
        </w:rPr>
        <w:t xml:space="preserve"> </w:t>
      </w:r>
      <w:r w:rsidR="003F5A1A" w:rsidRPr="009764EE">
        <w:rPr>
          <w:rFonts w:eastAsia="Calibri Light"/>
        </w:rPr>
        <w:t>This equates to 4</w:t>
      </w:r>
      <w:r w:rsidR="00C01C44" w:rsidRPr="009764EE">
        <w:rPr>
          <w:rFonts w:eastAsia="Calibri Light"/>
        </w:rPr>
        <w:t>5.</w:t>
      </w:r>
      <w:r w:rsidR="003F5A1A" w:rsidRPr="009764EE">
        <w:rPr>
          <w:rFonts w:eastAsia="Calibri Light"/>
        </w:rPr>
        <w:t>4</w:t>
      </w:r>
      <w:r w:rsidR="00C239AD">
        <w:rPr>
          <w:rFonts w:eastAsia="Calibri Light"/>
        </w:rPr>
        <w:t> million</w:t>
      </w:r>
      <w:r w:rsidR="003F5A1A" w:rsidRPr="009764EE">
        <w:rPr>
          <w:rFonts w:eastAsia="Calibri Light"/>
        </w:rPr>
        <w:t xml:space="preserve"> tonnes of materials recovered from 7</w:t>
      </w:r>
      <w:r w:rsidR="008C05AA" w:rsidRPr="009764EE">
        <w:rPr>
          <w:rFonts w:eastAsia="Calibri Light"/>
        </w:rPr>
        <w:t>5.8</w:t>
      </w:r>
      <w:r w:rsidR="00C239AD">
        <w:rPr>
          <w:rFonts w:eastAsia="Calibri Light"/>
        </w:rPr>
        <w:t> million</w:t>
      </w:r>
      <w:r w:rsidR="003F5A1A" w:rsidRPr="009764EE">
        <w:rPr>
          <w:rFonts w:eastAsia="Calibri Light"/>
        </w:rPr>
        <w:t xml:space="preserve"> tonnes of total waste generated</w:t>
      </w:r>
      <w:r w:rsidR="00C57616" w:rsidRPr="009764EE">
        <w:rPr>
          <w:rFonts w:eastAsia="Calibri Light"/>
        </w:rPr>
        <w:t>.</w:t>
      </w:r>
      <w:r w:rsidR="009D3465" w:rsidRPr="005049F1">
        <w:rPr>
          <w:rStyle w:val="FootnoteReference"/>
          <w:rFonts w:eastAsia="Calibri Light"/>
        </w:rPr>
        <w:endnoteReference w:id="51"/>
      </w:r>
      <w:r w:rsidRPr="009764EE">
        <w:rPr>
          <w:rFonts w:eastAsia="Calibri Light"/>
        </w:rPr>
        <w:t xml:space="preserve"> </w:t>
      </w:r>
    </w:p>
    <w:p w14:paraId="4B67FFDD" w14:textId="6C88FAF9" w:rsidR="00D86BE3" w:rsidRDefault="00D24A1A" w:rsidP="00964778">
      <w:pPr>
        <w:rPr>
          <w:rFonts w:eastAsia="Calibri Light"/>
        </w:rPr>
      </w:pPr>
      <w:r w:rsidRPr="009764EE">
        <w:rPr>
          <w:rFonts w:eastAsia="Calibri Light"/>
        </w:rPr>
        <w:t>Other</w:t>
      </w:r>
      <w:r w:rsidR="009D5FCC">
        <w:rPr>
          <w:rFonts w:eastAsia="Calibri Light"/>
        </w:rPr>
        <w:t xml:space="preserve"> </w:t>
      </w:r>
      <w:r w:rsidRPr="009764EE">
        <w:rPr>
          <w:rFonts w:eastAsia="Calibri Light"/>
        </w:rPr>
        <w:t xml:space="preserve">upstream aspects of </w:t>
      </w:r>
      <w:r w:rsidR="000A466B" w:rsidRPr="009764EE">
        <w:rPr>
          <w:rFonts w:eastAsia="Calibri Light"/>
        </w:rPr>
        <w:t>a sustainable economy</w:t>
      </w:r>
      <w:r w:rsidR="001524A0">
        <w:rPr>
          <w:rFonts w:eastAsia="Calibri Light"/>
        </w:rPr>
        <w:t xml:space="preserve"> – </w:t>
      </w:r>
      <w:r w:rsidRPr="009764EE">
        <w:rPr>
          <w:rFonts w:eastAsia="Calibri Light"/>
        </w:rPr>
        <w:t>including resource use</w:t>
      </w:r>
      <w:r w:rsidR="001524A0">
        <w:rPr>
          <w:rFonts w:eastAsia="Calibri Light"/>
        </w:rPr>
        <w:t xml:space="preserve"> – </w:t>
      </w:r>
      <w:r w:rsidRPr="009764EE">
        <w:rPr>
          <w:rFonts w:eastAsia="Calibri Light"/>
        </w:rPr>
        <w:t xml:space="preserve">require further focus. </w:t>
      </w:r>
    </w:p>
    <w:p w14:paraId="0A650D77" w14:textId="77777777" w:rsidR="000F0FB8" w:rsidRDefault="000F0FB8" w:rsidP="00964778">
      <w:pPr>
        <w:rPr>
          <w:rFonts w:eastAsia="Calibri Light"/>
        </w:rPr>
      </w:pPr>
    </w:p>
    <w:p w14:paraId="62BB5BE2" w14:textId="6FCF9A72" w:rsidR="000F0FB8" w:rsidRDefault="000F0FB8" w:rsidP="00964778">
      <w:pPr>
        <w:rPr>
          <w:rFonts w:eastAsia="Calibri Light"/>
        </w:rPr>
        <w:sectPr w:rsidR="000F0FB8" w:rsidSect="00DA302B">
          <w:endnotePr>
            <w:numFmt w:val="decimal"/>
          </w:endnotePr>
          <w:type w:val="continuous"/>
          <w:pgSz w:w="11906" w:h="16838"/>
          <w:pgMar w:top="1843" w:right="1418" w:bottom="1418" w:left="1418" w:header="851" w:footer="851" w:gutter="0"/>
          <w:cols w:num="2" w:space="567"/>
        </w:sectPr>
      </w:pPr>
    </w:p>
    <w:p w14:paraId="52A7E2C9" w14:textId="539A978B" w:rsidR="1569E28B" w:rsidRPr="0003450E" w:rsidRDefault="1569E28B" w:rsidP="0003450E">
      <w:pPr>
        <w:pStyle w:val="ChartMainHeading"/>
      </w:pPr>
      <w:r w:rsidRPr="0003450E">
        <w:t xml:space="preserve">Chart </w:t>
      </w:r>
      <w:r w:rsidR="00742BF6" w:rsidRPr="0003450E">
        <w:t>9</w:t>
      </w:r>
      <w:r w:rsidRPr="0003450E">
        <w:t xml:space="preserve">: </w:t>
      </w:r>
      <w:r w:rsidR="00CD587C" w:rsidRPr="0003450E">
        <w:t xml:space="preserve">Waste per </w:t>
      </w:r>
      <w:r w:rsidR="00532AAA" w:rsidRPr="0003450E">
        <w:t xml:space="preserve">person </w:t>
      </w:r>
      <w:r w:rsidR="00CD587C" w:rsidRPr="0003450E">
        <w:t xml:space="preserve">and </w:t>
      </w:r>
      <w:r w:rsidR="00020411" w:rsidRPr="0003450E">
        <w:t>portion of waste</w:t>
      </w:r>
      <w:r w:rsidRPr="0003450E">
        <w:t xml:space="preserve"> </w:t>
      </w:r>
      <w:r w:rsidR="00020411" w:rsidRPr="0003450E">
        <w:t xml:space="preserve">recovered </w:t>
      </w:r>
    </w:p>
    <w:p w14:paraId="3447CBE1" w14:textId="77777777" w:rsidR="000768CA" w:rsidRDefault="00CF1D63" w:rsidP="000768CA">
      <w:pPr>
        <w:pStyle w:val="ChartGraphic"/>
      </w:pPr>
      <w:r w:rsidRPr="00CF1D63">
        <w:rPr>
          <w:noProof/>
        </w:rPr>
        <w:drawing>
          <wp:inline distT="0" distB="0" distL="0" distR="0" wp14:anchorId="126154C4" wp14:editId="54425063">
            <wp:extent cx="5400000" cy="2022606"/>
            <wp:effectExtent l="0" t="0" r="0" b="0"/>
            <wp:docPr id="13" name="Picture 13" descr="This is a line chart that shows that tonnes of waste per capita has decreased from 3.05 tonnes in 2006-07 to 2.95 in 2020-21 and that waste recovered for reuse, recycling and energy has increased from 50 per cent in 2006-07 to 63 per cent i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 line chart that shows that tonnes of waste per capita has decreased from 3.05 tonnes in 2006-07 to 2.95 in 2020-21 and that waste recovered for reuse, recycling and energy has increased from 50 per cent in 2006-07 to 63 per cent in 2020-21. "/>
                    <pic:cNvPicPr/>
                  </pic:nvPicPr>
                  <pic:blipFill>
                    <a:blip r:embed="rId50"/>
                    <a:stretch>
                      <a:fillRect/>
                    </a:stretch>
                  </pic:blipFill>
                  <pic:spPr>
                    <a:xfrm>
                      <a:off x="0" y="0"/>
                      <a:ext cx="5400000" cy="2022606"/>
                    </a:xfrm>
                    <a:prstGeom prst="rect">
                      <a:avLst/>
                    </a:prstGeom>
                  </pic:spPr>
                </pic:pic>
              </a:graphicData>
            </a:graphic>
          </wp:inline>
        </w:drawing>
      </w:r>
    </w:p>
    <w:p w14:paraId="7D0C888E" w14:textId="43071805" w:rsidR="03E5A06B" w:rsidRDefault="03E5A06B" w:rsidP="0003450E">
      <w:pPr>
        <w:pStyle w:val="ChartorTableNote"/>
      </w:pPr>
      <w:r w:rsidRPr="00855DC5">
        <w:t>Source: DCCEEW National Waste Report</w:t>
      </w:r>
      <w:r w:rsidR="00C43C9E" w:rsidRPr="00855DC5">
        <w:t>, 2022</w:t>
      </w:r>
      <w:r w:rsidR="009E62D9" w:rsidRPr="00855DC5">
        <w:t>.</w:t>
      </w:r>
    </w:p>
    <w:p w14:paraId="6326E835" w14:textId="77777777" w:rsidR="00D86BE3" w:rsidRPr="009764EE" w:rsidRDefault="00D86BE3" w:rsidP="00964778">
      <w:pPr>
        <w:rPr>
          <w:rFonts w:ascii="Calibri" w:hAnsi="Calibri" w:cs="Calibri"/>
          <w:sz w:val="18"/>
          <w:szCs w:val="14"/>
        </w:rPr>
      </w:pPr>
    </w:p>
    <w:p w14:paraId="0F606FDC" w14:textId="77777777" w:rsidR="00226B58" w:rsidRPr="009764EE" w:rsidRDefault="00226B58" w:rsidP="00964778">
      <w:pPr>
        <w:rPr>
          <w:rFonts w:ascii="Calibri" w:hAnsi="Calibri" w:cs="Calibri"/>
          <w:lang w:val="en-GB"/>
        </w:rPr>
        <w:sectPr w:rsidR="00226B58" w:rsidRPr="009764EE" w:rsidSect="00DA302B">
          <w:endnotePr>
            <w:numFmt w:val="decimal"/>
          </w:endnotePr>
          <w:type w:val="continuous"/>
          <w:pgSz w:w="11906" w:h="16838"/>
          <w:pgMar w:top="1843" w:right="1418" w:bottom="1418" w:left="1418" w:header="851" w:footer="851" w:gutter="0"/>
          <w:cols w:space="567"/>
        </w:sectPr>
      </w:pPr>
    </w:p>
    <w:tbl>
      <w:tblPr>
        <w:tblStyle w:val="MWMKey"/>
        <w:tblW w:w="5000" w:type="pct"/>
        <w:tblLook w:val="0620" w:firstRow="1" w:lastRow="0" w:firstColumn="0" w:lastColumn="0" w:noHBand="1" w:noVBand="1"/>
      </w:tblPr>
      <w:tblGrid>
        <w:gridCol w:w="9070"/>
      </w:tblGrid>
      <w:tr w:rsidR="00E604CF" w:rsidRPr="009764EE" w14:paraId="5499F789" w14:textId="77777777" w:rsidTr="00E604C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5399F6B2" w14:textId="64E98F71" w:rsidR="00E604CF" w:rsidRPr="00027FEF" w:rsidRDefault="00E604CF" w:rsidP="00E604CF">
            <w:pPr>
              <w:pStyle w:val="BoxHeading"/>
              <w:spacing w:after="0"/>
            </w:pPr>
            <w:r w:rsidRPr="00027FEF">
              <w:lastRenderedPageBreak/>
              <w:t>Key Government initiatives to protect the environment</w:t>
            </w:r>
          </w:p>
        </w:tc>
      </w:tr>
      <w:tr w:rsidR="00A51DD7" w:rsidRPr="009764EE" w14:paraId="791ED609" w14:textId="77777777" w:rsidTr="00E604CF">
        <w:trPr>
          <w:trHeight w:val="20"/>
        </w:trPr>
        <w:tc>
          <w:tcPr>
            <w:tcW w:w="5000" w:type="pct"/>
            <w:hideMark/>
          </w:tcPr>
          <w:p w14:paraId="106F19D6" w14:textId="29355282" w:rsidR="00A51DD7" w:rsidRPr="00012785" w:rsidRDefault="00A51DD7" w:rsidP="000768CA">
            <w:pPr>
              <w:pStyle w:val="Boxbullet"/>
              <w:rPr>
                <w:lang w:eastAsia="en-US"/>
              </w:rPr>
            </w:pPr>
            <w:r w:rsidRPr="00012785">
              <w:rPr>
                <w:lang w:eastAsia="en-US"/>
              </w:rPr>
              <w:t>Target to protect and conserve 30</w:t>
            </w:r>
            <w:r w:rsidR="001524A0">
              <w:rPr>
                <w:lang w:eastAsia="en-US"/>
              </w:rPr>
              <w:t> per c</w:t>
            </w:r>
            <w:r w:rsidRPr="00012785">
              <w:rPr>
                <w:lang w:eastAsia="en-US"/>
              </w:rPr>
              <w:t>ent of our land and 30</w:t>
            </w:r>
            <w:r w:rsidR="001524A0">
              <w:rPr>
                <w:lang w:eastAsia="en-US"/>
              </w:rPr>
              <w:t> per c</w:t>
            </w:r>
            <w:r w:rsidRPr="00012785">
              <w:rPr>
                <w:lang w:eastAsia="en-US"/>
              </w:rPr>
              <w:t>ent of our oceans by 2030</w:t>
            </w:r>
          </w:p>
          <w:p w14:paraId="113EE948" w14:textId="7D78DA54" w:rsidR="00A51DD7" w:rsidRPr="00012785" w:rsidRDefault="00A51DD7" w:rsidP="000768CA">
            <w:pPr>
              <w:pStyle w:val="Boxbullet"/>
              <w:rPr>
                <w:lang w:eastAsia="en-US"/>
              </w:rPr>
            </w:pPr>
            <w:r w:rsidRPr="00012785">
              <w:rPr>
                <w:lang w:eastAsia="en-US"/>
              </w:rPr>
              <w:t>Commitment to reform environmental laws</w:t>
            </w:r>
          </w:p>
          <w:p w14:paraId="35882E06" w14:textId="0B11F6DE" w:rsidR="00A51DD7" w:rsidRPr="00012785" w:rsidRDefault="00A51DD7" w:rsidP="000768CA">
            <w:pPr>
              <w:pStyle w:val="Boxbullet"/>
              <w:rPr>
                <w:lang w:eastAsia="en-US"/>
              </w:rPr>
            </w:pPr>
            <w:r w:rsidRPr="00012785">
              <w:rPr>
                <w:lang w:eastAsia="en-US"/>
              </w:rPr>
              <w:t>National biodiversity targets under updated National Biodiversity Strategy and Action Plan</w:t>
            </w:r>
          </w:p>
          <w:p w14:paraId="445A5EDE" w14:textId="68716447" w:rsidR="00A51DD7" w:rsidRPr="00012785" w:rsidRDefault="00A51DD7" w:rsidP="000768CA">
            <w:pPr>
              <w:pStyle w:val="Boxbullet"/>
              <w:rPr>
                <w:lang w:eastAsia="en-US"/>
              </w:rPr>
            </w:pPr>
            <w:r w:rsidRPr="00012785">
              <w:rPr>
                <w:lang w:eastAsia="en-US"/>
              </w:rPr>
              <w:t>Negotiation of a new global treaty to address plastic pollution</w:t>
            </w:r>
          </w:p>
          <w:p w14:paraId="59F63773" w14:textId="366EAE0A" w:rsidR="00A51DD7" w:rsidRPr="00012785" w:rsidRDefault="00A51DD7" w:rsidP="000768CA">
            <w:pPr>
              <w:pStyle w:val="Boxbullet"/>
              <w:rPr>
                <w:lang w:eastAsia="en-US"/>
              </w:rPr>
            </w:pPr>
            <w:r w:rsidRPr="00012785">
              <w:rPr>
                <w:lang w:eastAsia="en-US"/>
              </w:rPr>
              <w:t>Development of a national circular economy framework</w:t>
            </w:r>
          </w:p>
          <w:p w14:paraId="55BA1795" w14:textId="5F912026" w:rsidR="00A51DD7" w:rsidRPr="00012785" w:rsidRDefault="00A51DD7" w:rsidP="000768CA">
            <w:pPr>
              <w:pStyle w:val="Boxbullet"/>
              <w:rPr>
                <w:lang w:eastAsia="en-US"/>
              </w:rPr>
            </w:pPr>
            <w:r w:rsidRPr="00012785">
              <w:rPr>
                <w:lang w:eastAsia="en-US"/>
              </w:rPr>
              <w:t>Development of a core set of environmental</w:t>
            </w:r>
            <w:r w:rsidR="00135DEA">
              <w:rPr>
                <w:lang w:eastAsia="en-US"/>
              </w:rPr>
              <w:noBreakHyphen/>
            </w:r>
            <w:r w:rsidRPr="00012785">
              <w:rPr>
                <w:lang w:eastAsia="en-US"/>
              </w:rPr>
              <w:t xml:space="preserve">economic accounts to help value nature. </w:t>
            </w:r>
          </w:p>
          <w:p w14:paraId="5F27A30B" w14:textId="2F393D7A" w:rsidR="00A51DD7" w:rsidRPr="00012785" w:rsidRDefault="00A51DD7" w:rsidP="000768CA">
            <w:pPr>
              <w:pStyle w:val="Boxbullet"/>
              <w:rPr>
                <w:lang w:eastAsia="en-US"/>
              </w:rPr>
            </w:pPr>
            <w:r w:rsidRPr="00012785">
              <w:rPr>
                <w:lang w:eastAsia="en-US"/>
              </w:rPr>
              <w:t>Establishing Environmental Protection Australia to restore confidence in Australia</w:t>
            </w:r>
            <w:r w:rsidR="00135DEA">
              <w:rPr>
                <w:lang w:eastAsia="en-US"/>
              </w:rPr>
              <w:t>’</w:t>
            </w:r>
            <w:r w:rsidRPr="00012785">
              <w:rPr>
                <w:lang w:eastAsia="en-US"/>
              </w:rPr>
              <w:t>s environmental protection system</w:t>
            </w:r>
          </w:p>
          <w:p w14:paraId="0EA6B6C3" w14:textId="3AB13798" w:rsidR="00A51DD7" w:rsidRPr="00012785" w:rsidRDefault="00A51DD7" w:rsidP="000768CA">
            <w:pPr>
              <w:pStyle w:val="Boxbullet"/>
              <w:rPr>
                <w:lang w:eastAsia="en-US"/>
              </w:rPr>
            </w:pPr>
            <w:r w:rsidRPr="00012785">
              <w:rPr>
                <w:lang w:eastAsia="en-US"/>
              </w:rPr>
              <w:t>Establishing Environment Information Australia</w:t>
            </w:r>
          </w:p>
          <w:p w14:paraId="2CBE218B" w14:textId="43F8925B" w:rsidR="00A51DD7" w:rsidRPr="00012785" w:rsidRDefault="00A51DD7" w:rsidP="000768CA">
            <w:pPr>
              <w:pStyle w:val="Boxbullet"/>
              <w:rPr>
                <w:lang w:eastAsia="en-US"/>
              </w:rPr>
            </w:pPr>
            <w:r w:rsidRPr="00012785">
              <w:rPr>
                <w:lang w:eastAsia="en-US"/>
              </w:rPr>
              <w:t>Climate</w:t>
            </w:r>
            <w:r w:rsidR="00135DEA">
              <w:rPr>
                <w:lang w:eastAsia="en-US"/>
              </w:rPr>
              <w:noBreakHyphen/>
            </w:r>
            <w:r w:rsidRPr="00012785">
              <w:rPr>
                <w:lang w:eastAsia="en-US"/>
              </w:rPr>
              <w:t>smart and sustainable agriculture programs through the Natural Heritage Trust</w:t>
            </w:r>
          </w:p>
          <w:p w14:paraId="1519AF02" w14:textId="2E6A64D1" w:rsidR="00A51DD7" w:rsidRPr="00012785" w:rsidRDefault="00A51DD7" w:rsidP="000768CA">
            <w:pPr>
              <w:pStyle w:val="Boxbullet"/>
              <w:rPr>
                <w:lang w:eastAsia="en-US"/>
              </w:rPr>
            </w:pPr>
            <w:r w:rsidRPr="00012785">
              <w:rPr>
                <w:lang w:eastAsia="en-US"/>
              </w:rPr>
              <w:t>Supporting the agriculture, fisheries and forestry industry to grow towards $100</w:t>
            </w:r>
            <w:r w:rsidR="00C239AD">
              <w:rPr>
                <w:lang w:eastAsia="en-US"/>
              </w:rPr>
              <w:t> billion</w:t>
            </w:r>
            <w:r w:rsidRPr="00012785">
              <w:rPr>
                <w:lang w:eastAsia="en-US"/>
              </w:rPr>
              <w:t xml:space="preserve"> by 2030</w:t>
            </w:r>
          </w:p>
          <w:p w14:paraId="155BAD94" w14:textId="2FD137B5" w:rsidR="00A51DD7" w:rsidRPr="009764EE" w:rsidRDefault="00C25BCC" w:rsidP="000768CA">
            <w:pPr>
              <w:pStyle w:val="Boxbullet"/>
              <w:rPr>
                <w:lang w:eastAsia="en-US"/>
              </w:rPr>
            </w:pPr>
            <w:r w:rsidRPr="00012785">
              <w:rPr>
                <w:lang w:eastAsia="en-US"/>
              </w:rPr>
              <w:t xml:space="preserve">The </w:t>
            </w:r>
            <w:r w:rsidR="00A51DD7" w:rsidRPr="00012785">
              <w:rPr>
                <w:lang w:eastAsia="en-US"/>
              </w:rPr>
              <w:t>Regional Investment Framework</w:t>
            </w:r>
          </w:p>
        </w:tc>
      </w:tr>
    </w:tbl>
    <w:p w14:paraId="599AF1A1" w14:textId="77777777" w:rsidR="00A85DC0" w:rsidRPr="000768CA" w:rsidRDefault="00A85DC0" w:rsidP="000768CA">
      <w:r w:rsidRPr="000768CA">
        <w:br w:type="page"/>
      </w:r>
    </w:p>
    <w:p w14:paraId="48ED1DD4" w14:textId="4E719F54" w:rsidR="00DE4F5A" w:rsidRPr="009764EE" w:rsidRDefault="00DE4F5A" w:rsidP="000F0FB8">
      <w:pPr>
        <w:pStyle w:val="Heading2"/>
      </w:pPr>
      <w:bookmarkStart w:id="67" w:name="_Toc147497674"/>
      <w:r w:rsidRPr="009764EE">
        <w:lastRenderedPageBreak/>
        <w:t xml:space="preserve">Resilient and sustainable </w:t>
      </w:r>
      <w:r w:rsidR="00245E08" w:rsidRPr="009764EE">
        <w:t>nati</w:t>
      </w:r>
      <w:r w:rsidR="005939E9" w:rsidRPr="009764EE">
        <w:t>on</w:t>
      </w:r>
      <w:bookmarkEnd w:id="67"/>
    </w:p>
    <w:tbl>
      <w:tblPr>
        <w:tblStyle w:val="MWMTables"/>
        <w:tblW w:w="9072" w:type="dxa"/>
        <w:tblLook w:val="06A0" w:firstRow="1" w:lastRow="0" w:firstColumn="1" w:lastColumn="0" w:noHBand="1" w:noVBand="1"/>
      </w:tblPr>
      <w:tblGrid>
        <w:gridCol w:w="1159"/>
        <w:gridCol w:w="2385"/>
        <w:gridCol w:w="2698"/>
        <w:gridCol w:w="1416"/>
        <w:gridCol w:w="1414"/>
      </w:tblGrid>
      <w:tr w:rsidR="00AE4820" w:rsidRPr="009764EE" w14:paraId="05ADFCAB" w14:textId="77777777" w:rsidTr="00AE4820">
        <w:trPr>
          <w:cnfStyle w:val="100000000000" w:firstRow="1" w:lastRow="0" w:firstColumn="0" w:lastColumn="0" w:oddVBand="0" w:evenVBand="0" w:oddHBand="0" w:evenHBand="0" w:firstRowFirstColumn="0" w:firstRowLastColumn="0" w:lastRowFirstColumn="0" w:lastRowLastColumn="0"/>
          <w:trHeight w:val="270"/>
        </w:trPr>
        <w:tc>
          <w:tcPr>
            <w:tcW w:w="1159" w:type="dxa"/>
          </w:tcPr>
          <w:p w14:paraId="50D59E20" w14:textId="52098848" w:rsidR="0055278C" w:rsidRPr="009764EE" w:rsidRDefault="007F3DA9" w:rsidP="00724D08">
            <w:pPr>
              <w:pStyle w:val="TableColumnHeadingLeft"/>
            </w:pPr>
            <w:r w:rsidRPr="009764EE">
              <w:t>Indicator</w:t>
            </w:r>
          </w:p>
        </w:tc>
        <w:tc>
          <w:tcPr>
            <w:tcW w:w="2385" w:type="dxa"/>
          </w:tcPr>
          <w:p w14:paraId="2E20120F" w14:textId="48AF4F64" w:rsidR="0055278C" w:rsidRPr="009764EE" w:rsidRDefault="00457317" w:rsidP="00724D08">
            <w:pPr>
              <w:pStyle w:val="TableColumnHeadingLeft"/>
            </w:pPr>
            <w:r w:rsidRPr="009764EE">
              <w:t>Metric</w:t>
            </w:r>
          </w:p>
        </w:tc>
        <w:tc>
          <w:tcPr>
            <w:tcW w:w="2698" w:type="dxa"/>
          </w:tcPr>
          <w:p w14:paraId="1F619A86" w14:textId="77777777" w:rsidR="0055278C" w:rsidRPr="009764EE" w:rsidRDefault="0055278C" w:rsidP="00724D08">
            <w:pPr>
              <w:pStyle w:val="TableColumnHeadingLeft"/>
            </w:pPr>
            <w:r w:rsidRPr="009764EE">
              <w:t xml:space="preserve">Why this metric </w:t>
            </w:r>
          </w:p>
        </w:tc>
        <w:tc>
          <w:tcPr>
            <w:tcW w:w="1416" w:type="dxa"/>
          </w:tcPr>
          <w:p w14:paraId="7E71CEAF" w14:textId="65E6896A" w:rsidR="0055278C" w:rsidRPr="009764EE" w:rsidRDefault="006F4CAB" w:rsidP="00724D08">
            <w:pPr>
              <w:pStyle w:val="TableColumnHeadingLeft"/>
            </w:pPr>
            <w:r w:rsidRPr="009764EE">
              <w:t>Progress</w:t>
            </w:r>
          </w:p>
        </w:tc>
        <w:tc>
          <w:tcPr>
            <w:tcW w:w="1414" w:type="dxa"/>
          </w:tcPr>
          <w:p w14:paraId="6F12FEC4" w14:textId="4DAC60E9" w:rsidR="0055278C" w:rsidRPr="009764EE" w:rsidRDefault="002449D1" w:rsidP="00724D08">
            <w:pPr>
              <w:pStyle w:val="TableColumnHeadingLeft"/>
            </w:pPr>
            <w:r w:rsidRPr="009764EE">
              <w:t>Latest Value</w:t>
            </w:r>
            <w:r w:rsidR="00DC6836" w:rsidRPr="005049F1">
              <w:rPr>
                <w:rStyle w:val="FootnoteReference"/>
              </w:rPr>
              <w:t>(i)</w:t>
            </w:r>
          </w:p>
        </w:tc>
      </w:tr>
      <w:tr w:rsidR="00E05CDF" w:rsidRPr="009764EE" w14:paraId="6F4A93B7" w14:textId="77777777" w:rsidTr="00AE4820">
        <w:trPr>
          <w:trHeight w:val="270"/>
        </w:trPr>
        <w:tc>
          <w:tcPr>
            <w:tcW w:w="1159" w:type="dxa"/>
          </w:tcPr>
          <w:p w14:paraId="617D435C" w14:textId="69B04AE3" w:rsidR="00826878" w:rsidRPr="00BC491B" w:rsidRDefault="00826878" w:rsidP="00BC491B">
            <w:pPr>
              <w:pStyle w:val="TableTextLeft"/>
              <w:rPr>
                <w:rStyle w:val="Strong"/>
                <w:color w:val="082C44"/>
              </w:rPr>
            </w:pPr>
            <w:r w:rsidRPr="00BC491B">
              <w:rPr>
                <w:rStyle w:val="Strong"/>
                <w:color w:val="082C44"/>
              </w:rPr>
              <w:t>Fiscal sustainability</w:t>
            </w:r>
          </w:p>
        </w:tc>
        <w:tc>
          <w:tcPr>
            <w:tcW w:w="2385" w:type="dxa"/>
          </w:tcPr>
          <w:p w14:paraId="1D8E13AA" w14:textId="43041383" w:rsidR="00CC403F" w:rsidRPr="00080F3A" w:rsidRDefault="0038091B" w:rsidP="00724D08">
            <w:pPr>
              <w:pStyle w:val="TableTextLeft"/>
              <w:rPr>
                <w:highlight w:val="yellow"/>
              </w:rPr>
            </w:pPr>
            <w:r w:rsidRPr="00080F3A">
              <w:t xml:space="preserve">All levels of </w:t>
            </w:r>
            <w:r w:rsidR="00C44C09" w:rsidRPr="00080F3A">
              <w:t>g</w:t>
            </w:r>
            <w:r w:rsidRPr="00080F3A">
              <w:t>overnment</w:t>
            </w:r>
            <w:r w:rsidR="00651E83" w:rsidRPr="00080F3A">
              <w:t xml:space="preserve"> </w:t>
            </w:r>
            <w:r w:rsidR="00F44052" w:rsidRPr="00080F3A">
              <w:t xml:space="preserve">gross </w:t>
            </w:r>
            <w:r w:rsidRPr="00080F3A">
              <w:t>debt as a share of GDP</w:t>
            </w:r>
            <w:r w:rsidRPr="00BC491B">
              <w:rPr>
                <w:rStyle w:val="TableFootnoteReference"/>
              </w:rPr>
              <w:t>(a)</w:t>
            </w:r>
            <w:r w:rsidR="008132DF" w:rsidRPr="00BC491B">
              <w:rPr>
                <w:rStyle w:val="TableFootnoteReference"/>
              </w:rPr>
              <w:t>(i</w:t>
            </w:r>
            <w:r w:rsidR="00551211" w:rsidRPr="00BC491B">
              <w:rPr>
                <w:rStyle w:val="TableFootnoteReference"/>
              </w:rPr>
              <w:t>i</w:t>
            </w:r>
            <w:r w:rsidR="008132DF" w:rsidRPr="00BC491B">
              <w:rPr>
                <w:rStyle w:val="TableFootnoteReference"/>
              </w:rPr>
              <w:t>)</w:t>
            </w:r>
          </w:p>
        </w:tc>
        <w:tc>
          <w:tcPr>
            <w:tcW w:w="2698" w:type="dxa"/>
          </w:tcPr>
          <w:p w14:paraId="6E95222B" w14:textId="7F6704DB" w:rsidR="00CC403F" w:rsidRPr="00080F3A" w:rsidRDefault="0038091B" w:rsidP="00724D08">
            <w:pPr>
              <w:pStyle w:val="TableTextLeft"/>
            </w:pPr>
            <w:r w:rsidRPr="00080F3A">
              <w:t xml:space="preserve">Stabilising and reducing debt as a share of the economy will help </w:t>
            </w:r>
            <w:r w:rsidR="00FA64B5" w:rsidRPr="00080F3A">
              <w:t xml:space="preserve">rebuild fiscal buffers, enhance the ability of governments to respond to shocks, and </w:t>
            </w:r>
            <w:r w:rsidRPr="00080F3A">
              <w:t>secure sustainable provision of government services.</w:t>
            </w:r>
          </w:p>
        </w:tc>
        <w:tc>
          <w:tcPr>
            <w:tcW w:w="1416" w:type="dxa"/>
          </w:tcPr>
          <w:p w14:paraId="5F801051" w14:textId="671BFE97" w:rsidR="002449B8" w:rsidRPr="00BC491B" w:rsidRDefault="00927E96" w:rsidP="00BC491B">
            <w:pPr>
              <w:pStyle w:val="TableTextCentered"/>
            </w:pPr>
            <w:r w:rsidRPr="00BC491B">
              <w:rPr>
                <w:rFonts w:eastAsia="Century Gothic"/>
              </w:rPr>
              <w:t>Deteriorated</w:t>
            </w:r>
          </w:p>
          <w:p w14:paraId="6A4CBB69" w14:textId="66C0075A" w:rsidR="00826878" w:rsidRPr="00BC491B" w:rsidRDefault="0038091B" w:rsidP="00BC491B">
            <w:pPr>
              <w:pStyle w:val="TableTextCentered"/>
            </w:pPr>
            <w:r w:rsidRPr="00BC491B">
              <w:t>20</w:t>
            </w:r>
            <w:r w:rsidR="00A81F12" w:rsidRPr="00BC491B">
              <w:t>01</w:t>
            </w:r>
            <w:r w:rsidR="00151999" w:rsidRPr="00BC491B">
              <w:t>–</w:t>
            </w:r>
            <w:r w:rsidR="00A81F12" w:rsidRPr="00BC491B">
              <w:t>02</w:t>
            </w:r>
            <w:r w:rsidRPr="00BC491B">
              <w:t xml:space="preserve"> to </w:t>
            </w:r>
            <w:r w:rsidR="00950E4F" w:rsidRPr="00BC491B">
              <w:t>202</w:t>
            </w:r>
            <w:r w:rsidR="002106C6" w:rsidRPr="00BC491B">
              <w:t>1</w:t>
            </w:r>
            <w:r w:rsidR="00151999" w:rsidRPr="00BC491B">
              <w:t>–</w:t>
            </w:r>
            <w:r w:rsidR="002106C6" w:rsidRPr="00BC491B">
              <w:t>2</w:t>
            </w:r>
            <w:r w:rsidR="004A53E3" w:rsidRPr="00BC491B">
              <w:t>2</w:t>
            </w:r>
          </w:p>
        </w:tc>
        <w:tc>
          <w:tcPr>
            <w:tcW w:w="1414" w:type="dxa"/>
          </w:tcPr>
          <w:p w14:paraId="1CBEABA6" w14:textId="358CEE41" w:rsidR="00826878" w:rsidRPr="00BC491B" w:rsidRDefault="00D648CB" w:rsidP="00BC491B">
            <w:pPr>
              <w:pStyle w:val="TableTextCentered"/>
            </w:pPr>
            <w:r w:rsidRPr="00BC491B">
              <w:t>5</w:t>
            </w:r>
            <w:r w:rsidR="009D3CF5" w:rsidRPr="00BC491B">
              <w:t>4.0</w:t>
            </w:r>
            <w:r w:rsidR="00E03AA5" w:rsidRPr="00BC491B">
              <w:t>%</w:t>
            </w:r>
            <w:r w:rsidR="009D3CF5" w:rsidRPr="00BC491B">
              <w:t xml:space="preserve"> </w:t>
            </w:r>
            <w:r w:rsidR="0038091B" w:rsidRPr="00BC491B">
              <w:t>in 2021</w:t>
            </w:r>
            <w:r w:rsidR="00BC491B" w:rsidRPr="00BC491B">
              <w:t>–</w:t>
            </w:r>
            <w:r w:rsidR="0060749B" w:rsidRPr="00BC491B">
              <w:softHyphen/>
            </w:r>
            <w:r w:rsidR="0038091B" w:rsidRPr="00BC491B">
              <w:t>22</w:t>
            </w:r>
          </w:p>
        </w:tc>
      </w:tr>
      <w:tr w:rsidR="00251231" w:rsidRPr="009764EE" w14:paraId="67F50825" w14:textId="77777777" w:rsidTr="00AE4820">
        <w:trPr>
          <w:trHeight w:val="270"/>
        </w:trPr>
        <w:tc>
          <w:tcPr>
            <w:tcW w:w="1159" w:type="dxa"/>
          </w:tcPr>
          <w:p w14:paraId="0A4CFB75" w14:textId="739BB493" w:rsidR="00285FB5" w:rsidRPr="00BC491B" w:rsidRDefault="00285FB5" w:rsidP="00BC491B">
            <w:pPr>
              <w:pStyle w:val="TableTextLeft"/>
              <w:rPr>
                <w:rStyle w:val="Strong"/>
                <w:color w:val="082C44"/>
              </w:rPr>
            </w:pPr>
            <w:r w:rsidRPr="00BC491B">
              <w:rPr>
                <w:rStyle w:val="Strong"/>
                <w:color w:val="082C44"/>
              </w:rPr>
              <w:t xml:space="preserve">Economic </w:t>
            </w:r>
            <w:r w:rsidR="00712B80" w:rsidRPr="00BC491B">
              <w:rPr>
                <w:rStyle w:val="Strong"/>
                <w:color w:val="082C44"/>
              </w:rPr>
              <w:t>resilience</w:t>
            </w:r>
          </w:p>
        </w:tc>
        <w:tc>
          <w:tcPr>
            <w:tcW w:w="2385" w:type="dxa"/>
          </w:tcPr>
          <w:p w14:paraId="4657765E" w14:textId="6AB374BB" w:rsidR="00285FB5" w:rsidRPr="00080F3A" w:rsidRDefault="00294FBE" w:rsidP="00724D08">
            <w:pPr>
              <w:pStyle w:val="TableTextLeft"/>
            </w:pPr>
            <w:r w:rsidRPr="00080F3A">
              <w:t xml:space="preserve">The </w:t>
            </w:r>
            <w:r w:rsidR="000A5A50" w:rsidRPr="00080F3A">
              <w:t>Atlas of Economic Complexity</w:t>
            </w:r>
            <w:r w:rsidR="00135DEA">
              <w:t>’</w:t>
            </w:r>
            <w:r w:rsidR="00226DD4" w:rsidRPr="00080F3A">
              <w:t>s Economic Complexity Index (ECI)</w:t>
            </w:r>
            <w:r w:rsidR="00887970" w:rsidRPr="00BC491B">
              <w:rPr>
                <w:rStyle w:val="TableFootnoteReference"/>
              </w:rPr>
              <w:t>(</w:t>
            </w:r>
            <w:r w:rsidR="00984DDF" w:rsidRPr="00BC491B">
              <w:rPr>
                <w:rStyle w:val="TableFootnoteReference"/>
              </w:rPr>
              <w:t>b</w:t>
            </w:r>
            <w:r w:rsidR="00887970" w:rsidRPr="00BC491B">
              <w:rPr>
                <w:rStyle w:val="TableFootnoteReference"/>
              </w:rPr>
              <w:t>)</w:t>
            </w:r>
          </w:p>
        </w:tc>
        <w:tc>
          <w:tcPr>
            <w:tcW w:w="2698" w:type="dxa"/>
          </w:tcPr>
          <w:p w14:paraId="2464DD33" w14:textId="5EB23A88" w:rsidR="00285FB5" w:rsidRPr="00080F3A" w:rsidRDefault="00B74DEB" w:rsidP="00724D08">
            <w:pPr>
              <w:pStyle w:val="TableTextLeft"/>
            </w:pPr>
            <w:r w:rsidRPr="00080F3A">
              <w:t>The complexity of a country</w:t>
            </w:r>
            <w:r w:rsidR="00135DEA">
              <w:t>’</w:t>
            </w:r>
            <w:r w:rsidRPr="00080F3A">
              <w:t xml:space="preserve">s exports </w:t>
            </w:r>
            <w:r w:rsidR="00C54BCB" w:rsidRPr="00080F3A">
              <w:t xml:space="preserve">captures aspects of competitiveness and economic diversity and </w:t>
            </w:r>
            <w:r w:rsidRPr="00080F3A">
              <w:t xml:space="preserve">is found to highly predict current income levels. </w:t>
            </w:r>
          </w:p>
        </w:tc>
        <w:tc>
          <w:tcPr>
            <w:tcW w:w="1416" w:type="dxa"/>
          </w:tcPr>
          <w:p w14:paraId="473DB897" w14:textId="5B629B56" w:rsidR="00E63D2D" w:rsidRPr="00BC491B" w:rsidRDefault="009A35E8" w:rsidP="00BC491B">
            <w:pPr>
              <w:pStyle w:val="TableTextCentered"/>
              <w:rPr>
                <w:rFonts w:eastAsia="Century Gothic"/>
              </w:rPr>
            </w:pPr>
            <w:r w:rsidRPr="00BC491B">
              <w:rPr>
                <w:rFonts w:eastAsia="Century Gothic"/>
              </w:rPr>
              <w:t>Deteriorated</w:t>
            </w:r>
          </w:p>
          <w:p w14:paraId="4C86BA54" w14:textId="0C71BC61" w:rsidR="00285FB5" w:rsidRPr="00BC491B" w:rsidRDefault="00C222E7" w:rsidP="00BC491B">
            <w:pPr>
              <w:pStyle w:val="TableTextCentered"/>
              <w:rPr>
                <w:rFonts w:eastAsia="Century Gothic"/>
              </w:rPr>
            </w:pPr>
            <w:r w:rsidRPr="00BC491B">
              <w:rPr>
                <w:rFonts w:eastAsia="Century Gothic"/>
              </w:rPr>
              <w:t>20</w:t>
            </w:r>
            <w:r w:rsidR="009A57FF" w:rsidRPr="00BC491B">
              <w:rPr>
                <w:rFonts w:eastAsia="Century Gothic"/>
              </w:rPr>
              <w:t>02</w:t>
            </w:r>
            <w:r w:rsidR="00151999" w:rsidRPr="00BC491B">
              <w:t>–</w:t>
            </w:r>
            <w:r w:rsidR="009A57FF" w:rsidRPr="00BC491B">
              <w:t>202</w:t>
            </w:r>
            <w:r w:rsidR="004D6445" w:rsidRPr="00BC491B">
              <w:t>0</w:t>
            </w:r>
          </w:p>
        </w:tc>
        <w:tc>
          <w:tcPr>
            <w:tcW w:w="1414" w:type="dxa"/>
          </w:tcPr>
          <w:p w14:paraId="67A70952" w14:textId="5F560F5C" w:rsidR="00285FB5" w:rsidRPr="00BC491B" w:rsidRDefault="00472EDA" w:rsidP="00BC491B">
            <w:pPr>
              <w:pStyle w:val="TableTextCentered"/>
            </w:pPr>
            <w:r w:rsidRPr="00BC491B">
              <w:t>Rank 91</w:t>
            </w:r>
            <w:r w:rsidR="00523C75" w:rsidRPr="00BC491B">
              <w:t xml:space="preserve"> of 133 </w:t>
            </w:r>
            <w:r w:rsidR="008841F4" w:rsidRPr="00BC491B">
              <w:t>countries measured</w:t>
            </w:r>
            <w:r w:rsidR="00523C75" w:rsidRPr="00BC491B">
              <w:t xml:space="preserve"> in 2020</w:t>
            </w:r>
          </w:p>
        </w:tc>
      </w:tr>
      <w:tr w:rsidR="00251231" w:rsidRPr="009764EE" w14:paraId="71D2CB05" w14:textId="77777777" w:rsidTr="00AE4820">
        <w:trPr>
          <w:trHeight w:val="270"/>
        </w:trPr>
        <w:tc>
          <w:tcPr>
            <w:tcW w:w="1159" w:type="dxa"/>
          </w:tcPr>
          <w:p w14:paraId="4A4F983F" w14:textId="6B546BDF" w:rsidR="00A735F5" w:rsidRPr="00BC491B" w:rsidRDefault="00A735F5" w:rsidP="00BC491B">
            <w:pPr>
              <w:pStyle w:val="TableTextLeft"/>
              <w:rPr>
                <w:rStyle w:val="Strong"/>
                <w:color w:val="082C44"/>
              </w:rPr>
            </w:pPr>
            <w:r w:rsidRPr="00BC491B">
              <w:rPr>
                <w:rStyle w:val="Strong"/>
                <w:color w:val="082C44"/>
              </w:rPr>
              <w:t>Climate resilience</w:t>
            </w:r>
          </w:p>
        </w:tc>
        <w:tc>
          <w:tcPr>
            <w:tcW w:w="2385" w:type="dxa"/>
          </w:tcPr>
          <w:p w14:paraId="6A907802" w14:textId="0D74FB6B" w:rsidR="00A735F5" w:rsidRPr="00080F3A" w:rsidRDefault="00EB328B" w:rsidP="00724D08">
            <w:pPr>
              <w:pStyle w:val="TableTextLeft"/>
            </w:pPr>
            <w:r w:rsidRPr="00080F3A">
              <w:t>Australian Disaster Resilience Index</w:t>
            </w:r>
            <w:r w:rsidR="00887970" w:rsidRPr="00BC491B">
              <w:rPr>
                <w:rStyle w:val="TableFootnoteReference"/>
              </w:rPr>
              <w:t>(</w:t>
            </w:r>
            <w:r w:rsidR="006C7832" w:rsidRPr="00BC491B">
              <w:rPr>
                <w:rStyle w:val="TableFootnoteReference"/>
              </w:rPr>
              <w:t>c</w:t>
            </w:r>
            <w:r w:rsidR="00887970" w:rsidRPr="00BC491B">
              <w:rPr>
                <w:rStyle w:val="TableFootnoteReference"/>
              </w:rPr>
              <w:t>)</w:t>
            </w:r>
          </w:p>
        </w:tc>
        <w:tc>
          <w:tcPr>
            <w:tcW w:w="2698" w:type="dxa"/>
          </w:tcPr>
          <w:p w14:paraId="4358DDBC" w14:textId="4791FC24" w:rsidR="00A735F5" w:rsidRPr="00080F3A" w:rsidRDefault="00EB328B" w:rsidP="00724D08">
            <w:pPr>
              <w:pStyle w:val="TableTextLeft"/>
            </w:pPr>
            <w:r w:rsidRPr="00080F3A">
              <w:t>Disaster resilience reduces the effects of, and losses from natural disasters.</w:t>
            </w:r>
          </w:p>
        </w:tc>
        <w:tc>
          <w:tcPr>
            <w:tcW w:w="1416" w:type="dxa"/>
          </w:tcPr>
          <w:p w14:paraId="4BD91FD0" w14:textId="357D2D9B" w:rsidR="00967222" w:rsidRPr="00BC491B" w:rsidRDefault="00967222" w:rsidP="00BC491B">
            <w:pPr>
              <w:pStyle w:val="TableTextCentered"/>
              <w:rPr>
                <w:rFonts w:eastAsia="Century Gothic"/>
              </w:rPr>
            </w:pPr>
            <w:r w:rsidRPr="00BC491B">
              <w:rPr>
                <w:rFonts w:eastAsia="Century Gothic"/>
              </w:rPr>
              <w:t>20</w:t>
            </w:r>
            <w:r w:rsidR="001B077D" w:rsidRPr="00BC491B">
              <w:rPr>
                <w:rFonts w:eastAsia="Century Gothic"/>
              </w:rPr>
              <w:t>20</w:t>
            </w:r>
          </w:p>
          <w:p w14:paraId="433F5C8C" w14:textId="4E56A019" w:rsidR="00A735F5" w:rsidRPr="00BC491B" w:rsidRDefault="00EB328B" w:rsidP="00BC491B">
            <w:pPr>
              <w:pStyle w:val="TableTextCentered"/>
              <w:rPr>
                <w:rFonts w:eastAsia="Century Gothic"/>
              </w:rPr>
            </w:pPr>
            <w:r w:rsidRPr="00BC491B">
              <w:rPr>
                <w:rFonts w:eastAsia="Century Gothic"/>
              </w:rPr>
              <w:t>no previous comparisons</w:t>
            </w:r>
          </w:p>
        </w:tc>
        <w:tc>
          <w:tcPr>
            <w:tcW w:w="1414" w:type="dxa"/>
          </w:tcPr>
          <w:p w14:paraId="70CE4C3C" w14:textId="672A0DB2" w:rsidR="00A735F5" w:rsidRPr="00BC491B" w:rsidRDefault="00EB328B" w:rsidP="00BC491B">
            <w:pPr>
              <w:pStyle w:val="TableTextCentered"/>
            </w:pPr>
            <w:r w:rsidRPr="00BC491B">
              <w:t xml:space="preserve">84% of </w:t>
            </w:r>
            <w:r w:rsidR="00E05CDF" w:rsidRPr="00BC491B">
              <w:t>people</w:t>
            </w:r>
            <w:r w:rsidRPr="00BC491B">
              <w:t xml:space="preserve"> live in areas with moderate </w:t>
            </w:r>
            <w:r w:rsidR="00E05CDF" w:rsidRPr="00BC491B">
              <w:t xml:space="preserve">to high </w:t>
            </w:r>
            <w:r w:rsidRPr="00BC491B">
              <w:t>capacity for disaster resilience</w:t>
            </w:r>
          </w:p>
        </w:tc>
      </w:tr>
    </w:tbl>
    <w:p w14:paraId="3293BF7A" w14:textId="1E04B4FA" w:rsidR="00346482" w:rsidRPr="009764EE" w:rsidRDefault="003F4815" w:rsidP="00724D08">
      <w:pPr>
        <w:pStyle w:val="ChartorTableNote"/>
        <w:ind w:left="720" w:hanging="720"/>
      </w:pPr>
      <w:r w:rsidRPr="009764EE">
        <w:t>Source:</w:t>
      </w:r>
      <w:r w:rsidR="00724D08">
        <w:tab/>
      </w:r>
      <w:r w:rsidR="00A81102" w:rsidRPr="009764EE">
        <w:t>(</w:t>
      </w:r>
      <w:r w:rsidR="003220DC" w:rsidRPr="009764EE">
        <w:t>a</w:t>
      </w:r>
      <w:r w:rsidR="00A81102" w:rsidRPr="009764EE">
        <w:t xml:space="preserve">) </w:t>
      </w:r>
      <w:r w:rsidR="00C158B6" w:rsidRPr="009764EE">
        <w:t xml:space="preserve">ABS </w:t>
      </w:r>
      <w:r w:rsidR="00337AA1" w:rsidRPr="009764EE">
        <w:t>Government Finance Statistics</w:t>
      </w:r>
      <w:r w:rsidR="006D506F">
        <w:t xml:space="preserve"> and </w:t>
      </w:r>
      <w:r w:rsidR="00337AA1" w:rsidRPr="009764EE">
        <w:t>Treasury</w:t>
      </w:r>
      <w:r w:rsidR="00DD6E2E" w:rsidRPr="009764EE">
        <w:br/>
      </w:r>
      <w:r w:rsidR="00E05CDF" w:rsidRPr="009764EE">
        <w:t>(</w:t>
      </w:r>
      <w:r w:rsidR="00984DDF" w:rsidRPr="009764EE">
        <w:t>b</w:t>
      </w:r>
      <w:r w:rsidR="00E05CDF" w:rsidRPr="009764EE">
        <w:t>) The Atlas of Economic Complexity</w:t>
      </w:r>
      <w:r w:rsidR="00135DEA">
        <w:t>’</w:t>
      </w:r>
      <w:r w:rsidR="00E05CDF" w:rsidRPr="009764EE">
        <w:t>s ECI</w:t>
      </w:r>
      <w:r w:rsidR="00DD6E2E" w:rsidRPr="009764EE">
        <w:br/>
      </w:r>
      <w:r w:rsidR="00251231" w:rsidRPr="009764EE">
        <w:t>(</w:t>
      </w:r>
      <w:r w:rsidR="00984DDF" w:rsidRPr="009764EE">
        <w:t>c</w:t>
      </w:r>
      <w:r w:rsidR="00251231" w:rsidRPr="009764EE">
        <w:t xml:space="preserve">) </w:t>
      </w:r>
      <w:r w:rsidR="00975EFB" w:rsidRPr="009764EE">
        <w:t>Parsons et al, Australian Disaster Index Volume 1, State of Disaster Resilience Report (2020)</w:t>
      </w:r>
    </w:p>
    <w:p w14:paraId="3BE7F182" w14:textId="33A94607" w:rsidR="00E874E9" w:rsidRDefault="00AC74B2" w:rsidP="00724D08">
      <w:pPr>
        <w:pStyle w:val="ChartorTableNote"/>
        <w:ind w:left="720" w:hanging="720"/>
      </w:pPr>
      <w:r w:rsidRPr="009764EE">
        <w:t>N</w:t>
      </w:r>
      <w:r w:rsidR="00763542" w:rsidRPr="009764EE">
        <w:t>ote:</w:t>
      </w:r>
      <w:r w:rsidR="00724D08">
        <w:tab/>
      </w:r>
      <w:r w:rsidR="0026345B" w:rsidRPr="009764EE">
        <w:t xml:space="preserve">(i) </w:t>
      </w:r>
      <w:r w:rsidR="00763542" w:rsidRPr="009764EE">
        <w:t xml:space="preserve">Unless specified the latest value is the last data point in the </w:t>
      </w:r>
      <w:r w:rsidR="00DC6836" w:rsidRPr="009764EE">
        <w:t>series</w:t>
      </w:r>
      <w:r w:rsidR="00B83AB8">
        <w:br/>
      </w:r>
      <w:r w:rsidR="00095982" w:rsidRPr="00095982">
        <w:t>(ii) The consolidated level comprises the Australian Government, state and local governments and multi</w:t>
      </w:r>
      <w:r w:rsidR="00135DEA">
        <w:noBreakHyphen/>
      </w:r>
      <w:r w:rsidR="00095982" w:rsidRPr="00095982">
        <w:t>jurisdictional sector. Adjustments are made to avoid double counting between these sectors</w:t>
      </w:r>
    </w:p>
    <w:p w14:paraId="5675A35B" w14:textId="77777777" w:rsidR="00646CE3" w:rsidRDefault="00646CE3" w:rsidP="00C71E01"/>
    <w:p w14:paraId="42F51380" w14:textId="4C28DB66" w:rsidR="00646CE3" w:rsidRPr="00646CE3" w:rsidRDefault="00646CE3" w:rsidP="00C71E01">
      <w:pPr>
        <w:sectPr w:rsidR="00646CE3" w:rsidRPr="00646CE3" w:rsidSect="00DA302B">
          <w:endnotePr>
            <w:numFmt w:val="decimal"/>
          </w:endnotePr>
          <w:type w:val="continuous"/>
          <w:pgSz w:w="11906" w:h="16838" w:code="9"/>
          <w:pgMar w:top="1843" w:right="1418" w:bottom="1418" w:left="1418" w:header="851" w:footer="851" w:gutter="0"/>
          <w:cols w:space="567"/>
          <w:docGrid w:linePitch="360"/>
        </w:sectPr>
      </w:pPr>
    </w:p>
    <w:p w14:paraId="2BC5A093" w14:textId="08428EB9" w:rsidR="003360C8" w:rsidRPr="009764EE" w:rsidRDefault="009F7FEE" w:rsidP="004E4E24">
      <w:r w:rsidRPr="009764EE">
        <w:t xml:space="preserve">The wellbeing of </w:t>
      </w:r>
      <w:r w:rsidR="00DA4886">
        <w:t>Australians</w:t>
      </w:r>
      <w:r w:rsidRPr="009764EE">
        <w:t xml:space="preserve"> needs to be </w:t>
      </w:r>
      <w:r w:rsidR="00C83DB2" w:rsidRPr="009764EE">
        <w:t xml:space="preserve">resilient </w:t>
      </w:r>
      <w:r w:rsidR="00763B58" w:rsidRPr="009764EE">
        <w:t>and</w:t>
      </w:r>
      <w:r w:rsidR="00751C24" w:rsidRPr="009764EE">
        <w:t xml:space="preserve"> able to withstand the challenges that will come at us from around the world.</w:t>
      </w:r>
    </w:p>
    <w:p w14:paraId="56F29531" w14:textId="4BD1280A" w:rsidR="00C46C23" w:rsidRPr="009764EE" w:rsidRDefault="00763B58" w:rsidP="004E4E24">
      <w:r w:rsidRPr="009764EE">
        <w:t>T</w:t>
      </w:r>
      <w:r w:rsidR="003360C8" w:rsidRPr="009764EE">
        <w:t>his</w:t>
      </w:r>
      <w:r w:rsidRPr="009764EE">
        <w:t xml:space="preserve"> section of the</w:t>
      </w:r>
      <w:r w:rsidR="003360C8" w:rsidRPr="009764EE">
        <w:t xml:space="preserve"> Statement explores</w:t>
      </w:r>
      <w:r w:rsidR="000A466B" w:rsidRPr="009764EE">
        <w:t xml:space="preserve"> </w:t>
      </w:r>
      <w:r w:rsidR="00FB00A1" w:rsidRPr="009764EE">
        <w:t xml:space="preserve">some measurements </w:t>
      </w:r>
      <w:r w:rsidR="0025736E" w:rsidRPr="009764EE">
        <w:t xml:space="preserve">that </w:t>
      </w:r>
      <w:r w:rsidR="00FB00A1" w:rsidRPr="009764EE">
        <w:t xml:space="preserve">can help us track </w:t>
      </w:r>
      <w:r w:rsidR="00A32CFA" w:rsidRPr="009764EE">
        <w:t>the extent to which we</w:t>
      </w:r>
      <w:r w:rsidR="00380E11" w:rsidRPr="009764EE">
        <w:t xml:space="preserve"> are</w:t>
      </w:r>
      <w:r w:rsidR="00A32CFA" w:rsidRPr="009764EE">
        <w:t xml:space="preserve"> </w:t>
      </w:r>
      <w:r w:rsidR="009A37F3" w:rsidRPr="009764EE">
        <w:t xml:space="preserve">making improvements </w:t>
      </w:r>
      <w:r w:rsidR="007313C1" w:rsidRPr="009764EE">
        <w:t xml:space="preserve">in the resilience of our economy and society </w:t>
      </w:r>
      <w:r w:rsidR="009F7094" w:rsidRPr="009764EE">
        <w:t xml:space="preserve">by </w:t>
      </w:r>
      <w:r w:rsidR="001034C1" w:rsidRPr="009764EE">
        <w:t>boosting</w:t>
      </w:r>
      <w:r w:rsidR="00C46C23" w:rsidRPr="009764EE">
        <w:t xml:space="preserve"> </w:t>
      </w:r>
      <w:r w:rsidR="00040CA5" w:rsidRPr="009764EE">
        <w:t xml:space="preserve">the </w:t>
      </w:r>
      <w:r w:rsidR="00952488" w:rsidRPr="00952488">
        <w:t>dynamism of our broader economy, working towards a more sustainable Budget and protecting Australians from the damages of climate change.</w:t>
      </w:r>
      <w:r w:rsidR="00952488">
        <w:t xml:space="preserve"> </w:t>
      </w:r>
    </w:p>
    <w:p w14:paraId="42F1496F" w14:textId="2DB2EAD4" w:rsidR="00E55A1B" w:rsidRPr="009764EE" w:rsidRDefault="00E55A1B" w:rsidP="00477535">
      <w:pPr>
        <w:pStyle w:val="Heading3"/>
        <w:rPr>
          <w:rFonts w:cs="Calibri"/>
        </w:rPr>
      </w:pPr>
      <w:r w:rsidRPr="009764EE">
        <w:rPr>
          <w:rFonts w:cs="Calibri"/>
        </w:rPr>
        <w:t xml:space="preserve">Fiscal sustainability </w:t>
      </w:r>
    </w:p>
    <w:p w14:paraId="67A1A92E" w14:textId="6452035A" w:rsidR="00F32B06" w:rsidRPr="009764EE" w:rsidRDefault="00113390" w:rsidP="003E4A48">
      <w:pPr>
        <w:rPr>
          <w:rFonts w:eastAsia="Calibri Light"/>
        </w:rPr>
      </w:pPr>
      <w:r w:rsidRPr="009764EE">
        <w:rPr>
          <w:rFonts w:eastAsia="Calibri Light"/>
        </w:rPr>
        <w:t xml:space="preserve">Fiscal sustainability improves the economic wellbeing of Australians by supporting a strong and stable economy and ensuring the sustained provision of essential government services. </w:t>
      </w:r>
      <w:r w:rsidR="00F32B06" w:rsidRPr="009764EE">
        <w:rPr>
          <w:rFonts w:eastAsia="Calibri Light"/>
        </w:rPr>
        <w:t xml:space="preserve">A </w:t>
      </w:r>
      <w:r w:rsidR="00B16257" w:rsidRPr="009764EE">
        <w:rPr>
          <w:rFonts w:eastAsia="Calibri Light"/>
        </w:rPr>
        <w:t>sustainable</w:t>
      </w:r>
      <w:r w:rsidR="00F32B06" w:rsidRPr="009764EE">
        <w:rPr>
          <w:rFonts w:eastAsia="Calibri Light"/>
        </w:rPr>
        <w:t xml:space="preserve"> fiscal position </w:t>
      </w:r>
      <w:r w:rsidR="005454A8" w:rsidRPr="009764EE">
        <w:rPr>
          <w:rFonts w:eastAsia="Calibri Light"/>
        </w:rPr>
        <w:t>enables</w:t>
      </w:r>
      <w:r w:rsidR="00F32B06" w:rsidRPr="009764EE">
        <w:rPr>
          <w:rFonts w:eastAsia="Calibri Light"/>
        </w:rPr>
        <w:t xml:space="preserve"> government to </w:t>
      </w:r>
      <w:r w:rsidR="007826FE" w:rsidRPr="009764EE">
        <w:rPr>
          <w:rFonts w:eastAsia="Calibri Light"/>
        </w:rPr>
        <w:t xml:space="preserve">respond to changes in economic conditions </w:t>
      </w:r>
      <w:r w:rsidR="001C20D1" w:rsidRPr="009764EE">
        <w:rPr>
          <w:rFonts w:eastAsia="Calibri Light"/>
        </w:rPr>
        <w:t>and buffer the economy</w:t>
      </w:r>
      <w:r w:rsidR="007826FE" w:rsidRPr="009764EE">
        <w:rPr>
          <w:rFonts w:eastAsia="Calibri Light"/>
        </w:rPr>
        <w:t xml:space="preserve"> and </w:t>
      </w:r>
      <w:r w:rsidR="00CA7E2D">
        <w:rPr>
          <w:rFonts w:eastAsia="Calibri Light"/>
        </w:rPr>
        <w:t>Australians</w:t>
      </w:r>
      <w:r w:rsidR="001C20D1" w:rsidRPr="009764EE">
        <w:rPr>
          <w:rFonts w:eastAsia="Calibri Light"/>
        </w:rPr>
        <w:t xml:space="preserve"> against adverse shocks. </w:t>
      </w:r>
    </w:p>
    <w:p w14:paraId="0F61FD41" w14:textId="237F028B" w:rsidR="00286D33" w:rsidRPr="009764EE" w:rsidRDefault="00E55A1B" w:rsidP="004E4E24">
      <w:pPr>
        <w:rPr>
          <w:rFonts w:eastAsia="Calibri Light"/>
        </w:rPr>
      </w:pPr>
      <w:r w:rsidRPr="009764EE">
        <w:t>One measure of fiscal sustainability is the</w:t>
      </w:r>
      <w:r w:rsidR="00713D8C" w:rsidRPr="009764EE">
        <w:t xml:space="preserve"> </w:t>
      </w:r>
      <w:r w:rsidRPr="009764EE">
        <w:t xml:space="preserve">government </w:t>
      </w:r>
      <w:r w:rsidR="00F44052" w:rsidRPr="009764EE">
        <w:t xml:space="preserve">gross </w:t>
      </w:r>
      <w:r w:rsidRPr="009764EE">
        <w:t>debt to GDP ratio</w:t>
      </w:r>
      <w:r w:rsidR="00F15B65" w:rsidRPr="009764EE">
        <w:t xml:space="preserve"> </w:t>
      </w:r>
      <w:r w:rsidR="00524DA4" w:rsidRPr="009764EE">
        <w:t>across all</w:t>
      </w:r>
      <w:r w:rsidR="00F15B65" w:rsidRPr="009764EE">
        <w:t xml:space="preserve"> level</w:t>
      </w:r>
      <w:r w:rsidR="00524DA4" w:rsidRPr="009764EE">
        <w:t>s</w:t>
      </w:r>
      <w:r w:rsidR="00F15B65" w:rsidRPr="009764EE">
        <w:t xml:space="preserve"> of government</w:t>
      </w:r>
      <w:r w:rsidRPr="009764EE">
        <w:t xml:space="preserve">, which captures the amount </w:t>
      </w:r>
      <w:r w:rsidR="00AB272F" w:rsidRPr="009764EE">
        <w:t>Australian</w:t>
      </w:r>
      <w:r w:rsidR="003C5B07" w:rsidRPr="009764EE">
        <w:t xml:space="preserve"> </w:t>
      </w:r>
      <w:r w:rsidR="00AB272F" w:rsidRPr="009764EE">
        <w:t>g</w:t>
      </w:r>
      <w:r w:rsidRPr="009764EE">
        <w:t>overnment</w:t>
      </w:r>
      <w:r w:rsidR="00AB272F" w:rsidRPr="009764EE">
        <w:t>s</w:t>
      </w:r>
      <w:r w:rsidRPr="009764EE">
        <w:t xml:space="preserve"> owe. The level of the </w:t>
      </w:r>
      <w:r w:rsidR="00524DA4" w:rsidRPr="009764EE">
        <w:t>g</w:t>
      </w:r>
      <w:r w:rsidRPr="009764EE">
        <w:t xml:space="preserve">overnment </w:t>
      </w:r>
      <w:r w:rsidR="001A0858" w:rsidRPr="009764EE">
        <w:t>gross</w:t>
      </w:r>
      <w:r w:rsidRPr="009764EE">
        <w:t xml:space="preserve"> debt as a share of GDP has risen </w:t>
      </w:r>
      <w:r w:rsidR="00E41B11" w:rsidRPr="009764EE">
        <w:t>significantly</w:t>
      </w:r>
      <w:r w:rsidR="0018047A" w:rsidRPr="009764EE">
        <w:t xml:space="preserve"> </w:t>
      </w:r>
      <w:r w:rsidR="00274140" w:rsidRPr="009764EE">
        <w:t>over</w:t>
      </w:r>
      <w:r w:rsidR="0018047A" w:rsidRPr="009764EE">
        <w:t xml:space="preserve"> recent decades</w:t>
      </w:r>
      <w:r w:rsidR="007E74B6" w:rsidRPr="009764EE">
        <w:t xml:space="preserve"> </w:t>
      </w:r>
      <w:r w:rsidR="0004243F" w:rsidRPr="009764EE">
        <w:t xml:space="preserve">reflecting the impacts of </w:t>
      </w:r>
      <w:r w:rsidR="000D12EB" w:rsidRPr="009764EE">
        <w:t>global shocks, a</w:t>
      </w:r>
      <w:r w:rsidR="0004243F" w:rsidRPr="009764EE">
        <w:t xml:space="preserve"> pandemic,</w:t>
      </w:r>
      <w:r w:rsidR="00DD2768" w:rsidRPr="009764EE">
        <w:t xml:space="preserve"> </w:t>
      </w:r>
      <w:r w:rsidRPr="009764EE" w:rsidDel="00662800">
        <w:t xml:space="preserve">and </w:t>
      </w:r>
      <w:r w:rsidR="00ED162F" w:rsidRPr="009764EE">
        <w:t>intensifying</w:t>
      </w:r>
      <w:r w:rsidR="0004243F" w:rsidRPr="009764EE">
        <w:t xml:space="preserve"> structural spending pressures</w:t>
      </w:r>
      <w:r w:rsidR="00546362" w:rsidRPr="009764EE">
        <w:t xml:space="preserve"> on the budget</w:t>
      </w:r>
      <w:r w:rsidR="00DD2768" w:rsidRPr="009764EE">
        <w:t xml:space="preserve">. </w:t>
      </w:r>
      <w:r w:rsidR="001056F9" w:rsidRPr="009764EE">
        <w:t>Despite this</w:t>
      </w:r>
      <w:r w:rsidR="00F05D48" w:rsidRPr="009764EE">
        <w:t xml:space="preserve">, </w:t>
      </w:r>
      <w:r w:rsidR="002139BC" w:rsidRPr="009764EE">
        <w:t xml:space="preserve">government </w:t>
      </w:r>
      <w:r w:rsidR="001A0858" w:rsidRPr="009764EE">
        <w:t xml:space="preserve">gross </w:t>
      </w:r>
      <w:r w:rsidR="002139BC" w:rsidRPr="009764EE">
        <w:t xml:space="preserve">debt in Australia </w:t>
      </w:r>
      <w:r w:rsidRPr="009764EE">
        <w:t>remain</w:t>
      </w:r>
      <w:r w:rsidR="00F05D48" w:rsidRPr="009764EE">
        <w:t>s</w:t>
      </w:r>
      <w:r w:rsidRPr="009764EE">
        <w:t xml:space="preserve"> well below debt levels in many other </w:t>
      </w:r>
      <w:r w:rsidR="002139BC" w:rsidRPr="009764EE">
        <w:t>advanced economies</w:t>
      </w:r>
      <w:r w:rsidRPr="009764EE">
        <w:t>.</w:t>
      </w:r>
      <w:r w:rsidR="00241AF3" w:rsidRPr="009764EE">
        <w:rPr>
          <w:rFonts w:eastAsia="Calibri Light"/>
        </w:rPr>
        <w:t xml:space="preserve"> </w:t>
      </w:r>
    </w:p>
    <w:p w14:paraId="65A37C8C" w14:textId="402A3910" w:rsidR="00960759" w:rsidRPr="009764EE" w:rsidRDefault="00241AF3" w:rsidP="004E4E24">
      <w:r w:rsidRPr="009764EE">
        <w:rPr>
          <w:rFonts w:eastAsia="Calibri Light"/>
        </w:rPr>
        <w:t>The Government maintains a triple</w:t>
      </w:r>
      <w:r w:rsidR="00135DEA">
        <w:rPr>
          <w:rFonts w:eastAsia="Calibri Light"/>
        </w:rPr>
        <w:noBreakHyphen/>
      </w:r>
      <w:r w:rsidRPr="009764EE">
        <w:rPr>
          <w:rFonts w:eastAsia="Calibri Light"/>
        </w:rPr>
        <w:t>A credit rating from all three major credit rating agencies, meaning it is considered a safe and reliable borrower.</w:t>
      </w:r>
    </w:p>
    <w:p w14:paraId="1CBDA614" w14:textId="46593D50" w:rsidR="000674E3" w:rsidRPr="009764EE" w:rsidRDefault="000674E3" w:rsidP="004E4E24">
      <w:r w:rsidRPr="009764EE">
        <w:t>The Government</w:t>
      </w:r>
      <w:r w:rsidR="00135DEA">
        <w:t>’</w:t>
      </w:r>
      <w:r w:rsidRPr="009764EE">
        <w:t>s responsible economic and fiscal management is helping to deliver a stronger, more resilient, and more sustainable fiscal position</w:t>
      </w:r>
      <w:r w:rsidR="000C3ACF" w:rsidRPr="009764EE">
        <w:t>.</w:t>
      </w:r>
      <w:r w:rsidRPr="009764EE">
        <w:t xml:space="preserve"> The</w:t>
      </w:r>
      <w:r w:rsidR="000C3ACF" w:rsidRPr="009764EE">
        <w:t xml:space="preserve"> </w:t>
      </w:r>
      <w:r w:rsidR="00CB2855" w:rsidRPr="009764EE">
        <w:t>Government is directing</w:t>
      </w:r>
      <w:r w:rsidR="00EF515A" w:rsidRPr="009764EE">
        <w:t xml:space="preserve"> most </w:t>
      </w:r>
      <w:r w:rsidR="000C3ACF" w:rsidRPr="009764EE">
        <w:t>of the improvements in tax receipts to budget repair, restraining spending growth, improving the quality of spending</w:t>
      </w:r>
      <w:r w:rsidR="00CB2855" w:rsidRPr="009764EE">
        <w:t xml:space="preserve">, </w:t>
      </w:r>
      <w:r w:rsidR="00097B48" w:rsidRPr="009764EE">
        <w:t xml:space="preserve">undertaking </w:t>
      </w:r>
      <w:r w:rsidR="00DC3CCB" w:rsidRPr="009764EE">
        <w:lastRenderedPageBreak/>
        <w:t xml:space="preserve">meaningful </w:t>
      </w:r>
      <w:r w:rsidR="001361AE" w:rsidRPr="009764EE">
        <w:t>tax reform</w:t>
      </w:r>
      <w:r w:rsidR="00CB2855" w:rsidRPr="009764EE">
        <w:t>, and focusing investments on building the productiv</w:t>
      </w:r>
      <w:r w:rsidR="00DE53F9" w:rsidRPr="009764EE">
        <w:t>e</w:t>
      </w:r>
      <w:r w:rsidR="00CB2855" w:rsidRPr="009764EE">
        <w:t xml:space="preserve"> capacity of the economy.</w:t>
      </w:r>
      <w:r w:rsidR="000C3ACF" w:rsidRPr="009764EE">
        <w:t xml:space="preserve"> </w:t>
      </w:r>
    </w:p>
    <w:p w14:paraId="25BC12D3" w14:textId="10A0C182" w:rsidR="000674E3" w:rsidRPr="003E4A48" w:rsidRDefault="00CB2855" w:rsidP="004E4E24">
      <w:r w:rsidRPr="009764EE">
        <w:rPr>
          <w:rFonts w:ascii="Calibri" w:hAnsi="Calibri" w:cs="Calibri"/>
        </w:rPr>
        <w:t xml:space="preserve">As a </w:t>
      </w:r>
      <w:r w:rsidRPr="003E4A48">
        <w:t>result of this responsible fiscal management</w:t>
      </w:r>
      <w:r w:rsidRPr="009764EE">
        <w:rPr>
          <w:rFonts w:ascii="Calibri" w:hAnsi="Calibri" w:cs="Calibri"/>
        </w:rPr>
        <w:t xml:space="preserve">, </w:t>
      </w:r>
      <w:r w:rsidRPr="003E4A48">
        <w:t>a</w:t>
      </w:r>
      <w:r w:rsidR="000674E3" w:rsidRPr="003E4A48">
        <w:t xml:space="preserve"> budget surplus is </w:t>
      </w:r>
      <w:r w:rsidR="0062549C" w:rsidRPr="003E4A48">
        <w:t>now expected for</w:t>
      </w:r>
      <w:r w:rsidR="000674E3" w:rsidRPr="003E4A48">
        <w:t xml:space="preserve"> 2022</w:t>
      </w:r>
      <w:r w:rsidR="00151999">
        <w:t>–</w:t>
      </w:r>
      <w:r w:rsidR="000674E3" w:rsidRPr="003E4A48">
        <w:t>23</w:t>
      </w:r>
      <w:r w:rsidR="001524A0">
        <w:t xml:space="preserve"> – </w:t>
      </w:r>
      <w:r w:rsidR="000674E3" w:rsidRPr="003E4A48">
        <w:t>the first surplus in 15</w:t>
      </w:r>
      <w:r w:rsidR="00C239AD">
        <w:t> year</w:t>
      </w:r>
      <w:r w:rsidR="000674E3" w:rsidRPr="003E4A48">
        <w:t xml:space="preserve">s. </w:t>
      </w:r>
      <w:r w:rsidRPr="003E4A48">
        <w:t>Projected</w:t>
      </w:r>
      <w:r w:rsidR="000674E3" w:rsidRPr="003E4A48">
        <w:t xml:space="preserve"> deficits and debt as a share of GDP are </w:t>
      </w:r>
      <w:r w:rsidRPr="003E4A48">
        <w:t>lower</w:t>
      </w:r>
      <w:r w:rsidR="000674E3" w:rsidRPr="003E4A48">
        <w:t xml:space="preserve"> across the medium term</w:t>
      </w:r>
      <w:r w:rsidR="001524A0">
        <w:t xml:space="preserve"> – </w:t>
      </w:r>
      <w:r w:rsidR="000674E3" w:rsidRPr="003E4A48">
        <w:t>compared to when the Government came to office</w:t>
      </w:r>
      <w:r w:rsidR="001524A0">
        <w:t xml:space="preserve"> – </w:t>
      </w:r>
      <w:r w:rsidR="00582F1E" w:rsidRPr="003E4A48">
        <w:t>avoiding add</w:t>
      </w:r>
      <w:r w:rsidR="00582F1E" w:rsidRPr="009764EE">
        <w:rPr>
          <w:rFonts w:ascii="Calibri" w:hAnsi="Calibri" w:cs="Calibri"/>
        </w:rPr>
        <w:t xml:space="preserve">itional </w:t>
      </w:r>
      <w:r w:rsidR="00582F1E" w:rsidRPr="003E4A48">
        <w:t>interest costs and helping to rebuild fiscal buffers and resilience against future shocks</w:t>
      </w:r>
      <w:r w:rsidR="000674E3" w:rsidRPr="003E4A48">
        <w:t xml:space="preserve">. </w:t>
      </w:r>
    </w:p>
    <w:p w14:paraId="31F26FC2" w14:textId="77777777" w:rsidR="006415A4" w:rsidRDefault="006415A4" w:rsidP="004E4E24">
      <w:pPr>
        <w:rPr>
          <w:rFonts w:ascii="Calibri" w:hAnsi="Calibri" w:cs="Calibri"/>
        </w:rPr>
        <w:sectPr w:rsidR="006415A4" w:rsidSect="00DA302B">
          <w:endnotePr>
            <w:numFmt w:val="decimal"/>
          </w:endnotePr>
          <w:type w:val="continuous"/>
          <w:pgSz w:w="11906" w:h="16838" w:code="9"/>
          <w:pgMar w:top="1843" w:right="1418" w:bottom="1418" w:left="1418" w:header="851" w:footer="851" w:gutter="0"/>
          <w:cols w:num="2" w:space="567"/>
          <w:docGrid w:linePitch="360"/>
        </w:sectPr>
      </w:pPr>
    </w:p>
    <w:p w14:paraId="75841CBA" w14:textId="4F81944D" w:rsidR="00B62374" w:rsidRPr="00724D08" w:rsidRDefault="00B62374" w:rsidP="002C2C01">
      <w:pPr>
        <w:pStyle w:val="ChartMainHeading"/>
      </w:pPr>
      <w:r w:rsidRPr="00724D08">
        <w:t xml:space="preserve">Chart </w:t>
      </w:r>
      <w:r w:rsidR="00742BF6" w:rsidRPr="00724D08">
        <w:t>10</w:t>
      </w:r>
      <w:r w:rsidR="00943A37" w:rsidRPr="00724D08">
        <w:t xml:space="preserve">: </w:t>
      </w:r>
      <w:r w:rsidR="00723205" w:rsidRPr="00724D08">
        <w:t xml:space="preserve">All </w:t>
      </w:r>
      <w:r w:rsidR="00723205" w:rsidRPr="002C2C01">
        <w:t>levels</w:t>
      </w:r>
      <w:r w:rsidR="00723205" w:rsidRPr="00724D08">
        <w:t xml:space="preserve"> of </w:t>
      </w:r>
      <w:r w:rsidR="00617E5E" w:rsidRPr="00724D08">
        <w:t>g</w:t>
      </w:r>
      <w:r w:rsidR="0054025A" w:rsidRPr="00724D08">
        <w:t xml:space="preserve">overnment gross debt as a share of GDP </w:t>
      </w:r>
    </w:p>
    <w:p w14:paraId="39F1CA7E" w14:textId="063A0F19" w:rsidR="00764F19" w:rsidRPr="009764EE" w:rsidRDefault="00B07338" w:rsidP="002C2C01">
      <w:pPr>
        <w:pStyle w:val="ChartGraphic"/>
      </w:pPr>
      <w:r w:rsidRPr="00B07338">
        <w:rPr>
          <w:noProof/>
        </w:rPr>
        <w:drawing>
          <wp:inline distT="0" distB="0" distL="0" distR="0" wp14:anchorId="7C61E58E" wp14:editId="2D8EE0DA">
            <wp:extent cx="5400000" cy="2074959"/>
            <wp:effectExtent l="0" t="0" r="0" b="1905"/>
            <wp:docPr id="16" name="Picture 16" descr="This chart shows Government gross debt as a share of GDP has increased from 13.5 per cent in 2001-02 to 54 per cent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Government gross debt as a share of GDP has increased from 13.5 per cent in 2001-02 to 54 per cent in 2021-22."/>
                    <pic:cNvPicPr/>
                  </pic:nvPicPr>
                  <pic:blipFill>
                    <a:blip r:embed="rId51"/>
                    <a:stretch>
                      <a:fillRect/>
                    </a:stretch>
                  </pic:blipFill>
                  <pic:spPr>
                    <a:xfrm>
                      <a:off x="0" y="0"/>
                      <a:ext cx="5400000" cy="2074959"/>
                    </a:xfrm>
                    <a:prstGeom prst="rect">
                      <a:avLst/>
                    </a:prstGeom>
                  </pic:spPr>
                </pic:pic>
              </a:graphicData>
            </a:graphic>
          </wp:inline>
        </w:drawing>
      </w:r>
    </w:p>
    <w:p w14:paraId="767CE33D" w14:textId="68D30E77" w:rsidR="00F65294" w:rsidRPr="002C2C01" w:rsidRDefault="00F65294" w:rsidP="002C2C01">
      <w:pPr>
        <w:pStyle w:val="ChartorTableNote"/>
      </w:pPr>
      <w:r w:rsidRPr="009764EE">
        <w:t xml:space="preserve">Source: </w:t>
      </w:r>
      <w:r w:rsidR="000E40B7" w:rsidRPr="009764EE">
        <w:t>ABS Government Finance Statistics, and Treasury</w:t>
      </w:r>
    </w:p>
    <w:p w14:paraId="0B45B058" w14:textId="77777777" w:rsidR="006415A4" w:rsidRDefault="006415A4" w:rsidP="00C71E01">
      <w:pPr>
        <w:pStyle w:val="SingleParagraph"/>
      </w:pPr>
    </w:p>
    <w:p w14:paraId="686273E0" w14:textId="4E4013D5" w:rsidR="002C2C01" w:rsidRDefault="002C2C01" w:rsidP="00C71E01">
      <w:pPr>
        <w:pStyle w:val="SingleParagraph"/>
        <w:sectPr w:rsidR="002C2C01" w:rsidSect="00DA302B">
          <w:endnotePr>
            <w:numFmt w:val="decimal"/>
          </w:endnotePr>
          <w:type w:val="continuous"/>
          <w:pgSz w:w="11906" w:h="16838" w:code="9"/>
          <w:pgMar w:top="1843" w:right="1418" w:bottom="1418" w:left="1418" w:header="851" w:footer="851" w:gutter="0"/>
          <w:cols w:space="567"/>
          <w:docGrid w:linePitch="360"/>
        </w:sectPr>
      </w:pPr>
    </w:p>
    <w:p w14:paraId="358B34D6" w14:textId="50ECD7E9" w:rsidR="00E55A1B" w:rsidRPr="009764EE" w:rsidRDefault="00E55A1B" w:rsidP="00C71E01">
      <w:pPr>
        <w:pStyle w:val="Heading3"/>
        <w:spacing w:before="0"/>
        <w:rPr>
          <w:rFonts w:cs="Calibri"/>
        </w:rPr>
      </w:pPr>
      <w:r w:rsidRPr="009764EE">
        <w:rPr>
          <w:rFonts w:cs="Calibri"/>
        </w:rPr>
        <w:t>Economic resilience</w:t>
      </w:r>
      <w:r w:rsidR="008259FE" w:rsidRPr="009764EE">
        <w:rPr>
          <w:rFonts w:cs="Calibri"/>
        </w:rPr>
        <w:t xml:space="preserve"> </w:t>
      </w:r>
    </w:p>
    <w:p w14:paraId="04B5DBF8" w14:textId="03DECB4B" w:rsidR="00E266B8" w:rsidRPr="009764EE" w:rsidRDefault="00466893" w:rsidP="00ED5CC1">
      <w:r w:rsidRPr="009764EE">
        <w:t>Over the past few years</w:t>
      </w:r>
      <w:r w:rsidR="00B73DA6" w:rsidRPr="009764EE">
        <w:t>,</w:t>
      </w:r>
      <w:r w:rsidRPr="009764EE">
        <w:t xml:space="preserve"> the Australian economy has been subject to multiple international shock</w:t>
      </w:r>
      <w:r w:rsidR="00B73DA6" w:rsidRPr="009764EE">
        <w:t xml:space="preserve">s </w:t>
      </w:r>
      <w:r w:rsidR="006B452B" w:rsidRPr="009764EE">
        <w:t xml:space="preserve">that </w:t>
      </w:r>
      <w:r w:rsidR="00B73DA6" w:rsidRPr="009764EE">
        <w:t xml:space="preserve">have </w:t>
      </w:r>
      <w:r w:rsidR="001A0671" w:rsidRPr="009764EE">
        <w:t>impacted on our capacity to improve the living standards of Australians</w:t>
      </w:r>
      <w:r w:rsidR="00A866D6">
        <w:t>.</w:t>
      </w:r>
      <w:r w:rsidR="0011681E" w:rsidRPr="009764EE">
        <w:t xml:space="preserve"> </w:t>
      </w:r>
      <w:r w:rsidR="00ED5CC1" w:rsidRPr="009764EE">
        <w:t xml:space="preserve">In a global economy, Australia cannot avoid the effects of </w:t>
      </w:r>
      <w:r w:rsidR="0011681E" w:rsidRPr="009764EE">
        <w:t xml:space="preserve">these </w:t>
      </w:r>
      <w:r w:rsidR="00ED5CC1" w:rsidRPr="009764EE">
        <w:t>shocks</w:t>
      </w:r>
      <w:r w:rsidR="00042F22" w:rsidRPr="009764EE">
        <w:t xml:space="preserve">, but </w:t>
      </w:r>
      <w:r w:rsidR="00FD678A" w:rsidRPr="009764EE">
        <w:t xml:space="preserve">boosting </w:t>
      </w:r>
      <w:r w:rsidR="00042F22" w:rsidRPr="009764EE">
        <w:t xml:space="preserve">the diversity and adaptability of our economy </w:t>
      </w:r>
      <w:r w:rsidR="00B8471D" w:rsidRPr="009764EE">
        <w:t>improves</w:t>
      </w:r>
      <w:r w:rsidR="00042F22" w:rsidRPr="009764EE">
        <w:t xml:space="preserve"> </w:t>
      </w:r>
      <w:r w:rsidR="006E14EB" w:rsidRPr="009764EE">
        <w:t>our resilience</w:t>
      </w:r>
      <w:r w:rsidR="00ED5CC1" w:rsidRPr="009764EE">
        <w:t xml:space="preserve">. </w:t>
      </w:r>
    </w:p>
    <w:p w14:paraId="1050D99C" w14:textId="3D5EBB43" w:rsidR="001236EB" w:rsidRPr="009764EE" w:rsidRDefault="005526AA" w:rsidP="001236EB">
      <w:pPr>
        <w:rPr>
          <w:szCs w:val="22"/>
        </w:rPr>
      </w:pPr>
      <w:r w:rsidRPr="009764EE">
        <w:t>T</w:t>
      </w:r>
      <w:r w:rsidR="001236EB" w:rsidRPr="009764EE">
        <w:t xml:space="preserve">he net zero transformation will </w:t>
      </w:r>
      <w:r w:rsidR="00A27A7C" w:rsidRPr="009764EE">
        <w:t>impact</w:t>
      </w:r>
      <w:r w:rsidR="001236EB" w:rsidRPr="009764EE">
        <w:t xml:space="preserve"> all aspects of Australia</w:t>
      </w:r>
      <w:r w:rsidR="00135DEA">
        <w:t>’</w:t>
      </w:r>
      <w:r w:rsidR="001236EB" w:rsidRPr="009764EE">
        <w:t>s economy and society, bringing significant opportunities for employment and investment but also near</w:t>
      </w:r>
      <w:r w:rsidR="00135DEA">
        <w:noBreakHyphen/>
      </w:r>
      <w:r w:rsidR="001236EB" w:rsidRPr="009764EE">
        <w:t xml:space="preserve">term challenges as the economy adapts and faces climatic disruptions. </w:t>
      </w:r>
      <w:r w:rsidR="008837C3" w:rsidRPr="009764EE">
        <w:t>C</w:t>
      </w:r>
      <w:r w:rsidR="00787C16" w:rsidRPr="009764EE">
        <w:t xml:space="preserve">heap, clean and reliable </w:t>
      </w:r>
      <w:r w:rsidR="004D05DE" w:rsidRPr="009764EE">
        <w:t>energy reduces Australia</w:t>
      </w:r>
      <w:r w:rsidR="00135DEA">
        <w:t>’</w:t>
      </w:r>
      <w:r w:rsidR="004D05DE" w:rsidRPr="009764EE">
        <w:t xml:space="preserve">s exposure to international commodity prices and boosts the competitiveness of </w:t>
      </w:r>
      <w:r w:rsidR="008837C3" w:rsidRPr="009764EE">
        <w:t>low</w:t>
      </w:r>
      <w:r w:rsidR="00135DEA">
        <w:noBreakHyphen/>
      </w:r>
      <w:r w:rsidR="008837C3" w:rsidRPr="009764EE">
        <w:t>carbon industries.</w:t>
      </w:r>
    </w:p>
    <w:p w14:paraId="480CD1D3" w14:textId="79930113" w:rsidR="00E266B8" w:rsidRPr="009764EE" w:rsidRDefault="001236EB" w:rsidP="00ED5CC1">
      <w:r w:rsidRPr="009764EE">
        <w:t>Geoeconomic fragmentation could raise barriers to international trade and investment, testing our crucial supply chains.</w:t>
      </w:r>
      <w:r w:rsidR="001A07D0" w:rsidRPr="009764EE">
        <w:t xml:space="preserve"> </w:t>
      </w:r>
      <w:r w:rsidR="00236086" w:rsidRPr="009764EE">
        <w:t>The investments being made in Australia</w:t>
      </w:r>
      <w:r w:rsidR="00135DEA">
        <w:t>’</w:t>
      </w:r>
      <w:r w:rsidR="00236086" w:rsidRPr="009764EE">
        <w:t xml:space="preserve">s industrial capacity through the National Reconstruction Fund will improve </w:t>
      </w:r>
      <w:r w:rsidR="001A07D0" w:rsidRPr="009764EE">
        <w:t xml:space="preserve">resilience to </w:t>
      </w:r>
      <w:r w:rsidR="00236086" w:rsidRPr="009764EE">
        <w:t xml:space="preserve">such </w:t>
      </w:r>
      <w:r w:rsidR="001E54E7" w:rsidRPr="009764EE">
        <w:t>shocks</w:t>
      </w:r>
      <w:r w:rsidR="001A07D0" w:rsidRPr="009764EE">
        <w:t>.</w:t>
      </w:r>
    </w:p>
    <w:p w14:paraId="76F391BA" w14:textId="6228867B" w:rsidR="00ED5CC1" w:rsidRPr="009764EE" w:rsidRDefault="009B0720" w:rsidP="00ED5CC1">
      <w:r w:rsidRPr="009764EE">
        <w:t>M</w:t>
      </w:r>
      <w:r w:rsidR="00ED5CC1" w:rsidRPr="009764EE">
        <w:t>ore productive, dynamic, and competitive economies with strong institutions are better able to withstand and adapt to such shocks.</w:t>
      </w:r>
      <w:r w:rsidR="00C6143D" w:rsidRPr="009764EE">
        <w:t xml:space="preserve"> </w:t>
      </w:r>
    </w:p>
    <w:p w14:paraId="0E1AAEE4" w14:textId="21A06ED6" w:rsidR="008E5B30" w:rsidRPr="009764EE" w:rsidRDefault="00ED5CC1" w:rsidP="00A5655B">
      <w:r w:rsidRPr="009764EE">
        <w:t>Government</w:t>
      </w:r>
      <w:r w:rsidR="00E36D40" w:rsidRPr="009764EE">
        <w:t>s</w:t>
      </w:r>
      <w:r w:rsidRPr="009764EE">
        <w:t xml:space="preserve"> can contribute to an economic environment that supports informed and well</w:t>
      </w:r>
      <w:r w:rsidR="00135DEA">
        <w:noBreakHyphen/>
      </w:r>
      <w:r w:rsidRPr="009764EE">
        <w:t>functioning markets that adjust to structural changes. Australia</w:t>
      </w:r>
      <w:r w:rsidR="00135DEA">
        <w:t>’</w:t>
      </w:r>
      <w:r w:rsidRPr="009764EE">
        <w:t>s strong economic institutions and economic frameworks</w:t>
      </w:r>
      <w:r w:rsidR="001524A0">
        <w:t xml:space="preserve"> – </w:t>
      </w:r>
      <w:r w:rsidRPr="009764EE">
        <w:t>for example its flexible exchange rate, independent monetary policy and responsible fiscal management</w:t>
      </w:r>
      <w:r w:rsidR="001524A0">
        <w:t xml:space="preserve"> – </w:t>
      </w:r>
      <w:r w:rsidRPr="009764EE">
        <w:t>provide important buffers against future shocks.</w:t>
      </w:r>
      <w:r w:rsidR="003C5B9F" w:rsidRPr="009764EE">
        <w:t xml:space="preserve"> </w:t>
      </w:r>
    </w:p>
    <w:p w14:paraId="3D0ECC34" w14:textId="36611594" w:rsidR="0095616F" w:rsidRPr="009764EE" w:rsidRDefault="00361231" w:rsidP="00E55A1B">
      <w:pPr>
        <w:rPr>
          <w:rFonts w:eastAsia="Calibri Light"/>
        </w:rPr>
      </w:pPr>
      <w:r w:rsidRPr="009764EE">
        <w:t xml:space="preserve">While many of these factors are important for economic resilience, one </w:t>
      </w:r>
      <w:r w:rsidR="0062549C" w:rsidRPr="009764EE">
        <w:t xml:space="preserve">indicator </w:t>
      </w:r>
      <w:r w:rsidR="005678A7" w:rsidRPr="009764EE">
        <w:t xml:space="preserve">that </w:t>
      </w:r>
      <w:r w:rsidR="001D0268" w:rsidRPr="009764EE">
        <w:t>can be readily measured is the extent to which a country has</w:t>
      </w:r>
      <w:r w:rsidR="008A160C" w:rsidRPr="009764EE">
        <w:t xml:space="preserve"> </w:t>
      </w:r>
      <w:r w:rsidR="004028D4" w:rsidRPr="009764EE">
        <w:t>diversified sources of economic activity</w:t>
      </w:r>
      <w:r w:rsidR="001D0268" w:rsidRPr="009764EE">
        <w:t xml:space="preserve">. </w:t>
      </w:r>
      <w:r w:rsidR="00AE7212" w:rsidRPr="009764EE">
        <w:t>Greater economic diversification</w:t>
      </w:r>
      <w:r w:rsidR="004028D4" w:rsidRPr="009764EE">
        <w:t xml:space="preserve"> </w:t>
      </w:r>
      <w:r w:rsidR="003B6B5A" w:rsidRPr="009764EE">
        <w:t>can strengthen resilience to shocks</w:t>
      </w:r>
      <w:r w:rsidR="00AE7212" w:rsidRPr="009764EE">
        <w:t xml:space="preserve"> and </w:t>
      </w:r>
      <w:r w:rsidR="001F7788" w:rsidRPr="009764EE">
        <w:t xml:space="preserve">better enable </w:t>
      </w:r>
      <w:r w:rsidR="00042731" w:rsidRPr="009764EE">
        <w:t>countries</w:t>
      </w:r>
      <w:r w:rsidR="001F7788" w:rsidRPr="009764EE">
        <w:t xml:space="preserve"> to manage and take advantage of big structural shifts</w:t>
      </w:r>
      <w:r w:rsidR="003B6B5A" w:rsidRPr="009764EE">
        <w:t>.</w:t>
      </w:r>
      <w:r w:rsidR="004028D4" w:rsidRPr="009764EE">
        <w:t xml:space="preserve"> </w:t>
      </w:r>
      <w:r w:rsidR="00A018A6" w:rsidRPr="009764EE">
        <w:rPr>
          <w:rFonts w:eastAsia="Calibri Light"/>
        </w:rPr>
        <w:t xml:space="preserve">The </w:t>
      </w:r>
      <w:r w:rsidR="00353EBC" w:rsidRPr="009764EE">
        <w:rPr>
          <w:rFonts w:eastAsia="Calibri Light"/>
        </w:rPr>
        <w:t>EC</w:t>
      </w:r>
      <w:r w:rsidR="00FF5189">
        <w:rPr>
          <w:rFonts w:eastAsia="Calibri Light"/>
        </w:rPr>
        <w:t>I</w:t>
      </w:r>
      <w:r w:rsidR="00972B1F" w:rsidRPr="009764EE">
        <w:rPr>
          <w:rFonts w:eastAsia="Calibri Light"/>
        </w:rPr>
        <w:t xml:space="preserve"> </w:t>
      </w:r>
      <w:r w:rsidR="008E79B4">
        <w:rPr>
          <w:rFonts w:eastAsia="Calibri Light"/>
        </w:rPr>
        <w:t>ranking</w:t>
      </w:r>
      <w:r w:rsidR="002A6980">
        <w:rPr>
          <w:rFonts w:eastAsia="Calibri Light"/>
        </w:rPr>
        <w:t xml:space="preserve"> </w:t>
      </w:r>
      <w:r w:rsidR="00972B1F" w:rsidRPr="009764EE">
        <w:rPr>
          <w:rFonts w:eastAsia="Calibri Light"/>
        </w:rPr>
        <w:t xml:space="preserve">attempts to measure this, </w:t>
      </w:r>
      <w:r w:rsidR="00A018A6" w:rsidRPr="009764EE">
        <w:rPr>
          <w:rFonts w:eastAsia="Calibri Light"/>
        </w:rPr>
        <w:t xml:space="preserve">based on the diversity of exports a country produces and their </w:t>
      </w:r>
      <w:r w:rsidR="00804ECC" w:rsidRPr="009764EE">
        <w:rPr>
          <w:rFonts w:eastAsia="Calibri Light"/>
        </w:rPr>
        <w:t>abundance</w:t>
      </w:r>
      <w:r w:rsidR="00A018A6" w:rsidRPr="009764EE">
        <w:rPr>
          <w:rFonts w:eastAsia="Calibri Light"/>
        </w:rPr>
        <w:t xml:space="preserve">, or the number of </w:t>
      </w:r>
      <w:r w:rsidR="00972B1F" w:rsidRPr="009764EE">
        <w:rPr>
          <w:rFonts w:eastAsia="Calibri Light"/>
        </w:rPr>
        <w:t>other</w:t>
      </w:r>
      <w:r w:rsidR="00A018A6" w:rsidRPr="009764EE">
        <w:rPr>
          <w:rFonts w:eastAsia="Calibri Light"/>
        </w:rPr>
        <w:t xml:space="preserve"> countries able to produce them</w:t>
      </w:r>
      <w:r w:rsidR="00972B1F" w:rsidRPr="009764EE">
        <w:rPr>
          <w:rFonts w:eastAsia="Calibri Light"/>
        </w:rPr>
        <w:t>.</w:t>
      </w:r>
    </w:p>
    <w:p w14:paraId="70B83E6A" w14:textId="0A3226B7" w:rsidR="00531FB2" w:rsidRPr="00933084" w:rsidRDefault="004D6445" w:rsidP="004E44E5">
      <w:pPr>
        <w:keepNext/>
        <w:keepLines/>
        <w:rPr>
          <w:spacing w:val="-2"/>
        </w:rPr>
      </w:pPr>
      <w:r w:rsidRPr="00933084">
        <w:rPr>
          <w:rFonts w:eastAsia="Calibri Light"/>
          <w:spacing w:val="-2"/>
        </w:rPr>
        <w:lastRenderedPageBreak/>
        <w:t xml:space="preserve">In 2020, </w:t>
      </w:r>
      <w:r w:rsidR="00E67D06" w:rsidRPr="00933084">
        <w:rPr>
          <w:rFonts w:eastAsia="Calibri Light"/>
          <w:spacing w:val="-2"/>
        </w:rPr>
        <w:t xml:space="preserve">Australia ranks as the 91st most complex country </w:t>
      </w:r>
      <w:r w:rsidR="00490EB0" w:rsidRPr="00933084">
        <w:rPr>
          <w:rFonts w:eastAsia="Calibri Light"/>
          <w:spacing w:val="-2"/>
        </w:rPr>
        <w:t xml:space="preserve">of the 133 countries considered </w:t>
      </w:r>
      <w:r w:rsidR="00E67D06" w:rsidRPr="00933084">
        <w:rPr>
          <w:rFonts w:eastAsia="Calibri Light"/>
          <w:spacing w:val="-2"/>
        </w:rPr>
        <w:t>in the ECI ranking. Compared to a decade prior, Australia</w:t>
      </w:r>
      <w:r w:rsidR="00135DEA" w:rsidRPr="00933084">
        <w:rPr>
          <w:rFonts w:eastAsia="Calibri Light"/>
          <w:spacing w:val="-2"/>
        </w:rPr>
        <w:t>’</w:t>
      </w:r>
      <w:r w:rsidR="00E67D06" w:rsidRPr="00933084">
        <w:rPr>
          <w:rFonts w:eastAsia="Calibri Light"/>
          <w:spacing w:val="-2"/>
        </w:rPr>
        <w:t>s economy has become less complex, worsening 8 positions in the ECI ranking.</w:t>
      </w:r>
    </w:p>
    <w:p w14:paraId="4A28D72B" w14:textId="1CA81A93" w:rsidR="00350130" w:rsidRPr="009764EE" w:rsidRDefault="00350130" w:rsidP="00964778">
      <w:pPr>
        <w:pStyle w:val="Heading3"/>
        <w:rPr>
          <w:rFonts w:cs="Calibri"/>
        </w:rPr>
      </w:pPr>
      <w:r w:rsidRPr="009764EE">
        <w:rPr>
          <w:rFonts w:cs="Calibri"/>
        </w:rPr>
        <w:t xml:space="preserve">Climate </w:t>
      </w:r>
      <w:r w:rsidRPr="009764EE">
        <w:rPr>
          <w:rFonts w:cs="Calibri"/>
          <w:bCs/>
        </w:rPr>
        <w:t>resilience</w:t>
      </w:r>
      <w:r w:rsidR="008259FE" w:rsidRPr="009764EE">
        <w:rPr>
          <w:rFonts w:cs="Calibri"/>
          <w:bCs/>
        </w:rPr>
        <w:t xml:space="preserve"> </w:t>
      </w:r>
    </w:p>
    <w:p w14:paraId="55C135BC" w14:textId="4B0760EA" w:rsidR="00350130" w:rsidRPr="009764EE" w:rsidRDefault="00FD7F62" w:rsidP="004E4E24">
      <w:r w:rsidRPr="009764EE">
        <w:t xml:space="preserve">Even </w:t>
      </w:r>
      <w:r w:rsidR="00860CD2" w:rsidRPr="009764EE">
        <w:t>as the world is taking</w:t>
      </w:r>
      <w:r w:rsidRPr="009764EE">
        <w:t xml:space="preserve"> action to reduce emissions, the </w:t>
      </w:r>
      <w:r w:rsidR="00FD678A" w:rsidRPr="009764EE">
        <w:t xml:space="preserve">physical </w:t>
      </w:r>
      <w:r w:rsidRPr="009764EE">
        <w:t xml:space="preserve">impacts of climate change will increase due to past emissions. </w:t>
      </w:r>
      <w:r w:rsidR="00860CD2" w:rsidRPr="009764EE">
        <w:t>A</w:t>
      </w:r>
      <w:r w:rsidRPr="009764EE">
        <w:t xml:space="preserve">ction is needed to build resilience and protect </w:t>
      </w:r>
      <w:r w:rsidR="00252D7A" w:rsidRPr="009764EE">
        <w:t xml:space="preserve">the environment, </w:t>
      </w:r>
      <w:r w:rsidRPr="009764EE">
        <w:t>communities and the econom</w:t>
      </w:r>
      <w:r w:rsidR="00252D7A" w:rsidRPr="009764EE">
        <w:t>y</w:t>
      </w:r>
      <w:r w:rsidRPr="009764EE">
        <w:t xml:space="preserve"> from the </w:t>
      </w:r>
      <w:r w:rsidR="00252D7A" w:rsidRPr="009764EE">
        <w:t>worst of the</w:t>
      </w:r>
      <w:r w:rsidRPr="009764EE">
        <w:t xml:space="preserve"> impacts of climate change. This means we must anticipate, manage and </w:t>
      </w:r>
      <w:r w:rsidR="0090693E" w:rsidRPr="009764EE">
        <w:t xml:space="preserve">adapt </w:t>
      </w:r>
      <w:r w:rsidRPr="009764EE">
        <w:t>to climate risks</w:t>
      </w:r>
      <w:r w:rsidR="00860CD2" w:rsidRPr="009764EE">
        <w:t>.</w:t>
      </w:r>
      <w:r w:rsidRPr="009764EE">
        <w:t xml:space="preserve"> </w:t>
      </w:r>
    </w:p>
    <w:p w14:paraId="18CE2CD4" w14:textId="568F5532" w:rsidR="00B66D1B" w:rsidRPr="00933084" w:rsidRDefault="004B69C3" w:rsidP="004B69C3">
      <w:pPr>
        <w:rPr>
          <w:spacing w:val="-2"/>
        </w:rPr>
      </w:pPr>
      <w:r w:rsidRPr="00933084">
        <w:rPr>
          <w:spacing w:val="-2"/>
        </w:rPr>
        <w:t>The Australian Disaster Resilience Index</w:t>
      </w:r>
      <w:r w:rsidR="00F25400" w:rsidRPr="00933084">
        <w:rPr>
          <w:spacing w:val="-2"/>
        </w:rPr>
        <w:t>,</w:t>
      </w:r>
      <w:r w:rsidRPr="00933084">
        <w:rPr>
          <w:spacing w:val="-2"/>
        </w:rPr>
        <w:t xml:space="preserve"> released in 20</w:t>
      </w:r>
      <w:r w:rsidR="001B077D" w:rsidRPr="00933084">
        <w:rPr>
          <w:spacing w:val="-2"/>
        </w:rPr>
        <w:t>20</w:t>
      </w:r>
      <w:r w:rsidR="00F25400" w:rsidRPr="00933084">
        <w:rPr>
          <w:spacing w:val="-2"/>
        </w:rPr>
        <w:t>,</w:t>
      </w:r>
      <w:r w:rsidRPr="00933084">
        <w:rPr>
          <w:spacing w:val="-2"/>
        </w:rPr>
        <w:t xml:space="preserve"> found that 52</w:t>
      </w:r>
      <w:r w:rsidR="001524A0" w:rsidRPr="00933084">
        <w:rPr>
          <w:spacing w:val="-2"/>
        </w:rPr>
        <w:t> per c</w:t>
      </w:r>
      <w:r w:rsidRPr="00933084">
        <w:rPr>
          <w:spacing w:val="-2"/>
        </w:rPr>
        <w:t>ent of the population live in areas with moderate capacity for disaster resilience, 32</w:t>
      </w:r>
      <w:r w:rsidR="001524A0" w:rsidRPr="00933084">
        <w:rPr>
          <w:spacing w:val="-2"/>
        </w:rPr>
        <w:t> per c</w:t>
      </w:r>
      <w:r w:rsidRPr="00933084">
        <w:rPr>
          <w:spacing w:val="-2"/>
        </w:rPr>
        <w:t>ent in areas with high capacity and 16</w:t>
      </w:r>
      <w:r w:rsidR="001524A0" w:rsidRPr="00933084">
        <w:rPr>
          <w:spacing w:val="-2"/>
        </w:rPr>
        <w:t> per c</w:t>
      </w:r>
      <w:r w:rsidRPr="00933084">
        <w:rPr>
          <w:spacing w:val="-2"/>
        </w:rPr>
        <w:t xml:space="preserve">ent in areas with low capacity. </w:t>
      </w:r>
    </w:p>
    <w:p w14:paraId="13576071" w14:textId="3EC8D62D" w:rsidR="00256A2A" w:rsidRDefault="00933084" w:rsidP="000B144B">
      <w:r>
        <w:br w:type="column"/>
      </w:r>
      <w:r w:rsidR="004B69C3" w:rsidRPr="009764EE">
        <w:t>Work is underway across Government</w:t>
      </w:r>
      <w:r w:rsidR="0066720B" w:rsidRPr="009764EE">
        <w:t xml:space="preserve"> and the economy more broadly</w:t>
      </w:r>
      <w:r w:rsidR="004B69C3" w:rsidRPr="009764EE">
        <w:t xml:space="preserve"> to develop new ways of measuring and tracking climate risk and resilience. The National Climate Risk Assessment will identify and prioritise things that Australians value the most that are of national significance and are at risk of climate change</w:t>
      </w:r>
      <w:r w:rsidR="00F8508C" w:rsidRPr="009764EE">
        <w:t xml:space="preserve">, and a National Adaptation Plan will be developed </w:t>
      </w:r>
      <w:r w:rsidR="00286926" w:rsidRPr="009764EE">
        <w:t>to adapt to the identified risks</w:t>
      </w:r>
      <w:r w:rsidR="004B69C3" w:rsidRPr="009764EE">
        <w:t>. The Australian Climate Service is working to provide extensive climate and natural hazard data, information and advice into a single national view. Efforts are also being made to measure affordability of insurance for housing, in the light of growing climate change risk.</w:t>
      </w:r>
      <w:r w:rsidR="004B69C3" w:rsidRPr="005049F1">
        <w:rPr>
          <w:rStyle w:val="FootnoteReference"/>
        </w:rPr>
        <w:endnoteReference w:id="52"/>
      </w:r>
    </w:p>
    <w:p w14:paraId="6CD1EED7" w14:textId="77777777" w:rsidR="002C2C01" w:rsidRDefault="002C2C01" w:rsidP="000B144B"/>
    <w:p w14:paraId="47FF56BB" w14:textId="3BBA155A" w:rsidR="002C2C01" w:rsidRPr="009764EE" w:rsidRDefault="002C2C01" w:rsidP="000B144B">
      <w:pPr>
        <w:sectPr w:rsidR="002C2C01" w:rsidRPr="009764EE" w:rsidSect="00DA302B">
          <w:endnotePr>
            <w:numFmt w:val="decimal"/>
          </w:endnotePr>
          <w:type w:val="continuous"/>
          <w:pgSz w:w="11906" w:h="16838" w:code="9"/>
          <w:pgMar w:top="1843" w:right="1418" w:bottom="1418" w:left="1418" w:header="851" w:footer="851" w:gutter="0"/>
          <w:cols w:num="2" w:space="567"/>
          <w:docGrid w:linePitch="360"/>
        </w:sectPr>
      </w:pPr>
    </w:p>
    <w:tbl>
      <w:tblPr>
        <w:tblStyle w:val="MWMKey"/>
        <w:tblW w:w="5000" w:type="pct"/>
        <w:tblLook w:val="0620" w:firstRow="1" w:lastRow="0" w:firstColumn="0" w:lastColumn="0" w:noHBand="1" w:noVBand="1"/>
      </w:tblPr>
      <w:tblGrid>
        <w:gridCol w:w="9070"/>
      </w:tblGrid>
      <w:tr w:rsidR="00E604CF" w:rsidRPr="009764EE" w14:paraId="5A30F80A" w14:textId="77777777" w:rsidTr="00E604C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3BD7A064" w14:textId="38824879" w:rsidR="00E604CF" w:rsidRPr="009764EE" w:rsidRDefault="00E604CF" w:rsidP="00E604CF">
            <w:pPr>
              <w:pStyle w:val="BoxHeading"/>
              <w:spacing w:after="0"/>
            </w:pPr>
            <w:r w:rsidRPr="009764EE">
              <w:t>Key Government initiatives to support a resilient and sustainable nation</w:t>
            </w:r>
          </w:p>
        </w:tc>
      </w:tr>
      <w:tr w:rsidR="00A51DD7" w:rsidRPr="009764EE" w14:paraId="194454D4" w14:textId="77777777" w:rsidTr="00E604CF">
        <w:trPr>
          <w:trHeight w:val="20"/>
        </w:trPr>
        <w:tc>
          <w:tcPr>
            <w:tcW w:w="5000" w:type="pct"/>
            <w:hideMark/>
          </w:tcPr>
          <w:p w14:paraId="124B2DE4" w14:textId="12C2E6E1" w:rsidR="00A51DD7" w:rsidRPr="00933084" w:rsidRDefault="00B04D90" w:rsidP="00646B54">
            <w:pPr>
              <w:pStyle w:val="Boxbullet"/>
              <w:rPr>
                <w:spacing w:val="-2"/>
                <w:lang w:eastAsia="en-US"/>
              </w:rPr>
            </w:pPr>
            <w:r w:rsidRPr="00933084">
              <w:rPr>
                <w:spacing w:val="-2"/>
                <w:lang w:eastAsia="en-US"/>
              </w:rPr>
              <w:t>Deliverin</w:t>
            </w:r>
            <w:r w:rsidR="006333D9" w:rsidRPr="00933084">
              <w:rPr>
                <w:spacing w:val="-2"/>
                <w:lang w:eastAsia="en-US"/>
              </w:rPr>
              <w:t xml:space="preserve">g </w:t>
            </w:r>
            <w:r w:rsidR="008350B6" w:rsidRPr="00933084">
              <w:rPr>
                <w:spacing w:val="-2"/>
                <w:lang w:eastAsia="en-US"/>
              </w:rPr>
              <w:t xml:space="preserve">substantial improvements in the </w:t>
            </w:r>
            <w:r w:rsidR="004D6D74" w:rsidRPr="00933084">
              <w:rPr>
                <w:spacing w:val="-2"/>
                <w:lang w:eastAsia="en-US"/>
              </w:rPr>
              <w:t>Australian Government</w:t>
            </w:r>
            <w:r w:rsidR="00135DEA" w:rsidRPr="00933084">
              <w:rPr>
                <w:spacing w:val="-2"/>
                <w:lang w:eastAsia="en-US"/>
              </w:rPr>
              <w:t>’</w:t>
            </w:r>
            <w:r w:rsidR="004D6D74" w:rsidRPr="00933084">
              <w:rPr>
                <w:spacing w:val="-2"/>
                <w:lang w:eastAsia="en-US"/>
              </w:rPr>
              <w:t>s</w:t>
            </w:r>
            <w:r w:rsidR="008350B6" w:rsidRPr="00933084">
              <w:rPr>
                <w:spacing w:val="-2"/>
                <w:lang w:eastAsia="en-US"/>
              </w:rPr>
              <w:t xml:space="preserve"> </w:t>
            </w:r>
            <w:r w:rsidR="004D6D74" w:rsidRPr="00933084">
              <w:rPr>
                <w:spacing w:val="-2"/>
                <w:lang w:eastAsia="en-US"/>
              </w:rPr>
              <w:t xml:space="preserve">forecast </w:t>
            </w:r>
            <w:r w:rsidR="008350B6" w:rsidRPr="00933084">
              <w:rPr>
                <w:spacing w:val="-2"/>
                <w:lang w:eastAsia="en-US"/>
              </w:rPr>
              <w:t>fiscal position, including the first surplus budget in 15</w:t>
            </w:r>
            <w:r w:rsidR="00C239AD" w:rsidRPr="00933084">
              <w:rPr>
                <w:spacing w:val="-2"/>
                <w:lang w:eastAsia="en-US"/>
              </w:rPr>
              <w:t> year</w:t>
            </w:r>
            <w:r w:rsidR="008350B6" w:rsidRPr="00933084">
              <w:rPr>
                <w:spacing w:val="-2"/>
                <w:lang w:eastAsia="en-US"/>
              </w:rPr>
              <w:t xml:space="preserve">s </w:t>
            </w:r>
            <w:r w:rsidR="00747A39" w:rsidRPr="00933084">
              <w:rPr>
                <w:spacing w:val="-2"/>
                <w:lang w:eastAsia="en-US"/>
              </w:rPr>
              <w:t>for</w:t>
            </w:r>
            <w:r w:rsidR="008350B6" w:rsidRPr="00933084">
              <w:rPr>
                <w:spacing w:val="-2"/>
                <w:lang w:eastAsia="en-US"/>
              </w:rPr>
              <w:t xml:space="preserve"> 2022</w:t>
            </w:r>
            <w:r w:rsidR="00151999" w:rsidRPr="00933084">
              <w:rPr>
                <w:spacing w:val="-2"/>
                <w:lang w:eastAsia="en-US"/>
              </w:rPr>
              <w:t>–</w:t>
            </w:r>
            <w:r w:rsidR="0060749B" w:rsidRPr="00933084">
              <w:rPr>
                <w:spacing w:val="-2"/>
                <w:lang w:eastAsia="en-US"/>
              </w:rPr>
              <w:softHyphen/>
            </w:r>
            <w:r w:rsidR="008350B6" w:rsidRPr="00933084">
              <w:rPr>
                <w:spacing w:val="-2"/>
                <w:lang w:eastAsia="en-US"/>
              </w:rPr>
              <w:t xml:space="preserve">23 and lower projected deficits and debt </w:t>
            </w:r>
          </w:p>
          <w:p w14:paraId="692C440B" w14:textId="4DC50946" w:rsidR="00A51DD7" w:rsidRPr="009764EE" w:rsidRDefault="00A51DD7" w:rsidP="00646B54">
            <w:pPr>
              <w:pStyle w:val="Boxbullet"/>
              <w:rPr>
                <w:lang w:eastAsia="en-US"/>
              </w:rPr>
            </w:pPr>
            <w:r w:rsidRPr="009764EE">
              <w:rPr>
                <w:lang w:eastAsia="en-US"/>
              </w:rPr>
              <w:t>Working with states and territories to deliver cheap, clean, reliable energy through the National Energy Transformation Partnership</w:t>
            </w:r>
          </w:p>
          <w:p w14:paraId="4B86AF76" w14:textId="1C15BC33" w:rsidR="008C2010" w:rsidRPr="00363729" w:rsidRDefault="008C2010" w:rsidP="00646B54">
            <w:pPr>
              <w:pStyle w:val="Boxbullet"/>
              <w:rPr>
                <w:szCs w:val="16"/>
                <w:lang w:eastAsia="en-US"/>
              </w:rPr>
            </w:pPr>
            <w:r w:rsidRPr="009764EE">
              <w:rPr>
                <w:lang w:eastAsia="en-US"/>
              </w:rPr>
              <w:t>Meaningful tax reform including to multinational tax, the Petroleum Resource Rent Tax, and improving the equity and sustainability of the superannuation system</w:t>
            </w:r>
          </w:p>
          <w:p w14:paraId="623B3E06" w14:textId="272719E7" w:rsidR="00A51DD7" w:rsidRPr="009764EE" w:rsidRDefault="00A51DD7" w:rsidP="00646B54">
            <w:pPr>
              <w:pStyle w:val="Boxbullet"/>
              <w:rPr>
                <w:lang w:eastAsia="en-US"/>
              </w:rPr>
            </w:pPr>
            <w:r w:rsidRPr="009764EE">
              <w:rPr>
                <w:lang w:eastAsia="en-US"/>
              </w:rPr>
              <w:t>Ensuring Australians have sufficient access to gas at reasonable prices through the Gas Code of Conduct and Future Gas Strategy</w:t>
            </w:r>
          </w:p>
          <w:p w14:paraId="15C758D4" w14:textId="4C087114" w:rsidR="00A51DD7" w:rsidRPr="009764EE" w:rsidRDefault="00A51DD7" w:rsidP="00646B54">
            <w:pPr>
              <w:pStyle w:val="Boxbullet"/>
              <w:rPr>
                <w:lang w:eastAsia="en-US"/>
              </w:rPr>
            </w:pPr>
            <w:r w:rsidRPr="009764EE">
              <w:rPr>
                <w:lang w:eastAsia="en-US"/>
              </w:rPr>
              <w:t>Supporting regions to decarbonise through the Powering the Regions Fund</w:t>
            </w:r>
          </w:p>
          <w:p w14:paraId="1BA77F08" w14:textId="08F81EB6" w:rsidR="00A51DD7" w:rsidRPr="009764EE" w:rsidRDefault="00A51DD7" w:rsidP="00646B54">
            <w:pPr>
              <w:pStyle w:val="Boxbullet"/>
              <w:rPr>
                <w:lang w:eastAsia="en-US"/>
              </w:rPr>
            </w:pPr>
            <w:r w:rsidRPr="009764EE">
              <w:rPr>
                <w:lang w:eastAsia="en-US"/>
              </w:rPr>
              <w:t>Establishing the Powering Australia Industry Growth Centre</w:t>
            </w:r>
          </w:p>
          <w:p w14:paraId="03C10A5C" w14:textId="4E63F7B8" w:rsidR="00A51DD7" w:rsidRPr="009764EE" w:rsidRDefault="00A51DD7" w:rsidP="00646B54">
            <w:pPr>
              <w:pStyle w:val="Boxbullet"/>
              <w:rPr>
                <w:lang w:eastAsia="en-US"/>
              </w:rPr>
            </w:pPr>
            <w:r w:rsidRPr="009764EE">
              <w:rPr>
                <w:lang w:eastAsia="en-US"/>
              </w:rPr>
              <w:t>Trade 2040 Taskforce</w:t>
            </w:r>
          </w:p>
          <w:p w14:paraId="1FB72498" w14:textId="5EC17532" w:rsidR="00A51DD7" w:rsidRPr="009764EE" w:rsidRDefault="00A51DD7" w:rsidP="00646B54">
            <w:pPr>
              <w:pStyle w:val="Boxbullet"/>
              <w:rPr>
                <w:lang w:eastAsia="en-US"/>
              </w:rPr>
            </w:pPr>
            <w:r w:rsidRPr="009764EE">
              <w:rPr>
                <w:lang w:eastAsia="en-US"/>
              </w:rPr>
              <w:t>Southeast Asia Economic Strategy</w:t>
            </w:r>
          </w:p>
          <w:p w14:paraId="5003A566" w14:textId="3E5EC376" w:rsidR="00A51DD7" w:rsidRPr="009764EE" w:rsidRDefault="00A51DD7" w:rsidP="00646B54">
            <w:pPr>
              <w:pStyle w:val="Boxbullet"/>
              <w:rPr>
                <w:lang w:eastAsia="en-US"/>
              </w:rPr>
            </w:pPr>
            <w:r w:rsidRPr="009764EE">
              <w:rPr>
                <w:lang w:eastAsia="en-US"/>
              </w:rPr>
              <w:t xml:space="preserve">Ministerial Council for Trade and Investment </w:t>
            </w:r>
          </w:p>
          <w:p w14:paraId="36ED0D27" w14:textId="2A5C972D" w:rsidR="00C66FA3" w:rsidRPr="009764EE" w:rsidRDefault="00A51DD7" w:rsidP="00646B54">
            <w:pPr>
              <w:pStyle w:val="Boxbullet"/>
              <w:rPr>
                <w:lang w:eastAsia="en-US"/>
              </w:rPr>
            </w:pPr>
            <w:r w:rsidRPr="009764EE">
              <w:rPr>
                <w:lang w:eastAsia="en-US"/>
              </w:rPr>
              <w:t>Australia</w:t>
            </w:r>
            <w:r w:rsidR="00135DEA">
              <w:rPr>
                <w:lang w:eastAsia="en-US"/>
              </w:rPr>
              <w:t>’</w:t>
            </w:r>
            <w:r w:rsidRPr="009764EE">
              <w:rPr>
                <w:lang w:eastAsia="en-US"/>
              </w:rPr>
              <w:t>s Fair Trade Agreement (FTA) networks</w:t>
            </w:r>
          </w:p>
          <w:p w14:paraId="2D127237" w14:textId="3A5EE9FD" w:rsidR="00380C44" w:rsidRPr="009764EE" w:rsidRDefault="00A51DD7" w:rsidP="00646B54">
            <w:pPr>
              <w:pStyle w:val="Boxbullet"/>
              <w:rPr>
                <w:lang w:eastAsia="en-US"/>
              </w:rPr>
            </w:pPr>
            <w:r w:rsidRPr="009764EE">
              <w:rPr>
                <w:lang w:eastAsia="en-US"/>
              </w:rPr>
              <w:t xml:space="preserve">Critical Mineral Strategy </w:t>
            </w:r>
          </w:p>
          <w:p w14:paraId="549EB10F" w14:textId="77777777" w:rsidR="00A51DD7" w:rsidRPr="009764EE" w:rsidRDefault="00B11430" w:rsidP="00646B54">
            <w:pPr>
              <w:pStyle w:val="Boxbullet"/>
              <w:rPr>
                <w:lang w:eastAsia="en-US"/>
              </w:rPr>
            </w:pPr>
            <w:r w:rsidRPr="009764EE">
              <w:rPr>
                <w:lang w:eastAsia="en-US"/>
              </w:rPr>
              <w:t xml:space="preserve">National Reconstruction Fund </w:t>
            </w:r>
          </w:p>
          <w:p w14:paraId="09C30285" w14:textId="30B0F1BE" w:rsidR="00A51DD7" w:rsidRPr="009764EE" w:rsidRDefault="00B11430" w:rsidP="00646B54">
            <w:pPr>
              <w:pStyle w:val="Boxbullet"/>
              <w:rPr>
                <w:lang w:eastAsia="en-US"/>
              </w:rPr>
            </w:pPr>
            <w:r w:rsidRPr="009764EE">
              <w:rPr>
                <w:lang w:eastAsia="en-US"/>
              </w:rPr>
              <w:t xml:space="preserve">Net Zero Authority </w:t>
            </w:r>
          </w:p>
        </w:tc>
      </w:tr>
    </w:tbl>
    <w:p w14:paraId="763E751D" w14:textId="77777777" w:rsidR="002C2C01" w:rsidRDefault="002C2C01" w:rsidP="000E0851">
      <w:pPr>
        <w:sectPr w:rsidR="002C2C01" w:rsidSect="00DA302B">
          <w:endnotePr>
            <w:numFmt w:val="decimal"/>
          </w:endnotePr>
          <w:type w:val="continuous"/>
          <w:pgSz w:w="11906" w:h="16838" w:code="9"/>
          <w:pgMar w:top="1843" w:right="1418" w:bottom="1418" w:left="1418" w:header="851" w:footer="851" w:gutter="0"/>
          <w:cols w:space="567"/>
          <w:docGrid w:linePitch="360"/>
        </w:sectPr>
      </w:pPr>
      <w:bookmarkStart w:id="68" w:name="_Toc139396012"/>
      <w:bookmarkStart w:id="69" w:name="_Toc139396013"/>
      <w:bookmarkStart w:id="70" w:name="_Toc139396014"/>
      <w:bookmarkStart w:id="71" w:name="_Toc139396015"/>
      <w:bookmarkStart w:id="72" w:name="_Toc138953874"/>
      <w:bookmarkStart w:id="73" w:name="_Toc138959712"/>
      <w:bookmarkStart w:id="74" w:name="_Toc138953875"/>
      <w:bookmarkStart w:id="75" w:name="_Toc138959713"/>
      <w:bookmarkStart w:id="76" w:name="_Toc138953876"/>
      <w:bookmarkStart w:id="77" w:name="_Toc138959714"/>
      <w:bookmarkStart w:id="78" w:name="_Toc140164496"/>
      <w:bookmarkEnd w:id="68"/>
      <w:bookmarkEnd w:id="69"/>
      <w:bookmarkEnd w:id="70"/>
      <w:bookmarkEnd w:id="71"/>
      <w:bookmarkEnd w:id="72"/>
      <w:bookmarkEnd w:id="73"/>
      <w:bookmarkEnd w:id="74"/>
      <w:bookmarkEnd w:id="75"/>
      <w:bookmarkEnd w:id="76"/>
      <w:bookmarkEnd w:id="77"/>
    </w:p>
    <w:p w14:paraId="6D4C28C6" w14:textId="77777777" w:rsidR="002F6209" w:rsidRPr="009764EE" w:rsidRDefault="002F6209" w:rsidP="00037C32">
      <w:pPr>
        <w:pStyle w:val="Heading1"/>
      </w:pPr>
      <w:bookmarkStart w:id="79" w:name="_Toc147497675"/>
      <w:r w:rsidRPr="009764EE">
        <w:lastRenderedPageBreak/>
        <w:t>Cohesive</w:t>
      </w:r>
      <w:bookmarkEnd w:id="79"/>
    </w:p>
    <w:p w14:paraId="08F62FFE" w14:textId="77777777" w:rsidR="002F6209" w:rsidRPr="009764EE" w:rsidRDefault="002F6209" w:rsidP="00037C32">
      <w:pPr>
        <w:pStyle w:val="IntrotextMWM"/>
      </w:pPr>
      <w:r w:rsidRPr="009764EE">
        <w:t>A society that supports connections with family, friends and the community, values diversity and promotes belonging and culture</w:t>
      </w:r>
      <w:r>
        <w:t>.</w:t>
      </w:r>
    </w:p>
    <w:p w14:paraId="255C9797" w14:textId="77777777" w:rsidR="00CB2E1B" w:rsidRDefault="00135DEA" w:rsidP="00037C32">
      <w:pPr>
        <w:pStyle w:val="Quote"/>
      </w:pPr>
      <w:r>
        <w:rPr>
          <w:szCs w:val="14"/>
        </w:rPr>
        <w:t>‘</w:t>
      </w:r>
      <w:r w:rsidR="002F6209" w:rsidRPr="009764EE">
        <w:rPr>
          <w:szCs w:val="14"/>
        </w:rPr>
        <w:t>…</w:t>
      </w:r>
      <w:r w:rsidR="00646B54">
        <w:rPr>
          <w:szCs w:val="14"/>
        </w:rPr>
        <w:t xml:space="preserve"> </w:t>
      </w:r>
      <w:r w:rsidR="002F6209" w:rsidRPr="009764EE">
        <w:rPr>
          <w:szCs w:val="14"/>
        </w:rPr>
        <w:t>rel</w:t>
      </w:r>
      <w:r w:rsidR="002F6209" w:rsidRPr="009764EE">
        <w:t>ationships are integral to the human experience and therefore understanding the health of these relationships is part of a holistic view of wellbeing.</w:t>
      </w:r>
      <w:r>
        <w:t>’</w:t>
      </w:r>
      <w:r w:rsidR="002F6209" w:rsidRPr="005049F1">
        <w:rPr>
          <w:rStyle w:val="FootnoteReference"/>
        </w:rPr>
        <w:endnoteReference w:id="53"/>
      </w:r>
      <w:r w:rsidR="002F6209" w:rsidRPr="009764EE">
        <w:t xml:space="preserve"> </w:t>
      </w:r>
    </w:p>
    <w:p w14:paraId="0BB37825" w14:textId="6F081D65" w:rsidR="002F6209" w:rsidRPr="009764EE" w:rsidRDefault="00151999" w:rsidP="00037C32">
      <w:pPr>
        <w:pStyle w:val="Quote"/>
        <w:rPr>
          <w:szCs w:val="14"/>
        </w:rPr>
      </w:pPr>
      <w:r>
        <w:t>–</w:t>
      </w:r>
      <w:r w:rsidR="002F6209">
        <w:t xml:space="preserve"> </w:t>
      </w:r>
      <w:r w:rsidR="002F6209" w:rsidRPr="009764EE">
        <w:t>Relationships Australia submission</w:t>
      </w:r>
    </w:p>
    <w:p w14:paraId="043200BF" w14:textId="06AF1D83" w:rsidR="006A30B6" w:rsidRPr="002F6209" w:rsidRDefault="0055278C" w:rsidP="00646B54">
      <w:pPr>
        <w:pStyle w:val="Heading2"/>
        <w:rPr>
          <w:rFonts w:asciiTheme="minorHAnsi" w:hAnsiTheme="minorHAnsi" w:cstheme="minorHAnsi"/>
        </w:rPr>
      </w:pPr>
      <w:bookmarkStart w:id="80" w:name="_Toc147497676"/>
      <w:bookmarkEnd w:id="78"/>
      <w:r w:rsidRPr="002F6209">
        <w:t>Having time for family and community</w:t>
      </w:r>
      <w:bookmarkEnd w:id="80"/>
      <w:r w:rsidRPr="002F6209">
        <w:rPr>
          <w:rFonts w:asciiTheme="minorHAnsi" w:hAnsiTheme="minorHAnsi" w:cstheme="minorHAnsi"/>
        </w:rPr>
        <w:t xml:space="preserve"> </w:t>
      </w:r>
    </w:p>
    <w:tbl>
      <w:tblPr>
        <w:tblStyle w:val="MWMTables"/>
        <w:tblW w:w="9072" w:type="dxa"/>
        <w:tblLayout w:type="fixed"/>
        <w:tblLook w:val="06A0" w:firstRow="1" w:lastRow="0" w:firstColumn="1" w:lastColumn="0" w:noHBand="1" w:noVBand="1"/>
      </w:tblPr>
      <w:tblGrid>
        <w:gridCol w:w="1134"/>
        <w:gridCol w:w="2551"/>
        <w:gridCol w:w="2551"/>
        <w:gridCol w:w="1418"/>
        <w:gridCol w:w="1418"/>
      </w:tblGrid>
      <w:tr w:rsidR="00933084" w:rsidRPr="009764EE" w14:paraId="33CB2EA6" w14:textId="77777777" w:rsidTr="00933084">
        <w:trPr>
          <w:cnfStyle w:val="100000000000" w:firstRow="1" w:lastRow="0" w:firstColumn="0" w:lastColumn="0" w:oddVBand="0" w:evenVBand="0" w:oddHBand="0" w:evenHBand="0" w:firstRowFirstColumn="0" w:firstRowLastColumn="0" w:lastRowFirstColumn="0" w:lastRowLastColumn="0"/>
          <w:trHeight w:val="270"/>
        </w:trPr>
        <w:tc>
          <w:tcPr>
            <w:tcW w:w="1134" w:type="dxa"/>
          </w:tcPr>
          <w:p w14:paraId="11E68BBF" w14:textId="5577B8C7" w:rsidR="00823273" w:rsidRPr="009764EE" w:rsidRDefault="0033238E" w:rsidP="002D1353">
            <w:pPr>
              <w:pStyle w:val="TableColumnHeadingLeft"/>
            </w:pPr>
            <w:r w:rsidRPr="009764EE">
              <w:t>Indicator</w:t>
            </w:r>
          </w:p>
        </w:tc>
        <w:tc>
          <w:tcPr>
            <w:tcW w:w="2552" w:type="dxa"/>
          </w:tcPr>
          <w:p w14:paraId="548BE5DE" w14:textId="6DB248F2" w:rsidR="00823273" w:rsidRPr="009764EE" w:rsidRDefault="00457317" w:rsidP="002D1353">
            <w:pPr>
              <w:pStyle w:val="TableColumnHeadingLeft"/>
            </w:pPr>
            <w:r w:rsidRPr="009764EE">
              <w:t>Metric</w:t>
            </w:r>
          </w:p>
        </w:tc>
        <w:tc>
          <w:tcPr>
            <w:tcW w:w="2552" w:type="dxa"/>
          </w:tcPr>
          <w:p w14:paraId="15FE5A6E" w14:textId="77777777" w:rsidR="00823273" w:rsidRPr="009764EE" w:rsidRDefault="00823273" w:rsidP="002D1353">
            <w:pPr>
              <w:pStyle w:val="TableColumnHeadingLeft"/>
            </w:pPr>
            <w:r w:rsidRPr="009764EE">
              <w:t xml:space="preserve">Why this metric </w:t>
            </w:r>
          </w:p>
        </w:tc>
        <w:tc>
          <w:tcPr>
            <w:tcW w:w="1418" w:type="dxa"/>
          </w:tcPr>
          <w:p w14:paraId="59DFED33" w14:textId="2DCB9DF7" w:rsidR="00823273" w:rsidRPr="009764EE" w:rsidRDefault="006F4CAB" w:rsidP="002D1353">
            <w:pPr>
              <w:pStyle w:val="TableColumnHeadingLeft"/>
            </w:pPr>
            <w:r w:rsidRPr="009764EE">
              <w:t>Progress</w:t>
            </w:r>
          </w:p>
        </w:tc>
        <w:tc>
          <w:tcPr>
            <w:tcW w:w="1418" w:type="dxa"/>
          </w:tcPr>
          <w:p w14:paraId="7E9BA30D" w14:textId="1B96B820" w:rsidR="00823273" w:rsidRPr="009764EE" w:rsidRDefault="0082663D" w:rsidP="002D1353">
            <w:pPr>
              <w:pStyle w:val="TableColumnHeadingLeft"/>
            </w:pPr>
            <w:r w:rsidRPr="009764EE">
              <w:t>Latest Value</w:t>
            </w:r>
            <w:r w:rsidR="00942950" w:rsidRPr="005049F1">
              <w:rPr>
                <w:rStyle w:val="FootnoteReference"/>
              </w:rPr>
              <w:t>(i)</w:t>
            </w:r>
          </w:p>
        </w:tc>
      </w:tr>
      <w:tr w:rsidR="00823273" w:rsidRPr="009764EE" w14:paraId="30D5F462" w14:textId="77777777" w:rsidTr="00933084">
        <w:trPr>
          <w:trHeight w:val="834"/>
        </w:trPr>
        <w:tc>
          <w:tcPr>
            <w:tcW w:w="1134" w:type="dxa"/>
          </w:tcPr>
          <w:p w14:paraId="14C952C6" w14:textId="418C0847" w:rsidR="00823273" w:rsidRPr="0063625F" w:rsidRDefault="00CF6ACA" w:rsidP="002D1353">
            <w:pPr>
              <w:pStyle w:val="TableTextLeft"/>
              <w:rPr>
                <w:rStyle w:val="Strong"/>
                <w:color w:val="082C44"/>
              </w:rPr>
            </w:pPr>
            <w:r w:rsidRPr="0063625F">
              <w:rPr>
                <w:rStyle w:val="Strong"/>
                <w:color w:val="082C44"/>
              </w:rPr>
              <w:t>Time for recreation</w:t>
            </w:r>
            <w:r w:rsidR="00B86667" w:rsidRPr="0063625F">
              <w:rPr>
                <w:rStyle w:val="Strong"/>
                <w:color w:val="082C44"/>
              </w:rPr>
              <w:t xml:space="preserve"> and social interaction</w:t>
            </w:r>
          </w:p>
        </w:tc>
        <w:tc>
          <w:tcPr>
            <w:tcW w:w="2552" w:type="dxa"/>
            <w:tcBorders>
              <w:bottom w:val="single" w:sz="4" w:space="0" w:color="216364"/>
            </w:tcBorders>
          </w:tcPr>
          <w:p w14:paraId="6891C5C8" w14:textId="664369B9" w:rsidR="00823273" w:rsidRPr="009764EE" w:rsidRDefault="00456B2F" w:rsidP="002D1353">
            <w:pPr>
              <w:pStyle w:val="TableTextLeft"/>
            </w:pPr>
            <w:r w:rsidRPr="009764EE">
              <w:t>Average time spent on recreation and leisure, and social and community interaction</w:t>
            </w:r>
            <w:r w:rsidR="00F17493" w:rsidRPr="00C239AD">
              <w:rPr>
                <w:rStyle w:val="TableFootnoteReference"/>
              </w:rPr>
              <w:t>(a)</w:t>
            </w:r>
          </w:p>
        </w:tc>
        <w:tc>
          <w:tcPr>
            <w:tcW w:w="2552" w:type="dxa"/>
            <w:tcBorders>
              <w:bottom w:val="single" w:sz="4" w:space="0" w:color="216364"/>
            </w:tcBorders>
          </w:tcPr>
          <w:p w14:paraId="260FCF50" w14:textId="1EFEF3FA" w:rsidR="00823273" w:rsidRPr="009764EE" w:rsidRDefault="006C7953" w:rsidP="002D1353">
            <w:pPr>
              <w:pStyle w:val="TableTextLeft"/>
            </w:pPr>
            <w:r w:rsidRPr="009764EE">
              <w:t>R</w:t>
            </w:r>
            <w:r w:rsidR="00F6612C" w:rsidRPr="009764EE">
              <w:t xml:space="preserve">ecreation </w:t>
            </w:r>
            <w:r w:rsidR="00534496" w:rsidRPr="009764EE">
              <w:t xml:space="preserve">and social interaction </w:t>
            </w:r>
            <w:r w:rsidR="00F6612C" w:rsidRPr="009764EE">
              <w:t>enrich people</w:t>
            </w:r>
            <w:r w:rsidR="00135DEA">
              <w:t>’</w:t>
            </w:r>
            <w:r w:rsidR="00F6612C" w:rsidRPr="009764EE">
              <w:t>s li</w:t>
            </w:r>
            <w:r w:rsidR="00F54C93" w:rsidRPr="009764EE">
              <w:t>ves</w:t>
            </w:r>
            <w:r w:rsidRPr="009764EE">
              <w:t xml:space="preserve">. </w:t>
            </w:r>
            <w:r w:rsidR="00B300EB" w:rsidRPr="009764EE">
              <w:t>A</w:t>
            </w:r>
            <w:r w:rsidR="00611039" w:rsidRPr="009764EE">
              <w:t>ctivities including</w:t>
            </w:r>
            <w:r w:rsidR="00EB0B62" w:rsidRPr="009764EE">
              <w:t xml:space="preserve"> </w:t>
            </w:r>
            <w:r w:rsidR="00F54C93" w:rsidRPr="009764EE">
              <w:t xml:space="preserve">sport, music, </w:t>
            </w:r>
            <w:r w:rsidR="00D56427" w:rsidRPr="009764EE">
              <w:t>socialising</w:t>
            </w:r>
            <w:r w:rsidR="00611039" w:rsidRPr="009764EE">
              <w:t xml:space="preserve"> and</w:t>
            </w:r>
            <w:r w:rsidR="00F77D1A" w:rsidRPr="009764EE">
              <w:t xml:space="preserve"> leisure </w:t>
            </w:r>
            <w:r w:rsidR="00FA6033" w:rsidRPr="009764EE">
              <w:t>contribute to social cohesion</w:t>
            </w:r>
            <w:r w:rsidR="00611039" w:rsidRPr="009764EE">
              <w:t xml:space="preserve"> </w:t>
            </w:r>
          </w:p>
        </w:tc>
        <w:tc>
          <w:tcPr>
            <w:tcW w:w="1418" w:type="dxa"/>
            <w:tcBorders>
              <w:bottom w:val="single" w:sz="4" w:space="0" w:color="216364"/>
            </w:tcBorders>
          </w:tcPr>
          <w:p w14:paraId="25E5E922" w14:textId="0282F1DC" w:rsidR="008475D8" w:rsidRPr="00A5655B" w:rsidRDefault="000C7C4D" w:rsidP="002D1353">
            <w:pPr>
              <w:pStyle w:val="TableTextCentered"/>
              <w:rPr>
                <w:rFonts w:eastAsia="Century Gothic"/>
              </w:rPr>
            </w:pPr>
            <w:r w:rsidRPr="009764EE">
              <w:rPr>
                <w:rFonts w:eastAsia="Century Gothic"/>
              </w:rPr>
              <w:t>Stable</w:t>
            </w:r>
          </w:p>
          <w:p w14:paraId="47910196" w14:textId="153F4367" w:rsidR="00823273" w:rsidRPr="009764EE" w:rsidRDefault="003823CE" w:rsidP="002D1353">
            <w:pPr>
              <w:pStyle w:val="TableTextCentered"/>
            </w:pPr>
            <w:r w:rsidRPr="009764EE">
              <w:t>2020</w:t>
            </w:r>
            <w:r w:rsidR="00151999">
              <w:t>–</w:t>
            </w:r>
            <w:r w:rsidR="00D62167">
              <w:softHyphen/>
            </w:r>
            <w:r w:rsidR="0082663D" w:rsidRPr="009764EE">
              <w:t>2</w:t>
            </w:r>
            <w:r w:rsidR="008561FF" w:rsidRPr="009764EE">
              <w:t>1</w:t>
            </w:r>
          </w:p>
        </w:tc>
        <w:tc>
          <w:tcPr>
            <w:tcW w:w="1418" w:type="dxa"/>
            <w:tcBorders>
              <w:bottom w:val="single" w:sz="4" w:space="0" w:color="216364"/>
            </w:tcBorders>
          </w:tcPr>
          <w:p w14:paraId="2B3CC2D7" w14:textId="17443BB4" w:rsidR="008716D0" w:rsidRPr="009764EE" w:rsidRDefault="008716D0" w:rsidP="002D1353">
            <w:pPr>
              <w:pStyle w:val="TableTextCentered"/>
            </w:pPr>
            <w:r w:rsidRPr="009764EE">
              <w:t>Females: 5</w:t>
            </w:r>
            <w:r w:rsidR="00646B54">
              <w:t> </w:t>
            </w:r>
            <w:r w:rsidRPr="009764EE">
              <w:t>hours and 12</w:t>
            </w:r>
            <w:r w:rsidR="00646B54">
              <w:t> </w:t>
            </w:r>
            <w:r w:rsidRPr="009764EE">
              <w:t>minutes per day</w:t>
            </w:r>
          </w:p>
          <w:p w14:paraId="20F6A2F2" w14:textId="34E7302D" w:rsidR="00823273" w:rsidRPr="009764EE" w:rsidRDefault="00AA2051" w:rsidP="002D1353">
            <w:pPr>
              <w:pStyle w:val="TableTextCentered"/>
            </w:pPr>
            <w:r w:rsidRPr="009764EE">
              <w:t>Males: 5 hours and 43 minutes</w:t>
            </w:r>
            <w:r w:rsidR="006D7955" w:rsidRPr="009764EE">
              <w:t xml:space="preserve"> per day</w:t>
            </w:r>
          </w:p>
        </w:tc>
      </w:tr>
      <w:tr w:rsidR="00B91AC5" w:rsidRPr="009764EE" w14:paraId="15152964" w14:textId="77777777" w:rsidTr="00933084">
        <w:trPr>
          <w:trHeight w:val="463"/>
        </w:trPr>
        <w:tc>
          <w:tcPr>
            <w:tcW w:w="1134" w:type="dxa"/>
            <w:vMerge w:val="restart"/>
          </w:tcPr>
          <w:p w14:paraId="4B8243E7" w14:textId="16EC064B" w:rsidR="00D00306" w:rsidRPr="0063625F" w:rsidRDefault="00D00306" w:rsidP="002D1353">
            <w:pPr>
              <w:pStyle w:val="TableTextLeft"/>
              <w:rPr>
                <w:rStyle w:val="Strong"/>
                <w:color w:val="082C44"/>
              </w:rPr>
            </w:pPr>
            <w:r w:rsidRPr="0063625F">
              <w:rPr>
                <w:rStyle w:val="Strong"/>
                <w:color w:val="082C44"/>
              </w:rPr>
              <w:t xml:space="preserve">Social </w:t>
            </w:r>
            <w:r w:rsidR="00A21AE5" w:rsidRPr="0063625F">
              <w:rPr>
                <w:rStyle w:val="Strong"/>
                <w:color w:val="082C44"/>
              </w:rPr>
              <w:t>c</w:t>
            </w:r>
            <w:r w:rsidRPr="0063625F">
              <w:rPr>
                <w:rStyle w:val="Strong"/>
                <w:color w:val="082C44"/>
              </w:rPr>
              <w:t>onnections</w:t>
            </w:r>
          </w:p>
        </w:tc>
        <w:tc>
          <w:tcPr>
            <w:tcW w:w="2552" w:type="dxa"/>
            <w:tcBorders>
              <w:top w:val="single" w:sz="4" w:space="0" w:color="216364"/>
              <w:bottom w:val="single" w:sz="4" w:space="0" w:color="EEEEEE" w:themeColor="background2"/>
            </w:tcBorders>
          </w:tcPr>
          <w:p w14:paraId="5F73C623" w14:textId="5CB130A6" w:rsidR="00D00306" w:rsidRPr="009764EE" w:rsidRDefault="00D00306" w:rsidP="002D1353">
            <w:pPr>
              <w:pStyle w:val="TableTextLeft"/>
            </w:pPr>
            <w:r w:rsidRPr="009764EE">
              <w:t xml:space="preserve">Proportion of people who agreed with the statement </w:t>
            </w:r>
            <w:r w:rsidR="00135DEA">
              <w:t>‘</w:t>
            </w:r>
            <w:r w:rsidRPr="009764EE">
              <w:t>I often feel very lonely</w:t>
            </w:r>
            <w:r w:rsidR="00135DEA">
              <w:t>’</w:t>
            </w:r>
            <w:r w:rsidRPr="00C239AD">
              <w:rPr>
                <w:rStyle w:val="TableFootnoteReference"/>
              </w:rPr>
              <w:t>(b)</w:t>
            </w:r>
          </w:p>
        </w:tc>
        <w:tc>
          <w:tcPr>
            <w:tcW w:w="2552" w:type="dxa"/>
            <w:tcBorders>
              <w:top w:val="single" w:sz="4" w:space="0" w:color="216364"/>
              <w:bottom w:val="single" w:sz="4" w:space="0" w:color="EEEEEE" w:themeColor="background2"/>
            </w:tcBorders>
          </w:tcPr>
          <w:p w14:paraId="77852905" w14:textId="491A8A5F" w:rsidR="00D00306" w:rsidRPr="009764EE" w:rsidRDefault="00D00306" w:rsidP="002D1353">
            <w:pPr>
              <w:pStyle w:val="TableTextLeft"/>
            </w:pPr>
            <w:r w:rsidRPr="009764EE">
              <w:t>Loneliness is a symptom of the absence of interpersonal relationships. It is also a risk factor which influences mental health</w:t>
            </w:r>
          </w:p>
        </w:tc>
        <w:tc>
          <w:tcPr>
            <w:tcW w:w="1418" w:type="dxa"/>
            <w:tcBorders>
              <w:top w:val="single" w:sz="4" w:space="0" w:color="216364"/>
              <w:bottom w:val="single" w:sz="4" w:space="0" w:color="EEEEEE" w:themeColor="background2"/>
            </w:tcBorders>
          </w:tcPr>
          <w:p w14:paraId="776FF27C" w14:textId="174E6ABF" w:rsidR="008475D8" w:rsidRPr="00A5655B" w:rsidRDefault="0078241A" w:rsidP="002D1353">
            <w:pPr>
              <w:pStyle w:val="TableTextCentered"/>
              <w:rPr>
                <w:rFonts w:eastAsia="Century Gothic"/>
              </w:rPr>
            </w:pPr>
            <w:r w:rsidRPr="00A5655B">
              <w:rPr>
                <w:rFonts w:eastAsia="Century Gothic"/>
              </w:rPr>
              <w:t>Improved</w:t>
            </w:r>
          </w:p>
          <w:p w14:paraId="4A838BC4" w14:textId="44525A34" w:rsidR="00D00306" w:rsidRPr="00A5655B" w:rsidRDefault="00D00306" w:rsidP="002D1353">
            <w:pPr>
              <w:pStyle w:val="TableTextCentered"/>
            </w:pPr>
            <w:r w:rsidRPr="00A5655B">
              <w:t>2001</w:t>
            </w:r>
            <w:r w:rsidR="00151999">
              <w:t>–</w:t>
            </w:r>
            <w:r w:rsidR="00D62167" w:rsidRPr="00A5655B">
              <w:softHyphen/>
            </w:r>
            <w:r w:rsidRPr="00A5655B">
              <w:t>2019</w:t>
            </w:r>
          </w:p>
        </w:tc>
        <w:tc>
          <w:tcPr>
            <w:tcW w:w="1418" w:type="dxa"/>
            <w:tcBorders>
              <w:top w:val="single" w:sz="4" w:space="0" w:color="216364"/>
              <w:bottom w:val="single" w:sz="4" w:space="0" w:color="EEEEEE" w:themeColor="background2"/>
            </w:tcBorders>
          </w:tcPr>
          <w:p w14:paraId="3395CE39" w14:textId="05FE5C5C" w:rsidR="00D00306" w:rsidRPr="009764EE" w:rsidRDefault="00D00306" w:rsidP="002D1353">
            <w:pPr>
              <w:pStyle w:val="TableTextCentered"/>
            </w:pPr>
            <w:r w:rsidRPr="009764EE">
              <w:t>18.6%</w:t>
            </w:r>
          </w:p>
        </w:tc>
      </w:tr>
      <w:tr w:rsidR="00D87930" w:rsidRPr="009764EE" w14:paraId="0E057589" w14:textId="77777777" w:rsidTr="00933084">
        <w:trPr>
          <w:trHeight w:val="688"/>
        </w:trPr>
        <w:tc>
          <w:tcPr>
            <w:tcW w:w="1134" w:type="dxa"/>
            <w:vMerge/>
          </w:tcPr>
          <w:p w14:paraId="7E3DEF16" w14:textId="274FFDEE" w:rsidR="00D87930" w:rsidRPr="0063625F" w:rsidRDefault="00D87930" w:rsidP="002D1353">
            <w:pPr>
              <w:pStyle w:val="TableTextLeft"/>
              <w:rPr>
                <w:rStyle w:val="Strong"/>
                <w:color w:val="082C44"/>
              </w:rPr>
            </w:pPr>
          </w:p>
        </w:tc>
        <w:tc>
          <w:tcPr>
            <w:tcW w:w="2552" w:type="dxa"/>
            <w:tcBorders>
              <w:top w:val="single" w:sz="4" w:space="0" w:color="EEEEEE" w:themeColor="background2"/>
              <w:bottom w:val="single" w:sz="4" w:space="0" w:color="216364"/>
            </w:tcBorders>
          </w:tcPr>
          <w:p w14:paraId="290A1B4D" w14:textId="65EAEC33" w:rsidR="00D87930" w:rsidRPr="009764EE" w:rsidRDefault="00D00306" w:rsidP="002D1353">
            <w:pPr>
              <w:pStyle w:val="TableTextLeft"/>
            </w:pPr>
            <w:r w:rsidRPr="009764EE">
              <w:t>Proportion of people who undertake voluntary work</w:t>
            </w:r>
            <w:r w:rsidRPr="00C239AD">
              <w:rPr>
                <w:rStyle w:val="TableFootnoteReference"/>
              </w:rPr>
              <w:t>(c)</w:t>
            </w:r>
            <w:r w:rsidRPr="009764EE">
              <w:t xml:space="preserve"> </w:t>
            </w:r>
          </w:p>
        </w:tc>
        <w:tc>
          <w:tcPr>
            <w:tcW w:w="2552" w:type="dxa"/>
            <w:tcBorders>
              <w:top w:val="single" w:sz="4" w:space="0" w:color="EEEEEE" w:themeColor="background2"/>
              <w:bottom w:val="single" w:sz="4" w:space="0" w:color="216364"/>
            </w:tcBorders>
          </w:tcPr>
          <w:p w14:paraId="03C619A4" w14:textId="77BA2E4E" w:rsidR="00D87930" w:rsidRPr="009764EE" w:rsidRDefault="00D727A0" w:rsidP="002D1353">
            <w:pPr>
              <w:pStyle w:val="TableTextLeft"/>
            </w:pPr>
            <w:r w:rsidRPr="009764EE">
              <w:t>Voluntary work is a measure of social connection, which is essential for feeling satisfaction with life</w:t>
            </w:r>
          </w:p>
        </w:tc>
        <w:tc>
          <w:tcPr>
            <w:tcW w:w="1418" w:type="dxa"/>
            <w:tcBorders>
              <w:top w:val="single" w:sz="4" w:space="0" w:color="EEEEEE" w:themeColor="background2"/>
              <w:bottom w:val="single" w:sz="4" w:space="0" w:color="216364"/>
            </w:tcBorders>
          </w:tcPr>
          <w:p w14:paraId="5ECCF478" w14:textId="56532197" w:rsidR="00DB3D10" w:rsidRPr="009764EE" w:rsidRDefault="00AC5B31" w:rsidP="002D1353">
            <w:pPr>
              <w:pStyle w:val="TableTextCentered"/>
              <w:rPr>
                <w:rFonts w:eastAsia="Century Gothic"/>
              </w:rPr>
            </w:pPr>
            <w:r w:rsidRPr="009764EE">
              <w:rPr>
                <w:rFonts w:eastAsia="Century Gothic"/>
              </w:rPr>
              <w:t>Deteriorated</w:t>
            </w:r>
          </w:p>
          <w:p w14:paraId="61D252B0" w14:textId="2FA9AD56" w:rsidR="00D87930" w:rsidRPr="00716F0B" w:rsidRDefault="00D00306" w:rsidP="002D1353">
            <w:pPr>
              <w:pStyle w:val="TableTextCentered"/>
            </w:pPr>
            <w:r w:rsidRPr="009764EE">
              <w:t>2006</w:t>
            </w:r>
            <w:r w:rsidR="00D62167">
              <w:softHyphen/>
            </w:r>
            <w:r w:rsidR="00151999">
              <w:t>–</w:t>
            </w:r>
            <w:r w:rsidRPr="009764EE">
              <w:t>2020</w:t>
            </w:r>
          </w:p>
        </w:tc>
        <w:tc>
          <w:tcPr>
            <w:tcW w:w="1418" w:type="dxa"/>
            <w:tcBorders>
              <w:top w:val="single" w:sz="4" w:space="0" w:color="EEEEEE" w:themeColor="background2"/>
              <w:bottom w:val="single" w:sz="4" w:space="0" w:color="216364"/>
            </w:tcBorders>
          </w:tcPr>
          <w:p w14:paraId="0542B707" w14:textId="54DE30E6" w:rsidR="005975D0" w:rsidRPr="009764EE" w:rsidRDefault="00B85855" w:rsidP="002D1353">
            <w:pPr>
              <w:pStyle w:val="TableTextCentered"/>
            </w:pPr>
            <w:r w:rsidRPr="009764EE">
              <w:t>2</w:t>
            </w:r>
            <w:r w:rsidR="0007693D" w:rsidRPr="009764EE">
              <w:t>4.8</w:t>
            </w:r>
            <w:r w:rsidRPr="009764EE">
              <w:t>%</w:t>
            </w:r>
            <w:r w:rsidR="004C69A6" w:rsidRPr="009764EE">
              <w:t xml:space="preserve"> unpaid voluntary work through an organisation</w:t>
            </w:r>
          </w:p>
          <w:p w14:paraId="5CBB06EC" w14:textId="43A6A14D" w:rsidR="00D87930" w:rsidRPr="009764EE" w:rsidRDefault="004B6E74" w:rsidP="002D1353">
            <w:pPr>
              <w:pStyle w:val="TableTextCentered"/>
            </w:pPr>
            <w:r w:rsidRPr="009764EE">
              <w:t>32% volunteered informally</w:t>
            </w:r>
          </w:p>
        </w:tc>
      </w:tr>
      <w:tr w:rsidR="00D00306" w:rsidRPr="009764EE" w14:paraId="4C7D887C" w14:textId="77777777" w:rsidTr="00933084">
        <w:trPr>
          <w:trHeight w:val="570"/>
        </w:trPr>
        <w:tc>
          <w:tcPr>
            <w:tcW w:w="1134" w:type="dxa"/>
            <w:vMerge w:val="restart"/>
          </w:tcPr>
          <w:p w14:paraId="7EA821B1" w14:textId="55289D6C" w:rsidR="00D00306" w:rsidRPr="0063625F" w:rsidRDefault="00D00306" w:rsidP="002D1353">
            <w:pPr>
              <w:pStyle w:val="TableTextLeft"/>
              <w:rPr>
                <w:rStyle w:val="Strong"/>
                <w:color w:val="082C44"/>
              </w:rPr>
            </w:pPr>
            <w:r w:rsidRPr="0063625F">
              <w:rPr>
                <w:rStyle w:val="Strong"/>
                <w:color w:val="082C44"/>
              </w:rPr>
              <w:t>Creative and cultural engagement</w:t>
            </w:r>
          </w:p>
        </w:tc>
        <w:tc>
          <w:tcPr>
            <w:tcW w:w="2552" w:type="dxa"/>
            <w:tcBorders>
              <w:top w:val="single" w:sz="4" w:space="0" w:color="216364"/>
              <w:bottom w:val="single" w:sz="4" w:space="0" w:color="EEEEEE" w:themeColor="background2"/>
            </w:tcBorders>
          </w:tcPr>
          <w:p w14:paraId="13217D10" w14:textId="7AAD1982" w:rsidR="00D00306" w:rsidRPr="009764EE" w:rsidRDefault="00D00306" w:rsidP="002D1353">
            <w:pPr>
              <w:pStyle w:val="TableTextLeft"/>
            </w:pPr>
            <w:r w:rsidRPr="009764EE">
              <w:t xml:space="preserve">Proportion of </w:t>
            </w:r>
            <w:r w:rsidR="007218BD">
              <w:t xml:space="preserve">people </w:t>
            </w:r>
            <w:r w:rsidRPr="009764EE">
              <w:t xml:space="preserve">who participated in </w:t>
            </w:r>
            <w:r w:rsidR="000416FA" w:rsidRPr="009764EE">
              <w:t xml:space="preserve">at least one </w:t>
            </w:r>
            <w:r w:rsidR="002121C8" w:rsidRPr="009764EE">
              <w:t xml:space="preserve">cultural </w:t>
            </w:r>
            <w:r w:rsidRPr="009764EE">
              <w:t>activit</w:t>
            </w:r>
            <w:r w:rsidR="000416FA" w:rsidRPr="009764EE">
              <w:t>y</w:t>
            </w:r>
            <w:r w:rsidRPr="009764EE">
              <w:t xml:space="preserve"> </w:t>
            </w:r>
            <w:r w:rsidRPr="00C239AD">
              <w:rPr>
                <w:rStyle w:val="TableFootnoteReference"/>
              </w:rPr>
              <w:t>(d)</w:t>
            </w:r>
          </w:p>
        </w:tc>
        <w:tc>
          <w:tcPr>
            <w:tcW w:w="2552" w:type="dxa"/>
            <w:vMerge w:val="restart"/>
            <w:tcBorders>
              <w:top w:val="single" w:sz="4" w:space="0" w:color="216364"/>
              <w:bottom w:val="single" w:sz="4" w:space="0" w:color="EEEEEE" w:themeColor="background2"/>
            </w:tcBorders>
          </w:tcPr>
          <w:p w14:paraId="06C788BC" w14:textId="2E914C7B" w:rsidR="00D00306" w:rsidRPr="009764EE" w:rsidRDefault="00D00306" w:rsidP="002D1353">
            <w:pPr>
              <w:pStyle w:val="TableTextLeft"/>
            </w:pPr>
            <w:r w:rsidRPr="009764EE">
              <w:t>Creative and cultural engagement has social and economic impacts including boosting health and wellbeing, supporting educational outcomes</w:t>
            </w:r>
            <w:r w:rsidR="00C20EB9" w:rsidRPr="009764EE">
              <w:t>,</w:t>
            </w:r>
            <w:r w:rsidRPr="009764EE">
              <w:t xml:space="preserve"> as well as fostering social inclusion</w:t>
            </w:r>
          </w:p>
        </w:tc>
        <w:tc>
          <w:tcPr>
            <w:tcW w:w="1418" w:type="dxa"/>
            <w:tcBorders>
              <w:top w:val="single" w:sz="4" w:space="0" w:color="216364"/>
              <w:bottom w:val="single" w:sz="4" w:space="0" w:color="EEEEEE" w:themeColor="background2"/>
            </w:tcBorders>
          </w:tcPr>
          <w:p w14:paraId="505C68C3" w14:textId="3661E3C6" w:rsidR="00B66D1B" w:rsidRPr="00646B54" w:rsidRDefault="0078241A" w:rsidP="002D1353">
            <w:pPr>
              <w:pStyle w:val="TableTextCentered"/>
              <w:rPr>
                <w:rFonts w:eastAsia="Century Gothic"/>
              </w:rPr>
            </w:pPr>
            <w:r w:rsidRPr="00646B54">
              <w:rPr>
                <w:rFonts w:eastAsia="Century Gothic"/>
              </w:rPr>
              <w:t>Stable</w:t>
            </w:r>
          </w:p>
          <w:p w14:paraId="2FD5576F" w14:textId="57FB2B5D" w:rsidR="00D00306" w:rsidRPr="009764EE" w:rsidRDefault="00382D55" w:rsidP="002D1353">
            <w:pPr>
              <w:pStyle w:val="TableTextCentered"/>
              <w:rPr>
                <w:rFonts w:eastAsia="Century Gothic"/>
              </w:rPr>
            </w:pPr>
            <w:r w:rsidRPr="00646B54">
              <w:t>2017</w:t>
            </w:r>
            <w:r w:rsidR="00D62167" w:rsidRPr="00646B54">
              <w:softHyphen/>
            </w:r>
            <w:r w:rsidR="00151999">
              <w:t>–</w:t>
            </w:r>
            <w:r w:rsidRPr="00646B54">
              <w:t>18 to 2021</w:t>
            </w:r>
            <w:r w:rsidR="00151999">
              <w:t>–</w:t>
            </w:r>
            <w:r w:rsidR="00D62167" w:rsidRPr="00646B54">
              <w:softHyphen/>
            </w:r>
            <w:r w:rsidRPr="00646B54">
              <w:t>22</w:t>
            </w:r>
          </w:p>
        </w:tc>
        <w:tc>
          <w:tcPr>
            <w:tcW w:w="1418" w:type="dxa"/>
            <w:tcBorders>
              <w:top w:val="single" w:sz="4" w:space="0" w:color="216364"/>
              <w:bottom w:val="single" w:sz="4" w:space="0" w:color="EEEEEE" w:themeColor="background2"/>
            </w:tcBorders>
          </w:tcPr>
          <w:p w14:paraId="26880D93" w14:textId="1D4BCC5F" w:rsidR="00D00306" w:rsidRPr="009764EE" w:rsidRDefault="00D00306" w:rsidP="002D1353">
            <w:pPr>
              <w:pStyle w:val="TableTextCentered"/>
            </w:pPr>
            <w:r w:rsidRPr="009764EE">
              <w:t>32</w:t>
            </w:r>
            <w:r w:rsidR="00A365DF" w:rsidRPr="009764EE">
              <w:t>.2</w:t>
            </w:r>
            <w:r w:rsidRPr="009764EE">
              <w:t>%</w:t>
            </w:r>
          </w:p>
        </w:tc>
      </w:tr>
      <w:tr w:rsidR="00D00306" w:rsidRPr="009764EE" w14:paraId="442A4B0C" w14:textId="77777777" w:rsidTr="00933084">
        <w:trPr>
          <w:trHeight w:val="467"/>
        </w:trPr>
        <w:tc>
          <w:tcPr>
            <w:tcW w:w="1134" w:type="dxa"/>
            <w:vMerge/>
          </w:tcPr>
          <w:p w14:paraId="4C241123" w14:textId="77777777" w:rsidR="00D00306" w:rsidRPr="009764EE" w:rsidRDefault="00D00306" w:rsidP="00E35BDE">
            <w:pPr>
              <w:rPr>
                <w:rFonts w:ascii="Calibri" w:hAnsi="Calibri" w:cs="Calibri"/>
              </w:rPr>
            </w:pPr>
          </w:p>
        </w:tc>
        <w:tc>
          <w:tcPr>
            <w:tcW w:w="2552" w:type="dxa"/>
            <w:tcBorders>
              <w:top w:val="single" w:sz="4" w:space="0" w:color="EEEEEE" w:themeColor="background2"/>
            </w:tcBorders>
          </w:tcPr>
          <w:p w14:paraId="1EB23F3A" w14:textId="5AE4EC1B" w:rsidR="00D00306" w:rsidRPr="009764EE" w:rsidRDefault="00D00306" w:rsidP="00646B54">
            <w:pPr>
              <w:pStyle w:val="TableTextLeft"/>
            </w:pPr>
            <w:r w:rsidRPr="009764EE">
              <w:t xml:space="preserve">Proportion of </w:t>
            </w:r>
            <w:r w:rsidR="007218BD">
              <w:t xml:space="preserve">people </w:t>
            </w:r>
            <w:r w:rsidRPr="009764EE">
              <w:t>who attended at least one cultural venue or event</w:t>
            </w:r>
            <w:r w:rsidR="00CC50A6" w:rsidRPr="009764EE">
              <w:t xml:space="preserve"> </w:t>
            </w:r>
            <w:r w:rsidRPr="00C239AD">
              <w:rPr>
                <w:rStyle w:val="TableFootnoteReference"/>
              </w:rPr>
              <w:t>(</w:t>
            </w:r>
            <w:r w:rsidR="0050162C" w:rsidRPr="00C239AD">
              <w:rPr>
                <w:rStyle w:val="TableFootnoteReference"/>
              </w:rPr>
              <w:t>d)</w:t>
            </w:r>
            <w:r w:rsidR="00A17C04" w:rsidRPr="00C239AD">
              <w:rPr>
                <w:rStyle w:val="TableFootnoteReference"/>
              </w:rPr>
              <w:t>(i</w:t>
            </w:r>
            <w:r w:rsidR="00942950" w:rsidRPr="00C239AD">
              <w:rPr>
                <w:rStyle w:val="TableFootnoteReference"/>
              </w:rPr>
              <w:t>i</w:t>
            </w:r>
            <w:r w:rsidR="0050162C" w:rsidRPr="00C239AD">
              <w:rPr>
                <w:rStyle w:val="TableFootnoteReference"/>
              </w:rPr>
              <w:t>)</w:t>
            </w:r>
          </w:p>
        </w:tc>
        <w:tc>
          <w:tcPr>
            <w:tcW w:w="2552" w:type="dxa"/>
            <w:vMerge/>
            <w:tcBorders>
              <w:top w:val="single" w:sz="4" w:space="0" w:color="EEEEEE" w:themeColor="background2"/>
            </w:tcBorders>
          </w:tcPr>
          <w:p w14:paraId="37304539" w14:textId="77777777" w:rsidR="00D00306" w:rsidRPr="009764EE" w:rsidRDefault="00D00306" w:rsidP="00E35BDE">
            <w:pPr>
              <w:rPr>
                <w:rFonts w:ascii="Calibri" w:hAnsi="Calibri" w:cs="Calibri"/>
              </w:rPr>
            </w:pPr>
          </w:p>
        </w:tc>
        <w:tc>
          <w:tcPr>
            <w:tcW w:w="1418" w:type="dxa"/>
            <w:tcBorders>
              <w:top w:val="single" w:sz="4" w:space="0" w:color="EEEEEE" w:themeColor="background2"/>
            </w:tcBorders>
          </w:tcPr>
          <w:p w14:paraId="0C6AD452" w14:textId="0FD84E2B" w:rsidR="00646B54" w:rsidRPr="00A5655B" w:rsidRDefault="000E1FDF" w:rsidP="002D1353">
            <w:pPr>
              <w:pStyle w:val="TableTextCentered"/>
              <w:rPr>
                <w:rFonts w:eastAsia="Century Gothic"/>
              </w:rPr>
            </w:pPr>
            <w:r w:rsidRPr="00A5655B">
              <w:rPr>
                <w:rFonts w:eastAsia="Century Gothic"/>
              </w:rPr>
              <w:t>Deteriorated</w:t>
            </w:r>
          </w:p>
          <w:p w14:paraId="51DC7B8A" w14:textId="72EDB907" w:rsidR="00D00306" w:rsidRPr="009764EE" w:rsidRDefault="00D00306" w:rsidP="002D1353">
            <w:pPr>
              <w:pStyle w:val="TableTextCentered"/>
            </w:pPr>
            <w:r w:rsidRPr="00A5655B">
              <w:t>2017</w:t>
            </w:r>
            <w:r w:rsidR="00D62167" w:rsidRPr="00A5655B">
              <w:softHyphen/>
            </w:r>
            <w:r w:rsidR="00151999">
              <w:t>–</w:t>
            </w:r>
            <w:r w:rsidRPr="00A5655B">
              <w:t>18 to 2021</w:t>
            </w:r>
            <w:r w:rsidR="00151999">
              <w:t>–</w:t>
            </w:r>
            <w:r w:rsidR="00D62167" w:rsidRPr="00A5655B">
              <w:softHyphen/>
            </w:r>
            <w:r w:rsidRPr="00A5655B">
              <w:t>22</w:t>
            </w:r>
          </w:p>
        </w:tc>
        <w:tc>
          <w:tcPr>
            <w:tcW w:w="1418" w:type="dxa"/>
            <w:tcBorders>
              <w:top w:val="single" w:sz="4" w:space="0" w:color="EEEEEE" w:themeColor="background2"/>
            </w:tcBorders>
          </w:tcPr>
          <w:p w14:paraId="127C4330" w14:textId="65CD7412" w:rsidR="00D00306" w:rsidRPr="009764EE" w:rsidRDefault="00D00306" w:rsidP="002D1353">
            <w:pPr>
              <w:pStyle w:val="TableTextCentered"/>
            </w:pPr>
            <w:r w:rsidRPr="009764EE">
              <w:t>6</w:t>
            </w:r>
            <w:r w:rsidR="0053358C" w:rsidRPr="009764EE">
              <w:t>3.8</w:t>
            </w:r>
            <w:r w:rsidRPr="009764EE">
              <w:t>%</w:t>
            </w:r>
          </w:p>
        </w:tc>
      </w:tr>
    </w:tbl>
    <w:p w14:paraId="324FEF48" w14:textId="439A0807" w:rsidR="003F4815" w:rsidRPr="00CB2E1B" w:rsidRDefault="003F4815" w:rsidP="00CB2E1B">
      <w:pPr>
        <w:pStyle w:val="ChartorTableNote"/>
      </w:pPr>
      <w:r w:rsidRPr="00CB2E1B">
        <w:t>Source:</w:t>
      </w:r>
      <w:r w:rsidR="00646B54" w:rsidRPr="00CB2E1B">
        <w:tab/>
      </w:r>
      <w:r w:rsidRPr="00CB2E1B">
        <w:t xml:space="preserve">(a) </w:t>
      </w:r>
      <w:r w:rsidR="00253258" w:rsidRPr="00CB2E1B">
        <w:t>ABS</w:t>
      </w:r>
      <w:r w:rsidR="00EB6443" w:rsidRPr="00CB2E1B">
        <w:t xml:space="preserve"> Time Use Survey</w:t>
      </w:r>
      <w:r w:rsidR="00253258" w:rsidRPr="00CB2E1B">
        <w:t xml:space="preserve"> </w:t>
      </w:r>
      <w:r w:rsidR="005816DC" w:rsidRPr="00CB2E1B">
        <w:br/>
      </w:r>
      <w:r w:rsidRPr="00CB2E1B">
        <w:t xml:space="preserve">(b) </w:t>
      </w:r>
      <w:r w:rsidR="00F144E1" w:rsidRPr="00CB2E1B">
        <w:t>Household, Income and Labour Dynamics in Australia (HILDA) Survey</w:t>
      </w:r>
      <w:r w:rsidR="002F62FE" w:rsidRPr="00CB2E1B">
        <w:t xml:space="preserve"> </w:t>
      </w:r>
      <w:r w:rsidR="005816DC" w:rsidRPr="00CB2E1B">
        <w:br/>
      </w:r>
      <w:r w:rsidR="002F62FE" w:rsidRPr="00CB2E1B">
        <w:t>(c) ABS General Social Survey</w:t>
      </w:r>
      <w:r w:rsidR="00BC6CDA" w:rsidRPr="00CB2E1B">
        <w:t xml:space="preserve"> </w:t>
      </w:r>
      <w:r w:rsidR="005816DC" w:rsidRPr="00CB2E1B">
        <w:br/>
      </w:r>
      <w:r w:rsidR="00BC6CDA" w:rsidRPr="00CB2E1B">
        <w:t xml:space="preserve">(d) ABS </w:t>
      </w:r>
      <w:r w:rsidR="00140567" w:rsidRPr="00CB2E1B">
        <w:t>Cultural participation and attendance survey</w:t>
      </w:r>
      <w:r w:rsidR="008B3B65" w:rsidRPr="00CB2E1B">
        <w:t xml:space="preserve"> </w:t>
      </w:r>
    </w:p>
    <w:p w14:paraId="188C66DC" w14:textId="29C81E86" w:rsidR="009C70BE" w:rsidRPr="00CB2E1B" w:rsidRDefault="00AC74B2" w:rsidP="00CB2E1B">
      <w:pPr>
        <w:pStyle w:val="ChartorTableNote"/>
      </w:pPr>
      <w:r w:rsidRPr="00CB2E1B">
        <w:t>N</w:t>
      </w:r>
      <w:r w:rsidR="009C70BE" w:rsidRPr="00CB2E1B">
        <w:t>ote:</w:t>
      </w:r>
      <w:r w:rsidR="00646B54" w:rsidRPr="00CB2E1B">
        <w:tab/>
      </w:r>
      <w:r w:rsidR="00933D02" w:rsidRPr="00CB2E1B">
        <w:t xml:space="preserve">(i) </w:t>
      </w:r>
      <w:r w:rsidR="009C70BE" w:rsidRPr="00CB2E1B">
        <w:t xml:space="preserve">Unless specified the latest value is the last data point in the </w:t>
      </w:r>
      <w:r w:rsidR="00710E27" w:rsidRPr="00CB2E1B">
        <w:t>series</w:t>
      </w:r>
      <w:r w:rsidR="00A17C04" w:rsidRPr="00CB2E1B">
        <w:t xml:space="preserve"> </w:t>
      </w:r>
      <w:r w:rsidR="005816DC" w:rsidRPr="00CB2E1B">
        <w:br/>
      </w:r>
      <w:r w:rsidR="00A17C04" w:rsidRPr="00CB2E1B">
        <w:t>(i</w:t>
      </w:r>
      <w:r w:rsidR="00933D02" w:rsidRPr="00CB2E1B">
        <w:t>i</w:t>
      </w:r>
      <w:r w:rsidR="00A17C04" w:rsidRPr="00CB2E1B">
        <w:t>)</w:t>
      </w:r>
      <w:r w:rsidR="009D3A8B" w:rsidRPr="00CB2E1B">
        <w:t xml:space="preserve"> The reference period for the ABS Cultural and Creative Activities 2021</w:t>
      </w:r>
      <w:r w:rsidR="00D62167" w:rsidRPr="00CB2E1B">
        <w:softHyphen/>
      </w:r>
      <w:r w:rsidR="00151999" w:rsidRPr="00CB2E1B">
        <w:t>–</w:t>
      </w:r>
      <w:r w:rsidR="009D3A8B" w:rsidRPr="00CB2E1B">
        <w:t>22 spans from July 2020 to June 2022. As such, these data, particularly in relation to attendance rates at cultural and creative events, may have been impacted by COVID</w:t>
      </w:r>
      <w:r w:rsidR="00135DEA" w:rsidRPr="00CB2E1B">
        <w:noBreakHyphen/>
      </w:r>
      <w:r w:rsidR="009D3A8B" w:rsidRPr="00CB2E1B">
        <w:t>19 disruptions, such as border closures, social distancing requirements and audience confidence levels post</w:t>
      </w:r>
      <w:r w:rsidR="00135DEA" w:rsidRPr="00CB2E1B">
        <w:noBreakHyphen/>
      </w:r>
      <w:r w:rsidR="009D3A8B" w:rsidRPr="00CB2E1B">
        <w:t>COVID 19 restrictions. Caution should be exercised when comparing with previous iterations</w:t>
      </w:r>
      <w:r w:rsidR="009D3A8B" w:rsidRPr="00CB2E1B" w:rsidDel="00622393">
        <w:t>.</w:t>
      </w:r>
    </w:p>
    <w:p w14:paraId="7163CAF9" w14:textId="77777777" w:rsidR="000E0851" w:rsidRDefault="000E0851" w:rsidP="000E0851"/>
    <w:p w14:paraId="311980F0" w14:textId="008B0C4E" w:rsidR="000E0851" w:rsidRPr="000E0851" w:rsidRDefault="000E0851" w:rsidP="000E0851">
      <w:pPr>
        <w:sectPr w:rsidR="000E0851" w:rsidRPr="000E0851" w:rsidSect="00DA302B">
          <w:endnotePr>
            <w:numFmt w:val="decimal"/>
          </w:endnotePr>
          <w:pgSz w:w="11906" w:h="16838" w:code="9"/>
          <w:pgMar w:top="1843" w:right="1418" w:bottom="1418" w:left="1418" w:header="851" w:footer="851" w:gutter="0"/>
          <w:cols w:space="567"/>
          <w:docGrid w:linePitch="360"/>
        </w:sectPr>
      </w:pPr>
    </w:p>
    <w:p w14:paraId="2CC0E5FE" w14:textId="5AB28CFB" w:rsidR="00653B72" w:rsidRDefault="00653B72" w:rsidP="00A5655B">
      <w:pPr>
        <w:rPr>
          <w:lang w:val="en-GB"/>
        </w:rPr>
      </w:pPr>
      <w:r w:rsidRPr="00653B72">
        <w:rPr>
          <w:lang w:val="en-GB"/>
        </w:rPr>
        <w:lastRenderedPageBreak/>
        <w:t>In a socially cohesive society, people can connect with their family and friends and participate fully in the community through cultural, social and religious activities.</w:t>
      </w:r>
    </w:p>
    <w:p w14:paraId="46785BEA" w14:textId="3FEAC629" w:rsidR="00E27F94" w:rsidRPr="00625F8C" w:rsidRDefault="00E27F94" w:rsidP="00C13DE2">
      <w:pPr>
        <w:rPr>
          <w:spacing w:val="-2"/>
        </w:rPr>
      </w:pPr>
      <w:r w:rsidRPr="00625F8C">
        <w:rPr>
          <w:spacing w:val="-2"/>
        </w:rPr>
        <w:t xml:space="preserve">The following section </w:t>
      </w:r>
      <w:r w:rsidR="00945EC3" w:rsidRPr="00625F8C">
        <w:rPr>
          <w:spacing w:val="-2"/>
        </w:rPr>
        <w:t>outlines the</w:t>
      </w:r>
      <w:r w:rsidRPr="00625F8C">
        <w:rPr>
          <w:spacing w:val="-2"/>
        </w:rPr>
        <w:t xml:space="preserve"> </w:t>
      </w:r>
      <w:r w:rsidR="00BD0B15" w:rsidRPr="00625F8C">
        <w:rPr>
          <w:spacing w:val="-2"/>
        </w:rPr>
        <w:t>measurements we can use to track</w:t>
      </w:r>
      <w:r w:rsidR="001D55B2" w:rsidRPr="00625F8C">
        <w:rPr>
          <w:spacing w:val="-2"/>
        </w:rPr>
        <w:t xml:space="preserve"> the time Australians have for the activities that matter</w:t>
      </w:r>
      <w:r w:rsidR="00381280" w:rsidRPr="00625F8C">
        <w:rPr>
          <w:spacing w:val="-2"/>
        </w:rPr>
        <w:t xml:space="preserve">, as well as more specific metrics </w:t>
      </w:r>
      <w:r w:rsidR="00562736" w:rsidRPr="00625F8C">
        <w:rPr>
          <w:spacing w:val="-2"/>
        </w:rPr>
        <w:t>that capture the extent to which they</w:t>
      </w:r>
      <w:r w:rsidR="0002534F" w:rsidRPr="00625F8C">
        <w:rPr>
          <w:spacing w:val="-2"/>
        </w:rPr>
        <w:t xml:space="preserve"> a</w:t>
      </w:r>
      <w:r w:rsidR="00562736" w:rsidRPr="00625F8C">
        <w:rPr>
          <w:spacing w:val="-2"/>
        </w:rPr>
        <w:t xml:space="preserve">re making social connections and participating in cultural activities. </w:t>
      </w:r>
    </w:p>
    <w:p w14:paraId="747E73F8" w14:textId="11D849B3" w:rsidR="008A21CB" w:rsidRPr="009764EE" w:rsidRDefault="002B7BCA" w:rsidP="00964778">
      <w:pPr>
        <w:pStyle w:val="Heading3"/>
        <w:rPr>
          <w:rFonts w:cs="Calibri"/>
          <w:szCs w:val="24"/>
        </w:rPr>
      </w:pPr>
      <w:r w:rsidRPr="009764EE">
        <w:rPr>
          <w:rFonts w:cs="Calibri"/>
        </w:rPr>
        <w:t>Time for recre</w:t>
      </w:r>
      <w:r w:rsidR="00D5744A" w:rsidRPr="009764EE">
        <w:rPr>
          <w:rFonts w:cs="Calibri"/>
          <w:szCs w:val="24"/>
        </w:rPr>
        <w:t>ation and social interaction</w:t>
      </w:r>
    </w:p>
    <w:p w14:paraId="648375F1" w14:textId="24332DAF" w:rsidR="00D95528" w:rsidRPr="009764EE" w:rsidRDefault="00D95528" w:rsidP="00F06CFF">
      <w:pPr>
        <w:rPr>
          <w:lang w:val="en-GB"/>
        </w:rPr>
      </w:pPr>
      <w:r w:rsidRPr="009764EE">
        <w:rPr>
          <w:lang w:val="en-GB"/>
        </w:rPr>
        <w:t xml:space="preserve">One way we can capture the availability of free time is the average amount </w:t>
      </w:r>
      <w:r w:rsidR="00B352F3" w:rsidRPr="009764EE">
        <w:rPr>
          <w:lang w:val="en-GB"/>
        </w:rPr>
        <w:t xml:space="preserve">that people </w:t>
      </w:r>
      <w:r w:rsidR="005E0767" w:rsidRPr="009764EE">
        <w:rPr>
          <w:lang w:val="en-GB"/>
        </w:rPr>
        <w:t>spen</w:t>
      </w:r>
      <w:r w:rsidR="00B352F3" w:rsidRPr="009764EE">
        <w:rPr>
          <w:lang w:val="en-GB"/>
        </w:rPr>
        <w:t>d</w:t>
      </w:r>
      <w:r w:rsidR="005E0767" w:rsidRPr="009764EE">
        <w:rPr>
          <w:lang w:val="en-GB"/>
        </w:rPr>
        <w:t xml:space="preserve"> on recreation and leisure, </w:t>
      </w:r>
      <w:r w:rsidR="00B352F3" w:rsidRPr="009764EE">
        <w:rPr>
          <w:lang w:val="en-GB"/>
        </w:rPr>
        <w:t>plus</w:t>
      </w:r>
      <w:r w:rsidR="005E0767" w:rsidRPr="009764EE">
        <w:rPr>
          <w:lang w:val="en-GB"/>
        </w:rPr>
        <w:t xml:space="preserve"> </w:t>
      </w:r>
      <w:r w:rsidR="00774DB7" w:rsidRPr="009764EE">
        <w:rPr>
          <w:lang w:val="en-GB"/>
        </w:rPr>
        <w:t>social and community interaction</w:t>
      </w:r>
      <w:r w:rsidRPr="009764EE">
        <w:rPr>
          <w:lang w:val="en-GB"/>
        </w:rPr>
        <w:t xml:space="preserve">. </w:t>
      </w:r>
    </w:p>
    <w:p w14:paraId="3E530176" w14:textId="5A9D8CC5" w:rsidR="007E5BEF" w:rsidRPr="009764EE" w:rsidRDefault="002671E6" w:rsidP="00C13DE2">
      <w:pPr>
        <w:rPr>
          <w:lang w:val="en-GB"/>
        </w:rPr>
      </w:pPr>
      <w:r>
        <w:rPr>
          <w:lang w:val="en-GB"/>
        </w:rPr>
        <w:br w:type="column"/>
      </w:r>
      <w:r w:rsidR="00335FB6" w:rsidRPr="009764EE">
        <w:rPr>
          <w:lang w:val="en-GB"/>
        </w:rPr>
        <w:t>In 202</w:t>
      </w:r>
      <w:r w:rsidR="00395E4E" w:rsidRPr="009764EE">
        <w:rPr>
          <w:lang w:val="en-GB"/>
        </w:rPr>
        <w:t>0</w:t>
      </w:r>
      <w:r w:rsidR="00151999">
        <w:rPr>
          <w:lang w:val="en-GB"/>
        </w:rPr>
        <w:t>–</w:t>
      </w:r>
      <w:r w:rsidR="00420686">
        <w:rPr>
          <w:lang w:val="en-GB"/>
        </w:rPr>
        <w:softHyphen/>
      </w:r>
      <w:r w:rsidR="00395E4E" w:rsidRPr="009764EE">
        <w:rPr>
          <w:lang w:val="en-GB"/>
        </w:rPr>
        <w:t xml:space="preserve">21, </w:t>
      </w:r>
      <w:r w:rsidR="00DD081C" w:rsidRPr="009764EE">
        <w:rPr>
          <w:lang w:val="en-GB"/>
        </w:rPr>
        <w:t>most</w:t>
      </w:r>
      <w:r w:rsidR="00E90044" w:rsidRPr="009764EE">
        <w:rPr>
          <w:lang w:val="en-GB"/>
        </w:rPr>
        <w:t xml:space="preserve"> Australians </w:t>
      </w:r>
      <w:r w:rsidR="00874107" w:rsidRPr="009764EE">
        <w:rPr>
          <w:lang w:val="en-GB"/>
        </w:rPr>
        <w:t>(96</w:t>
      </w:r>
      <w:r w:rsidR="001524A0">
        <w:rPr>
          <w:lang w:val="en-GB"/>
        </w:rPr>
        <w:t> per c</w:t>
      </w:r>
      <w:r w:rsidR="005B37EB" w:rsidRPr="009764EE">
        <w:rPr>
          <w:lang w:val="en-GB"/>
        </w:rPr>
        <w:t>ent</w:t>
      </w:r>
      <w:r w:rsidR="00874107" w:rsidRPr="009764EE">
        <w:rPr>
          <w:lang w:val="en-GB"/>
        </w:rPr>
        <w:t xml:space="preserve">) </w:t>
      </w:r>
      <w:r w:rsidR="00B86667" w:rsidRPr="009764EE">
        <w:rPr>
          <w:lang w:val="en-GB"/>
        </w:rPr>
        <w:t>spent</w:t>
      </w:r>
      <w:r w:rsidR="00874107" w:rsidRPr="009764EE">
        <w:rPr>
          <w:lang w:val="en-GB"/>
        </w:rPr>
        <w:t xml:space="preserve"> on average 5 hours 27 minutes of their day </w:t>
      </w:r>
      <w:r w:rsidR="00A2624B" w:rsidRPr="009764EE">
        <w:rPr>
          <w:lang w:val="en-GB"/>
        </w:rPr>
        <w:t>on</w:t>
      </w:r>
      <w:r w:rsidR="00FA2625" w:rsidRPr="009764EE">
        <w:rPr>
          <w:lang w:val="en-GB"/>
        </w:rPr>
        <w:t xml:space="preserve"> free time which was used for activities </w:t>
      </w:r>
      <w:r w:rsidR="00D24AB5" w:rsidRPr="009764EE">
        <w:rPr>
          <w:lang w:val="en-GB"/>
        </w:rPr>
        <w:t>including wat</w:t>
      </w:r>
      <w:r w:rsidR="00247159" w:rsidRPr="009764EE">
        <w:rPr>
          <w:lang w:val="en-GB"/>
        </w:rPr>
        <w:t>ch</w:t>
      </w:r>
      <w:r w:rsidR="00D24AB5" w:rsidRPr="009764EE">
        <w:rPr>
          <w:lang w:val="en-GB"/>
        </w:rPr>
        <w:t>ing television, sport and exercise, social interaction</w:t>
      </w:r>
      <w:r w:rsidR="002A1282" w:rsidRPr="009764EE">
        <w:rPr>
          <w:lang w:val="en-GB"/>
        </w:rPr>
        <w:t xml:space="preserve"> </w:t>
      </w:r>
      <w:r w:rsidR="00B473A4" w:rsidRPr="009764EE">
        <w:rPr>
          <w:lang w:val="en-GB"/>
        </w:rPr>
        <w:t>and</w:t>
      </w:r>
      <w:r w:rsidR="002A1282" w:rsidRPr="009764EE">
        <w:rPr>
          <w:lang w:val="en-GB"/>
        </w:rPr>
        <w:t xml:space="preserve"> reading</w:t>
      </w:r>
      <w:r w:rsidR="00B473A4" w:rsidRPr="009764EE">
        <w:rPr>
          <w:lang w:val="en-GB"/>
        </w:rPr>
        <w:t>.</w:t>
      </w:r>
    </w:p>
    <w:p w14:paraId="6001054F" w14:textId="3A151029" w:rsidR="00F859AC" w:rsidRPr="009764EE" w:rsidRDefault="00F859AC" w:rsidP="00F06CFF">
      <w:r w:rsidRPr="009764EE">
        <w:t>Women had 31 minutes less free time on average per day than men</w:t>
      </w:r>
      <w:r w:rsidR="00620078">
        <w:t xml:space="preserve"> </w:t>
      </w:r>
      <w:r w:rsidRPr="009764EE">
        <w:t>5 hours and 12</w:t>
      </w:r>
      <w:r w:rsidR="00C13DE2">
        <w:t> </w:t>
      </w:r>
      <w:r w:rsidRPr="009764EE">
        <w:t>minutes compared with 5 hours and 43</w:t>
      </w:r>
      <w:r w:rsidR="00C13DE2">
        <w:t> </w:t>
      </w:r>
      <w:r w:rsidRPr="009764EE">
        <w:t>minutes. The gap is largest for people aged 15 to 24</w:t>
      </w:r>
      <w:r w:rsidR="00C239AD">
        <w:t> year</w:t>
      </w:r>
      <w:r w:rsidRPr="009764EE">
        <w:t>s, with women having 1 hour and 1</w:t>
      </w:r>
      <w:r w:rsidR="00C93222" w:rsidRPr="009764EE">
        <w:t>7</w:t>
      </w:r>
      <w:r w:rsidRPr="009764EE">
        <w:t xml:space="preserve"> minutes less free time </w:t>
      </w:r>
      <w:r w:rsidR="006A4AFB" w:rsidRPr="009764EE">
        <w:t>than</w:t>
      </w:r>
      <w:r w:rsidRPr="009764EE">
        <w:t xml:space="preserve"> their male counterparts. </w:t>
      </w:r>
    </w:p>
    <w:p w14:paraId="3D41C10A" w14:textId="07D3FF0E" w:rsidR="000E0851" w:rsidRDefault="00FE55E9" w:rsidP="00F06CFF">
      <w:r w:rsidRPr="009764EE">
        <w:t>People aged 65</w:t>
      </w:r>
      <w:r w:rsidR="00C239AD">
        <w:t> year</w:t>
      </w:r>
      <w:r w:rsidR="002E2675" w:rsidRPr="009764EE">
        <w:t xml:space="preserve">s </w:t>
      </w:r>
      <w:r w:rsidRPr="009764EE">
        <w:t>and over had the most time for recreation and leisure</w:t>
      </w:r>
      <w:r w:rsidR="00B7321C" w:rsidRPr="009764EE">
        <w:t xml:space="preserve"> </w:t>
      </w:r>
      <w:r w:rsidRPr="009764EE">
        <w:t>with an average 5 hours and 58 minutes a day. People aged 35 to 44 had the least time for recreation and leisure with an average of</w:t>
      </w:r>
      <w:r w:rsidR="00765C69" w:rsidRPr="009764EE">
        <w:t xml:space="preserve"> </w:t>
      </w:r>
      <w:r w:rsidRPr="009764EE">
        <w:t>3 hours and 14</w:t>
      </w:r>
      <w:r w:rsidR="00F65D11">
        <w:t> </w:t>
      </w:r>
      <w:r w:rsidRPr="009764EE">
        <w:t>minutes per day</w:t>
      </w:r>
      <w:r w:rsidR="5BCDD32B" w:rsidRPr="009764EE">
        <w:t>. The average time spent on recreation and leisure activities is consistent across major cities and regional areas</w:t>
      </w:r>
      <w:r w:rsidR="0188A528" w:rsidRPr="009764EE">
        <w:t xml:space="preserve"> </w:t>
      </w:r>
      <w:r w:rsidR="00420686">
        <w:t>4</w:t>
      </w:r>
      <w:r w:rsidR="0188A528" w:rsidRPr="009764EE">
        <w:t xml:space="preserve"> hours and </w:t>
      </w:r>
      <w:r w:rsidR="00420686">
        <w:t>25</w:t>
      </w:r>
      <w:r w:rsidR="0188A528" w:rsidRPr="009764EE">
        <w:t xml:space="preserve"> minute</w:t>
      </w:r>
      <w:r w:rsidR="0188A528" w:rsidRPr="009764EE" w:rsidDel="00776C72">
        <w:t>s</w:t>
      </w:r>
      <w:r w:rsidR="0188A528" w:rsidRPr="009764EE">
        <w:t xml:space="preserve">. </w:t>
      </w:r>
    </w:p>
    <w:p w14:paraId="5CB290F1" w14:textId="15AD87DC" w:rsidR="000E0851" w:rsidRDefault="000E0851" w:rsidP="00933084">
      <w:pPr>
        <w:pStyle w:val="SingleParagraph"/>
        <w:sectPr w:rsidR="000E0851" w:rsidSect="00933084">
          <w:endnotePr>
            <w:numFmt w:val="decimal"/>
          </w:endnotePr>
          <w:pgSz w:w="11906" w:h="16838" w:code="9"/>
          <w:pgMar w:top="1843" w:right="1418" w:bottom="1418" w:left="1418" w:header="851" w:footer="851" w:gutter="0"/>
          <w:cols w:num="2" w:space="567"/>
          <w:docGrid w:linePitch="360"/>
        </w:sectPr>
      </w:pPr>
    </w:p>
    <w:p w14:paraId="56B349AB" w14:textId="36A34900" w:rsidR="00EB1AF9" w:rsidRPr="000E0851" w:rsidRDefault="00EB1AF9" w:rsidP="00392DB2">
      <w:pPr>
        <w:pStyle w:val="ChartMainHeading"/>
      </w:pPr>
      <w:bookmarkStart w:id="81" w:name="_Hlk138249284"/>
      <w:r w:rsidRPr="001D7937">
        <w:t xml:space="preserve">Chart </w:t>
      </w:r>
      <w:r w:rsidR="00742BF6" w:rsidRPr="001D7937">
        <w:t>11</w:t>
      </w:r>
      <w:r w:rsidR="00282A0D" w:rsidRPr="001D7937">
        <w:t xml:space="preserve">: </w:t>
      </w:r>
      <w:r w:rsidR="006D62F9" w:rsidRPr="001D7937">
        <w:t xml:space="preserve">Average time per day of people </w:t>
      </w:r>
      <w:r w:rsidR="006D62F9" w:rsidRPr="00392DB2">
        <w:t>who</w:t>
      </w:r>
      <w:r w:rsidR="006D62F9" w:rsidRPr="001D7937">
        <w:t xml:space="preserve"> participated in the activity, 2020</w:t>
      </w:r>
      <w:r w:rsidR="00151999">
        <w:t>–</w:t>
      </w:r>
      <w:r w:rsidR="006D62F9" w:rsidRPr="001D7937">
        <w:t>21</w:t>
      </w:r>
    </w:p>
    <w:bookmarkEnd w:id="81"/>
    <w:p w14:paraId="49B2097E" w14:textId="11A5919D" w:rsidR="00C38484" w:rsidRPr="009764EE" w:rsidRDefault="003232BD" w:rsidP="000E0851">
      <w:pPr>
        <w:pStyle w:val="ChartGraphic"/>
      </w:pPr>
      <w:r w:rsidRPr="003232BD">
        <w:rPr>
          <w:noProof/>
        </w:rPr>
        <w:drawing>
          <wp:inline distT="0" distB="0" distL="0" distR="0" wp14:anchorId="17CFE724" wp14:editId="6117AEB2">
            <wp:extent cx="5398947" cy="2016431"/>
            <wp:effectExtent l="0" t="0" r="0" b="3175"/>
            <wp:docPr id="20" name="Picture 20" descr="This chart shows the average hours per day spent on recreation and leisure activities by the people who participated in that activity in 2020-21, disaggregated by females and males. Watching TV and video was the activity with the highest average at 3 hours 34 minutes for males and 3 hours, 13 mins for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e average hours per day spent on recreation and leisure activities by the people who participated in that activity in 2020-21, disaggregated by females and males. Watching TV and video was the activity with the highest average at 3 hours 34 minutes for males and 3 hours, 13 mins for females.  "/>
                    <pic:cNvPicPr/>
                  </pic:nvPicPr>
                  <pic:blipFill rotWithShape="1">
                    <a:blip r:embed="rId52"/>
                    <a:srcRect t="8117"/>
                    <a:stretch/>
                  </pic:blipFill>
                  <pic:spPr bwMode="auto">
                    <a:xfrm>
                      <a:off x="0" y="0"/>
                      <a:ext cx="5400000" cy="2016824"/>
                    </a:xfrm>
                    <a:prstGeom prst="rect">
                      <a:avLst/>
                    </a:prstGeom>
                    <a:ln>
                      <a:noFill/>
                    </a:ln>
                    <a:extLst>
                      <a:ext uri="{53640926-AAD7-44D8-BBD7-CCE9431645EC}">
                        <a14:shadowObscured xmlns:a14="http://schemas.microsoft.com/office/drawing/2010/main"/>
                      </a:ext>
                    </a:extLst>
                  </pic:spPr>
                </pic:pic>
              </a:graphicData>
            </a:graphic>
          </wp:inline>
        </w:drawing>
      </w:r>
    </w:p>
    <w:p w14:paraId="7D2349CC" w14:textId="5A14F070" w:rsidR="00F2220F" w:rsidRPr="009764EE" w:rsidRDefault="00F2220F" w:rsidP="000E0851">
      <w:pPr>
        <w:pStyle w:val="ChartorTableNote"/>
      </w:pPr>
      <w:r w:rsidRPr="009764EE">
        <w:t xml:space="preserve">Source: </w:t>
      </w:r>
      <w:r w:rsidR="1321ECDD" w:rsidRPr="009764EE">
        <w:t>ABS</w:t>
      </w:r>
      <w:r w:rsidR="00580537" w:rsidRPr="009764EE">
        <w:t xml:space="preserve"> Time Use Survey</w:t>
      </w:r>
      <w:r w:rsidR="00B601E1" w:rsidRPr="009764EE">
        <w:t xml:space="preserve"> 2020</w:t>
      </w:r>
      <w:r w:rsidR="00151999">
        <w:t>–</w:t>
      </w:r>
      <w:r w:rsidR="00D62167">
        <w:softHyphen/>
      </w:r>
      <w:r w:rsidR="00B601E1" w:rsidRPr="009764EE">
        <w:t>21</w:t>
      </w:r>
      <w:r w:rsidR="00A17C04" w:rsidRPr="009764EE">
        <w:t>.</w:t>
      </w:r>
    </w:p>
    <w:p w14:paraId="350C9976" w14:textId="77777777" w:rsidR="003266ED" w:rsidRPr="009764EE" w:rsidRDefault="003266ED" w:rsidP="00461576">
      <w:pPr>
        <w:rPr>
          <w:rFonts w:ascii="Calibri" w:hAnsi="Calibri" w:cs="Calibri"/>
        </w:rPr>
      </w:pPr>
    </w:p>
    <w:p w14:paraId="3E6C52D5" w14:textId="77777777" w:rsidR="006415A4" w:rsidRDefault="006415A4" w:rsidP="003266ED">
      <w:pPr>
        <w:pStyle w:val="Heading3"/>
        <w:rPr>
          <w:rFonts w:cs="Calibri"/>
        </w:rPr>
        <w:sectPr w:rsidR="006415A4" w:rsidSect="00DA302B">
          <w:endnotePr>
            <w:numFmt w:val="decimal"/>
          </w:endnotePr>
          <w:type w:val="continuous"/>
          <w:pgSz w:w="11906" w:h="16838" w:code="9"/>
          <w:pgMar w:top="1843" w:right="1418" w:bottom="1418" w:left="1418" w:header="851" w:footer="851" w:gutter="0"/>
          <w:cols w:space="567"/>
          <w:docGrid w:linePitch="360"/>
        </w:sectPr>
      </w:pPr>
    </w:p>
    <w:p w14:paraId="5B4B3E2B" w14:textId="03322045" w:rsidR="006109CC" w:rsidRPr="009764EE" w:rsidRDefault="00A93F9E" w:rsidP="006C41CD">
      <w:pPr>
        <w:pStyle w:val="Heading3"/>
        <w:spacing w:before="0"/>
        <w:rPr>
          <w:rFonts w:cs="Calibri"/>
          <w:szCs w:val="24"/>
        </w:rPr>
      </w:pPr>
      <w:r w:rsidRPr="009764EE">
        <w:rPr>
          <w:rFonts w:cs="Calibri"/>
        </w:rPr>
        <w:lastRenderedPageBreak/>
        <w:t>Social connections</w:t>
      </w:r>
    </w:p>
    <w:p w14:paraId="7B5476F7" w14:textId="61BC12A3" w:rsidR="0062111B" w:rsidRPr="00625F8C" w:rsidRDefault="00163536" w:rsidP="00933084">
      <w:pPr>
        <w:rPr>
          <w:spacing w:val="-2"/>
        </w:rPr>
      </w:pPr>
      <w:r w:rsidRPr="00625F8C">
        <w:rPr>
          <w:spacing w:val="-2"/>
        </w:rPr>
        <w:t xml:space="preserve">One reason that people value </w:t>
      </w:r>
      <w:r w:rsidR="001030E2" w:rsidRPr="00625F8C">
        <w:rPr>
          <w:spacing w:val="-2"/>
        </w:rPr>
        <w:t>free</w:t>
      </w:r>
      <w:r w:rsidRPr="00625F8C">
        <w:rPr>
          <w:spacing w:val="-2"/>
        </w:rPr>
        <w:t xml:space="preserve"> time is </w:t>
      </w:r>
      <w:r w:rsidR="001030E2" w:rsidRPr="00625F8C">
        <w:rPr>
          <w:spacing w:val="-2"/>
        </w:rPr>
        <w:t>because</w:t>
      </w:r>
      <w:r w:rsidR="00F05553" w:rsidRPr="00625F8C">
        <w:rPr>
          <w:spacing w:val="-2"/>
        </w:rPr>
        <w:t xml:space="preserve"> it can be used to</w:t>
      </w:r>
      <w:r w:rsidRPr="00625F8C" w:rsidDel="001030E2">
        <w:rPr>
          <w:spacing w:val="-2"/>
        </w:rPr>
        <w:t xml:space="preserve"> </w:t>
      </w:r>
      <w:r w:rsidRPr="00625F8C">
        <w:rPr>
          <w:spacing w:val="-2"/>
        </w:rPr>
        <w:t>pursue social connection</w:t>
      </w:r>
      <w:r w:rsidR="00A56ECA" w:rsidRPr="00625F8C">
        <w:rPr>
          <w:spacing w:val="-2"/>
        </w:rPr>
        <w:t>,</w:t>
      </w:r>
      <w:r w:rsidR="00985653" w:rsidRPr="00625F8C">
        <w:rPr>
          <w:spacing w:val="-2"/>
        </w:rPr>
        <w:t xml:space="preserve"> which is critical to</w:t>
      </w:r>
      <w:r w:rsidR="0062111B" w:rsidRPr="00625F8C">
        <w:rPr>
          <w:spacing w:val="-2"/>
        </w:rPr>
        <w:t xml:space="preserve"> overall wellbeing. </w:t>
      </w:r>
    </w:p>
    <w:p w14:paraId="58237018" w14:textId="0723CF7C" w:rsidR="003D0CDC" w:rsidRPr="00DE5BDE" w:rsidRDefault="00BD27AD" w:rsidP="00DE5BDE">
      <w:r w:rsidRPr="00DE5BDE">
        <w:t>W</w:t>
      </w:r>
      <w:r w:rsidR="00141778" w:rsidRPr="00DE5BDE">
        <w:t xml:space="preserve">e can measure </w:t>
      </w:r>
      <w:r w:rsidR="00F175CA" w:rsidRPr="00DE5BDE">
        <w:t xml:space="preserve">whether Australians </w:t>
      </w:r>
      <w:r w:rsidR="003D0CDC" w:rsidRPr="00DE5BDE">
        <w:t xml:space="preserve">have access to the relationships </w:t>
      </w:r>
      <w:r w:rsidR="00D73B63" w:rsidRPr="00DE5BDE">
        <w:t xml:space="preserve">and social connection </w:t>
      </w:r>
      <w:r w:rsidR="003D0CDC" w:rsidRPr="00DE5BDE">
        <w:t xml:space="preserve">that they need </w:t>
      </w:r>
      <w:r w:rsidRPr="00DE5BDE">
        <w:t>by tracking the</w:t>
      </w:r>
      <w:r w:rsidR="003D0CDC" w:rsidRPr="00DE5BDE">
        <w:t xml:space="preserve"> presence of loneliness in the community.</w:t>
      </w:r>
    </w:p>
    <w:p w14:paraId="0939852A" w14:textId="0EE8196F" w:rsidR="002B2A76" w:rsidRPr="00DE5BDE" w:rsidRDefault="00D26DB7" w:rsidP="00DE5BDE">
      <w:r w:rsidRPr="00DE5BDE">
        <w:t xml:space="preserve">The Household, Income and Labour Dynamics in Australia Survey </w:t>
      </w:r>
      <w:r w:rsidR="000114C3" w:rsidRPr="00DE5BDE">
        <w:t>data shows that the overall proportion of Australians experiencing loneliness at any one time as declined slightly</w:t>
      </w:r>
      <w:r w:rsidR="00620078">
        <w:t xml:space="preserve"> </w:t>
      </w:r>
      <w:r w:rsidR="00464A0C" w:rsidRPr="00DE5BDE">
        <w:t>from a high of 21</w:t>
      </w:r>
      <w:r w:rsidR="001524A0">
        <w:t> per c</w:t>
      </w:r>
      <w:r w:rsidR="009B1D8B" w:rsidRPr="00DE5BDE">
        <w:t>ent</w:t>
      </w:r>
      <w:r w:rsidR="00464A0C" w:rsidRPr="00DE5BDE">
        <w:t xml:space="preserve"> in 2001 to a low of 16</w:t>
      </w:r>
      <w:r w:rsidR="001524A0">
        <w:t> per c</w:t>
      </w:r>
      <w:r w:rsidR="0029403E" w:rsidRPr="00DE5BDE">
        <w:t>ent</w:t>
      </w:r>
      <w:r w:rsidR="00464A0C" w:rsidRPr="00DE5BDE">
        <w:t xml:space="preserve"> in 2009</w:t>
      </w:r>
      <w:r w:rsidR="007348C9" w:rsidRPr="00DE5BDE">
        <w:t>.</w:t>
      </w:r>
      <w:r w:rsidR="00EA2DC3" w:rsidRPr="00DE5BDE">
        <w:t xml:space="preserve"> R</w:t>
      </w:r>
      <w:r w:rsidR="00464A0C" w:rsidRPr="00DE5BDE">
        <w:t>ates have remained relatively stable at around 18</w:t>
      </w:r>
      <w:r w:rsidR="001524A0">
        <w:t> per c</w:t>
      </w:r>
      <w:r w:rsidR="0029403E" w:rsidRPr="00DE5BDE">
        <w:t>ent</w:t>
      </w:r>
      <w:r w:rsidR="00464A0C" w:rsidRPr="00DE5BDE">
        <w:t xml:space="preserve"> for the past 7</w:t>
      </w:r>
      <w:r w:rsidR="00C239AD">
        <w:t> year</w:t>
      </w:r>
      <w:r w:rsidR="00464A0C" w:rsidRPr="00DE5BDE">
        <w:t>s</w:t>
      </w:r>
      <w:r w:rsidR="00947324" w:rsidRPr="00DE5BDE">
        <w:t xml:space="preserve">. </w:t>
      </w:r>
    </w:p>
    <w:p w14:paraId="6D4AD93D" w14:textId="4BD11CC1" w:rsidR="002F54DC" w:rsidRPr="00DE5BDE" w:rsidRDefault="00ED21FF" w:rsidP="00DE5BDE">
      <w:r w:rsidRPr="00DE5BDE">
        <w:t>O</w:t>
      </w:r>
      <w:r w:rsidR="00D26DB7" w:rsidRPr="00DE5BDE">
        <w:t xml:space="preserve">ther </w:t>
      </w:r>
      <w:r w:rsidR="002B2A76" w:rsidRPr="00DE5BDE">
        <w:t xml:space="preserve">surveys undertaken </w:t>
      </w:r>
      <w:r w:rsidR="002E22B4" w:rsidRPr="00DE5BDE">
        <w:t xml:space="preserve">during </w:t>
      </w:r>
      <w:r w:rsidR="002B2A76" w:rsidRPr="00DE5BDE">
        <w:t>the COVID</w:t>
      </w:r>
      <w:r w:rsidR="00135DEA">
        <w:noBreakHyphen/>
      </w:r>
      <w:r w:rsidR="002B2A76" w:rsidRPr="00DE5BDE">
        <w:t>19 pandemic</w:t>
      </w:r>
      <w:r w:rsidRPr="00DE5BDE">
        <w:t xml:space="preserve"> found that people</w:t>
      </w:r>
      <w:r w:rsidR="002B2A76" w:rsidRPr="00DE5BDE">
        <w:t xml:space="preserve"> reported that they felt more lonely since the start of the pandemic</w:t>
      </w:r>
      <w:r w:rsidR="001524A0">
        <w:t xml:space="preserve"> – </w:t>
      </w:r>
      <w:r w:rsidR="00AA27C1" w:rsidRPr="00DE5BDE">
        <w:t>y</w:t>
      </w:r>
      <w:r w:rsidR="002F54DC" w:rsidRPr="00DE5BDE">
        <w:t xml:space="preserve">oung people were more likely than other age groups to have felt </w:t>
      </w:r>
      <w:r w:rsidR="00AA27C1" w:rsidRPr="00DE5BDE">
        <w:t>this</w:t>
      </w:r>
      <w:r w:rsidR="009C331B" w:rsidRPr="00DE5BDE">
        <w:t>.</w:t>
      </w:r>
    </w:p>
    <w:p w14:paraId="47EA4D13" w14:textId="16D8EEEB" w:rsidR="00A9306E" w:rsidRPr="00DE5BDE" w:rsidRDefault="00B862FD" w:rsidP="00DE5BDE">
      <w:r w:rsidRPr="00DE5BDE">
        <w:t>One</w:t>
      </w:r>
      <w:r w:rsidR="00135DEA">
        <w:noBreakHyphen/>
      </w:r>
      <w:r w:rsidRPr="00DE5BDE">
        <w:t>way</w:t>
      </w:r>
      <w:r w:rsidR="00DC74E2" w:rsidRPr="00DE5BDE">
        <w:t xml:space="preserve"> Australians may seek to maintain social connections</w:t>
      </w:r>
      <w:r w:rsidR="000B1F4C" w:rsidRPr="00DE5BDE">
        <w:t xml:space="preserve"> </w:t>
      </w:r>
      <w:r w:rsidR="007D0275" w:rsidRPr="00DE5BDE">
        <w:t xml:space="preserve">is volunteering. </w:t>
      </w:r>
    </w:p>
    <w:p w14:paraId="1B990920" w14:textId="1FEC36AA" w:rsidR="0034545F" w:rsidRPr="00625F8C" w:rsidRDefault="0034545F" w:rsidP="00DE5BDE">
      <w:pPr>
        <w:rPr>
          <w:spacing w:val="-3"/>
        </w:rPr>
      </w:pPr>
      <w:r w:rsidRPr="00625F8C">
        <w:rPr>
          <w:spacing w:val="-3"/>
        </w:rPr>
        <w:t>One quarter (25</w:t>
      </w:r>
      <w:r w:rsidR="001524A0" w:rsidRPr="00625F8C">
        <w:rPr>
          <w:spacing w:val="-3"/>
        </w:rPr>
        <w:t> per c</w:t>
      </w:r>
      <w:r w:rsidR="00433138" w:rsidRPr="00625F8C">
        <w:rPr>
          <w:spacing w:val="-3"/>
        </w:rPr>
        <w:t>ent</w:t>
      </w:r>
      <w:r w:rsidRPr="00625F8C">
        <w:rPr>
          <w:spacing w:val="-3"/>
        </w:rPr>
        <w:t>) of Australians aged 15</w:t>
      </w:r>
      <w:r w:rsidR="00C239AD" w:rsidRPr="00625F8C">
        <w:rPr>
          <w:spacing w:val="-3"/>
        </w:rPr>
        <w:t> year</w:t>
      </w:r>
      <w:r w:rsidRPr="00625F8C">
        <w:rPr>
          <w:spacing w:val="-3"/>
        </w:rPr>
        <w:t>s and over participated in unpaid voluntary work through an organisation in 2020</w:t>
      </w:r>
      <w:r w:rsidR="001524A0" w:rsidRPr="00625F8C">
        <w:rPr>
          <w:spacing w:val="-3"/>
        </w:rPr>
        <w:t xml:space="preserve"> – </w:t>
      </w:r>
      <w:r w:rsidRPr="00625F8C">
        <w:rPr>
          <w:spacing w:val="-3"/>
        </w:rPr>
        <w:t>lower than the 30</w:t>
      </w:r>
      <w:r w:rsidR="001524A0" w:rsidRPr="00625F8C">
        <w:rPr>
          <w:spacing w:val="-3"/>
        </w:rPr>
        <w:t> per c</w:t>
      </w:r>
      <w:r w:rsidR="00433138" w:rsidRPr="00625F8C">
        <w:rPr>
          <w:spacing w:val="-3"/>
        </w:rPr>
        <w:t>ent</w:t>
      </w:r>
      <w:r w:rsidRPr="00625F8C">
        <w:rPr>
          <w:spacing w:val="-3"/>
        </w:rPr>
        <w:t xml:space="preserve"> in </w:t>
      </w:r>
      <w:r w:rsidR="00664C92" w:rsidRPr="00625F8C">
        <w:rPr>
          <w:spacing w:val="-3"/>
        </w:rPr>
        <w:t>2019.</w:t>
      </w:r>
      <w:r w:rsidR="00A4617F" w:rsidRPr="00625F8C">
        <w:rPr>
          <w:rStyle w:val="FootnoteReference"/>
          <w:rFonts w:ascii="Calibri Light" w:hAnsi="Calibri Light"/>
          <w:spacing w:val="-3"/>
        </w:rPr>
        <w:endnoteReference w:id="54"/>
      </w:r>
      <w:r w:rsidR="00620078" w:rsidRPr="00625F8C">
        <w:rPr>
          <w:spacing w:val="-3"/>
        </w:rPr>
        <w:t xml:space="preserve"> </w:t>
      </w:r>
      <w:r w:rsidR="001A454E" w:rsidRPr="00625F8C">
        <w:rPr>
          <w:spacing w:val="-3"/>
        </w:rPr>
        <w:t>One third (32</w:t>
      </w:r>
      <w:r w:rsidR="001524A0" w:rsidRPr="00625F8C">
        <w:rPr>
          <w:spacing w:val="-3"/>
        </w:rPr>
        <w:t> per c</w:t>
      </w:r>
      <w:r w:rsidR="001A454E" w:rsidRPr="00625F8C">
        <w:rPr>
          <w:spacing w:val="-3"/>
        </w:rPr>
        <w:t>ent) of people volunteered informally in 2020</w:t>
      </w:r>
      <w:r w:rsidR="00420A44" w:rsidRPr="00625F8C">
        <w:rPr>
          <w:spacing w:val="-3"/>
        </w:rPr>
        <w:t>,</w:t>
      </w:r>
      <w:r w:rsidR="001A454E" w:rsidRPr="00625F8C">
        <w:rPr>
          <w:spacing w:val="-3"/>
        </w:rPr>
        <w:t xml:space="preserve"> compared with 33</w:t>
      </w:r>
      <w:r w:rsidR="001524A0" w:rsidRPr="00625F8C">
        <w:rPr>
          <w:spacing w:val="-3"/>
        </w:rPr>
        <w:t> per c</w:t>
      </w:r>
      <w:r w:rsidR="001A454E" w:rsidRPr="00625F8C">
        <w:rPr>
          <w:spacing w:val="-3"/>
        </w:rPr>
        <w:t xml:space="preserve">ent in 2019. </w:t>
      </w:r>
    </w:p>
    <w:p w14:paraId="78C7FD54" w14:textId="0D63A4FF" w:rsidR="005302E9" w:rsidRPr="00DE5BDE" w:rsidRDefault="007531F9" w:rsidP="00DE5BDE">
      <w:r w:rsidRPr="00DE5BDE">
        <w:t>People aged 40</w:t>
      </w:r>
      <w:r w:rsidR="007127E6" w:rsidRPr="00DE5BDE">
        <w:softHyphen/>
      </w:r>
      <w:r w:rsidRPr="00DE5BDE">
        <w:t>54</w:t>
      </w:r>
      <w:r w:rsidR="00C239AD">
        <w:t> year</w:t>
      </w:r>
      <w:r w:rsidRPr="00DE5BDE">
        <w:t xml:space="preserve">s volunteered </w:t>
      </w:r>
      <w:r w:rsidR="000B0F77" w:rsidRPr="00DE5BDE">
        <w:t xml:space="preserve">through an organisation </w:t>
      </w:r>
      <w:r w:rsidRPr="00DE5BDE">
        <w:t>at the highest rate of any age group (30.5</w:t>
      </w:r>
      <w:r w:rsidR="001524A0">
        <w:t> per c</w:t>
      </w:r>
      <w:r w:rsidRPr="00DE5BDE">
        <w:t>ent)</w:t>
      </w:r>
      <w:r w:rsidR="00C64BB0" w:rsidRPr="00DE5BDE">
        <w:t>. This was</w:t>
      </w:r>
      <w:r w:rsidRPr="00DE5BDE">
        <w:t xml:space="preserve"> followed closely by people aged 70</w:t>
      </w:r>
      <w:r w:rsidR="00C239AD">
        <w:t> year</w:t>
      </w:r>
      <w:r w:rsidRPr="00DE5BDE">
        <w:t>s and over (28</w:t>
      </w:r>
      <w:r w:rsidR="001524A0">
        <w:t> per c</w:t>
      </w:r>
      <w:r w:rsidRPr="00DE5BDE">
        <w:t xml:space="preserve">ent). </w:t>
      </w:r>
      <w:r w:rsidR="00C64BB0" w:rsidRPr="00DE5BDE">
        <w:t>Rates of v</w:t>
      </w:r>
      <w:r w:rsidRPr="00DE5BDE">
        <w:t xml:space="preserve">olunteering </w:t>
      </w:r>
      <w:r w:rsidR="000B0F77" w:rsidRPr="00DE5BDE">
        <w:t xml:space="preserve">through an organisation </w:t>
      </w:r>
      <w:r w:rsidR="003B04DF" w:rsidRPr="00DE5BDE">
        <w:t xml:space="preserve">was </w:t>
      </w:r>
      <w:r w:rsidRPr="00DE5BDE">
        <w:t xml:space="preserve">similar for </w:t>
      </w:r>
      <w:r w:rsidR="004717A0" w:rsidRPr="00DE5BDE">
        <w:t>men</w:t>
      </w:r>
      <w:r w:rsidRPr="00DE5BDE">
        <w:t xml:space="preserve"> (23</w:t>
      </w:r>
      <w:r w:rsidR="001524A0">
        <w:t> per c</w:t>
      </w:r>
      <w:r w:rsidRPr="00DE5BDE">
        <w:t xml:space="preserve">ent) and </w:t>
      </w:r>
      <w:r w:rsidR="004717A0" w:rsidRPr="00DE5BDE">
        <w:t>women</w:t>
      </w:r>
      <w:r w:rsidRPr="00DE5BDE">
        <w:t xml:space="preserve"> (26</w:t>
      </w:r>
      <w:r w:rsidR="001524A0">
        <w:t> per c</w:t>
      </w:r>
      <w:r w:rsidRPr="00DE5BDE">
        <w:t>ent).</w:t>
      </w:r>
      <w:r w:rsidR="000E0DFC" w:rsidRPr="00DE5BDE">
        <w:t xml:space="preserve"> The COVID</w:t>
      </w:r>
      <w:r w:rsidR="00135DEA">
        <w:noBreakHyphen/>
      </w:r>
      <w:r w:rsidR="000E0DFC" w:rsidRPr="00DE5BDE">
        <w:t>19 pandemic is one factor that may have affected volunteering</w:t>
      </w:r>
      <w:r w:rsidR="009E21E4" w:rsidRPr="00DE5BDE">
        <w:t xml:space="preserve"> patterns</w:t>
      </w:r>
      <w:r w:rsidR="001A7F27" w:rsidRPr="00DE5BDE">
        <w:t xml:space="preserve"> </w:t>
      </w:r>
      <w:r w:rsidR="005361D4" w:rsidRPr="00DE5BDE">
        <w:t>as a significant number of volunteering positions were closed during this period</w:t>
      </w:r>
      <w:r w:rsidR="00620078">
        <w:t xml:space="preserve"> </w:t>
      </w:r>
      <w:r w:rsidR="005361D4" w:rsidRPr="00DE5BDE">
        <w:t>for example</w:t>
      </w:r>
      <w:r w:rsidR="006E7067" w:rsidRPr="00DE5BDE">
        <w:t>,</w:t>
      </w:r>
      <w:r w:rsidR="005361D4" w:rsidRPr="00DE5BDE">
        <w:t xml:space="preserve"> hospitals</w:t>
      </w:r>
      <w:r w:rsidR="000E0DFC" w:rsidRPr="00DE5BDE">
        <w:t>.</w:t>
      </w:r>
    </w:p>
    <w:p w14:paraId="19805976" w14:textId="77777777" w:rsidR="00856631" w:rsidRDefault="00856631" w:rsidP="003266ED">
      <w:pPr>
        <w:rPr>
          <w:rFonts w:ascii="Calibri" w:hAnsi="Calibri" w:cs="Calibri"/>
        </w:rPr>
      </w:pPr>
    </w:p>
    <w:p w14:paraId="03B808D5" w14:textId="45F9C17B" w:rsidR="000E0851" w:rsidRDefault="000E0851" w:rsidP="003266ED">
      <w:pPr>
        <w:rPr>
          <w:rFonts w:ascii="Calibri" w:hAnsi="Calibri" w:cs="Calibri"/>
        </w:rPr>
        <w:sectPr w:rsidR="000E0851" w:rsidSect="00F06CFF">
          <w:endnotePr>
            <w:numFmt w:val="decimal"/>
          </w:endnotePr>
          <w:pgSz w:w="11906" w:h="16838" w:code="9"/>
          <w:pgMar w:top="1843" w:right="1418" w:bottom="1418" w:left="1418" w:header="851" w:footer="851" w:gutter="0"/>
          <w:cols w:num="2" w:space="567"/>
          <w:docGrid w:linePitch="360"/>
        </w:sectPr>
      </w:pPr>
    </w:p>
    <w:p w14:paraId="7275A0E7" w14:textId="35F687F2" w:rsidR="00FC3F28" w:rsidRPr="00DE5BDE" w:rsidRDefault="77ECE4EF" w:rsidP="00625F8C">
      <w:pPr>
        <w:pStyle w:val="ChartMainHeading"/>
      </w:pPr>
      <w:r w:rsidRPr="00DE5BDE">
        <w:t xml:space="preserve">Chart </w:t>
      </w:r>
      <w:r w:rsidR="00742BF6" w:rsidRPr="00DE5BDE">
        <w:t>12</w:t>
      </w:r>
      <w:r w:rsidRPr="00DE5BDE">
        <w:t xml:space="preserve">: Proportion of people who have undertaken unpaid </w:t>
      </w:r>
      <w:r w:rsidRPr="00625F8C">
        <w:t>voluntary</w:t>
      </w:r>
      <w:r w:rsidRPr="00DE5BDE">
        <w:t xml:space="preserve"> work in </w:t>
      </w:r>
      <w:r w:rsidR="007127E6" w:rsidRPr="00DE5BDE">
        <w:t xml:space="preserve">the </w:t>
      </w:r>
      <w:r w:rsidRPr="00DE5BDE">
        <w:t>last 12 months</w:t>
      </w:r>
    </w:p>
    <w:p w14:paraId="005BFC98" w14:textId="2FF332A4" w:rsidR="77ECE4EF" w:rsidRPr="009764EE" w:rsidRDefault="00DC5019" w:rsidP="000E0851">
      <w:pPr>
        <w:pStyle w:val="ChartGraphic"/>
      </w:pPr>
      <w:r w:rsidRPr="00DC5019">
        <w:rPr>
          <w:noProof/>
        </w:rPr>
        <w:drawing>
          <wp:inline distT="0" distB="0" distL="0" distR="0" wp14:anchorId="380A2AEA" wp14:editId="5DE0D2D6">
            <wp:extent cx="5400000" cy="2003453"/>
            <wp:effectExtent l="0" t="0" r="0" b="0"/>
            <wp:docPr id="22" name="Picture 22" descr="This is a line chart that shows the percentage of females and males who have undertaken voluntary work during the last 12 months over the time period 2006 to 2020. It shows that in 2006, 36 per cent of females and 32 per cent of males did unpaid voluntary work and that this declined to 26 per cent of females and 23 per cent of males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 line chart that shows the percentage of females and males who have undertaken voluntary work during the last 12 months over the time period 2006 to 2020. It shows that in 2006, 36 per cent of females and 32 per cent of males did unpaid voluntary work and that this declined to 26 per cent of females and 23 per cent of males in 2020. "/>
                    <pic:cNvPicPr/>
                  </pic:nvPicPr>
                  <pic:blipFill>
                    <a:blip r:embed="rId53"/>
                    <a:stretch>
                      <a:fillRect/>
                    </a:stretch>
                  </pic:blipFill>
                  <pic:spPr>
                    <a:xfrm>
                      <a:off x="0" y="0"/>
                      <a:ext cx="5400000" cy="2003453"/>
                    </a:xfrm>
                    <a:prstGeom prst="rect">
                      <a:avLst/>
                    </a:prstGeom>
                  </pic:spPr>
                </pic:pic>
              </a:graphicData>
            </a:graphic>
          </wp:inline>
        </w:drawing>
      </w:r>
    </w:p>
    <w:p w14:paraId="20496816" w14:textId="3F6593C7" w:rsidR="00657923" w:rsidRPr="009764EE" w:rsidRDefault="77ECE4EF" w:rsidP="00DE5BDE">
      <w:pPr>
        <w:pStyle w:val="ChartorTableNote"/>
      </w:pPr>
      <w:r w:rsidRPr="009764EE">
        <w:t>Source: ABS General Social Survey</w:t>
      </w:r>
      <w:bookmarkStart w:id="82" w:name="_Hlk138672075"/>
      <w:r w:rsidR="00C93FD0" w:rsidRPr="009764EE">
        <w:t xml:space="preserve"> 2020</w:t>
      </w:r>
      <w:r w:rsidR="00484C45" w:rsidRPr="009764EE">
        <w:t>.</w:t>
      </w:r>
    </w:p>
    <w:bookmarkEnd w:id="82"/>
    <w:p w14:paraId="233A0180" w14:textId="77777777" w:rsidR="00856631" w:rsidRDefault="00856631" w:rsidP="006C41CD">
      <w:pPr>
        <w:pStyle w:val="SingleParagraph"/>
      </w:pPr>
    </w:p>
    <w:p w14:paraId="45791589" w14:textId="31D3BE58" w:rsidR="000E0851" w:rsidRDefault="000E0851" w:rsidP="00625F8C">
      <w:pPr>
        <w:sectPr w:rsidR="000E0851" w:rsidSect="00DA302B">
          <w:endnotePr>
            <w:numFmt w:val="decimal"/>
          </w:endnotePr>
          <w:type w:val="continuous"/>
          <w:pgSz w:w="11906" w:h="16838" w:code="9"/>
          <w:pgMar w:top="1843" w:right="1418" w:bottom="1418" w:left="1418" w:header="851" w:footer="851" w:gutter="0"/>
          <w:cols w:space="567"/>
          <w:docGrid w:linePitch="360"/>
        </w:sectPr>
      </w:pPr>
    </w:p>
    <w:p w14:paraId="2FC32605" w14:textId="67D57D02" w:rsidR="000D306C" w:rsidRPr="009764EE" w:rsidRDefault="000D306C" w:rsidP="002671E6">
      <w:pPr>
        <w:pStyle w:val="Heading3"/>
        <w:rPr>
          <w:szCs w:val="24"/>
        </w:rPr>
      </w:pPr>
      <w:r w:rsidRPr="009764EE">
        <w:lastRenderedPageBreak/>
        <w:t xml:space="preserve">Creative </w:t>
      </w:r>
      <w:r w:rsidRPr="002671E6">
        <w:t>and</w:t>
      </w:r>
      <w:r w:rsidRPr="009764EE">
        <w:t xml:space="preserve"> cultural </w:t>
      </w:r>
      <w:r w:rsidRPr="00625F8C">
        <w:t>engagement</w:t>
      </w:r>
    </w:p>
    <w:p w14:paraId="6C965ED0" w14:textId="68BEEDA6" w:rsidR="000D306C" w:rsidRPr="009764EE" w:rsidRDefault="000D306C" w:rsidP="00DF03C9">
      <w:r w:rsidRPr="009764EE">
        <w:t>Participation in creative and cultural activities enrich</w:t>
      </w:r>
      <w:r w:rsidR="00536B5B" w:rsidRPr="009764EE">
        <w:t>es</w:t>
      </w:r>
      <w:r w:rsidRPr="009764EE">
        <w:t xml:space="preserve"> people</w:t>
      </w:r>
      <w:r w:rsidR="00135DEA">
        <w:t>’</w:t>
      </w:r>
      <w:r w:rsidRPr="009764EE">
        <w:t xml:space="preserve">s lives and </w:t>
      </w:r>
      <w:r w:rsidR="007D0275" w:rsidRPr="009764EE">
        <w:t>can also have broader positive</w:t>
      </w:r>
      <w:r w:rsidRPr="009764EE">
        <w:t xml:space="preserve"> social and economic impacts. </w:t>
      </w:r>
    </w:p>
    <w:p w14:paraId="5FC038F6" w14:textId="6AA908D4" w:rsidR="000D306C" w:rsidRPr="009764EE" w:rsidRDefault="000D306C" w:rsidP="00DF03C9">
      <w:r w:rsidRPr="009764EE">
        <w:t>One third (32</w:t>
      </w:r>
      <w:r w:rsidR="001524A0">
        <w:t> per c</w:t>
      </w:r>
      <w:r w:rsidRPr="009764EE">
        <w:t xml:space="preserve">ent) of adults participated in </w:t>
      </w:r>
      <w:r w:rsidR="00F24BAC" w:rsidRPr="009764EE">
        <w:t xml:space="preserve">at least one </w:t>
      </w:r>
      <w:r w:rsidR="00CB5E8D" w:rsidRPr="009764EE">
        <w:t xml:space="preserve">cultural </w:t>
      </w:r>
      <w:r w:rsidRPr="009764EE">
        <w:t>activit</w:t>
      </w:r>
      <w:r w:rsidR="00F24BAC" w:rsidRPr="009764EE">
        <w:t>y</w:t>
      </w:r>
      <w:r w:rsidRPr="009764EE">
        <w:t xml:space="preserve"> in 2021</w:t>
      </w:r>
      <w:r w:rsidR="00151999">
        <w:t>–</w:t>
      </w:r>
      <w:r w:rsidRPr="009764EE">
        <w:t xml:space="preserve">22 such as visual arts, music, dance and </w:t>
      </w:r>
      <w:r w:rsidR="000B0C6C" w:rsidRPr="009764EE">
        <w:t xml:space="preserve">craft. </w:t>
      </w:r>
    </w:p>
    <w:p w14:paraId="6C5628AE" w14:textId="0545E324" w:rsidR="000D306C" w:rsidRPr="009764EE" w:rsidRDefault="000D306C" w:rsidP="00DF03C9">
      <w:r w:rsidRPr="009764EE">
        <w:t>For children, creative activities</w:t>
      </w:r>
      <w:r w:rsidR="001524A0">
        <w:t xml:space="preserve"> – </w:t>
      </w:r>
      <w:r w:rsidRPr="009764EE">
        <w:t xml:space="preserve">including drama, music, dancing, art and craft activities, creative writing and creating digital content </w:t>
      </w:r>
      <w:r w:rsidR="00151999">
        <w:t>–</w:t>
      </w:r>
      <w:r w:rsidRPr="009764EE">
        <w:t xml:space="preserve">were popular, with a participation rate of </w:t>
      </w:r>
      <w:r w:rsidR="008165F0" w:rsidRPr="009764EE">
        <w:t>59</w:t>
      </w:r>
      <w:r w:rsidR="001524A0">
        <w:t> per c</w:t>
      </w:r>
      <w:r w:rsidRPr="009764EE">
        <w:t>ent</w:t>
      </w:r>
      <w:r w:rsidR="006E1908" w:rsidRPr="009764EE">
        <w:t xml:space="preserve"> </w:t>
      </w:r>
      <w:r w:rsidR="00D04E08" w:rsidRPr="009764EE">
        <w:t>i</w:t>
      </w:r>
      <w:r w:rsidR="006E1908" w:rsidRPr="009764EE">
        <w:t>n 202</w:t>
      </w:r>
      <w:r w:rsidR="007447BC">
        <w:t>1</w:t>
      </w:r>
      <w:r w:rsidR="00151999">
        <w:t>–</w:t>
      </w:r>
      <w:r w:rsidR="006E1908" w:rsidRPr="009764EE">
        <w:t>22</w:t>
      </w:r>
      <w:r w:rsidR="00DA4EFD" w:rsidRPr="009764EE">
        <w:t>.</w:t>
      </w:r>
      <w:r w:rsidR="00675989" w:rsidRPr="005049F1">
        <w:rPr>
          <w:rStyle w:val="FootnoteReference"/>
        </w:rPr>
        <w:endnoteReference w:id="55"/>
      </w:r>
      <w:r w:rsidR="00DA4EFD" w:rsidRPr="009764EE">
        <w:t xml:space="preserve"> </w:t>
      </w:r>
    </w:p>
    <w:p w14:paraId="33C7E1F7" w14:textId="2E321706" w:rsidR="00B7038E" w:rsidRPr="009764EE" w:rsidRDefault="000D306C" w:rsidP="00DF03C9">
      <w:r w:rsidRPr="009764EE">
        <w:t>Between 2017</w:t>
      </w:r>
      <w:r w:rsidR="00151999">
        <w:t>–</w:t>
      </w:r>
      <w:r w:rsidRPr="009764EE">
        <w:t>18 and 2021</w:t>
      </w:r>
      <w:r w:rsidR="00DC33D3">
        <w:softHyphen/>
      </w:r>
      <w:r w:rsidR="00151999">
        <w:t>–</w:t>
      </w:r>
      <w:r w:rsidRPr="009764EE">
        <w:t>22 attendance at cultural venues or events</w:t>
      </w:r>
      <w:r w:rsidR="002B04E3" w:rsidRPr="009764EE">
        <w:t xml:space="preserve"> </w:t>
      </w:r>
      <w:r w:rsidRPr="009764EE">
        <w:t>fell from 82</w:t>
      </w:r>
      <w:r w:rsidR="001524A0">
        <w:t> per c</w:t>
      </w:r>
      <w:r w:rsidRPr="009764EE">
        <w:t>ent to 64</w:t>
      </w:r>
      <w:r w:rsidR="001524A0">
        <w:t> per c</w:t>
      </w:r>
      <w:r w:rsidRPr="009764EE">
        <w:t>ent of adults</w:t>
      </w:r>
      <w:r w:rsidR="005C241A">
        <w:t>,</w:t>
      </w:r>
      <w:r w:rsidRPr="009764EE">
        <w:t xml:space="preserve"> and 94</w:t>
      </w:r>
      <w:r w:rsidR="001524A0">
        <w:t> per c</w:t>
      </w:r>
      <w:r w:rsidRPr="009764EE">
        <w:t>ent to 80</w:t>
      </w:r>
      <w:r w:rsidR="001524A0">
        <w:t> per c</w:t>
      </w:r>
      <w:r w:rsidRPr="009764EE">
        <w:t xml:space="preserve">ent of children. </w:t>
      </w:r>
      <w:r w:rsidR="00886899" w:rsidRPr="009764EE">
        <w:t>The COVID</w:t>
      </w:r>
      <w:r w:rsidR="00135DEA">
        <w:noBreakHyphen/>
      </w:r>
      <w:r w:rsidR="00886899" w:rsidRPr="009764EE">
        <w:t xml:space="preserve">19 pandemic is one factor that has affected attendance rates over this period. </w:t>
      </w:r>
    </w:p>
    <w:p w14:paraId="406389F5" w14:textId="72DCBC80" w:rsidR="000D306C" w:rsidRPr="009764EE" w:rsidRDefault="002970D5" w:rsidP="00625F8C">
      <w:pPr>
        <w:spacing w:before="240"/>
      </w:pPr>
      <w:r w:rsidRPr="009764EE">
        <w:t xml:space="preserve">People living in greater capital cities were more likely to attend a cultural venue or event </w:t>
      </w:r>
      <w:r w:rsidR="00EE5162" w:rsidRPr="009764EE">
        <w:t>(</w:t>
      </w:r>
      <w:r w:rsidRPr="009764EE">
        <w:t>65</w:t>
      </w:r>
      <w:r w:rsidR="001524A0">
        <w:t> per c</w:t>
      </w:r>
      <w:r w:rsidRPr="009764EE">
        <w:t>ent) when compared with people living in other regions of Australia (61</w:t>
      </w:r>
      <w:r w:rsidR="001524A0">
        <w:t> per c</w:t>
      </w:r>
      <w:r w:rsidRPr="009764EE">
        <w:t xml:space="preserve">ent). </w:t>
      </w:r>
    </w:p>
    <w:p w14:paraId="7C503B34" w14:textId="5A014D56" w:rsidR="00150470" w:rsidRDefault="00742B33" w:rsidP="003266ED">
      <w:pPr>
        <w:rPr>
          <w:rFonts w:ascii="Calibri" w:hAnsi="Calibri" w:cs="Calibri"/>
        </w:rPr>
      </w:pPr>
      <w:r w:rsidRPr="009764EE">
        <w:t>M</w:t>
      </w:r>
      <w:r w:rsidR="00925658" w:rsidRPr="009764EE">
        <w:t>ost audiences continue to attend events amid cost</w:t>
      </w:r>
      <w:r w:rsidR="00EE5162" w:rsidRPr="009764EE">
        <w:t xml:space="preserve"> </w:t>
      </w:r>
      <w:r w:rsidR="00925658" w:rsidRPr="009764EE">
        <w:t>of</w:t>
      </w:r>
      <w:r w:rsidR="00EE5162" w:rsidRPr="009764EE">
        <w:t xml:space="preserve"> </w:t>
      </w:r>
      <w:r w:rsidR="00925658" w:rsidRPr="009764EE">
        <w:t>living pressures, but the profile of those attending and their attendance preferences are changing. In April 2023</w:t>
      </w:r>
      <w:r w:rsidR="00EE5162" w:rsidRPr="009764EE">
        <w:t>, i</w:t>
      </w:r>
      <w:r w:rsidR="001D7A37" w:rsidRPr="009764EE">
        <w:t xml:space="preserve">ndustry </w:t>
      </w:r>
      <w:r w:rsidR="00B868AF" w:rsidRPr="009764EE">
        <w:t xml:space="preserve">data </w:t>
      </w:r>
      <w:r w:rsidR="00EE5162" w:rsidRPr="009764EE">
        <w:t>indicated</w:t>
      </w:r>
      <w:r w:rsidR="00FA380E" w:rsidRPr="009764EE">
        <w:t xml:space="preserve"> </w:t>
      </w:r>
      <w:r w:rsidR="00925658" w:rsidRPr="009764EE">
        <w:t>three quarters of past attendees (76</w:t>
      </w:r>
      <w:r w:rsidR="001524A0">
        <w:t> per c</w:t>
      </w:r>
      <w:r w:rsidR="00992280" w:rsidRPr="009764EE">
        <w:t>ent</w:t>
      </w:r>
      <w:r w:rsidR="00925658" w:rsidRPr="009764EE">
        <w:t>) attended a cultural activity, which is consistent with October 2022 and August 2022. Older</w:t>
      </w:r>
      <w:r w:rsidR="00071832">
        <w:t xml:space="preserve"> </w:t>
      </w:r>
      <w:r w:rsidR="00925658" w:rsidRPr="009764EE">
        <w:t xml:space="preserve">audiences (those aged 55+) are the most likely to be attending </w:t>
      </w:r>
      <w:r w:rsidR="00150E8E" w:rsidRPr="009764EE">
        <w:t xml:space="preserve">events </w:t>
      </w:r>
      <w:r w:rsidR="00925658" w:rsidRPr="009764EE">
        <w:t>right now (78</w:t>
      </w:r>
      <w:r w:rsidR="001524A0">
        <w:t> per c</w:t>
      </w:r>
      <w:r w:rsidR="000743C2" w:rsidRPr="009764EE">
        <w:t>ent</w:t>
      </w:r>
      <w:r w:rsidR="00925658" w:rsidRPr="009764EE">
        <w:t>). Younger audiences (those under</w:t>
      </w:r>
      <w:r w:rsidR="00071832">
        <w:t> </w:t>
      </w:r>
      <w:r w:rsidR="00925658" w:rsidRPr="009764EE">
        <w:t>35) are least likely to have attended a cultural activity recently (67</w:t>
      </w:r>
      <w:r w:rsidR="001524A0">
        <w:t> per c</w:t>
      </w:r>
      <w:r w:rsidR="000743C2" w:rsidRPr="009764EE">
        <w:t>ent</w:t>
      </w:r>
      <w:r w:rsidR="00925658" w:rsidRPr="009764EE">
        <w:t>)</w:t>
      </w:r>
      <w:r w:rsidR="001524A0">
        <w:t xml:space="preserve"> – </w:t>
      </w:r>
      <w:r w:rsidR="00925658" w:rsidRPr="009764EE">
        <w:t>a notable decline since October 2022 (77</w:t>
      </w:r>
      <w:r w:rsidR="001524A0">
        <w:t> per c</w:t>
      </w:r>
      <w:r w:rsidR="00080BC0" w:rsidRPr="009764EE">
        <w:t>ent</w:t>
      </w:r>
      <w:r w:rsidR="00925658" w:rsidRPr="009764EE">
        <w:t>).</w:t>
      </w:r>
      <w:r w:rsidR="002E4839" w:rsidRPr="005049F1">
        <w:rPr>
          <w:rStyle w:val="FootnoteReference"/>
        </w:rPr>
        <w:endnoteReference w:id="56"/>
      </w:r>
      <w:r w:rsidR="00925658" w:rsidRPr="009764EE">
        <w:t> </w:t>
      </w:r>
    </w:p>
    <w:p w14:paraId="0E518E90" w14:textId="77777777" w:rsidR="000E0851" w:rsidRDefault="000E0851" w:rsidP="003266ED">
      <w:pPr>
        <w:rPr>
          <w:rFonts w:ascii="Calibri" w:hAnsi="Calibri" w:cs="Calibri"/>
        </w:rPr>
      </w:pPr>
    </w:p>
    <w:p w14:paraId="1FBBEB9B" w14:textId="77777777" w:rsidR="002671E6" w:rsidRDefault="002671E6" w:rsidP="003266ED">
      <w:pPr>
        <w:rPr>
          <w:rFonts w:ascii="Calibri" w:hAnsi="Calibri" w:cs="Calibri"/>
        </w:rPr>
      </w:pPr>
    </w:p>
    <w:p w14:paraId="30513ECD" w14:textId="77777777" w:rsidR="002671E6" w:rsidRDefault="002671E6" w:rsidP="003266ED">
      <w:pPr>
        <w:rPr>
          <w:rFonts w:ascii="Calibri" w:hAnsi="Calibri" w:cs="Calibri"/>
        </w:rPr>
      </w:pPr>
    </w:p>
    <w:p w14:paraId="3BB06C4E" w14:textId="4EF1E0FE" w:rsidR="002671E6" w:rsidRDefault="002671E6" w:rsidP="003266ED">
      <w:pPr>
        <w:rPr>
          <w:rFonts w:ascii="Calibri" w:hAnsi="Calibri" w:cs="Calibri"/>
        </w:rPr>
        <w:sectPr w:rsidR="002671E6" w:rsidSect="002671E6">
          <w:endnotePr>
            <w:numFmt w:val="decimal"/>
          </w:endnotePr>
          <w:pgSz w:w="11906" w:h="16838" w:code="9"/>
          <w:pgMar w:top="1843" w:right="1418" w:bottom="1418" w:left="1418" w:header="851" w:footer="851" w:gutter="0"/>
          <w:cols w:num="2" w:space="567"/>
          <w:docGrid w:linePitch="360"/>
        </w:sectPr>
      </w:pPr>
    </w:p>
    <w:tbl>
      <w:tblPr>
        <w:tblStyle w:val="MWMKey"/>
        <w:tblW w:w="5000" w:type="pct"/>
        <w:tblLook w:val="0620" w:firstRow="1" w:lastRow="0" w:firstColumn="0" w:lastColumn="0" w:noHBand="1" w:noVBand="1"/>
      </w:tblPr>
      <w:tblGrid>
        <w:gridCol w:w="9070"/>
      </w:tblGrid>
      <w:tr w:rsidR="009C020D" w:rsidRPr="009764EE" w14:paraId="664EA24D" w14:textId="77777777" w:rsidTr="00FD46D0">
        <w:trPr>
          <w:cnfStyle w:val="100000000000" w:firstRow="1" w:lastRow="0" w:firstColumn="0" w:lastColumn="0" w:oddVBand="0" w:evenVBand="0" w:oddHBand="0" w:evenHBand="0" w:firstRowFirstColumn="0" w:firstRowLastColumn="0" w:lastRowFirstColumn="0" w:lastRowLastColumn="0"/>
          <w:trHeight w:val="470"/>
        </w:trPr>
        <w:tc>
          <w:tcPr>
            <w:tcW w:w="5000" w:type="pct"/>
          </w:tcPr>
          <w:p w14:paraId="0797D18C" w14:textId="5BB31705" w:rsidR="009C020D" w:rsidRPr="00B00226" w:rsidRDefault="009C020D" w:rsidP="009C020D">
            <w:pPr>
              <w:pStyle w:val="BoxHeading"/>
              <w:spacing w:after="0"/>
            </w:pPr>
            <w:r w:rsidRPr="00B00226">
              <w:t>Key Government initiatives to support social connections and stronger community</w:t>
            </w:r>
          </w:p>
        </w:tc>
      </w:tr>
      <w:tr w:rsidR="006E199F" w:rsidRPr="009764EE" w14:paraId="007DACB2" w14:textId="77777777" w:rsidTr="009C020D">
        <w:trPr>
          <w:trHeight w:val="20"/>
        </w:trPr>
        <w:tc>
          <w:tcPr>
            <w:tcW w:w="5000" w:type="pct"/>
            <w:hideMark/>
          </w:tcPr>
          <w:p w14:paraId="448240ED" w14:textId="688825E5" w:rsidR="006E199F" w:rsidRPr="002866CB" w:rsidRDefault="006E199F" w:rsidP="000E0851">
            <w:pPr>
              <w:pStyle w:val="Boxbullet"/>
              <w:rPr>
                <w:lang w:eastAsia="en-US"/>
              </w:rPr>
            </w:pPr>
            <w:r w:rsidRPr="002866CB">
              <w:rPr>
                <w:lang w:eastAsia="en-US"/>
              </w:rPr>
              <w:t>Not</w:t>
            </w:r>
            <w:r w:rsidR="00135DEA">
              <w:rPr>
                <w:lang w:eastAsia="en-US"/>
              </w:rPr>
              <w:noBreakHyphen/>
            </w:r>
            <w:r w:rsidRPr="002866CB">
              <w:rPr>
                <w:lang w:eastAsia="en-US"/>
              </w:rPr>
              <w:t>for</w:t>
            </w:r>
            <w:r w:rsidR="00135DEA">
              <w:rPr>
                <w:lang w:eastAsia="en-US"/>
              </w:rPr>
              <w:noBreakHyphen/>
            </w:r>
            <w:r w:rsidRPr="002866CB">
              <w:rPr>
                <w:lang w:eastAsia="en-US"/>
              </w:rPr>
              <w:t>profit Sector Development blueprint</w:t>
            </w:r>
          </w:p>
          <w:p w14:paraId="54018E47" w14:textId="77777777" w:rsidR="006E199F" w:rsidRPr="002866CB" w:rsidRDefault="006E199F" w:rsidP="000E0851">
            <w:pPr>
              <w:pStyle w:val="Boxbullet"/>
              <w:rPr>
                <w:lang w:eastAsia="en-US"/>
              </w:rPr>
            </w:pPr>
            <w:r w:rsidRPr="002866CB">
              <w:rPr>
                <w:lang w:eastAsia="en-US"/>
              </w:rPr>
              <w:t>Productivity Commission Philanthropy Inquiry to enhance philanthropic giving in Australia</w:t>
            </w:r>
          </w:p>
          <w:p w14:paraId="5ABC0CE3" w14:textId="77777777" w:rsidR="006E199F" w:rsidRPr="002866CB" w:rsidRDefault="006E199F" w:rsidP="000E0851">
            <w:pPr>
              <w:pStyle w:val="Boxbullet"/>
              <w:rPr>
                <w:lang w:eastAsia="en-US"/>
              </w:rPr>
            </w:pPr>
            <w:r w:rsidRPr="002866CB">
              <w:rPr>
                <w:lang w:eastAsia="en-US"/>
              </w:rPr>
              <w:t>Additional indexation funding for community organisations so that they can keep delivering for people in need</w:t>
            </w:r>
          </w:p>
          <w:p w14:paraId="7B474B29" w14:textId="2EDC78A7" w:rsidR="006E199F" w:rsidRPr="002866CB" w:rsidRDefault="006E199F" w:rsidP="000E0851">
            <w:pPr>
              <w:pStyle w:val="Boxbullet"/>
              <w:rPr>
                <w:lang w:eastAsia="en-US"/>
              </w:rPr>
            </w:pPr>
            <w:r w:rsidRPr="002866CB">
              <w:rPr>
                <w:lang w:eastAsia="en-US"/>
              </w:rPr>
              <w:t>Package to target entrenched community disadvantage, including an extension of place based initiatives, the co</w:t>
            </w:r>
            <w:r w:rsidR="00135DEA">
              <w:rPr>
                <w:lang w:eastAsia="en-US"/>
              </w:rPr>
              <w:noBreakHyphen/>
            </w:r>
            <w:r w:rsidRPr="002866CB">
              <w:rPr>
                <w:lang w:eastAsia="en-US"/>
              </w:rPr>
              <w:t>design of an Outcomes Fund to fund projects that deliver outcomes in communities, and support for organisations such as social enterprises</w:t>
            </w:r>
          </w:p>
          <w:p w14:paraId="791B56E8" w14:textId="77777777" w:rsidR="006E199F" w:rsidRPr="002866CB" w:rsidRDefault="006E199F" w:rsidP="000E0851">
            <w:pPr>
              <w:pStyle w:val="Boxbullet"/>
              <w:rPr>
                <w:lang w:eastAsia="en-US"/>
              </w:rPr>
            </w:pPr>
            <w:r w:rsidRPr="002866CB">
              <w:rPr>
                <w:lang w:eastAsia="en-US"/>
              </w:rPr>
              <w:t>Creation of a new deductible gift recipient category to support the work of Community Foundations in empowering local giving and participation</w:t>
            </w:r>
          </w:p>
          <w:p w14:paraId="28E1FB98" w14:textId="77777777" w:rsidR="006E199F" w:rsidRPr="009764EE" w:rsidRDefault="006E199F" w:rsidP="000E0851">
            <w:pPr>
              <w:pStyle w:val="Boxbullet"/>
            </w:pPr>
            <w:r w:rsidRPr="002866CB">
              <w:rPr>
                <w:lang w:eastAsia="en-US"/>
              </w:rPr>
              <w:t>Progress to harmonise fundraising laws and streamline applications for tax deductible status</w:t>
            </w:r>
          </w:p>
        </w:tc>
      </w:tr>
    </w:tbl>
    <w:p w14:paraId="6A7D009F" w14:textId="77777777" w:rsidR="002671E6" w:rsidRPr="002671E6" w:rsidRDefault="002671E6" w:rsidP="002671E6">
      <w:bookmarkStart w:id="83" w:name="_Toc147497677"/>
      <w:r>
        <w:br w:type="page"/>
      </w:r>
    </w:p>
    <w:p w14:paraId="15E1CC46" w14:textId="450BA31A" w:rsidR="00862BE5" w:rsidRPr="009764EE" w:rsidRDefault="004A67DC" w:rsidP="00863779">
      <w:pPr>
        <w:pStyle w:val="Heading2"/>
      </w:pPr>
      <w:r w:rsidRPr="009764EE">
        <w:lastRenderedPageBreak/>
        <w:t>Valu</w:t>
      </w:r>
      <w:r w:rsidR="008275C4" w:rsidRPr="009764EE">
        <w:t>ing</w:t>
      </w:r>
      <w:r w:rsidR="00BB14B8" w:rsidRPr="009764EE">
        <w:t xml:space="preserve"> diversity, </w:t>
      </w:r>
      <w:r w:rsidRPr="009764EE">
        <w:t>belonging and culture</w:t>
      </w:r>
      <w:bookmarkEnd w:id="83"/>
      <w:r w:rsidRPr="009764EE">
        <w:t xml:space="preserve"> </w:t>
      </w:r>
    </w:p>
    <w:tbl>
      <w:tblPr>
        <w:tblStyle w:val="MWMTables"/>
        <w:tblW w:w="9072" w:type="dxa"/>
        <w:tblLayout w:type="fixed"/>
        <w:tblLook w:val="06A0" w:firstRow="1" w:lastRow="0" w:firstColumn="1" w:lastColumn="0" w:noHBand="1" w:noVBand="1"/>
      </w:tblPr>
      <w:tblGrid>
        <w:gridCol w:w="1704"/>
        <w:gridCol w:w="2268"/>
        <w:gridCol w:w="2268"/>
        <w:gridCol w:w="1419"/>
        <w:gridCol w:w="1413"/>
      </w:tblGrid>
      <w:tr w:rsidR="001F3B2C" w:rsidRPr="009764EE" w14:paraId="6BE6FC9E" w14:textId="77777777" w:rsidTr="008E0C56">
        <w:trPr>
          <w:cnfStyle w:val="100000000000" w:firstRow="1" w:lastRow="0" w:firstColumn="0" w:lastColumn="0" w:oddVBand="0" w:evenVBand="0" w:oddHBand="0" w:evenHBand="0" w:firstRowFirstColumn="0" w:firstRowLastColumn="0" w:lastRowFirstColumn="0" w:lastRowLastColumn="0"/>
          <w:trHeight w:val="270"/>
        </w:trPr>
        <w:tc>
          <w:tcPr>
            <w:tcW w:w="1704" w:type="dxa"/>
          </w:tcPr>
          <w:p w14:paraId="3A95E61B" w14:textId="77777777" w:rsidR="008F0739" w:rsidRPr="009764EE" w:rsidRDefault="008F0739" w:rsidP="00E058C7">
            <w:pPr>
              <w:pStyle w:val="TableColumnHeadingLeft"/>
            </w:pPr>
            <w:r w:rsidRPr="009764EE">
              <w:t xml:space="preserve">Indicator </w:t>
            </w:r>
          </w:p>
        </w:tc>
        <w:tc>
          <w:tcPr>
            <w:tcW w:w="2268" w:type="dxa"/>
          </w:tcPr>
          <w:p w14:paraId="23A969FC" w14:textId="77777777" w:rsidR="008F0739" w:rsidRPr="009764EE" w:rsidRDefault="008F0739" w:rsidP="00E058C7">
            <w:pPr>
              <w:pStyle w:val="TableColumnHeadingLeft"/>
            </w:pPr>
            <w:r w:rsidRPr="009764EE">
              <w:t xml:space="preserve">Metric </w:t>
            </w:r>
          </w:p>
        </w:tc>
        <w:tc>
          <w:tcPr>
            <w:tcW w:w="2268" w:type="dxa"/>
          </w:tcPr>
          <w:p w14:paraId="3553A9A9" w14:textId="77777777" w:rsidR="008F0739" w:rsidRPr="009764EE" w:rsidRDefault="008F0739" w:rsidP="00E058C7">
            <w:pPr>
              <w:pStyle w:val="TableColumnHeadingLeft"/>
            </w:pPr>
            <w:r w:rsidRPr="009764EE">
              <w:t xml:space="preserve">Why this metric </w:t>
            </w:r>
          </w:p>
        </w:tc>
        <w:tc>
          <w:tcPr>
            <w:tcW w:w="1419" w:type="dxa"/>
          </w:tcPr>
          <w:p w14:paraId="65A08C50" w14:textId="32944E4C" w:rsidR="008F0739" w:rsidRPr="009764EE" w:rsidRDefault="00590E20" w:rsidP="00E058C7">
            <w:pPr>
              <w:pStyle w:val="TableColumnHeadingLeft"/>
            </w:pPr>
            <w:r w:rsidRPr="009764EE">
              <w:t>Progress</w:t>
            </w:r>
          </w:p>
        </w:tc>
        <w:tc>
          <w:tcPr>
            <w:tcW w:w="1413" w:type="dxa"/>
          </w:tcPr>
          <w:p w14:paraId="5B33C3AF" w14:textId="213CB05D" w:rsidR="008F0739" w:rsidRPr="009764EE" w:rsidRDefault="008F0739" w:rsidP="00E058C7">
            <w:pPr>
              <w:pStyle w:val="TableColumnHeadingLeft"/>
            </w:pPr>
            <w:r w:rsidRPr="009764EE">
              <w:t>Latest Value</w:t>
            </w:r>
            <w:r w:rsidR="00FC6E4A" w:rsidRPr="005049F1">
              <w:rPr>
                <w:rStyle w:val="FootnoteReference"/>
              </w:rPr>
              <w:t>(i)</w:t>
            </w:r>
          </w:p>
        </w:tc>
      </w:tr>
      <w:tr w:rsidR="008C6DE7" w:rsidRPr="009764EE" w14:paraId="49CE7EE2" w14:textId="77777777" w:rsidTr="008E0C56">
        <w:trPr>
          <w:trHeight w:val="270"/>
        </w:trPr>
        <w:tc>
          <w:tcPr>
            <w:tcW w:w="1704" w:type="dxa"/>
          </w:tcPr>
          <w:p w14:paraId="177636C2" w14:textId="77F00381" w:rsidR="008F0739" w:rsidRPr="00BC491B" w:rsidRDefault="008F0739" w:rsidP="00E058C7">
            <w:pPr>
              <w:pStyle w:val="TableTextLeft"/>
              <w:rPr>
                <w:rStyle w:val="Strong"/>
                <w:color w:val="082C44"/>
              </w:rPr>
            </w:pPr>
            <w:r w:rsidRPr="00BC491B">
              <w:rPr>
                <w:rStyle w:val="Strong"/>
                <w:color w:val="082C44"/>
              </w:rPr>
              <w:t>Experience of discrimination</w:t>
            </w:r>
          </w:p>
        </w:tc>
        <w:tc>
          <w:tcPr>
            <w:tcW w:w="2268" w:type="dxa"/>
          </w:tcPr>
          <w:p w14:paraId="2D1F5F9C" w14:textId="74F22DCE" w:rsidR="008F0739" w:rsidRPr="00135739" w:rsidRDefault="008F0739" w:rsidP="00E058C7">
            <w:pPr>
              <w:pStyle w:val="TableTextLeft"/>
            </w:pPr>
            <w:r w:rsidRPr="00135739">
              <w:t xml:space="preserve">Proportion of </w:t>
            </w:r>
            <w:r w:rsidR="00C6096F" w:rsidRPr="00135739">
              <w:t xml:space="preserve">people </w:t>
            </w:r>
            <w:r w:rsidRPr="00135739">
              <w:t>who experienced some form of discrimination in the previous 12 months</w:t>
            </w:r>
            <w:r w:rsidR="004E18E5" w:rsidRPr="00135739">
              <w:t xml:space="preserve"> </w:t>
            </w:r>
            <w:r w:rsidRPr="00CE0937">
              <w:rPr>
                <w:rStyle w:val="TableFootnoteReference"/>
              </w:rPr>
              <w:t>(a)</w:t>
            </w:r>
          </w:p>
        </w:tc>
        <w:tc>
          <w:tcPr>
            <w:tcW w:w="2268" w:type="dxa"/>
          </w:tcPr>
          <w:p w14:paraId="27A3A0D1" w14:textId="1CB90543" w:rsidR="008F0739" w:rsidRPr="00135739" w:rsidRDefault="008F0739" w:rsidP="00E058C7">
            <w:pPr>
              <w:pStyle w:val="TableTextLeft"/>
            </w:pPr>
            <w:r w:rsidRPr="00135739">
              <w:t>Experiences of discrimination can have wide</w:t>
            </w:r>
            <w:r w:rsidR="00977D11" w:rsidRPr="00135739">
              <w:t xml:space="preserve"> </w:t>
            </w:r>
            <w:r w:rsidRPr="00135739">
              <w:t>ranging negative effects on a person</w:t>
            </w:r>
            <w:r w:rsidR="00135DEA">
              <w:t>’</w:t>
            </w:r>
            <w:r w:rsidRPr="00135739">
              <w:t>s general wellbeing, physical and mental health</w:t>
            </w:r>
          </w:p>
        </w:tc>
        <w:tc>
          <w:tcPr>
            <w:tcW w:w="1419" w:type="dxa"/>
          </w:tcPr>
          <w:p w14:paraId="26C13E14" w14:textId="7E860437" w:rsidR="00122255" w:rsidRPr="009764EE" w:rsidRDefault="00D30D45" w:rsidP="00E058C7">
            <w:pPr>
              <w:pStyle w:val="TableTextCentered"/>
              <w:rPr>
                <w:rFonts w:eastAsia="Century Gothic"/>
              </w:rPr>
            </w:pPr>
            <w:r w:rsidRPr="009764EE">
              <w:rPr>
                <w:rFonts w:eastAsia="Century Gothic"/>
              </w:rPr>
              <w:t xml:space="preserve">Improved </w:t>
            </w:r>
          </w:p>
          <w:p w14:paraId="50B2A39B" w14:textId="04C9F9CA" w:rsidR="008F0739" w:rsidRPr="009764EE" w:rsidRDefault="008F0739" w:rsidP="00E058C7">
            <w:pPr>
              <w:pStyle w:val="TableTextCentered"/>
              <w:rPr>
                <w:szCs w:val="22"/>
              </w:rPr>
            </w:pPr>
            <w:r w:rsidRPr="009764EE">
              <w:t>2014</w:t>
            </w:r>
            <w:r w:rsidR="00151999">
              <w:t>–</w:t>
            </w:r>
            <w:r w:rsidRPr="009764EE">
              <w:t>2020</w:t>
            </w:r>
          </w:p>
        </w:tc>
        <w:tc>
          <w:tcPr>
            <w:tcW w:w="1413" w:type="dxa"/>
          </w:tcPr>
          <w:p w14:paraId="102A821E" w14:textId="2DE48E1A" w:rsidR="008F0739" w:rsidRPr="009764EE" w:rsidRDefault="008F0739" w:rsidP="00E058C7">
            <w:pPr>
              <w:pStyle w:val="TableTextCentered"/>
              <w:rPr>
                <w:szCs w:val="22"/>
              </w:rPr>
            </w:pPr>
            <w:r w:rsidRPr="009764EE">
              <w:t>13.3%</w:t>
            </w:r>
          </w:p>
        </w:tc>
      </w:tr>
      <w:tr w:rsidR="008C6DE7" w:rsidRPr="009764EE" w14:paraId="6ED7A30B" w14:textId="77777777" w:rsidTr="008E0C56">
        <w:trPr>
          <w:trHeight w:val="270"/>
        </w:trPr>
        <w:tc>
          <w:tcPr>
            <w:tcW w:w="1704" w:type="dxa"/>
            <w:vMerge w:val="restart"/>
          </w:tcPr>
          <w:p w14:paraId="1BC71E95" w14:textId="25310512" w:rsidR="003B19F7" w:rsidRPr="00BC491B" w:rsidRDefault="003B19F7" w:rsidP="00E058C7">
            <w:pPr>
              <w:pStyle w:val="TableTextLeft"/>
              <w:rPr>
                <w:rStyle w:val="Strong"/>
                <w:color w:val="082C44"/>
              </w:rPr>
            </w:pPr>
            <w:r w:rsidRPr="00BC491B">
              <w:rPr>
                <w:rStyle w:val="Strong"/>
                <w:color w:val="082C44"/>
              </w:rPr>
              <w:t>Acceptance of diversity</w:t>
            </w:r>
          </w:p>
        </w:tc>
        <w:tc>
          <w:tcPr>
            <w:tcW w:w="2268" w:type="dxa"/>
          </w:tcPr>
          <w:p w14:paraId="40ECF001" w14:textId="1B24A985" w:rsidR="003B19F7" w:rsidRPr="00135739" w:rsidRDefault="00FF450C" w:rsidP="00E058C7">
            <w:pPr>
              <w:pStyle w:val="TableTextLeft"/>
            </w:pPr>
            <w:r w:rsidRPr="00135739">
              <w:t xml:space="preserve">Proportion of </w:t>
            </w:r>
            <w:r w:rsidR="00C6096F" w:rsidRPr="00135739">
              <w:t xml:space="preserve">people </w:t>
            </w:r>
            <w:r w:rsidRPr="00135739">
              <w:t>who used a language other than English at home</w:t>
            </w:r>
            <w:r w:rsidR="000906E3" w:rsidRPr="00CE0937">
              <w:rPr>
                <w:rStyle w:val="TableFootnoteReference"/>
              </w:rPr>
              <w:t>(b)</w:t>
            </w:r>
          </w:p>
        </w:tc>
        <w:tc>
          <w:tcPr>
            <w:tcW w:w="2268" w:type="dxa"/>
            <w:vMerge w:val="restart"/>
          </w:tcPr>
          <w:p w14:paraId="07A75FF6" w14:textId="77777777" w:rsidR="006119BE" w:rsidRDefault="00704CB6" w:rsidP="00E058C7">
            <w:pPr>
              <w:pStyle w:val="TableTextLeft"/>
            </w:pPr>
            <w:r w:rsidRPr="00135739">
              <w:t xml:space="preserve">Cultural diversity provides a strong foundation for the continuous integration of diverse groups into </w:t>
            </w:r>
            <w:r w:rsidR="00C51CFD" w:rsidRPr="00135739">
              <w:t>the</w:t>
            </w:r>
            <w:r w:rsidRPr="00135739">
              <w:t xml:space="preserve"> broader community and expands the way we see and engage with the world. </w:t>
            </w:r>
          </w:p>
          <w:p w14:paraId="5CC020D7" w14:textId="42FB7C71" w:rsidR="003B19F7" w:rsidRPr="00135739" w:rsidRDefault="006119BE" w:rsidP="00E058C7">
            <w:pPr>
              <w:pStyle w:val="TableTextLeft"/>
            </w:pPr>
            <w:r>
              <w:t>O</w:t>
            </w:r>
            <w:r w:rsidR="00D30D45" w:rsidRPr="00135739">
              <w:t>ngoing</w:t>
            </w:r>
            <w:r w:rsidR="00EB6599" w:rsidRPr="00135739">
              <w:t xml:space="preserve"> acceptance of multiculturalism and immigrants from diverse countries contributes to people feeling safe and able to share in available opportunities</w:t>
            </w:r>
          </w:p>
        </w:tc>
        <w:tc>
          <w:tcPr>
            <w:tcW w:w="1419" w:type="dxa"/>
          </w:tcPr>
          <w:p w14:paraId="1BD59052" w14:textId="46BF4262" w:rsidR="00122255" w:rsidRPr="009764EE" w:rsidRDefault="00D30D45" w:rsidP="00E058C7">
            <w:pPr>
              <w:pStyle w:val="TableTextCentered"/>
              <w:rPr>
                <w:rFonts w:eastAsia="Century Gothic"/>
              </w:rPr>
            </w:pPr>
            <w:r w:rsidRPr="009764EE">
              <w:rPr>
                <w:rFonts w:eastAsia="Tahoma"/>
              </w:rPr>
              <w:t xml:space="preserve">Improved </w:t>
            </w:r>
          </w:p>
          <w:p w14:paraId="51B8C713" w14:textId="50CE0180" w:rsidR="003B19F7" w:rsidRPr="009764EE" w:rsidRDefault="00194CBB" w:rsidP="00E058C7">
            <w:pPr>
              <w:pStyle w:val="TableTextCentered"/>
              <w:rPr>
                <w:rFonts w:eastAsia="Tahoma"/>
              </w:rPr>
            </w:pPr>
            <w:r w:rsidRPr="009764EE">
              <w:t>200</w:t>
            </w:r>
            <w:r w:rsidR="00CC22E5" w:rsidRPr="009764EE">
              <w:t>6</w:t>
            </w:r>
            <w:r w:rsidR="00DC33D3">
              <w:softHyphen/>
            </w:r>
            <w:r w:rsidR="00BC491B">
              <w:t>–</w:t>
            </w:r>
            <w:r w:rsidR="00CA1DD0" w:rsidRPr="009764EE">
              <w:t>2021</w:t>
            </w:r>
          </w:p>
        </w:tc>
        <w:tc>
          <w:tcPr>
            <w:tcW w:w="1413" w:type="dxa"/>
          </w:tcPr>
          <w:p w14:paraId="38B9FE1E" w14:textId="0F5F7852" w:rsidR="003B19F7" w:rsidRPr="009764EE" w:rsidRDefault="00203E98" w:rsidP="00E058C7">
            <w:pPr>
              <w:pStyle w:val="TableTextCentered"/>
            </w:pPr>
            <w:r w:rsidRPr="009764EE">
              <w:t xml:space="preserve">22.3% </w:t>
            </w:r>
          </w:p>
        </w:tc>
      </w:tr>
      <w:tr w:rsidR="008C6DE7" w:rsidRPr="009764EE" w14:paraId="5AD3DBFC" w14:textId="77777777" w:rsidTr="008E0C56">
        <w:trPr>
          <w:trHeight w:val="270"/>
        </w:trPr>
        <w:tc>
          <w:tcPr>
            <w:tcW w:w="1704" w:type="dxa"/>
            <w:vMerge/>
          </w:tcPr>
          <w:p w14:paraId="2F0576D8" w14:textId="5F12B497" w:rsidR="008F0739" w:rsidRPr="00BC491B" w:rsidRDefault="008F0739" w:rsidP="00E058C7">
            <w:pPr>
              <w:pStyle w:val="TableTextLeft"/>
              <w:rPr>
                <w:rStyle w:val="Strong"/>
                <w:color w:val="082C44"/>
              </w:rPr>
            </w:pPr>
          </w:p>
        </w:tc>
        <w:tc>
          <w:tcPr>
            <w:tcW w:w="2268" w:type="dxa"/>
          </w:tcPr>
          <w:p w14:paraId="7FAD097E" w14:textId="688812C7" w:rsidR="008F0739" w:rsidRPr="00135739" w:rsidRDefault="008F0739" w:rsidP="00E058C7">
            <w:pPr>
              <w:pStyle w:val="TableTextLeft"/>
            </w:pPr>
            <w:r w:rsidRPr="00135739">
              <w:t xml:space="preserve">Proportion of </w:t>
            </w:r>
            <w:r w:rsidR="00C6096F" w:rsidRPr="00135739">
              <w:t xml:space="preserve">people </w:t>
            </w:r>
            <w:r w:rsidRPr="00135739">
              <w:t>who agree or strongly agree accepting immigrants from many different countries makes Australia stronger</w:t>
            </w:r>
            <w:r w:rsidRPr="00CE0937">
              <w:rPr>
                <w:rStyle w:val="TableFootnoteReference"/>
              </w:rPr>
              <w:t>(</w:t>
            </w:r>
            <w:r w:rsidR="000906E3" w:rsidRPr="00CE0937">
              <w:rPr>
                <w:rStyle w:val="TableFootnoteReference"/>
              </w:rPr>
              <w:t>c)</w:t>
            </w:r>
          </w:p>
        </w:tc>
        <w:tc>
          <w:tcPr>
            <w:tcW w:w="2268" w:type="dxa"/>
            <w:vMerge/>
          </w:tcPr>
          <w:p w14:paraId="2C521C7D" w14:textId="3E900907" w:rsidR="008F0739" w:rsidRPr="00135739" w:rsidRDefault="008F0739" w:rsidP="00E058C7">
            <w:pPr>
              <w:pStyle w:val="TableTextLeft"/>
            </w:pPr>
          </w:p>
        </w:tc>
        <w:tc>
          <w:tcPr>
            <w:tcW w:w="1419" w:type="dxa"/>
          </w:tcPr>
          <w:p w14:paraId="25CBA813" w14:textId="1925F805" w:rsidR="00122255" w:rsidRPr="009764EE" w:rsidRDefault="00D30D45" w:rsidP="00E058C7">
            <w:pPr>
              <w:pStyle w:val="TableTextCentered"/>
              <w:rPr>
                <w:rFonts w:eastAsia="Century Gothic"/>
              </w:rPr>
            </w:pPr>
            <w:r w:rsidRPr="009764EE">
              <w:rPr>
                <w:rFonts w:eastAsia="Tahoma"/>
              </w:rPr>
              <w:t xml:space="preserve">Improved </w:t>
            </w:r>
          </w:p>
          <w:p w14:paraId="651BA8AC" w14:textId="0150FF1B" w:rsidR="008F0739" w:rsidRPr="009764EE" w:rsidRDefault="008F0739" w:rsidP="00E058C7">
            <w:pPr>
              <w:pStyle w:val="TableTextCentered"/>
              <w:rPr>
                <w:rFonts w:eastAsia="Century Gothic"/>
                <w:szCs w:val="22"/>
              </w:rPr>
            </w:pPr>
            <w:r w:rsidRPr="009764EE">
              <w:t>2018</w:t>
            </w:r>
            <w:r w:rsidR="00151999">
              <w:t>–</w:t>
            </w:r>
            <w:r w:rsidRPr="009764EE">
              <w:t>2022</w:t>
            </w:r>
          </w:p>
        </w:tc>
        <w:tc>
          <w:tcPr>
            <w:tcW w:w="1413" w:type="dxa"/>
          </w:tcPr>
          <w:p w14:paraId="7122B057" w14:textId="1206C683" w:rsidR="008F0739" w:rsidRPr="009764EE" w:rsidRDefault="008F0739" w:rsidP="00E058C7">
            <w:pPr>
              <w:pStyle w:val="TableTextCentered"/>
              <w:rPr>
                <w:szCs w:val="22"/>
              </w:rPr>
            </w:pPr>
            <w:r w:rsidRPr="009764EE">
              <w:t>78%</w:t>
            </w:r>
          </w:p>
        </w:tc>
      </w:tr>
      <w:tr w:rsidR="00EB2C74" w:rsidRPr="009764EE" w14:paraId="15B58EA2" w14:textId="77777777" w:rsidTr="00620078">
        <w:trPr>
          <w:trHeight w:val="270"/>
        </w:trPr>
        <w:tc>
          <w:tcPr>
            <w:tcW w:w="1704" w:type="dxa"/>
          </w:tcPr>
          <w:p w14:paraId="78D02103" w14:textId="5F9F0F4C" w:rsidR="008F0739" w:rsidRPr="00BC491B" w:rsidRDefault="001524A0" w:rsidP="00E058C7">
            <w:pPr>
              <w:pStyle w:val="TableTextLeft"/>
              <w:rPr>
                <w:rStyle w:val="Strong"/>
                <w:color w:val="082C44"/>
              </w:rPr>
            </w:pPr>
            <w:r>
              <w:rPr>
                <w:rStyle w:val="Strong"/>
                <w:color w:val="082C44"/>
              </w:rPr>
              <w:t>First Nation</w:t>
            </w:r>
            <w:r w:rsidR="008F0739" w:rsidRPr="00BC491B">
              <w:rPr>
                <w:rStyle w:val="Strong"/>
                <w:color w:val="082C44"/>
              </w:rPr>
              <w:t>s languages spoken</w:t>
            </w:r>
          </w:p>
        </w:tc>
        <w:tc>
          <w:tcPr>
            <w:tcW w:w="2268" w:type="dxa"/>
            <w:tcBorders>
              <w:bottom w:val="single" w:sz="4" w:space="0" w:color="216364"/>
            </w:tcBorders>
          </w:tcPr>
          <w:p w14:paraId="638F7277" w14:textId="0BA170E0" w:rsidR="008F0739" w:rsidRPr="00135739" w:rsidRDefault="00A24530" w:rsidP="00E058C7">
            <w:pPr>
              <w:pStyle w:val="TableTextLeft"/>
            </w:pPr>
            <w:r w:rsidRPr="00135739">
              <w:t xml:space="preserve">Number </w:t>
            </w:r>
            <w:r w:rsidR="008F0739" w:rsidRPr="00135739">
              <w:t xml:space="preserve">of </w:t>
            </w:r>
            <w:r w:rsidR="001524A0">
              <w:t>First Nation</w:t>
            </w:r>
            <w:r w:rsidR="00BE2EDB" w:rsidRPr="00135739">
              <w:t>s</w:t>
            </w:r>
            <w:r w:rsidR="008F0739" w:rsidRPr="00135739">
              <w:t xml:space="preserve"> people who speak a </w:t>
            </w:r>
            <w:r w:rsidR="001524A0">
              <w:t>First Nation</w:t>
            </w:r>
            <w:r w:rsidR="008F0739" w:rsidRPr="00135739">
              <w:t>s language at home</w:t>
            </w:r>
            <w:r w:rsidR="008F0739" w:rsidRPr="00CE0937">
              <w:rPr>
                <w:rStyle w:val="TableFootnoteReference"/>
              </w:rPr>
              <w:t>(</w:t>
            </w:r>
            <w:r w:rsidR="003E623F" w:rsidRPr="00CE0937">
              <w:rPr>
                <w:rStyle w:val="TableFootnoteReference"/>
              </w:rPr>
              <w:t>d)</w:t>
            </w:r>
          </w:p>
        </w:tc>
        <w:tc>
          <w:tcPr>
            <w:tcW w:w="2268" w:type="dxa"/>
            <w:tcBorders>
              <w:bottom w:val="single" w:sz="4" w:space="0" w:color="216364"/>
            </w:tcBorders>
          </w:tcPr>
          <w:p w14:paraId="11271B2C" w14:textId="4454B1CB" w:rsidR="008F0739" w:rsidRPr="00135739" w:rsidRDefault="008F0739" w:rsidP="00E058C7">
            <w:pPr>
              <w:pStyle w:val="TableTextLeft"/>
            </w:pPr>
            <w:r w:rsidRPr="00135739">
              <w:t xml:space="preserve">Speaking </w:t>
            </w:r>
            <w:r w:rsidR="001524A0">
              <w:t>First Nation</w:t>
            </w:r>
            <w:r w:rsidRPr="00135739">
              <w:t>s language</w:t>
            </w:r>
            <w:r w:rsidR="0062160A" w:rsidRPr="00135739">
              <w:t xml:space="preserve">s improves </w:t>
            </w:r>
            <w:r w:rsidR="00D426FB" w:rsidRPr="00135739">
              <w:t xml:space="preserve">the </w:t>
            </w:r>
            <w:r w:rsidR="0062160A" w:rsidRPr="00135739">
              <w:t>connection</w:t>
            </w:r>
            <w:r w:rsidR="00D426FB" w:rsidRPr="00135739">
              <w:t xml:space="preserve"> of </w:t>
            </w:r>
            <w:r w:rsidR="001524A0">
              <w:t>First Nation</w:t>
            </w:r>
            <w:r w:rsidR="00A81112" w:rsidRPr="00135739">
              <w:t>s</w:t>
            </w:r>
            <w:r w:rsidR="00D426FB" w:rsidRPr="00135739">
              <w:t xml:space="preserve"> people</w:t>
            </w:r>
            <w:r w:rsidR="0062160A" w:rsidRPr="00135739">
              <w:t xml:space="preserve"> to family, country,</w:t>
            </w:r>
            <w:r w:rsidR="00D426FB" w:rsidRPr="00135739">
              <w:t xml:space="preserve"> and community.</w:t>
            </w:r>
          </w:p>
        </w:tc>
        <w:tc>
          <w:tcPr>
            <w:tcW w:w="1419" w:type="dxa"/>
            <w:tcBorders>
              <w:bottom w:val="single" w:sz="4" w:space="0" w:color="216364"/>
            </w:tcBorders>
          </w:tcPr>
          <w:p w14:paraId="12DA26E7" w14:textId="026B14B6" w:rsidR="002239E6" w:rsidRPr="009764EE" w:rsidRDefault="001A1FD2" w:rsidP="00E058C7">
            <w:pPr>
              <w:pStyle w:val="TableTextCentered"/>
              <w:rPr>
                <w:rFonts w:eastAsia="Century Gothic"/>
              </w:rPr>
            </w:pPr>
            <w:r w:rsidRPr="009764EE">
              <w:rPr>
                <w:rFonts w:eastAsia="Century Gothic"/>
              </w:rPr>
              <w:t xml:space="preserve">Improved </w:t>
            </w:r>
          </w:p>
          <w:p w14:paraId="244A1597" w14:textId="14702861" w:rsidR="008F0739" w:rsidRPr="009764EE" w:rsidRDefault="000D63DD" w:rsidP="00E058C7">
            <w:pPr>
              <w:pStyle w:val="TableTextCentered"/>
              <w:rPr>
                <w:rFonts w:eastAsia="Century Gothic"/>
                <w:szCs w:val="22"/>
              </w:rPr>
            </w:pPr>
            <w:r w:rsidRPr="009764EE">
              <w:t>200</w:t>
            </w:r>
            <w:r w:rsidRPr="009764EE" w:rsidDel="006D25D3">
              <w:t>1</w:t>
            </w:r>
            <w:r w:rsidR="00BC491B">
              <w:t>–</w:t>
            </w:r>
            <w:r w:rsidR="00DC33D3">
              <w:softHyphen/>
            </w:r>
            <w:r w:rsidR="008F0739" w:rsidRPr="009764EE">
              <w:t>2021</w:t>
            </w:r>
          </w:p>
        </w:tc>
        <w:tc>
          <w:tcPr>
            <w:tcW w:w="1413" w:type="dxa"/>
            <w:tcBorders>
              <w:bottom w:val="single" w:sz="4" w:space="0" w:color="216364"/>
            </w:tcBorders>
          </w:tcPr>
          <w:p w14:paraId="492B1AF2" w14:textId="0B6AE739" w:rsidR="008F0739" w:rsidRPr="009764EE" w:rsidRDefault="00E440DB" w:rsidP="00E058C7">
            <w:pPr>
              <w:pStyle w:val="TableTextCentered"/>
              <w:rPr>
                <w:szCs w:val="22"/>
              </w:rPr>
            </w:pPr>
            <w:r w:rsidRPr="009764EE">
              <w:t xml:space="preserve">76,978 </w:t>
            </w:r>
          </w:p>
        </w:tc>
      </w:tr>
      <w:tr w:rsidR="00620078" w:rsidRPr="009764EE" w14:paraId="42E88D00" w14:textId="77777777" w:rsidTr="00620078">
        <w:trPr>
          <w:trHeight w:val="795"/>
        </w:trPr>
        <w:tc>
          <w:tcPr>
            <w:tcW w:w="1704" w:type="dxa"/>
            <w:vMerge w:val="restart"/>
          </w:tcPr>
          <w:p w14:paraId="09309745" w14:textId="28F76D10" w:rsidR="008F0739" w:rsidRPr="00BC491B" w:rsidRDefault="00625ECE" w:rsidP="00E058C7">
            <w:pPr>
              <w:pStyle w:val="TableTextLeft"/>
              <w:rPr>
                <w:rStyle w:val="Strong"/>
                <w:color w:val="082C44"/>
              </w:rPr>
            </w:pPr>
            <w:r w:rsidRPr="00BC491B">
              <w:rPr>
                <w:rStyle w:val="Strong"/>
                <w:color w:val="082C44"/>
              </w:rPr>
              <w:t>S</w:t>
            </w:r>
            <w:r w:rsidR="008F0739" w:rsidRPr="00BC491B">
              <w:rPr>
                <w:rStyle w:val="Strong"/>
                <w:color w:val="082C44"/>
              </w:rPr>
              <w:t>ense of belonging</w:t>
            </w:r>
          </w:p>
        </w:tc>
        <w:tc>
          <w:tcPr>
            <w:tcW w:w="2268" w:type="dxa"/>
            <w:tcBorders>
              <w:top w:val="single" w:sz="4" w:space="0" w:color="216364"/>
              <w:bottom w:val="single" w:sz="4" w:space="0" w:color="EEEEEE" w:themeColor="background2"/>
            </w:tcBorders>
          </w:tcPr>
          <w:p w14:paraId="2827D50F" w14:textId="2295D28C" w:rsidR="008F0739" w:rsidRPr="00135739" w:rsidRDefault="008F0739" w:rsidP="00E058C7">
            <w:pPr>
              <w:pStyle w:val="TableTextLeft"/>
            </w:pPr>
            <w:r w:rsidRPr="00135739">
              <w:t xml:space="preserve">Proportion of </w:t>
            </w:r>
            <w:r w:rsidR="001524A0">
              <w:t>First Nation</w:t>
            </w:r>
            <w:r w:rsidRPr="00135739">
              <w:t>s people who recognise an area as their homelands or traditional country</w:t>
            </w:r>
            <w:r w:rsidR="004E18E5" w:rsidRPr="00CE0937">
              <w:rPr>
                <w:rStyle w:val="TableFootnoteReference"/>
              </w:rPr>
              <w:t>(e)</w:t>
            </w:r>
          </w:p>
        </w:tc>
        <w:tc>
          <w:tcPr>
            <w:tcW w:w="2268" w:type="dxa"/>
            <w:tcBorders>
              <w:top w:val="single" w:sz="4" w:space="0" w:color="216364"/>
              <w:bottom w:val="single" w:sz="4" w:space="0" w:color="EEEEEE" w:themeColor="background2"/>
            </w:tcBorders>
          </w:tcPr>
          <w:p w14:paraId="1B25739F" w14:textId="67B91C97" w:rsidR="008F0739" w:rsidRPr="00135739" w:rsidRDefault="008F0739" w:rsidP="00E058C7">
            <w:pPr>
              <w:pStyle w:val="TableTextLeft"/>
            </w:pPr>
            <w:r w:rsidRPr="00135739">
              <w:t xml:space="preserve">Strong connections to land, family and language are central to </w:t>
            </w:r>
            <w:r w:rsidR="001524A0">
              <w:t>First Nation</w:t>
            </w:r>
            <w:r w:rsidR="00C360F6" w:rsidRPr="00135739">
              <w:t>s</w:t>
            </w:r>
            <w:r w:rsidRPr="00135739">
              <w:t xml:space="preserve"> people</w:t>
            </w:r>
            <w:r w:rsidR="00135DEA">
              <w:t>’</w:t>
            </w:r>
            <w:r w:rsidRPr="00135739">
              <w:t>s culture and a foundation for social, economic, and individual wellbeing</w:t>
            </w:r>
            <w:r w:rsidR="00704CB6" w:rsidRPr="00135739">
              <w:t xml:space="preserve">. </w:t>
            </w:r>
          </w:p>
        </w:tc>
        <w:tc>
          <w:tcPr>
            <w:tcW w:w="1419" w:type="dxa"/>
            <w:tcBorders>
              <w:top w:val="single" w:sz="4" w:space="0" w:color="216364"/>
              <w:bottom w:val="single" w:sz="4" w:space="0" w:color="EEEEEE" w:themeColor="background2"/>
            </w:tcBorders>
          </w:tcPr>
          <w:p w14:paraId="609F329C" w14:textId="420F8807" w:rsidR="00122255" w:rsidRPr="009764EE" w:rsidRDefault="00D66C85" w:rsidP="00E058C7">
            <w:pPr>
              <w:pStyle w:val="TableTextCentered"/>
              <w:rPr>
                <w:rFonts w:eastAsia="Century Gothic"/>
              </w:rPr>
            </w:pPr>
            <w:r w:rsidRPr="009764EE">
              <w:rPr>
                <w:rFonts w:eastAsia="Century Gothic"/>
              </w:rPr>
              <w:t xml:space="preserve">Improved </w:t>
            </w:r>
          </w:p>
          <w:p w14:paraId="06D16612" w14:textId="7F504C3B" w:rsidR="00F93422" w:rsidRPr="009764EE" w:rsidRDefault="008F0739" w:rsidP="00E058C7">
            <w:pPr>
              <w:pStyle w:val="TableTextCentered"/>
              <w:rPr>
                <w:rFonts w:eastAsia="Century Gothic"/>
                <w:szCs w:val="22"/>
              </w:rPr>
            </w:pPr>
            <w:r w:rsidRPr="009764EE">
              <w:t xml:space="preserve">2002 </w:t>
            </w:r>
            <w:r w:rsidR="00227E39" w:rsidRPr="009764EE">
              <w:t>to</w:t>
            </w:r>
            <w:r w:rsidRPr="009764EE">
              <w:t xml:space="preserve"> 20</w:t>
            </w:r>
            <w:r w:rsidR="00E537F1" w:rsidRPr="009764EE">
              <w:t>18</w:t>
            </w:r>
            <w:r w:rsidR="00151999">
              <w:t>–</w:t>
            </w:r>
            <w:r w:rsidR="00BC491B">
              <w:t>‍</w:t>
            </w:r>
            <w:r w:rsidR="006A0076" w:rsidRPr="009764EE">
              <w:t>19</w:t>
            </w:r>
          </w:p>
        </w:tc>
        <w:tc>
          <w:tcPr>
            <w:tcW w:w="1413" w:type="dxa"/>
            <w:tcBorders>
              <w:top w:val="single" w:sz="4" w:space="0" w:color="216364"/>
              <w:bottom w:val="single" w:sz="4" w:space="0" w:color="EEEEEE" w:themeColor="background2"/>
            </w:tcBorders>
          </w:tcPr>
          <w:p w14:paraId="2A4562B5" w14:textId="3011C19F" w:rsidR="00F67C03" w:rsidRPr="009764EE" w:rsidRDefault="008F0739" w:rsidP="000E0851">
            <w:pPr>
              <w:pStyle w:val="TableTextCentered"/>
            </w:pPr>
            <w:r w:rsidRPr="009764EE">
              <w:t>74.4%</w:t>
            </w:r>
          </w:p>
        </w:tc>
      </w:tr>
      <w:tr w:rsidR="00EB2C74" w:rsidRPr="009764EE" w14:paraId="76C715D9" w14:textId="77777777" w:rsidTr="00620078">
        <w:trPr>
          <w:trHeight w:val="795"/>
        </w:trPr>
        <w:tc>
          <w:tcPr>
            <w:tcW w:w="1704" w:type="dxa"/>
            <w:vMerge/>
          </w:tcPr>
          <w:p w14:paraId="06D825DA" w14:textId="77777777" w:rsidR="00FF450C" w:rsidRPr="00135739" w:rsidRDefault="00FF450C" w:rsidP="00E058C7">
            <w:pPr>
              <w:pStyle w:val="TableTextLeft"/>
            </w:pPr>
          </w:p>
        </w:tc>
        <w:tc>
          <w:tcPr>
            <w:tcW w:w="2268" w:type="dxa"/>
            <w:tcBorders>
              <w:top w:val="single" w:sz="4" w:space="0" w:color="EEEEEE" w:themeColor="background2"/>
            </w:tcBorders>
          </w:tcPr>
          <w:p w14:paraId="2D30C81B" w14:textId="53271602" w:rsidR="00FF450C" w:rsidRPr="00135739" w:rsidRDefault="001A56A1" w:rsidP="00E058C7">
            <w:pPr>
              <w:pStyle w:val="TableTextLeft"/>
            </w:pPr>
            <w:r w:rsidRPr="00135739">
              <w:t xml:space="preserve">The </w:t>
            </w:r>
            <w:r w:rsidR="00AC2643" w:rsidRPr="00135739">
              <w:t>Social Cohesion Index: Sense of belonging measure</w:t>
            </w:r>
            <w:r w:rsidR="00AC2643" w:rsidRPr="00CE0937">
              <w:rPr>
                <w:rStyle w:val="TableFootnoteReference"/>
              </w:rPr>
              <w:t>(f)</w:t>
            </w:r>
          </w:p>
        </w:tc>
        <w:tc>
          <w:tcPr>
            <w:tcW w:w="2268" w:type="dxa"/>
            <w:tcBorders>
              <w:top w:val="single" w:sz="4" w:space="0" w:color="EEEEEE" w:themeColor="background2"/>
            </w:tcBorders>
          </w:tcPr>
          <w:p w14:paraId="43797838" w14:textId="1DFC1E02" w:rsidR="00FF450C" w:rsidRPr="00135739" w:rsidRDefault="00114EEA" w:rsidP="00E058C7">
            <w:pPr>
              <w:pStyle w:val="TableTextLeft"/>
            </w:pPr>
            <w:r w:rsidRPr="00135739">
              <w:t xml:space="preserve">Sense of belonging </w:t>
            </w:r>
            <w:r w:rsidR="00145699" w:rsidRPr="00135739">
              <w:t>measures the sense of pride and belonging in Australia.</w:t>
            </w:r>
          </w:p>
        </w:tc>
        <w:tc>
          <w:tcPr>
            <w:tcW w:w="1419" w:type="dxa"/>
            <w:tcBorders>
              <w:top w:val="single" w:sz="4" w:space="0" w:color="EEEEEE" w:themeColor="background2"/>
            </w:tcBorders>
          </w:tcPr>
          <w:p w14:paraId="1328D75A" w14:textId="77777777" w:rsidR="00BC491B" w:rsidRDefault="00145699" w:rsidP="00E058C7">
            <w:pPr>
              <w:pStyle w:val="TableTextCentered"/>
            </w:pPr>
            <w:r w:rsidRPr="009764EE">
              <w:t>Deteriorated</w:t>
            </w:r>
          </w:p>
          <w:p w14:paraId="2605CFF7" w14:textId="4C1F51C9" w:rsidR="00FF450C" w:rsidRPr="009764EE" w:rsidRDefault="00145699" w:rsidP="00E058C7">
            <w:pPr>
              <w:pStyle w:val="TableTextCentered"/>
              <w:rPr>
                <w:rFonts w:eastAsia="Tahoma"/>
              </w:rPr>
            </w:pPr>
            <w:r w:rsidRPr="009764EE">
              <w:t>2007</w:t>
            </w:r>
            <w:r w:rsidR="00BC491B">
              <w:t>–</w:t>
            </w:r>
            <w:r w:rsidR="00DC33D3">
              <w:softHyphen/>
            </w:r>
            <w:r w:rsidRPr="009764EE">
              <w:t>2022</w:t>
            </w:r>
          </w:p>
        </w:tc>
        <w:tc>
          <w:tcPr>
            <w:tcW w:w="1413" w:type="dxa"/>
            <w:tcBorders>
              <w:top w:val="single" w:sz="4" w:space="0" w:color="EEEEEE" w:themeColor="background2"/>
            </w:tcBorders>
          </w:tcPr>
          <w:p w14:paraId="4808057B" w14:textId="0082E37C" w:rsidR="00FF450C" w:rsidRPr="009764EE" w:rsidRDefault="00145699" w:rsidP="00E058C7">
            <w:pPr>
              <w:pStyle w:val="TableTextCentered"/>
            </w:pPr>
            <w:r w:rsidRPr="009764EE">
              <w:t>8</w:t>
            </w:r>
            <w:r w:rsidR="007A2077">
              <w:t>1</w:t>
            </w:r>
            <w:r w:rsidRPr="009764EE">
              <w:t xml:space="preserve"> points out of 100</w:t>
            </w:r>
          </w:p>
        </w:tc>
      </w:tr>
    </w:tbl>
    <w:p w14:paraId="07CCFBA6" w14:textId="5AA73FF4" w:rsidR="00844254" w:rsidRPr="00516A83" w:rsidRDefault="003F4815" w:rsidP="00516A83">
      <w:pPr>
        <w:pStyle w:val="ChartorTableNote"/>
      </w:pPr>
      <w:r w:rsidRPr="00516A83">
        <w:t xml:space="preserve">Source: </w:t>
      </w:r>
      <w:r w:rsidR="000E0851" w:rsidRPr="00516A83">
        <w:tab/>
      </w:r>
      <w:r w:rsidRPr="00516A83">
        <w:t xml:space="preserve">(a) </w:t>
      </w:r>
      <w:r w:rsidR="0002331E" w:rsidRPr="00516A83">
        <w:t xml:space="preserve">ABS </w:t>
      </w:r>
      <w:r w:rsidR="00DA150D" w:rsidRPr="00516A83">
        <w:t>General Social Survey</w:t>
      </w:r>
      <w:r w:rsidRPr="00516A83">
        <w:t xml:space="preserve"> </w:t>
      </w:r>
      <w:r w:rsidR="00675989" w:rsidRPr="00516A83">
        <w:br/>
      </w:r>
      <w:r w:rsidRPr="00516A83">
        <w:t xml:space="preserve">(b) </w:t>
      </w:r>
      <w:r w:rsidR="007D0554" w:rsidRPr="00516A83">
        <w:t>ABS</w:t>
      </w:r>
      <w:r w:rsidR="00FF450C" w:rsidRPr="00516A83">
        <w:t xml:space="preserve"> Census of Population and Housing</w:t>
      </w:r>
      <w:r w:rsidR="002A78AC" w:rsidRPr="00516A83">
        <w:t xml:space="preserve"> </w:t>
      </w:r>
      <w:r w:rsidR="00675989" w:rsidRPr="00516A83">
        <w:br/>
      </w:r>
      <w:r w:rsidR="000906E3" w:rsidRPr="00516A83">
        <w:t>(c)</w:t>
      </w:r>
      <w:r w:rsidR="002A78AC" w:rsidRPr="00516A83">
        <w:t xml:space="preserve"> </w:t>
      </w:r>
      <w:r w:rsidR="007076C4" w:rsidRPr="00516A83">
        <w:t xml:space="preserve">Scanlon </w:t>
      </w:r>
      <w:r w:rsidR="00F37EB5" w:rsidRPr="00516A83">
        <w:t>Foundation Research</w:t>
      </w:r>
      <w:r w:rsidR="007076C4" w:rsidRPr="00516A83">
        <w:t xml:space="preserve"> Institute Mapping Social Cohesion </w:t>
      </w:r>
      <w:r w:rsidR="00D11B09" w:rsidRPr="00516A83">
        <w:t>S</w:t>
      </w:r>
      <w:r w:rsidR="007076C4" w:rsidRPr="00516A83">
        <w:t xml:space="preserve">urveys </w:t>
      </w:r>
      <w:r w:rsidR="00675989" w:rsidRPr="00516A83">
        <w:br/>
      </w:r>
      <w:r w:rsidR="007076C4" w:rsidRPr="00516A83">
        <w:t>(</w:t>
      </w:r>
      <w:r w:rsidR="003E623F" w:rsidRPr="00516A83">
        <w:t>d</w:t>
      </w:r>
      <w:r w:rsidR="007076C4" w:rsidRPr="00516A83">
        <w:t xml:space="preserve">) </w:t>
      </w:r>
      <w:r w:rsidR="00823CF9" w:rsidRPr="00516A83">
        <w:t xml:space="preserve">ABS </w:t>
      </w:r>
      <w:r w:rsidR="00164318" w:rsidRPr="00516A83">
        <w:t>Census of Population and Housing</w:t>
      </w:r>
      <w:r w:rsidR="00675989" w:rsidRPr="00516A83">
        <w:br/>
      </w:r>
      <w:r w:rsidR="00586811" w:rsidRPr="00516A83">
        <w:t>(</w:t>
      </w:r>
      <w:r w:rsidR="00E43288" w:rsidRPr="00516A83">
        <w:t>e</w:t>
      </w:r>
      <w:r w:rsidR="00586811" w:rsidRPr="00516A83">
        <w:t xml:space="preserve">) </w:t>
      </w:r>
      <w:r w:rsidR="000C6C0A" w:rsidRPr="00516A83">
        <w:t>ABS</w:t>
      </w:r>
      <w:r w:rsidR="00586811" w:rsidRPr="00516A83">
        <w:t xml:space="preserve"> </w:t>
      </w:r>
      <w:r w:rsidR="000F5917" w:rsidRPr="00516A83">
        <w:t xml:space="preserve">National Aboriginal and </w:t>
      </w:r>
      <w:r w:rsidR="001524A0">
        <w:t>Torres Strait</w:t>
      </w:r>
      <w:r w:rsidR="000F5917" w:rsidRPr="00516A83">
        <w:t xml:space="preserve"> Islander Health</w:t>
      </w:r>
      <w:r w:rsidR="003B50FF" w:rsidRPr="00516A83">
        <w:t xml:space="preserve"> Surveys</w:t>
      </w:r>
      <w:r w:rsidR="000F5917" w:rsidRPr="00516A83">
        <w:t xml:space="preserve"> and Social Surveys </w:t>
      </w:r>
      <w:r w:rsidR="00675989" w:rsidRPr="00516A83">
        <w:br/>
      </w:r>
      <w:r w:rsidR="00FF5E46" w:rsidRPr="00516A83">
        <w:t xml:space="preserve">(f) Scanlon </w:t>
      </w:r>
      <w:r w:rsidR="000C6C0A" w:rsidRPr="00516A83">
        <w:t xml:space="preserve">Foundation Research Institute The </w:t>
      </w:r>
      <w:r w:rsidR="005A59F4" w:rsidRPr="00516A83">
        <w:t>Scanlon</w:t>
      </w:r>
      <w:r w:rsidR="00195384" w:rsidRPr="00516A83">
        <w:t xml:space="preserve"> Monash</w:t>
      </w:r>
      <w:r w:rsidR="00FF5E46" w:rsidRPr="00516A83">
        <w:t xml:space="preserve"> Index</w:t>
      </w:r>
    </w:p>
    <w:p w14:paraId="2191354E" w14:textId="414DBE2E" w:rsidR="00F82B4A" w:rsidRPr="00516A83" w:rsidRDefault="00AC74B2" w:rsidP="00516A83">
      <w:pPr>
        <w:pStyle w:val="ChartorTableNote"/>
      </w:pPr>
      <w:r w:rsidRPr="00516A83">
        <w:t>N</w:t>
      </w:r>
      <w:r w:rsidR="00F82B4A" w:rsidRPr="00516A83">
        <w:t>ote:</w:t>
      </w:r>
      <w:r w:rsidR="006E10DE" w:rsidRPr="00516A83">
        <w:t xml:space="preserve"> </w:t>
      </w:r>
      <w:r w:rsidR="000E0851" w:rsidRPr="00516A83">
        <w:tab/>
      </w:r>
      <w:r w:rsidR="00FC6E4A" w:rsidRPr="00516A83">
        <w:t>(i)</w:t>
      </w:r>
      <w:r w:rsidR="001332B6" w:rsidRPr="00516A83">
        <w:t xml:space="preserve"> </w:t>
      </w:r>
      <w:r w:rsidR="00F82B4A" w:rsidRPr="00516A83">
        <w:t>Unless specified the latest value is the last data point</w:t>
      </w:r>
      <w:r w:rsidR="008A38C3" w:rsidRPr="00516A83">
        <w:t xml:space="preserve"> in the series</w:t>
      </w:r>
      <w:r w:rsidR="00D74419" w:rsidRPr="00516A83">
        <w:t xml:space="preserve">. </w:t>
      </w:r>
    </w:p>
    <w:p w14:paraId="38903753" w14:textId="77777777" w:rsidR="000E0851" w:rsidRDefault="000E0851" w:rsidP="000E0851"/>
    <w:p w14:paraId="4F62B304" w14:textId="6C73FBCF" w:rsidR="000E0851" w:rsidRPr="000E0851" w:rsidRDefault="000E0851" w:rsidP="000E0851">
      <w:pPr>
        <w:sectPr w:rsidR="000E0851" w:rsidRPr="000E0851" w:rsidSect="00DA302B">
          <w:endnotePr>
            <w:numFmt w:val="decimal"/>
          </w:endnotePr>
          <w:type w:val="continuous"/>
          <w:pgSz w:w="11906" w:h="16838" w:code="9"/>
          <w:pgMar w:top="1843" w:right="1418" w:bottom="1418" w:left="1418" w:header="851" w:footer="851" w:gutter="0"/>
          <w:cols w:space="567"/>
          <w:docGrid w:linePitch="360"/>
        </w:sectPr>
      </w:pPr>
    </w:p>
    <w:p w14:paraId="75E6CE73" w14:textId="6B7F17E4" w:rsidR="004B0AF6" w:rsidRPr="009764EE" w:rsidRDefault="00727A36" w:rsidP="004E39E8">
      <w:pPr>
        <w:rPr>
          <w:lang w:val="en-GB"/>
        </w:rPr>
      </w:pPr>
      <w:r w:rsidRPr="009764EE">
        <w:rPr>
          <w:lang w:val="en-GB"/>
        </w:rPr>
        <w:lastRenderedPageBreak/>
        <w:t>A cohesive society values</w:t>
      </w:r>
      <w:r w:rsidRPr="009764EE" w:rsidDel="00C10555">
        <w:rPr>
          <w:lang w:val="en-GB"/>
        </w:rPr>
        <w:t xml:space="preserve"> diversity</w:t>
      </w:r>
      <w:r w:rsidR="006209DB" w:rsidRPr="009764EE" w:rsidDel="00C10555">
        <w:rPr>
          <w:lang w:val="en-GB"/>
        </w:rPr>
        <w:t xml:space="preserve"> </w:t>
      </w:r>
      <w:r w:rsidR="00F3442E" w:rsidRPr="009764EE">
        <w:rPr>
          <w:lang w:val="en-GB"/>
        </w:rPr>
        <w:t>and equity</w:t>
      </w:r>
      <w:r w:rsidR="00583551" w:rsidRPr="009764EE">
        <w:rPr>
          <w:lang w:val="en-GB"/>
        </w:rPr>
        <w:t>,</w:t>
      </w:r>
      <w:r w:rsidR="006209DB" w:rsidRPr="009764EE" w:rsidDel="00C10555">
        <w:rPr>
          <w:lang w:val="en-GB"/>
        </w:rPr>
        <w:t xml:space="preserve"> </w:t>
      </w:r>
      <w:r w:rsidR="008235B9" w:rsidRPr="009764EE">
        <w:rPr>
          <w:lang w:val="en-GB"/>
        </w:rPr>
        <w:t>supports</w:t>
      </w:r>
      <w:r w:rsidR="0090771F" w:rsidRPr="009764EE">
        <w:rPr>
          <w:lang w:val="en-GB"/>
        </w:rPr>
        <w:t xml:space="preserve"> </w:t>
      </w:r>
      <w:r w:rsidR="00E6303E" w:rsidRPr="009764EE">
        <w:rPr>
          <w:lang w:val="en-GB"/>
        </w:rPr>
        <w:t>belong</w:t>
      </w:r>
      <w:r w:rsidR="0090771F" w:rsidRPr="009764EE">
        <w:rPr>
          <w:lang w:val="en-GB"/>
        </w:rPr>
        <w:t>ing</w:t>
      </w:r>
      <w:r w:rsidR="00583551" w:rsidRPr="009764EE">
        <w:rPr>
          <w:lang w:val="en-GB"/>
        </w:rPr>
        <w:t>,</w:t>
      </w:r>
      <w:r w:rsidR="00E6303E" w:rsidRPr="009764EE">
        <w:rPr>
          <w:lang w:val="en-GB"/>
        </w:rPr>
        <w:t xml:space="preserve"> and </w:t>
      </w:r>
      <w:r w:rsidR="00C13773" w:rsidRPr="009764EE">
        <w:rPr>
          <w:lang w:val="en-GB"/>
        </w:rPr>
        <w:t xml:space="preserve">protects its unique cultural heritage. </w:t>
      </w:r>
    </w:p>
    <w:p w14:paraId="78077193" w14:textId="3E8D8E43" w:rsidR="00E6469A" w:rsidRPr="009764EE" w:rsidRDefault="006E655D" w:rsidP="004E39E8">
      <w:pPr>
        <w:rPr>
          <w:lang w:val="en-GB"/>
        </w:rPr>
      </w:pPr>
      <w:r w:rsidRPr="009764EE">
        <w:rPr>
          <w:lang w:val="en-GB"/>
        </w:rPr>
        <w:t>In Australia, this involve</w:t>
      </w:r>
      <w:r w:rsidR="008A0472" w:rsidRPr="009764EE">
        <w:rPr>
          <w:lang w:val="en-GB"/>
        </w:rPr>
        <w:t>s</w:t>
      </w:r>
      <w:r w:rsidRPr="009764EE">
        <w:rPr>
          <w:lang w:val="en-GB"/>
        </w:rPr>
        <w:t xml:space="preserve"> maintaining and valuing </w:t>
      </w:r>
      <w:r w:rsidR="00DD1DB0" w:rsidRPr="009764EE">
        <w:rPr>
          <w:lang w:val="en-GB"/>
        </w:rPr>
        <w:t xml:space="preserve">the contribution of </w:t>
      </w:r>
      <w:r w:rsidR="001524A0">
        <w:rPr>
          <w:lang w:val="en-GB"/>
        </w:rPr>
        <w:t>First Nation</w:t>
      </w:r>
      <w:r w:rsidR="00DD1DB0" w:rsidRPr="009764EE">
        <w:rPr>
          <w:lang w:val="en-GB"/>
        </w:rPr>
        <w:t>s people</w:t>
      </w:r>
      <w:r w:rsidR="00306708" w:rsidRPr="009764EE">
        <w:rPr>
          <w:lang w:val="en-GB"/>
        </w:rPr>
        <w:t>; their languages, culture and customs</w:t>
      </w:r>
      <w:r w:rsidR="00E6469A" w:rsidRPr="009764EE">
        <w:rPr>
          <w:lang w:val="en-GB"/>
        </w:rPr>
        <w:t xml:space="preserve">, in addition to promoting the benefits of our multicultural society. </w:t>
      </w:r>
    </w:p>
    <w:p w14:paraId="0D688134" w14:textId="65E9EE67" w:rsidR="00136FA0" w:rsidRPr="009764EE" w:rsidRDefault="00136FA0" w:rsidP="004E39E8">
      <w:pPr>
        <w:rPr>
          <w:lang w:val="en-GB"/>
        </w:rPr>
      </w:pPr>
      <w:r w:rsidRPr="009764EE">
        <w:rPr>
          <w:lang w:val="en-GB"/>
        </w:rPr>
        <w:t xml:space="preserve">The </w:t>
      </w:r>
      <w:r w:rsidR="0008586B" w:rsidRPr="009764EE">
        <w:rPr>
          <w:lang w:val="en-GB"/>
        </w:rPr>
        <w:t xml:space="preserve">metrics outlined in this section are intended to </w:t>
      </w:r>
      <w:r w:rsidR="00F44925" w:rsidRPr="009764EE">
        <w:rPr>
          <w:lang w:val="en-GB"/>
        </w:rPr>
        <w:t xml:space="preserve">track our progress against the key indicators of a society </w:t>
      </w:r>
      <w:r w:rsidR="009C59B3" w:rsidRPr="009764EE">
        <w:rPr>
          <w:lang w:val="en-GB"/>
        </w:rPr>
        <w:t xml:space="preserve">that </w:t>
      </w:r>
      <w:r w:rsidR="00F44925" w:rsidRPr="009764EE">
        <w:rPr>
          <w:lang w:val="en-GB"/>
        </w:rPr>
        <w:t xml:space="preserve">values diversity: </w:t>
      </w:r>
      <w:r w:rsidR="00552891" w:rsidRPr="009764EE">
        <w:rPr>
          <w:lang w:val="en-GB"/>
        </w:rPr>
        <w:t xml:space="preserve">levels </w:t>
      </w:r>
      <w:r w:rsidR="00F44925" w:rsidRPr="009764EE">
        <w:rPr>
          <w:lang w:val="en-GB"/>
        </w:rPr>
        <w:t xml:space="preserve">of discrimination, acceptance, </w:t>
      </w:r>
      <w:r w:rsidR="001524A0">
        <w:rPr>
          <w:lang w:val="en-GB"/>
        </w:rPr>
        <w:t>First Nation</w:t>
      </w:r>
      <w:r w:rsidR="00061FA3" w:rsidRPr="009764EE">
        <w:rPr>
          <w:lang w:val="en-GB"/>
        </w:rPr>
        <w:t>s languages spoken</w:t>
      </w:r>
      <w:r w:rsidR="000557D5" w:rsidRPr="009764EE">
        <w:rPr>
          <w:lang w:val="en-GB"/>
        </w:rPr>
        <w:t>,</w:t>
      </w:r>
      <w:r w:rsidR="00061FA3" w:rsidRPr="009764EE">
        <w:rPr>
          <w:lang w:val="en-GB"/>
        </w:rPr>
        <w:t xml:space="preserve"> and </w:t>
      </w:r>
      <w:r w:rsidR="00FF6E56" w:rsidRPr="009764EE">
        <w:rPr>
          <w:lang w:val="en-GB"/>
        </w:rPr>
        <w:t xml:space="preserve">whether people have </w:t>
      </w:r>
      <w:r w:rsidR="00061FA3" w:rsidRPr="009764EE">
        <w:rPr>
          <w:lang w:val="en-GB"/>
        </w:rPr>
        <w:t>a sense of belonging.</w:t>
      </w:r>
    </w:p>
    <w:p w14:paraId="378A85DC" w14:textId="0E766ADE" w:rsidR="00983598" w:rsidRPr="009764EE" w:rsidDel="00E73DA0" w:rsidRDefault="00F03A76" w:rsidP="007327DF">
      <w:pPr>
        <w:pStyle w:val="Heading3"/>
        <w:rPr>
          <w:rFonts w:cs="Calibri"/>
          <w:szCs w:val="24"/>
        </w:rPr>
      </w:pPr>
      <w:bookmarkStart w:id="84" w:name="_Hlk137989438"/>
      <w:r w:rsidRPr="009764EE" w:rsidDel="00E73DA0">
        <w:rPr>
          <w:rFonts w:cs="Calibri"/>
        </w:rPr>
        <w:t>Exper</w:t>
      </w:r>
      <w:r w:rsidRPr="009764EE" w:rsidDel="00E73DA0">
        <w:rPr>
          <w:rFonts w:cs="Calibri"/>
          <w:szCs w:val="24"/>
        </w:rPr>
        <w:t>ience of</w:t>
      </w:r>
      <w:r w:rsidR="008E4FCD" w:rsidRPr="009764EE" w:rsidDel="00E73DA0">
        <w:rPr>
          <w:rFonts w:cs="Calibri"/>
          <w:szCs w:val="24"/>
        </w:rPr>
        <w:t xml:space="preserve"> discrimination</w:t>
      </w:r>
      <w:r w:rsidRPr="009764EE" w:rsidDel="00E73DA0">
        <w:rPr>
          <w:rFonts w:cs="Calibri"/>
          <w:szCs w:val="24"/>
        </w:rPr>
        <w:t xml:space="preserve"> </w:t>
      </w:r>
      <w:bookmarkEnd w:id="84"/>
    </w:p>
    <w:p w14:paraId="60181144" w14:textId="0C7AAA42" w:rsidR="00B73747" w:rsidRPr="009764EE" w:rsidRDefault="00B73747" w:rsidP="004E39E8">
      <w:r w:rsidRPr="009764EE">
        <w:t>Experiences of discrimination can have wide</w:t>
      </w:r>
      <w:r w:rsidR="009C59B3" w:rsidRPr="009764EE">
        <w:t xml:space="preserve"> </w:t>
      </w:r>
      <w:r w:rsidRPr="009764EE">
        <w:t>ranging negative effects on a person</w:t>
      </w:r>
      <w:r w:rsidR="00135DEA">
        <w:t>’</w:t>
      </w:r>
      <w:r w:rsidRPr="009764EE">
        <w:t xml:space="preserve">s general wellbeing, physical and mental health. </w:t>
      </w:r>
    </w:p>
    <w:p w14:paraId="1098F00B" w14:textId="374020B1" w:rsidR="005B52AE" w:rsidRPr="009764EE" w:rsidRDefault="00BC05EA" w:rsidP="004E39E8">
      <w:pPr>
        <w:rPr>
          <w:lang w:val="en-GB"/>
        </w:rPr>
      </w:pPr>
      <w:r w:rsidRPr="009764EE" w:rsidDel="00E73DA0">
        <w:rPr>
          <w:lang w:val="en-GB"/>
        </w:rPr>
        <w:t>In 2020, 13</w:t>
      </w:r>
      <w:r w:rsidR="009A3E0B" w:rsidRPr="009764EE">
        <w:rPr>
          <w:lang w:val="en-GB"/>
        </w:rPr>
        <w:t>.3</w:t>
      </w:r>
      <w:r w:rsidR="001524A0">
        <w:rPr>
          <w:lang w:val="en-GB"/>
        </w:rPr>
        <w:t> per c</w:t>
      </w:r>
      <w:r w:rsidR="00467A7C" w:rsidRPr="009764EE" w:rsidDel="00E73DA0">
        <w:rPr>
          <w:lang w:val="en-GB"/>
        </w:rPr>
        <w:t>ent</w:t>
      </w:r>
      <w:r w:rsidRPr="009764EE" w:rsidDel="00E73DA0">
        <w:rPr>
          <w:lang w:val="en-GB"/>
        </w:rPr>
        <w:t xml:space="preserve"> of Australians experienced some form of discrimination in the </w:t>
      </w:r>
      <w:r w:rsidR="00E12ECA" w:rsidRPr="009764EE" w:rsidDel="00E73DA0">
        <w:rPr>
          <w:lang w:val="en-GB"/>
        </w:rPr>
        <w:t>past year</w:t>
      </w:r>
      <w:r w:rsidR="001524A0">
        <w:rPr>
          <w:lang w:val="en-GB"/>
        </w:rPr>
        <w:t xml:space="preserve"> – </w:t>
      </w:r>
      <w:r w:rsidR="00545157" w:rsidRPr="009764EE" w:rsidDel="00E73DA0">
        <w:rPr>
          <w:lang w:val="en-GB"/>
        </w:rPr>
        <w:t xml:space="preserve">a decrease from </w:t>
      </w:r>
      <w:r w:rsidR="00252FB1" w:rsidRPr="009764EE">
        <w:rPr>
          <w:lang w:val="en-GB"/>
        </w:rPr>
        <w:t>18.7</w:t>
      </w:r>
      <w:r w:rsidR="001524A0">
        <w:rPr>
          <w:lang w:val="en-GB"/>
        </w:rPr>
        <w:t> per c</w:t>
      </w:r>
      <w:r w:rsidR="00467A7C" w:rsidRPr="009764EE" w:rsidDel="00E73DA0">
        <w:rPr>
          <w:lang w:val="en-GB"/>
        </w:rPr>
        <w:t xml:space="preserve">ent in </w:t>
      </w:r>
      <w:r w:rsidR="00C80AFB" w:rsidRPr="009764EE">
        <w:rPr>
          <w:lang w:val="en-GB"/>
        </w:rPr>
        <w:t>2014</w:t>
      </w:r>
      <w:r w:rsidR="00C80AFB" w:rsidRPr="009764EE" w:rsidDel="00E73DA0">
        <w:rPr>
          <w:lang w:val="en-GB"/>
        </w:rPr>
        <w:t>.</w:t>
      </w:r>
      <w:r w:rsidR="009C5D60" w:rsidRPr="005049F1">
        <w:rPr>
          <w:rStyle w:val="FootnoteReference"/>
        </w:rPr>
        <w:endnoteReference w:id="57"/>
      </w:r>
      <w:r w:rsidR="00C80AFB" w:rsidRPr="009764EE" w:rsidDel="00E73DA0">
        <w:rPr>
          <w:lang w:val="en-GB"/>
        </w:rPr>
        <w:t xml:space="preserve"> </w:t>
      </w:r>
      <w:r w:rsidR="005B52AE" w:rsidRPr="009764EE">
        <w:rPr>
          <w:lang w:val="en-GB"/>
        </w:rPr>
        <w:t>The 2022 Mapping Social Cohesion Report found that 16</w:t>
      </w:r>
      <w:r w:rsidR="001524A0">
        <w:rPr>
          <w:lang w:val="en-GB"/>
        </w:rPr>
        <w:t> per c</w:t>
      </w:r>
      <w:r w:rsidR="005B52AE" w:rsidRPr="009764EE">
        <w:rPr>
          <w:lang w:val="en-GB"/>
        </w:rPr>
        <w:t>ent of people reported experiencing race or religion</w:t>
      </w:r>
      <w:r w:rsidR="00135DEA">
        <w:rPr>
          <w:lang w:val="en-GB"/>
        </w:rPr>
        <w:noBreakHyphen/>
      </w:r>
      <w:r w:rsidR="005B52AE" w:rsidRPr="009764EE">
        <w:rPr>
          <w:lang w:val="en-GB"/>
        </w:rPr>
        <w:t xml:space="preserve">based discrimination over the last 12 months. </w:t>
      </w:r>
      <w:r w:rsidR="008F6A50" w:rsidRPr="009764EE">
        <w:rPr>
          <w:lang w:val="en-GB"/>
        </w:rPr>
        <w:t xml:space="preserve">These </w:t>
      </w:r>
      <w:r w:rsidR="008F6A50">
        <w:rPr>
          <w:lang w:val="en-GB"/>
        </w:rPr>
        <w:t>findings</w:t>
      </w:r>
      <w:r w:rsidR="005B52AE" w:rsidRPr="009764EE">
        <w:rPr>
          <w:lang w:val="en-GB"/>
        </w:rPr>
        <w:t xml:space="preserve"> suggest the experience of discrimination in 2020 may have been affected by the COVID</w:t>
      </w:r>
      <w:r w:rsidR="00135DEA">
        <w:rPr>
          <w:lang w:val="en-GB"/>
        </w:rPr>
        <w:noBreakHyphen/>
      </w:r>
      <w:r w:rsidR="005B52AE" w:rsidRPr="009764EE">
        <w:rPr>
          <w:lang w:val="en-GB"/>
        </w:rPr>
        <w:t>19 pandemic.</w:t>
      </w:r>
      <w:r w:rsidR="00447C0E" w:rsidRPr="005049F1">
        <w:rPr>
          <w:rStyle w:val="FootnoteReference"/>
        </w:rPr>
        <w:endnoteReference w:id="58"/>
      </w:r>
    </w:p>
    <w:p w14:paraId="02D719C7" w14:textId="5D732032" w:rsidR="009B39B2" w:rsidRPr="009764EE" w:rsidRDefault="0004725E" w:rsidP="004E39E8">
      <w:pPr>
        <w:rPr>
          <w:lang w:val="en-GB"/>
        </w:rPr>
      </w:pPr>
      <w:r w:rsidRPr="009764EE" w:rsidDel="00E73DA0">
        <w:rPr>
          <w:lang w:val="en-GB"/>
        </w:rPr>
        <w:t xml:space="preserve">People who described themselves as gay, </w:t>
      </w:r>
      <w:r w:rsidR="00A21252" w:rsidRPr="009764EE" w:rsidDel="00E73DA0">
        <w:rPr>
          <w:lang w:val="en-GB"/>
        </w:rPr>
        <w:t>lesbian,</w:t>
      </w:r>
      <w:r w:rsidRPr="009764EE" w:rsidDel="00E73DA0">
        <w:rPr>
          <w:lang w:val="en-GB"/>
        </w:rPr>
        <w:t xml:space="preserve"> or bisexual were more likely to experienc</w:t>
      </w:r>
      <w:r w:rsidR="00676E50" w:rsidRPr="009764EE">
        <w:rPr>
          <w:lang w:val="en-GB"/>
        </w:rPr>
        <w:t>e</w:t>
      </w:r>
      <w:r w:rsidRPr="009764EE" w:rsidDel="00E73DA0">
        <w:rPr>
          <w:lang w:val="en-GB"/>
        </w:rPr>
        <w:t xml:space="preserve"> discrimination than heterosexual </w:t>
      </w:r>
      <w:r w:rsidR="008D4CCD" w:rsidRPr="009764EE" w:rsidDel="00E73DA0">
        <w:rPr>
          <w:lang w:val="en-GB"/>
        </w:rPr>
        <w:t>people</w:t>
      </w:r>
      <w:r w:rsidR="001524A0">
        <w:rPr>
          <w:lang w:val="en-GB"/>
        </w:rPr>
        <w:t xml:space="preserve"> – </w:t>
      </w:r>
      <w:r w:rsidRPr="009764EE" w:rsidDel="00E73DA0">
        <w:rPr>
          <w:lang w:val="en-GB"/>
        </w:rPr>
        <w:t>30</w:t>
      </w:r>
      <w:r w:rsidR="00333828" w:rsidRPr="009764EE">
        <w:rPr>
          <w:lang w:val="en-GB"/>
        </w:rPr>
        <w:t>.1</w:t>
      </w:r>
      <w:r w:rsidR="001524A0">
        <w:rPr>
          <w:lang w:val="en-GB"/>
        </w:rPr>
        <w:t> per c</w:t>
      </w:r>
      <w:r w:rsidR="00480663" w:rsidRPr="009764EE" w:rsidDel="00E73DA0">
        <w:rPr>
          <w:lang w:val="en-GB"/>
        </w:rPr>
        <w:t>ent</w:t>
      </w:r>
      <w:r w:rsidRPr="009764EE" w:rsidDel="00E73DA0">
        <w:rPr>
          <w:lang w:val="en-GB"/>
        </w:rPr>
        <w:t xml:space="preserve"> compared to </w:t>
      </w:r>
      <w:r w:rsidR="00333828" w:rsidRPr="009764EE">
        <w:rPr>
          <w:lang w:val="en-GB"/>
        </w:rPr>
        <w:t>12.5</w:t>
      </w:r>
      <w:r w:rsidR="001524A0">
        <w:rPr>
          <w:lang w:val="en-GB"/>
        </w:rPr>
        <w:t> per c</w:t>
      </w:r>
      <w:r w:rsidR="00480663" w:rsidRPr="009764EE" w:rsidDel="00E73DA0">
        <w:rPr>
          <w:lang w:val="en-GB"/>
        </w:rPr>
        <w:t>ent</w:t>
      </w:r>
      <w:r w:rsidRPr="009764EE" w:rsidDel="00E73DA0">
        <w:rPr>
          <w:lang w:val="en-GB"/>
        </w:rPr>
        <w:t>.</w:t>
      </w:r>
      <w:r w:rsidR="00D623BC" w:rsidRPr="009764EE">
        <w:rPr>
          <w:lang w:val="en-GB"/>
        </w:rPr>
        <w:t xml:space="preserve"> </w:t>
      </w:r>
      <w:r w:rsidR="00C4161B" w:rsidRPr="009764EE">
        <w:rPr>
          <w:lang w:val="en-GB"/>
        </w:rPr>
        <w:t>One in five (2</w:t>
      </w:r>
      <w:r w:rsidR="005934E2" w:rsidRPr="009764EE">
        <w:rPr>
          <w:lang w:val="en-GB"/>
        </w:rPr>
        <w:t>0.8</w:t>
      </w:r>
      <w:r w:rsidR="001524A0">
        <w:rPr>
          <w:lang w:val="en-GB"/>
        </w:rPr>
        <w:t> per c</w:t>
      </w:r>
      <w:r w:rsidR="00C4161B" w:rsidRPr="009764EE">
        <w:rPr>
          <w:lang w:val="en-GB"/>
        </w:rPr>
        <w:t>ent)</w:t>
      </w:r>
      <w:r w:rsidR="00BA7DBF" w:rsidRPr="009764EE">
        <w:rPr>
          <w:lang w:val="en-GB"/>
        </w:rPr>
        <w:t xml:space="preserve"> </w:t>
      </w:r>
      <w:r w:rsidR="00C4161B" w:rsidRPr="009764EE">
        <w:rPr>
          <w:lang w:val="en-GB"/>
        </w:rPr>
        <w:t xml:space="preserve">people with a mental health condition reported having experienced some form of discrimination. </w:t>
      </w:r>
      <w:r w:rsidR="00136040" w:rsidRPr="009764EE">
        <w:rPr>
          <w:lang w:val="en-GB"/>
        </w:rPr>
        <w:t>People with disability were also more likely to report having experienced discrimination compared to those with no disability</w:t>
      </w:r>
      <w:r w:rsidR="001524A0">
        <w:rPr>
          <w:lang w:val="en-GB"/>
        </w:rPr>
        <w:t xml:space="preserve"> – </w:t>
      </w:r>
      <w:r w:rsidR="00136040" w:rsidRPr="009764EE">
        <w:rPr>
          <w:lang w:val="en-GB"/>
        </w:rPr>
        <w:t>1</w:t>
      </w:r>
      <w:r w:rsidR="00142FA0" w:rsidRPr="009764EE">
        <w:rPr>
          <w:lang w:val="en-GB"/>
        </w:rPr>
        <w:t>5.8</w:t>
      </w:r>
      <w:r w:rsidR="001524A0">
        <w:rPr>
          <w:lang w:val="en-GB"/>
        </w:rPr>
        <w:t> per c</w:t>
      </w:r>
      <w:r w:rsidR="00136040" w:rsidRPr="009764EE">
        <w:rPr>
          <w:lang w:val="en-GB"/>
        </w:rPr>
        <w:t>ent compared with 12</w:t>
      </w:r>
      <w:r w:rsidR="00142FA0" w:rsidRPr="009764EE">
        <w:rPr>
          <w:lang w:val="en-GB"/>
        </w:rPr>
        <w:t>.4</w:t>
      </w:r>
      <w:r w:rsidR="001524A0">
        <w:rPr>
          <w:lang w:val="en-GB"/>
        </w:rPr>
        <w:t> per c</w:t>
      </w:r>
      <w:r w:rsidR="00136040" w:rsidRPr="009764EE">
        <w:rPr>
          <w:lang w:val="en-GB"/>
        </w:rPr>
        <w:t xml:space="preserve">ent. </w:t>
      </w:r>
      <w:r w:rsidR="00E73894" w:rsidRPr="009764EE">
        <w:rPr>
          <w:lang w:val="en-GB"/>
        </w:rPr>
        <w:t>16.1</w:t>
      </w:r>
      <w:r w:rsidR="001524A0">
        <w:rPr>
          <w:lang w:val="en-GB"/>
        </w:rPr>
        <w:t> per c</w:t>
      </w:r>
      <w:r w:rsidR="00E73894" w:rsidRPr="009764EE">
        <w:rPr>
          <w:lang w:val="en-GB"/>
        </w:rPr>
        <w:t>ent of p</w:t>
      </w:r>
      <w:r w:rsidR="003C4D08" w:rsidRPr="009764EE">
        <w:rPr>
          <w:lang w:val="en-GB"/>
        </w:rPr>
        <w:t xml:space="preserve">eople born overseas reported </w:t>
      </w:r>
      <w:r w:rsidR="00E73894" w:rsidRPr="009764EE">
        <w:rPr>
          <w:lang w:val="en-GB"/>
        </w:rPr>
        <w:t xml:space="preserve">discrimination compared with </w:t>
      </w:r>
      <w:r w:rsidR="002B1A7F" w:rsidRPr="009764EE">
        <w:rPr>
          <w:lang w:val="en-GB"/>
        </w:rPr>
        <w:t>11.9</w:t>
      </w:r>
      <w:r w:rsidR="001524A0">
        <w:rPr>
          <w:lang w:val="en-GB"/>
        </w:rPr>
        <w:t> per c</w:t>
      </w:r>
      <w:r w:rsidR="002B1A7F" w:rsidRPr="009764EE">
        <w:rPr>
          <w:lang w:val="en-GB"/>
        </w:rPr>
        <w:t xml:space="preserve">ent of those born in Australia. </w:t>
      </w:r>
    </w:p>
    <w:p w14:paraId="11995CBD" w14:textId="3BA7E253" w:rsidR="00E84B30" w:rsidRPr="009764EE" w:rsidRDefault="004A7809" w:rsidP="004E39E8">
      <w:pPr>
        <w:rPr>
          <w:lang w:val="en-GB"/>
        </w:rPr>
      </w:pPr>
      <w:r w:rsidRPr="009764EE">
        <w:rPr>
          <w:lang w:val="en-GB"/>
        </w:rPr>
        <w:t>In 2022, Reconciliation Australia found that</w:t>
      </w:r>
      <w:r w:rsidR="00975F90" w:rsidRPr="009764EE">
        <w:rPr>
          <w:lang w:val="en-GB"/>
        </w:rPr>
        <w:t xml:space="preserve"> </w:t>
      </w:r>
      <w:r w:rsidRPr="009764EE">
        <w:t>60</w:t>
      </w:r>
      <w:r w:rsidR="001524A0">
        <w:t> per c</w:t>
      </w:r>
      <w:r w:rsidRPr="009764EE">
        <w:t xml:space="preserve">ent of </w:t>
      </w:r>
      <w:r w:rsidR="001524A0">
        <w:t>First Nation</w:t>
      </w:r>
      <w:r w:rsidR="00F455D9">
        <w:t>s people</w:t>
      </w:r>
      <w:r w:rsidRPr="009764EE">
        <w:t xml:space="preserve"> have experienced at least one form of racial prejudice in the past 6 months</w:t>
      </w:r>
      <w:r w:rsidR="001524A0">
        <w:t xml:space="preserve"> – </w:t>
      </w:r>
      <w:r w:rsidRPr="009764EE">
        <w:t>52</w:t>
      </w:r>
      <w:r w:rsidR="001524A0">
        <w:t> per c</w:t>
      </w:r>
      <w:r w:rsidRPr="009764EE">
        <w:t>ent in 2020</w:t>
      </w:r>
      <w:r w:rsidR="00F53E45">
        <w:t xml:space="preserve"> from</w:t>
      </w:r>
      <w:r w:rsidR="00F53E45" w:rsidRPr="009764EE">
        <w:t xml:space="preserve"> </w:t>
      </w:r>
      <w:r w:rsidRPr="009764EE">
        <w:t>43</w:t>
      </w:r>
      <w:r w:rsidR="001524A0">
        <w:t> per c</w:t>
      </w:r>
      <w:r w:rsidR="00F53E45">
        <w:t>ent</w:t>
      </w:r>
      <w:r w:rsidRPr="009764EE">
        <w:t xml:space="preserve"> in 2018.</w:t>
      </w:r>
      <w:r w:rsidRPr="005049F1">
        <w:rPr>
          <w:rStyle w:val="FootnoteReference"/>
        </w:rPr>
        <w:endnoteReference w:id="59"/>
      </w:r>
    </w:p>
    <w:p w14:paraId="57609395" w14:textId="59D80888" w:rsidR="00150470" w:rsidRDefault="00D90BB6" w:rsidP="004E39E8">
      <w:r w:rsidRPr="004E39E8">
        <w:t>R</w:t>
      </w:r>
      <w:r w:rsidR="00DD3BA2" w:rsidRPr="004E39E8">
        <w:t>aci</w:t>
      </w:r>
      <w:r w:rsidR="00E04567" w:rsidRPr="004E39E8">
        <w:t xml:space="preserve">al </w:t>
      </w:r>
      <w:r w:rsidR="008719FE" w:rsidRPr="004E39E8">
        <w:t>discrimination</w:t>
      </w:r>
      <w:r w:rsidR="00DD3BA2" w:rsidRPr="004E39E8">
        <w:t xml:space="preserve"> undermines social cohesion within the community</w:t>
      </w:r>
      <w:r w:rsidR="00386682" w:rsidRPr="004E39E8">
        <w:t>. T</w:t>
      </w:r>
      <w:r w:rsidR="00DD3BA2" w:rsidRPr="004E39E8">
        <w:t>he Australian Human Rights Commission is develop</w:t>
      </w:r>
      <w:r w:rsidR="00600681" w:rsidRPr="004E39E8">
        <w:t>ing</w:t>
      </w:r>
      <w:r w:rsidR="00DD3BA2" w:rsidRPr="004E39E8">
        <w:t xml:space="preserve"> a National Anti</w:t>
      </w:r>
      <w:r w:rsidR="00135DEA">
        <w:noBreakHyphen/>
      </w:r>
      <w:r w:rsidR="00DD3BA2" w:rsidRPr="004E39E8">
        <w:t>Racism Framework</w:t>
      </w:r>
      <w:r w:rsidR="000A1A44" w:rsidRPr="004E39E8">
        <w:t xml:space="preserve"> </w:t>
      </w:r>
      <w:r w:rsidR="00891CAF" w:rsidRPr="004E39E8">
        <w:t xml:space="preserve">that </w:t>
      </w:r>
      <w:r w:rsidR="0024480E" w:rsidRPr="004E39E8">
        <w:t>will</w:t>
      </w:r>
      <w:r w:rsidR="0024480E" w:rsidRPr="009764EE">
        <w:rPr>
          <w:rFonts w:ascii="Calibri" w:hAnsi="Calibri" w:cs="Calibri"/>
          <w:szCs w:val="22"/>
        </w:rPr>
        <w:t xml:space="preserve"> </w:t>
      </w:r>
      <w:r w:rsidR="004C5CEF" w:rsidRPr="009764EE">
        <w:rPr>
          <w:rFonts w:ascii="Calibri" w:hAnsi="Calibri" w:cs="Calibri"/>
          <w:szCs w:val="22"/>
        </w:rPr>
        <w:t xml:space="preserve">be </w:t>
      </w:r>
      <w:r w:rsidR="0024480E" w:rsidRPr="009764EE">
        <w:t xml:space="preserve">a </w:t>
      </w:r>
      <w:r w:rsidR="004C5CEF" w:rsidRPr="009764EE">
        <w:t xml:space="preserve">central </w:t>
      </w:r>
      <w:r w:rsidR="0024480E" w:rsidRPr="009764EE">
        <w:t>reference point for anti</w:t>
      </w:r>
      <w:r w:rsidR="00135DEA">
        <w:noBreakHyphen/>
      </w:r>
      <w:r w:rsidR="003A4E47" w:rsidRPr="009764EE">
        <w:t xml:space="preserve">racism </w:t>
      </w:r>
      <w:r w:rsidR="0024480E" w:rsidRPr="009764EE">
        <w:t xml:space="preserve">action by governments, business, community, </w:t>
      </w:r>
      <w:r w:rsidR="003A4E47" w:rsidRPr="009764EE">
        <w:t xml:space="preserve">and </w:t>
      </w:r>
      <w:r w:rsidR="0024480E" w:rsidRPr="009764EE">
        <w:t xml:space="preserve">all sectors of society. </w:t>
      </w:r>
    </w:p>
    <w:p w14:paraId="22AE86A5" w14:textId="330EF9DB" w:rsidR="00732D3B" w:rsidRPr="009764EE" w:rsidRDefault="00732D3B" w:rsidP="007327DF">
      <w:pPr>
        <w:rPr>
          <w:rFonts w:ascii="Calibri" w:hAnsi="Calibri" w:cs="Calibri"/>
          <w:b/>
          <w:lang w:val="en-GB"/>
        </w:rPr>
      </w:pPr>
    </w:p>
    <w:p w14:paraId="490001F9" w14:textId="5415432B" w:rsidR="000E0851" w:rsidRDefault="000E0851" w:rsidP="002122C1">
      <w:pPr>
        <w:rPr>
          <w:b/>
          <w:lang w:val="en-GB"/>
        </w:rPr>
        <w:sectPr w:rsidR="000E0851" w:rsidSect="003D02B1">
          <w:endnotePr>
            <w:numFmt w:val="decimal"/>
          </w:endnotePr>
          <w:pgSz w:w="11906" w:h="16838" w:code="9"/>
          <w:pgMar w:top="1843" w:right="1418" w:bottom="1418" w:left="1418" w:header="851" w:footer="851" w:gutter="0"/>
          <w:cols w:num="2" w:space="567"/>
          <w:docGrid w:linePitch="360"/>
        </w:sectPr>
      </w:pPr>
    </w:p>
    <w:p w14:paraId="3DF50F8C" w14:textId="25E33611" w:rsidR="00F8739B" w:rsidRPr="00E058C7" w:rsidRDefault="00F8739B" w:rsidP="00E058C7">
      <w:pPr>
        <w:pStyle w:val="ChartMainHeading"/>
      </w:pPr>
      <w:r w:rsidRPr="00E058C7">
        <w:t xml:space="preserve">Chart </w:t>
      </w:r>
      <w:r w:rsidR="00742BF6" w:rsidRPr="00E058C7">
        <w:t>13</w:t>
      </w:r>
      <w:r w:rsidR="004E4A65" w:rsidRPr="00E058C7">
        <w:t xml:space="preserve">: </w:t>
      </w:r>
      <w:r w:rsidR="00EE5EEE" w:rsidRPr="00E058C7">
        <w:t>Australians who experienced discrimination in the last 12 months</w:t>
      </w:r>
      <w:r w:rsidR="00541E6D" w:rsidRPr="00E058C7">
        <w:t xml:space="preserve">, </w:t>
      </w:r>
      <w:r w:rsidR="005A3DAD" w:rsidRPr="00E058C7">
        <w:t>2020</w:t>
      </w:r>
    </w:p>
    <w:p w14:paraId="16D4446D" w14:textId="6E75C94C" w:rsidR="5497776C" w:rsidRPr="009764EE" w:rsidRDefault="002122C1" w:rsidP="00F34D79">
      <w:pPr>
        <w:pStyle w:val="ChartGraphic"/>
      </w:pPr>
      <w:r w:rsidRPr="002122C1">
        <w:rPr>
          <w:noProof/>
        </w:rPr>
        <w:drawing>
          <wp:inline distT="0" distB="0" distL="0" distR="0" wp14:anchorId="05651339" wp14:editId="08DAC8C9">
            <wp:extent cx="5400000" cy="1953653"/>
            <wp:effectExtent l="0" t="0" r="0" b="8890"/>
            <wp:docPr id="23" name="Picture 23" descr="This chart shows the percentage of Australians who experienced discrimination in the last 12 months, measured in 2020. The chart shows a comparison between the discrimination rate for people with a disability compared with people without a disability, for people born overseas compared with people born in Australia and for people who are gay, lesbian or bisexual compared with people who are heterosexual. The chart also shows the national discrimination rate was 13.3 per cent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chart shows the percentage of Australians who experienced discrimination in the last 12 months, measured in 2020. The chart shows a comparison between the discrimination rate for people with a disability compared with people without a disability, for people born overseas compared with people born in Australia and for people who are gay, lesbian or bisexual compared with people who are heterosexual. The chart also shows the national discrimination rate was 13.3 per cent in 2020.  "/>
                    <pic:cNvPicPr/>
                  </pic:nvPicPr>
                  <pic:blipFill>
                    <a:blip r:embed="rId54"/>
                    <a:stretch>
                      <a:fillRect/>
                    </a:stretch>
                  </pic:blipFill>
                  <pic:spPr>
                    <a:xfrm>
                      <a:off x="0" y="0"/>
                      <a:ext cx="5400000" cy="1953653"/>
                    </a:xfrm>
                    <a:prstGeom prst="rect">
                      <a:avLst/>
                    </a:prstGeom>
                  </pic:spPr>
                </pic:pic>
              </a:graphicData>
            </a:graphic>
          </wp:inline>
        </w:drawing>
      </w:r>
    </w:p>
    <w:p w14:paraId="76F8023B" w14:textId="78609308" w:rsidR="0094195E" w:rsidRPr="00F34D79" w:rsidRDefault="0094195E" w:rsidP="00F34D79">
      <w:pPr>
        <w:pStyle w:val="ChartorTableNote"/>
      </w:pPr>
      <w:r w:rsidRPr="009764EE">
        <w:rPr>
          <w:lang w:val="en-GB"/>
        </w:rPr>
        <w:t xml:space="preserve">Source: </w:t>
      </w:r>
      <w:r w:rsidR="0056782C" w:rsidRPr="009764EE">
        <w:rPr>
          <w:lang w:val="en-GB"/>
        </w:rPr>
        <w:t>ABS General Social Survey</w:t>
      </w:r>
      <w:r w:rsidR="00083EFC" w:rsidRPr="009764EE">
        <w:rPr>
          <w:lang w:val="en-GB"/>
        </w:rPr>
        <w:t xml:space="preserve"> 2020</w:t>
      </w:r>
      <w:r w:rsidR="00B64374" w:rsidRPr="009764EE">
        <w:rPr>
          <w:lang w:val="en-GB"/>
        </w:rPr>
        <w:t>.</w:t>
      </w:r>
    </w:p>
    <w:p w14:paraId="04F03B55" w14:textId="77777777" w:rsidR="00150470" w:rsidRDefault="00150470" w:rsidP="00150470">
      <w:pPr>
        <w:rPr>
          <w:lang w:val="en-GB"/>
        </w:rPr>
      </w:pPr>
    </w:p>
    <w:p w14:paraId="7BB307C4" w14:textId="4C557181" w:rsidR="00150470" w:rsidRDefault="00150470" w:rsidP="00F34D79">
      <w:pPr>
        <w:rPr>
          <w:lang w:val="en-GB"/>
        </w:rPr>
        <w:sectPr w:rsidR="00150470" w:rsidSect="00DA302B">
          <w:endnotePr>
            <w:numFmt w:val="decimal"/>
          </w:endnotePr>
          <w:type w:val="continuous"/>
          <w:pgSz w:w="11906" w:h="16838" w:code="9"/>
          <w:pgMar w:top="1843" w:right="1418" w:bottom="1418" w:left="1418" w:header="851" w:footer="851" w:gutter="0"/>
          <w:cols w:space="567"/>
          <w:docGrid w:linePitch="360"/>
        </w:sectPr>
      </w:pPr>
    </w:p>
    <w:p w14:paraId="4DB925E7" w14:textId="0C0CDA79" w:rsidR="00BE2A1C" w:rsidRPr="009764EE" w:rsidRDefault="00BE2A1C" w:rsidP="007327DF">
      <w:pPr>
        <w:pStyle w:val="Heading3"/>
        <w:rPr>
          <w:rFonts w:cs="Calibri"/>
          <w:szCs w:val="24"/>
        </w:rPr>
      </w:pPr>
      <w:r w:rsidRPr="009764EE">
        <w:rPr>
          <w:rFonts w:cs="Calibri"/>
        </w:rPr>
        <w:lastRenderedPageBreak/>
        <w:t>Acceptance of diversity</w:t>
      </w:r>
    </w:p>
    <w:p w14:paraId="6ABBE661" w14:textId="2A3C5688" w:rsidR="00973964" w:rsidRPr="009764EE" w:rsidRDefault="001510D7" w:rsidP="004E39E8">
      <w:pPr>
        <w:rPr>
          <w:lang w:val="en-GB"/>
        </w:rPr>
      </w:pPr>
      <w:r w:rsidRPr="004E39E8">
        <w:t xml:space="preserve">Cultural diversity is one of the greatest assets of our multicultural society. It provides a cornerstone for continuous integration of migrants from diverse </w:t>
      </w:r>
      <w:r w:rsidR="008F27D6" w:rsidRPr="004E39E8">
        <w:t xml:space="preserve">ethnic, linguistic and faith </w:t>
      </w:r>
      <w:r w:rsidRPr="004E39E8">
        <w:t>backgrounds into our social fabric. It also plays</w:t>
      </w:r>
      <w:r w:rsidRPr="009764EE">
        <w:rPr>
          <w:lang w:val="en-GB"/>
        </w:rPr>
        <w:t xml:space="preserve"> an important role in our prosperity, enriching our schools and workplaces and deepening our connections with the world.</w:t>
      </w:r>
    </w:p>
    <w:p w14:paraId="4FC8CDA8" w14:textId="541B914D" w:rsidR="00973964" w:rsidRPr="009764EE" w:rsidRDefault="00973964" w:rsidP="004E39E8">
      <w:pPr>
        <w:rPr>
          <w:lang w:val="en-GB"/>
        </w:rPr>
      </w:pPr>
      <w:r w:rsidRPr="004E39E8">
        <w:t xml:space="preserve">Linguistic ability is </w:t>
      </w:r>
      <w:r w:rsidR="00EB57E5" w:rsidRPr="004E39E8">
        <w:t xml:space="preserve">a </w:t>
      </w:r>
      <w:r w:rsidRPr="004E39E8">
        <w:t>prox</w:t>
      </w:r>
      <w:r w:rsidR="00EB57E5" w:rsidRPr="004E39E8">
        <w:t>y</w:t>
      </w:r>
      <w:r w:rsidRPr="009764EE">
        <w:rPr>
          <w:rFonts w:ascii="Calibri" w:hAnsi="Calibri" w:cs="Calibri"/>
          <w:color w:val="000000" w:themeColor="text1"/>
          <w:szCs w:val="22"/>
        </w:rPr>
        <w:t xml:space="preserve"> </w:t>
      </w:r>
      <w:r w:rsidR="00FB74F6" w:rsidRPr="009764EE">
        <w:t xml:space="preserve">for whether a society </w:t>
      </w:r>
      <w:r w:rsidR="005205E4" w:rsidRPr="009764EE">
        <w:t xml:space="preserve">celebrates </w:t>
      </w:r>
      <w:r w:rsidR="00FB74F6" w:rsidRPr="009764EE">
        <w:t>diversity</w:t>
      </w:r>
      <w:r w:rsidRPr="009764EE">
        <w:t xml:space="preserve">. </w:t>
      </w:r>
      <w:r w:rsidRPr="009764EE" w:rsidDel="00F128E2">
        <w:rPr>
          <w:lang w:val="en-GB"/>
        </w:rPr>
        <w:t xml:space="preserve">In </w:t>
      </w:r>
      <w:r w:rsidRPr="009764EE">
        <w:rPr>
          <w:lang w:val="en-GB"/>
        </w:rPr>
        <w:t>2021, 5.8</w:t>
      </w:r>
      <w:r w:rsidR="00C239AD">
        <w:rPr>
          <w:lang w:val="en-GB"/>
        </w:rPr>
        <w:t> million</w:t>
      </w:r>
      <w:r w:rsidRPr="009764EE">
        <w:rPr>
          <w:lang w:val="en-GB"/>
        </w:rPr>
        <w:t xml:space="preserve"> people (22.8</w:t>
      </w:r>
      <w:r w:rsidR="001524A0">
        <w:rPr>
          <w:lang w:val="en-GB"/>
        </w:rPr>
        <w:t> per c</w:t>
      </w:r>
      <w:r w:rsidRPr="009764EE" w:rsidDel="003151B5">
        <w:rPr>
          <w:lang w:val="en-GB"/>
        </w:rPr>
        <w:t xml:space="preserve">ent) </w:t>
      </w:r>
      <w:r w:rsidRPr="009764EE">
        <w:rPr>
          <w:lang w:val="en-GB"/>
        </w:rPr>
        <w:t>reported speaking a language other than English at home</w:t>
      </w:r>
      <w:r w:rsidR="001524A0">
        <w:rPr>
          <w:lang w:val="en-GB"/>
        </w:rPr>
        <w:t xml:space="preserve"> – </w:t>
      </w:r>
      <w:r w:rsidR="00F53E45">
        <w:rPr>
          <w:lang w:val="en-GB"/>
        </w:rPr>
        <w:t>t</w:t>
      </w:r>
      <w:r w:rsidR="00F53E45" w:rsidRPr="009764EE">
        <w:rPr>
          <w:lang w:val="en-GB"/>
        </w:rPr>
        <w:t>his</w:t>
      </w:r>
      <w:r w:rsidRPr="009764EE">
        <w:rPr>
          <w:lang w:val="en-GB"/>
        </w:rPr>
        <w:t xml:space="preserve"> was an increase from 4.9</w:t>
      </w:r>
      <w:r w:rsidR="00C239AD">
        <w:rPr>
          <w:lang w:val="en-GB"/>
        </w:rPr>
        <w:t> million</w:t>
      </w:r>
      <w:r w:rsidRPr="009764EE">
        <w:rPr>
          <w:lang w:val="en-GB"/>
        </w:rPr>
        <w:t xml:space="preserve"> people (21.6</w:t>
      </w:r>
      <w:r w:rsidR="001524A0">
        <w:rPr>
          <w:lang w:val="en-GB"/>
        </w:rPr>
        <w:t> per c</w:t>
      </w:r>
      <w:r w:rsidRPr="009764EE">
        <w:rPr>
          <w:lang w:val="en-GB"/>
        </w:rPr>
        <w:t xml:space="preserve">ent) </w:t>
      </w:r>
      <w:r w:rsidRPr="009764EE" w:rsidDel="00AE41DD">
        <w:rPr>
          <w:lang w:val="en-GB"/>
        </w:rPr>
        <w:t>in 2016</w:t>
      </w:r>
      <w:r w:rsidRPr="009764EE">
        <w:rPr>
          <w:lang w:val="en-GB"/>
        </w:rPr>
        <w:t xml:space="preserve">. </w:t>
      </w:r>
    </w:p>
    <w:p w14:paraId="3FF58169" w14:textId="4831348C" w:rsidR="007F1C24" w:rsidRPr="009764EE" w:rsidRDefault="00973964" w:rsidP="004E39E8">
      <w:r w:rsidRPr="009764EE">
        <w:rPr>
          <w:lang w:val="en-GB"/>
        </w:rPr>
        <w:t>Of the 1.6</w:t>
      </w:r>
      <w:r w:rsidR="00C239AD">
        <w:rPr>
          <w:lang w:val="en-GB"/>
        </w:rPr>
        <w:t> million</w:t>
      </w:r>
      <w:r w:rsidRPr="009764EE">
        <w:rPr>
          <w:lang w:val="en-GB"/>
        </w:rPr>
        <w:t xml:space="preserve"> Australian</w:t>
      </w:r>
      <w:r w:rsidR="00135DEA">
        <w:rPr>
          <w:lang w:val="en-GB"/>
        </w:rPr>
        <w:noBreakHyphen/>
      </w:r>
      <w:r w:rsidRPr="009764EE">
        <w:rPr>
          <w:lang w:val="en-GB"/>
        </w:rPr>
        <w:t>born people who spoke a language other than English, in 2021, most had one or both parents born overseas, and almost half were children aged under 15</w:t>
      </w:r>
      <w:r w:rsidR="004E39E8">
        <w:rPr>
          <w:lang w:val="en-GB"/>
        </w:rPr>
        <w:t> </w:t>
      </w:r>
      <w:r w:rsidRPr="009764EE">
        <w:rPr>
          <w:lang w:val="en-GB"/>
        </w:rPr>
        <w:t>years. The top five most common languages in Australia other than English are Mandarin, Arabic, Vietnamese, Cantonese and Punjabi.</w:t>
      </w:r>
    </w:p>
    <w:p w14:paraId="6CAF8618" w14:textId="3A2650E5" w:rsidR="000E6B29" w:rsidRPr="009764EE" w:rsidRDefault="00EB57E5" w:rsidP="004E39E8">
      <w:pPr>
        <w:rPr>
          <w:szCs w:val="18"/>
          <w:lang w:val="en-GB"/>
        </w:rPr>
      </w:pPr>
      <w:r w:rsidRPr="009764EE">
        <w:rPr>
          <w:szCs w:val="18"/>
          <w:lang w:val="en-GB"/>
        </w:rPr>
        <w:t>O</w:t>
      </w:r>
      <w:r w:rsidR="008A4AEB" w:rsidRPr="009764EE">
        <w:rPr>
          <w:szCs w:val="18"/>
          <w:lang w:val="en-GB"/>
        </w:rPr>
        <w:t xml:space="preserve">ngoing acceptance of multiculturalism and immigrants from </w:t>
      </w:r>
      <w:r w:rsidR="00D21379" w:rsidRPr="009764EE">
        <w:rPr>
          <w:szCs w:val="18"/>
          <w:lang w:val="en-GB"/>
        </w:rPr>
        <w:t xml:space="preserve">a </w:t>
      </w:r>
      <w:r w:rsidR="008A4AEB" w:rsidRPr="009764EE">
        <w:rPr>
          <w:szCs w:val="18"/>
          <w:lang w:val="en-GB"/>
        </w:rPr>
        <w:t>diverse</w:t>
      </w:r>
      <w:r w:rsidR="00D21379" w:rsidRPr="009764EE">
        <w:rPr>
          <w:szCs w:val="18"/>
          <w:lang w:val="en-GB"/>
        </w:rPr>
        <w:t xml:space="preserve"> range of</w:t>
      </w:r>
      <w:r w:rsidR="008A4AEB" w:rsidRPr="009764EE">
        <w:rPr>
          <w:szCs w:val="18"/>
          <w:lang w:val="en-GB"/>
        </w:rPr>
        <w:t xml:space="preserve"> countries is a key indicator </w:t>
      </w:r>
      <w:r w:rsidR="004E624D" w:rsidRPr="009764EE">
        <w:rPr>
          <w:szCs w:val="18"/>
          <w:lang w:val="en-GB"/>
        </w:rPr>
        <w:t xml:space="preserve">of cohesion. </w:t>
      </w:r>
      <w:r w:rsidR="000E6B29" w:rsidRPr="009764EE">
        <w:rPr>
          <w:szCs w:val="18"/>
          <w:lang w:val="en-GB"/>
        </w:rPr>
        <w:t>This helps protect our society from social divisions</w:t>
      </w:r>
      <w:r w:rsidR="006A3DAD" w:rsidRPr="009764EE">
        <w:rPr>
          <w:szCs w:val="18"/>
          <w:lang w:val="en-GB"/>
        </w:rPr>
        <w:t>,</w:t>
      </w:r>
      <w:r w:rsidR="000E6B29" w:rsidRPr="009764EE">
        <w:rPr>
          <w:szCs w:val="18"/>
          <w:lang w:val="en-GB"/>
        </w:rPr>
        <w:t xml:space="preserve"> including </w:t>
      </w:r>
      <w:r w:rsidR="001047AB" w:rsidRPr="009764EE">
        <w:rPr>
          <w:szCs w:val="18"/>
          <w:lang w:val="en-GB"/>
        </w:rPr>
        <w:t>those seen in other parts of the world.</w:t>
      </w:r>
    </w:p>
    <w:p w14:paraId="59097FD0" w14:textId="3A80B420" w:rsidR="00FF0386" w:rsidRDefault="003A0259" w:rsidP="004E39E8">
      <w:pPr>
        <w:rPr>
          <w:rFonts w:ascii="Calibri" w:hAnsi="Calibri" w:cs="Calibri"/>
          <w:szCs w:val="22"/>
        </w:rPr>
      </w:pPr>
      <w:r w:rsidRPr="004E39E8">
        <w:t>In 2022, 78</w:t>
      </w:r>
      <w:r w:rsidR="001524A0">
        <w:t> per c</w:t>
      </w:r>
      <w:r w:rsidRPr="004E39E8">
        <w:t>ent of Australians agreed that accepting immigrants from many different countries makes Australia stronger</w:t>
      </w:r>
      <w:r w:rsidR="001524A0">
        <w:t xml:space="preserve"> – </w:t>
      </w:r>
      <w:r w:rsidR="00314F49" w:rsidRPr="004E39E8">
        <w:t>up from 63</w:t>
      </w:r>
      <w:r w:rsidR="001524A0">
        <w:t> per c</w:t>
      </w:r>
      <w:r w:rsidR="00314F49" w:rsidRPr="004E39E8">
        <w:t xml:space="preserve">ent in </w:t>
      </w:r>
      <w:r w:rsidR="00215FF4" w:rsidRPr="004E39E8">
        <w:t>2018</w:t>
      </w:r>
      <w:r w:rsidR="00215FF4" w:rsidRPr="009764EE">
        <w:rPr>
          <w:rFonts w:ascii="Calibri" w:hAnsi="Calibri" w:cs="Calibri"/>
          <w:szCs w:val="22"/>
        </w:rPr>
        <w:t>.</w:t>
      </w:r>
      <w:r w:rsidR="00215FF4" w:rsidRPr="005049F1">
        <w:rPr>
          <w:rStyle w:val="FootnoteReference"/>
        </w:rPr>
        <w:endnoteReference w:id="60"/>
      </w:r>
      <w:r w:rsidR="00620078">
        <w:rPr>
          <w:rFonts w:ascii="Calibri" w:hAnsi="Calibri" w:cs="Calibri"/>
          <w:szCs w:val="22"/>
        </w:rPr>
        <w:t xml:space="preserve"> </w:t>
      </w:r>
    </w:p>
    <w:p w14:paraId="25C1BB5E" w14:textId="77777777" w:rsidR="00150470" w:rsidRDefault="00150470">
      <w:pPr>
        <w:rPr>
          <w:rFonts w:ascii="Calibri" w:hAnsi="Calibri" w:cs="Calibri"/>
        </w:rPr>
      </w:pPr>
    </w:p>
    <w:p w14:paraId="08BFD9A8" w14:textId="751445AC" w:rsidR="00F34D79" w:rsidRDefault="00F34D79">
      <w:pPr>
        <w:rPr>
          <w:rFonts w:ascii="Calibri" w:hAnsi="Calibri" w:cs="Calibri"/>
        </w:rPr>
        <w:sectPr w:rsidR="00F34D79" w:rsidSect="003D02B1">
          <w:endnotePr>
            <w:numFmt w:val="decimal"/>
          </w:endnotePr>
          <w:pgSz w:w="11906" w:h="16838" w:code="9"/>
          <w:pgMar w:top="1843" w:right="1418" w:bottom="1418" w:left="1418" w:header="851" w:footer="851" w:gutter="0"/>
          <w:cols w:num="2" w:space="567"/>
          <w:docGrid w:linePitch="360"/>
        </w:sectPr>
      </w:pPr>
    </w:p>
    <w:tbl>
      <w:tblPr>
        <w:tblStyle w:val="MWMKey"/>
        <w:tblW w:w="5000" w:type="pct"/>
        <w:tblLook w:val="0620" w:firstRow="1" w:lastRow="0" w:firstColumn="0" w:lastColumn="0" w:noHBand="1" w:noVBand="1"/>
      </w:tblPr>
      <w:tblGrid>
        <w:gridCol w:w="9070"/>
      </w:tblGrid>
      <w:tr w:rsidR="009C020D" w:rsidRPr="009764EE" w14:paraId="48A2E54C" w14:textId="77777777" w:rsidTr="009C020D">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4AC37D18" w14:textId="4055487B" w:rsidR="009C020D" w:rsidRPr="00CE1412" w:rsidRDefault="009C020D" w:rsidP="00BD2280">
            <w:pPr>
              <w:pStyle w:val="BoxHeading"/>
              <w:spacing w:after="0"/>
            </w:pPr>
            <w:r w:rsidRPr="00CE1412">
              <w:t>Key Government initiatives on diversity, belonging and culture</w:t>
            </w:r>
          </w:p>
        </w:tc>
      </w:tr>
      <w:tr w:rsidR="004E2EA2" w:rsidRPr="009764EE" w14:paraId="0F3CA168" w14:textId="77777777" w:rsidTr="009C020D">
        <w:trPr>
          <w:trHeight w:val="20"/>
        </w:trPr>
        <w:tc>
          <w:tcPr>
            <w:tcW w:w="5000" w:type="pct"/>
            <w:hideMark/>
          </w:tcPr>
          <w:p w14:paraId="282467B7" w14:textId="7BB5FAB5" w:rsidR="00535AE8" w:rsidRPr="00AB3748" w:rsidRDefault="00535AE8" w:rsidP="00E058C7">
            <w:pPr>
              <w:pStyle w:val="Boxbullet"/>
              <w:rPr>
                <w:lang w:eastAsia="en-US"/>
              </w:rPr>
            </w:pPr>
            <w:r w:rsidRPr="00FB6842">
              <w:rPr>
                <w:rStyle w:val="Emphasis"/>
              </w:rPr>
              <w:t>Revive</w:t>
            </w:r>
            <w:r w:rsidRPr="00AB3748">
              <w:rPr>
                <w:lang w:eastAsia="en-US"/>
              </w:rPr>
              <w:t>: a place for every story, a story for every place</w:t>
            </w:r>
            <w:r w:rsidR="001524A0">
              <w:rPr>
                <w:lang w:eastAsia="en-US"/>
              </w:rPr>
              <w:t xml:space="preserve"> – </w:t>
            </w:r>
            <w:r w:rsidRPr="00AB3748">
              <w:rPr>
                <w:lang w:eastAsia="en-US"/>
              </w:rPr>
              <w:t>Australia</w:t>
            </w:r>
            <w:r w:rsidR="00135DEA">
              <w:rPr>
                <w:lang w:eastAsia="en-US"/>
              </w:rPr>
              <w:t>’</w:t>
            </w:r>
            <w:r w:rsidRPr="00AB3748">
              <w:rPr>
                <w:lang w:eastAsia="en-US"/>
              </w:rPr>
              <w:t>s national cultural policy for the next five</w:t>
            </w:r>
            <w:r w:rsidR="00C239AD">
              <w:rPr>
                <w:lang w:eastAsia="en-US"/>
              </w:rPr>
              <w:t> year</w:t>
            </w:r>
            <w:r w:rsidRPr="00AB3748">
              <w:rPr>
                <w:lang w:eastAsia="en-US"/>
              </w:rPr>
              <w:t>s</w:t>
            </w:r>
          </w:p>
          <w:p w14:paraId="59029157" w14:textId="77777777" w:rsidR="00563015" w:rsidRPr="00AB3748" w:rsidRDefault="00563015" w:rsidP="00E058C7">
            <w:pPr>
              <w:pStyle w:val="Boxbullet"/>
              <w:rPr>
                <w:lang w:eastAsia="en-US"/>
              </w:rPr>
            </w:pPr>
            <w:r w:rsidRPr="00AB3748">
              <w:rPr>
                <w:lang w:eastAsia="en-US"/>
              </w:rPr>
              <w:t>Multicultural Framework Review</w:t>
            </w:r>
          </w:p>
          <w:p w14:paraId="2070DC32" w14:textId="324203D7" w:rsidR="00843839" w:rsidRPr="00AB3748" w:rsidRDefault="00563015" w:rsidP="00E058C7">
            <w:pPr>
              <w:pStyle w:val="Boxbullet"/>
              <w:rPr>
                <w:lang w:eastAsia="en-US"/>
              </w:rPr>
            </w:pPr>
            <w:r w:rsidRPr="00AB3748">
              <w:rPr>
                <w:lang w:eastAsia="en-US"/>
              </w:rPr>
              <w:t>National Settlement Framework (forthcoming)</w:t>
            </w:r>
          </w:p>
          <w:p w14:paraId="2E1B7415" w14:textId="4E4B41DC" w:rsidR="00FF0386" w:rsidRPr="009764EE" w:rsidRDefault="00444DF1" w:rsidP="00E058C7">
            <w:pPr>
              <w:pStyle w:val="Boxbullet"/>
            </w:pPr>
            <w:r w:rsidRPr="00AB3748">
              <w:rPr>
                <w:lang w:eastAsia="en-US"/>
              </w:rPr>
              <w:t>Australian Human Rights Commission National Anti</w:t>
            </w:r>
            <w:r w:rsidR="00135DEA">
              <w:rPr>
                <w:lang w:eastAsia="en-US"/>
              </w:rPr>
              <w:noBreakHyphen/>
            </w:r>
            <w:r w:rsidRPr="00AB3748">
              <w:rPr>
                <w:lang w:eastAsia="en-US"/>
              </w:rPr>
              <w:t>Racism Framework (forthcoming)</w:t>
            </w:r>
          </w:p>
        </w:tc>
      </w:tr>
    </w:tbl>
    <w:p w14:paraId="430DAFF6" w14:textId="77777777" w:rsidR="00150470" w:rsidRDefault="00150470" w:rsidP="00461576">
      <w:pPr>
        <w:rPr>
          <w:rFonts w:ascii="Calibri" w:hAnsi="Calibri" w:cs="Calibri"/>
        </w:rPr>
        <w:sectPr w:rsidR="00150470" w:rsidSect="00DA302B">
          <w:endnotePr>
            <w:numFmt w:val="decimal"/>
          </w:endnotePr>
          <w:type w:val="continuous"/>
          <w:pgSz w:w="11906" w:h="16838" w:code="9"/>
          <w:pgMar w:top="1843" w:right="1418" w:bottom="1418" w:left="1418" w:header="851" w:footer="851" w:gutter="0"/>
          <w:cols w:space="567"/>
          <w:docGrid w:linePitch="360"/>
        </w:sectPr>
      </w:pPr>
    </w:p>
    <w:p w14:paraId="6FEE8DE2" w14:textId="4625032C" w:rsidR="009E7FB8" w:rsidRPr="009764EE" w:rsidRDefault="001524A0" w:rsidP="007327DF">
      <w:pPr>
        <w:pStyle w:val="Heading3"/>
        <w:rPr>
          <w:rFonts w:cs="Calibri"/>
        </w:rPr>
      </w:pPr>
      <w:r>
        <w:rPr>
          <w:rFonts w:cs="Calibri"/>
        </w:rPr>
        <w:t>First Nation</w:t>
      </w:r>
      <w:r w:rsidR="009E7FB8" w:rsidRPr="009764EE">
        <w:rPr>
          <w:rFonts w:cs="Calibri"/>
        </w:rPr>
        <w:t>s language</w:t>
      </w:r>
      <w:r w:rsidR="00C94621" w:rsidRPr="009764EE">
        <w:rPr>
          <w:rFonts w:cs="Calibri"/>
        </w:rPr>
        <w:t>s</w:t>
      </w:r>
      <w:r w:rsidR="009E7FB8" w:rsidRPr="009764EE">
        <w:rPr>
          <w:rFonts w:cs="Calibri"/>
        </w:rPr>
        <w:t xml:space="preserve"> spoken </w:t>
      </w:r>
    </w:p>
    <w:p w14:paraId="27C3A9AF" w14:textId="6995A222" w:rsidR="00454CA4" w:rsidRPr="00536056" w:rsidRDefault="00C94621" w:rsidP="00536056">
      <w:r w:rsidRPr="00536056">
        <w:t xml:space="preserve">Speaking a </w:t>
      </w:r>
      <w:r w:rsidR="001524A0">
        <w:t>First Nation</w:t>
      </w:r>
      <w:r w:rsidR="00A403B8" w:rsidRPr="00536056">
        <w:t>s</w:t>
      </w:r>
      <w:r w:rsidRPr="00536056">
        <w:t xml:space="preserve"> language improves </w:t>
      </w:r>
      <w:r w:rsidR="001524A0">
        <w:t>First Nation</w:t>
      </w:r>
      <w:r w:rsidRPr="00536056">
        <w:t>s people</w:t>
      </w:r>
      <w:r w:rsidR="00135DEA">
        <w:t>’</w:t>
      </w:r>
      <w:r w:rsidRPr="00536056">
        <w:t xml:space="preserve">s </w:t>
      </w:r>
      <w:r w:rsidRPr="00E058C7">
        <w:t>wellbeing</w:t>
      </w:r>
      <w:r w:rsidR="00A45D76" w:rsidRPr="00E058C7">
        <w:t>, by making their connection to family, com</w:t>
      </w:r>
      <w:r w:rsidR="00A45D76" w:rsidRPr="00536056">
        <w:t xml:space="preserve">munity and country stronger. </w:t>
      </w:r>
    </w:p>
    <w:p w14:paraId="55E36F88" w14:textId="201124F1" w:rsidR="00454CA4" w:rsidRPr="009764EE" w:rsidRDefault="008A1383" w:rsidP="004023A8">
      <w:pPr>
        <w:rPr>
          <w:rFonts w:cs="Calibri"/>
        </w:rPr>
      </w:pPr>
      <w:r w:rsidRPr="004F0DA3">
        <w:rPr>
          <w:rFonts w:cs="Calibri"/>
        </w:rPr>
        <w:t>The National Agreement on</w:t>
      </w:r>
      <w:r w:rsidRPr="009764EE">
        <w:rPr>
          <w:rFonts w:cs="Calibri"/>
        </w:rPr>
        <w:t xml:space="preserve"> </w:t>
      </w:r>
      <w:r w:rsidR="00637D6F" w:rsidRPr="009764EE">
        <w:rPr>
          <w:rFonts w:cs="Calibri"/>
        </w:rPr>
        <w:t xml:space="preserve">Closing the Gap recognises the importance of Aboriginal and </w:t>
      </w:r>
      <w:r w:rsidR="001524A0">
        <w:rPr>
          <w:rFonts w:cs="Calibri"/>
        </w:rPr>
        <w:t>Torres Strait</w:t>
      </w:r>
      <w:r w:rsidR="00637D6F" w:rsidRPr="009764EE">
        <w:rPr>
          <w:rFonts w:cs="Calibri"/>
        </w:rPr>
        <w:t xml:space="preserve"> Islander cultures and languages which are strong, supported and flourishing. </w:t>
      </w:r>
      <w:r w:rsidR="00FE394A" w:rsidRPr="009764EE">
        <w:rPr>
          <w:rFonts w:cs="Calibri"/>
        </w:rPr>
        <w:t xml:space="preserve">Under </w:t>
      </w:r>
      <w:r w:rsidRPr="004F0DA3">
        <w:rPr>
          <w:rFonts w:cs="Calibri"/>
        </w:rPr>
        <w:t>the National Agreement on</w:t>
      </w:r>
      <w:r w:rsidR="00FE394A" w:rsidRPr="009764EE">
        <w:rPr>
          <w:rFonts w:cs="Calibri"/>
        </w:rPr>
        <w:t xml:space="preserve"> Closing the Gap, </w:t>
      </w:r>
      <w:r w:rsidR="008B60BD" w:rsidRPr="009764EE">
        <w:rPr>
          <w:rFonts w:cs="Calibri"/>
        </w:rPr>
        <w:t xml:space="preserve">by 2031, there </w:t>
      </w:r>
      <w:r w:rsidR="00FE394A" w:rsidRPr="009764EE">
        <w:rPr>
          <w:rFonts w:cs="Calibri"/>
        </w:rPr>
        <w:t>should be</w:t>
      </w:r>
      <w:r w:rsidR="008B60BD" w:rsidRPr="009764EE">
        <w:rPr>
          <w:rFonts w:cs="Calibri"/>
        </w:rPr>
        <w:t xml:space="preserve"> a sustained increase in number and strength of Aboriginal and </w:t>
      </w:r>
      <w:r w:rsidR="001524A0">
        <w:rPr>
          <w:rFonts w:cs="Calibri"/>
        </w:rPr>
        <w:t>Torres Strait</w:t>
      </w:r>
      <w:r w:rsidR="008B60BD" w:rsidRPr="009764EE">
        <w:rPr>
          <w:rFonts w:cs="Calibri"/>
        </w:rPr>
        <w:t xml:space="preserve"> Islander languages being spoken.</w:t>
      </w:r>
    </w:p>
    <w:p w14:paraId="634074B4" w14:textId="67FD315B" w:rsidR="001D3895" w:rsidRPr="009764EE" w:rsidRDefault="001D3895" w:rsidP="004023A8">
      <w:pPr>
        <w:rPr>
          <w:rFonts w:cs="Calibri"/>
        </w:rPr>
      </w:pPr>
      <w:r w:rsidRPr="009764EE">
        <w:rPr>
          <w:rFonts w:cs="Calibri"/>
        </w:rPr>
        <w:t>Nationally</w:t>
      </w:r>
      <w:r w:rsidR="00454CA4" w:rsidRPr="009764EE">
        <w:rPr>
          <w:rFonts w:cs="Calibri"/>
        </w:rPr>
        <w:t>,</w:t>
      </w:r>
      <w:r w:rsidRPr="009764EE">
        <w:rPr>
          <w:rFonts w:cs="Calibri"/>
        </w:rPr>
        <w:t xml:space="preserve"> in 2021, 76</w:t>
      </w:r>
      <w:r w:rsidR="00D9041F" w:rsidRPr="009764EE">
        <w:rPr>
          <w:rFonts w:cs="Calibri"/>
        </w:rPr>
        <w:t>,</w:t>
      </w:r>
      <w:r w:rsidRPr="009764EE">
        <w:rPr>
          <w:rFonts w:cs="Calibri"/>
        </w:rPr>
        <w:t xml:space="preserve">978 </w:t>
      </w:r>
      <w:r w:rsidR="001524A0">
        <w:rPr>
          <w:rFonts w:cs="Calibri"/>
        </w:rPr>
        <w:t>First Nation</w:t>
      </w:r>
      <w:r w:rsidRPr="009764EE">
        <w:rPr>
          <w:rFonts w:cs="Calibri"/>
        </w:rPr>
        <w:t>s people were reported as using a</w:t>
      </w:r>
      <w:r w:rsidR="006B6FD6" w:rsidRPr="009764EE">
        <w:rPr>
          <w:rFonts w:cs="Calibri"/>
        </w:rPr>
        <w:t xml:space="preserve"> </w:t>
      </w:r>
      <w:r w:rsidR="001524A0">
        <w:rPr>
          <w:rFonts w:cs="Calibri"/>
        </w:rPr>
        <w:t>First Nation</w:t>
      </w:r>
      <w:r w:rsidR="006B6FD6" w:rsidRPr="009764EE">
        <w:rPr>
          <w:rFonts w:cs="Calibri"/>
        </w:rPr>
        <w:t>s language</w:t>
      </w:r>
      <w:r w:rsidRPr="009764EE">
        <w:rPr>
          <w:rFonts w:cs="Calibri"/>
        </w:rPr>
        <w:t xml:space="preserve"> </w:t>
      </w:r>
      <w:r w:rsidRPr="009764EE">
        <w:rPr>
          <w:rFonts w:cs="Calibri"/>
        </w:rPr>
        <w:t>at home</w:t>
      </w:r>
      <w:r w:rsidR="001524A0">
        <w:rPr>
          <w:rFonts w:cs="Calibri"/>
        </w:rPr>
        <w:t xml:space="preserve"> – </w:t>
      </w:r>
      <w:r w:rsidR="00165390">
        <w:rPr>
          <w:rFonts w:cs="Calibri"/>
        </w:rPr>
        <w:t>t</w:t>
      </w:r>
      <w:r w:rsidR="000E1352" w:rsidRPr="009764EE">
        <w:rPr>
          <w:rFonts w:cs="Calibri"/>
        </w:rPr>
        <w:t>his is an increase of 20.7</w:t>
      </w:r>
      <w:r w:rsidR="001524A0">
        <w:rPr>
          <w:rFonts w:cs="Calibri"/>
        </w:rPr>
        <w:t> per c</w:t>
      </w:r>
      <w:r w:rsidR="000E1352" w:rsidRPr="009764EE">
        <w:rPr>
          <w:rFonts w:cs="Calibri"/>
        </w:rPr>
        <w:t>ent (from 63,75</w:t>
      </w:r>
      <w:r w:rsidR="00967E68" w:rsidRPr="009764EE">
        <w:rPr>
          <w:rFonts w:cs="Calibri"/>
        </w:rPr>
        <w:t>4</w:t>
      </w:r>
      <w:r w:rsidR="000E1352" w:rsidRPr="009764EE">
        <w:rPr>
          <w:rFonts w:cs="Calibri"/>
        </w:rPr>
        <w:t xml:space="preserve"> people) since 2016. In 2021, a</w:t>
      </w:r>
      <w:r w:rsidRPr="009764EE">
        <w:rPr>
          <w:rFonts w:cs="Calibri"/>
        </w:rPr>
        <w:t>lmost one</w:t>
      </w:r>
      <w:r w:rsidR="00135DEA">
        <w:rPr>
          <w:rFonts w:cs="Calibri"/>
        </w:rPr>
        <w:noBreakHyphen/>
      </w:r>
      <w:r w:rsidRPr="009764EE">
        <w:rPr>
          <w:rFonts w:cs="Calibri"/>
        </w:rPr>
        <w:t>third of language users were aged 25</w:t>
      </w:r>
      <w:r w:rsidR="001524A0">
        <w:t>‍–‍</w:t>
      </w:r>
      <w:r w:rsidRPr="009764EE">
        <w:rPr>
          <w:rFonts w:cs="Calibri"/>
        </w:rPr>
        <w:t>44</w:t>
      </w:r>
      <w:r w:rsidR="00C239AD">
        <w:rPr>
          <w:rFonts w:cs="Calibri"/>
        </w:rPr>
        <w:t> year</w:t>
      </w:r>
      <w:r w:rsidRPr="009764EE">
        <w:rPr>
          <w:rFonts w:cs="Calibri"/>
        </w:rPr>
        <w:t>s (22,972) and over one</w:t>
      </w:r>
      <w:r w:rsidR="00135DEA">
        <w:rPr>
          <w:rFonts w:cs="Calibri"/>
        </w:rPr>
        <w:noBreakHyphen/>
      </w:r>
      <w:r w:rsidRPr="009764EE">
        <w:rPr>
          <w:rFonts w:cs="Calibri"/>
        </w:rPr>
        <w:t>quarter were aged 0</w:t>
      </w:r>
      <w:r w:rsidR="00151999">
        <w:rPr>
          <w:rFonts w:cs="Calibri"/>
        </w:rPr>
        <w:t>–</w:t>
      </w:r>
      <w:r w:rsidRPr="009764EE">
        <w:rPr>
          <w:rFonts w:cs="Calibri"/>
        </w:rPr>
        <w:t>14</w:t>
      </w:r>
      <w:r w:rsidR="00C239AD">
        <w:rPr>
          <w:rFonts w:cs="Calibri"/>
        </w:rPr>
        <w:t> year</w:t>
      </w:r>
      <w:r w:rsidRPr="009764EE">
        <w:rPr>
          <w:rFonts w:cs="Calibri"/>
        </w:rPr>
        <w:t xml:space="preserve">s (21,952). </w:t>
      </w:r>
    </w:p>
    <w:p w14:paraId="7A8D5DF3" w14:textId="6F17C9D6" w:rsidR="006C7956" w:rsidRPr="009764EE" w:rsidRDefault="004B79E4" w:rsidP="004023A8">
      <w:pPr>
        <w:rPr>
          <w:rFonts w:cs="Calibri"/>
        </w:rPr>
      </w:pPr>
      <w:r w:rsidRPr="009764EE">
        <w:rPr>
          <w:rFonts w:cs="Calibri"/>
        </w:rPr>
        <w:t xml:space="preserve">In </w:t>
      </w:r>
      <w:r w:rsidR="00053C26" w:rsidRPr="009764EE">
        <w:rPr>
          <w:rFonts w:cs="Calibri"/>
        </w:rPr>
        <w:t>2018</w:t>
      </w:r>
      <w:r w:rsidR="00DC33D3">
        <w:rPr>
          <w:rFonts w:cs="Calibri"/>
        </w:rPr>
        <w:softHyphen/>
      </w:r>
      <w:r w:rsidR="00151999">
        <w:rPr>
          <w:rFonts w:cs="Calibri"/>
        </w:rPr>
        <w:t>–</w:t>
      </w:r>
      <w:r w:rsidR="00053C26" w:rsidRPr="009764EE">
        <w:rPr>
          <w:rFonts w:cs="Calibri"/>
        </w:rPr>
        <w:t xml:space="preserve">19, </w:t>
      </w:r>
      <w:r w:rsidR="005A76D7" w:rsidRPr="009764EE">
        <w:rPr>
          <w:rFonts w:cs="Calibri"/>
        </w:rPr>
        <w:t xml:space="preserve">the National Indigenous Languages Survey found that there were 123 Aboriginal and </w:t>
      </w:r>
      <w:r w:rsidR="001524A0">
        <w:rPr>
          <w:rFonts w:cs="Calibri"/>
        </w:rPr>
        <w:t>Torres Strait</w:t>
      </w:r>
      <w:r w:rsidR="005A76D7" w:rsidRPr="009764EE">
        <w:rPr>
          <w:rFonts w:cs="Calibri"/>
        </w:rPr>
        <w:t xml:space="preserve"> Islander </w:t>
      </w:r>
      <w:r w:rsidR="00053C26" w:rsidRPr="009764EE">
        <w:rPr>
          <w:rFonts w:cs="Calibri"/>
        </w:rPr>
        <w:t xml:space="preserve">languages </w:t>
      </w:r>
      <w:r w:rsidR="0021138F" w:rsidRPr="009764EE">
        <w:rPr>
          <w:rFonts w:cs="Calibri"/>
        </w:rPr>
        <w:t>in use or being revitalised.</w:t>
      </w:r>
      <w:r w:rsidR="00F07504" w:rsidRPr="005049F1">
        <w:rPr>
          <w:rStyle w:val="FootnoteReference"/>
        </w:rPr>
        <w:endnoteReference w:id="61"/>
      </w:r>
      <w:r w:rsidR="0021138F" w:rsidRPr="009764EE">
        <w:rPr>
          <w:rFonts w:cs="Calibri"/>
        </w:rPr>
        <w:t xml:space="preserve"> However, only 14 of these languages </w:t>
      </w:r>
      <w:r w:rsidR="00053C26" w:rsidRPr="009764EE">
        <w:rPr>
          <w:rFonts w:cs="Calibri"/>
        </w:rPr>
        <w:t>were spoken</w:t>
      </w:r>
      <w:r w:rsidR="0021138F" w:rsidRPr="009764EE">
        <w:rPr>
          <w:rFonts w:cs="Calibri"/>
        </w:rPr>
        <w:t xml:space="preserve"> fluently</w:t>
      </w:r>
      <w:r w:rsidR="00B82DCA">
        <w:rPr>
          <w:rFonts w:cs="Calibri"/>
        </w:rPr>
        <w:t>,</w:t>
      </w:r>
      <w:r w:rsidR="0021138F" w:rsidRPr="009764EE">
        <w:rPr>
          <w:rFonts w:cs="Calibri"/>
        </w:rPr>
        <w:t xml:space="preserve"> in everyday life and across generations.</w:t>
      </w:r>
      <w:r w:rsidR="006C7956" w:rsidRPr="009764EE">
        <w:rPr>
          <w:rFonts w:cs="Calibri"/>
        </w:rPr>
        <w:t xml:space="preserve"> </w:t>
      </w:r>
    </w:p>
    <w:p w14:paraId="17180A68" w14:textId="1170EDD3" w:rsidR="002B1A7F" w:rsidRPr="009764EE" w:rsidRDefault="00EB57E5" w:rsidP="002D2813">
      <w:pPr>
        <w:pStyle w:val="Heading3"/>
        <w:rPr>
          <w:rFonts w:cs="Calibri"/>
        </w:rPr>
      </w:pPr>
      <w:r w:rsidRPr="009764EE">
        <w:rPr>
          <w:rFonts w:cs="Calibri"/>
        </w:rPr>
        <w:t>S</w:t>
      </w:r>
      <w:r w:rsidR="002B1A7F" w:rsidRPr="009764EE">
        <w:rPr>
          <w:rFonts w:cs="Calibri"/>
        </w:rPr>
        <w:t>ense of belonging</w:t>
      </w:r>
    </w:p>
    <w:p w14:paraId="1CF0F105" w14:textId="4F2C6C56" w:rsidR="00227CAE" w:rsidRPr="00536056" w:rsidRDefault="00227CAE" w:rsidP="00536056">
      <w:r w:rsidRPr="00536056">
        <w:t>A sense of belonging, a feeling of being part of a larger group or connected to a broader community is an important determinant of wellbeing.</w:t>
      </w:r>
      <w:r w:rsidRPr="005049F1">
        <w:rPr>
          <w:rStyle w:val="FootnoteReference"/>
        </w:rPr>
        <w:endnoteReference w:id="62"/>
      </w:r>
      <w:r w:rsidRPr="009764EE">
        <w:rPr>
          <w:rFonts w:ascii="Calibri" w:hAnsi="Calibri" w:cs="Calibri"/>
          <w:color w:val="000000" w:themeColor="text1"/>
          <w:szCs w:val="22"/>
        </w:rPr>
        <w:t xml:space="preserve"> </w:t>
      </w:r>
      <w:r w:rsidR="00CC264E" w:rsidRPr="00536056">
        <w:t>The a</w:t>
      </w:r>
      <w:r w:rsidR="006C6382" w:rsidRPr="00536056">
        <w:t>cceptance</w:t>
      </w:r>
      <w:r w:rsidRPr="00536056">
        <w:t xml:space="preserve"> of diversity</w:t>
      </w:r>
      <w:r w:rsidR="005B03C8" w:rsidRPr="00536056">
        <w:t xml:space="preserve">, </w:t>
      </w:r>
      <w:r w:rsidR="009F2726" w:rsidRPr="00536056">
        <w:t xml:space="preserve">the </w:t>
      </w:r>
      <w:r w:rsidR="009F2726" w:rsidRPr="00536056">
        <w:lastRenderedPageBreak/>
        <w:t>celebration of culture, and appreciation of custom, can support a sense of belonging.</w:t>
      </w:r>
    </w:p>
    <w:p w14:paraId="1535BC5C" w14:textId="6EB59A0B" w:rsidR="00495B42" w:rsidRPr="00536056" w:rsidRDefault="00DD6F9B" w:rsidP="00536056">
      <w:r w:rsidRPr="00536056">
        <w:t>The National Agreement on Closing the Gap recognises that these unique bonds are fundamental to improved li</w:t>
      </w:r>
      <w:r w:rsidR="006C6382" w:rsidRPr="00536056">
        <w:t>f</w:t>
      </w:r>
      <w:r w:rsidRPr="00536056">
        <w:t xml:space="preserve">e outcomes </w:t>
      </w:r>
      <w:r w:rsidR="00495B42" w:rsidRPr="00536056">
        <w:t xml:space="preserve">for </w:t>
      </w:r>
      <w:r w:rsidR="001524A0">
        <w:t>First Nation</w:t>
      </w:r>
      <w:r w:rsidR="008C21C6" w:rsidRPr="00536056">
        <w:t>s p</w:t>
      </w:r>
      <w:r w:rsidR="00495B42" w:rsidRPr="00536056">
        <w:t xml:space="preserve">eople. </w:t>
      </w:r>
    </w:p>
    <w:p w14:paraId="6CDA1167" w14:textId="01D9C846" w:rsidR="00495B42" w:rsidRPr="00536056" w:rsidRDefault="00495B42" w:rsidP="00536056">
      <w:r w:rsidRPr="00536056">
        <w:t xml:space="preserve">We can capture the extent to which </w:t>
      </w:r>
      <w:r w:rsidR="001524A0">
        <w:t>First Nation</w:t>
      </w:r>
      <w:r w:rsidRPr="00536056">
        <w:t xml:space="preserve">s people are sustaining this connection with country </w:t>
      </w:r>
      <w:r w:rsidR="00A6556D" w:rsidRPr="00536056">
        <w:t>by tracking the proportion who recognise an area as their homelands.</w:t>
      </w:r>
    </w:p>
    <w:p w14:paraId="60C12A50" w14:textId="2B5F38A6" w:rsidR="00A6556D" w:rsidRPr="00536056" w:rsidRDefault="00A6556D" w:rsidP="00536056">
      <w:r w:rsidRPr="00536056" w:rsidDel="00CC0123">
        <w:t>In</w:t>
      </w:r>
      <w:r w:rsidRPr="00536056">
        <w:t xml:space="preserve"> 2018</w:t>
      </w:r>
      <w:r w:rsidR="00437C4C" w:rsidRPr="00536056">
        <w:softHyphen/>
      </w:r>
      <w:r w:rsidR="00151999">
        <w:t>–</w:t>
      </w:r>
      <w:r w:rsidRPr="00536056">
        <w:t>19</w:t>
      </w:r>
      <w:r w:rsidRPr="00536056" w:rsidDel="00CC0123">
        <w:t>,</w:t>
      </w:r>
      <w:r w:rsidRPr="00536056">
        <w:t xml:space="preserve"> almost three quarters</w:t>
      </w:r>
      <w:r w:rsidR="008F074D" w:rsidRPr="00536056">
        <w:t xml:space="preserve"> (74.</w:t>
      </w:r>
      <w:r w:rsidR="00967E68" w:rsidRPr="00536056">
        <w:t>3</w:t>
      </w:r>
      <w:r w:rsidR="001524A0">
        <w:t> per c</w:t>
      </w:r>
      <w:r w:rsidR="008F074D" w:rsidRPr="00536056">
        <w:t>ent)</w:t>
      </w:r>
      <w:r w:rsidRPr="00536056">
        <w:t xml:space="preserve"> of </w:t>
      </w:r>
      <w:r w:rsidR="001524A0">
        <w:t>First Nation</w:t>
      </w:r>
      <w:r w:rsidRPr="00536056">
        <w:t xml:space="preserve">s people recognised </w:t>
      </w:r>
      <w:r w:rsidR="008F074D" w:rsidRPr="00536056">
        <w:t>a traditional country</w:t>
      </w:r>
      <w:r w:rsidR="001524A0">
        <w:t xml:space="preserve"> – </w:t>
      </w:r>
      <w:r w:rsidR="008F074D" w:rsidRPr="00536056">
        <w:t>an increase from 69.9</w:t>
      </w:r>
      <w:r w:rsidR="001524A0">
        <w:t> per c</w:t>
      </w:r>
      <w:r w:rsidR="008F074D" w:rsidRPr="00536056">
        <w:t xml:space="preserve">ent in 2002. </w:t>
      </w:r>
    </w:p>
    <w:p w14:paraId="7C1F8D1D" w14:textId="72A1D488" w:rsidR="003D1931" w:rsidRPr="00536056" w:rsidRDefault="001524A0" w:rsidP="00536056">
      <w:r>
        <w:t>First Nation</w:t>
      </w:r>
      <w:r w:rsidR="002B1A7F" w:rsidRPr="00536056">
        <w:t xml:space="preserve">s people living in remote areas are more likely to report a connection to </w:t>
      </w:r>
      <w:r w:rsidR="008F074D" w:rsidRPr="00536056">
        <w:t>country</w:t>
      </w:r>
      <w:r w:rsidR="002B1A7F" w:rsidRPr="00536056">
        <w:t>. In 2018</w:t>
      </w:r>
      <w:r w:rsidR="00151999">
        <w:t>–</w:t>
      </w:r>
      <w:r w:rsidR="002B1A7F" w:rsidRPr="00536056">
        <w:t xml:space="preserve">19, </w:t>
      </w:r>
      <w:r w:rsidR="002A711B" w:rsidRPr="00536056">
        <w:t>90</w:t>
      </w:r>
      <w:r>
        <w:t> per c</w:t>
      </w:r>
      <w:r w:rsidR="002B1A7F" w:rsidRPr="00536056">
        <w:t xml:space="preserve">ent of </w:t>
      </w:r>
      <w:r>
        <w:t>First Nation</w:t>
      </w:r>
      <w:r w:rsidR="002B1A7F" w:rsidRPr="00536056">
        <w:t>s people living in remote areas recognised an area as homeland or traditional county and 47</w:t>
      </w:r>
      <w:r>
        <w:t> per c</w:t>
      </w:r>
      <w:r w:rsidR="002B1A7F" w:rsidRPr="00536056">
        <w:t>ent liv</w:t>
      </w:r>
      <w:r w:rsidR="005A6FC8" w:rsidRPr="00536056">
        <w:t>e</w:t>
      </w:r>
      <w:r w:rsidR="00430628" w:rsidRPr="00536056">
        <w:t xml:space="preserve"> there.</w:t>
      </w:r>
    </w:p>
    <w:p w14:paraId="062F1470" w14:textId="5C3E8C78" w:rsidR="00193EF0" w:rsidRPr="00536056" w:rsidRDefault="00E75FD3" w:rsidP="00536056">
      <w:r w:rsidRPr="00536056">
        <w:t>The Mapping Social Cohesion survey has found a sense of belonging and pride in Australian culture</w:t>
      </w:r>
      <w:r w:rsidR="00B161C5" w:rsidRPr="00536056">
        <w:t xml:space="preserve"> of the general population</w:t>
      </w:r>
      <w:r w:rsidRPr="00536056">
        <w:t xml:space="preserve"> has declined since 2007</w:t>
      </w:r>
      <w:r w:rsidR="00D3440D" w:rsidRPr="00536056">
        <w:t>,</w:t>
      </w:r>
      <w:r w:rsidRPr="00536056">
        <w:t xml:space="preserve"> from 100 points to 81</w:t>
      </w:r>
      <w:r w:rsidR="009F302A" w:rsidRPr="00536056">
        <w:t xml:space="preserve"> points</w:t>
      </w:r>
      <w:r w:rsidRPr="00536056">
        <w:t xml:space="preserve"> in 2022. </w:t>
      </w:r>
    </w:p>
    <w:p w14:paraId="0CE2850C" w14:textId="77777777" w:rsidR="003172D4" w:rsidRDefault="003172D4" w:rsidP="003172D4">
      <w:pPr>
        <w:pStyle w:val="SingleParagraph"/>
        <w:rPr>
          <w:lang w:val="en-GB"/>
        </w:rPr>
      </w:pPr>
    </w:p>
    <w:p w14:paraId="693C4E61" w14:textId="77777777" w:rsidR="003172D4" w:rsidRDefault="003172D4" w:rsidP="003172D4">
      <w:pPr>
        <w:pStyle w:val="SingleParagraph"/>
        <w:rPr>
          <w:lang w:val="en-GB"/>
        </w:rPr>
      </w:pPr>
    </w:p>
    <w:p w14:paraId="0ACDD76B" w14:textId="77777777" w:rsidR="00BD2280" w:rsidRPr="00BD2280" w:rsidRDefault="00BD2280" w:rsidP="00BD2280">
      <w:pPr>
        <w:rPr>
          <w:lang w:val="en-GB"/>
        </w:rPr>
      </w:pPr>
    </w:p>
    <w:p w14:paraId="2328347F" w14:textId="77777777" w:rsidR="0012266E" w:rsidRDefault="0012266E" w:rsidP="0012266E">
      <w:pPr>
        <w:rPr>
          <w:lang w:val="en-GB"/>
        </w:rPr>
      </w:pPr>
    </w:p>
    <w:p w14:paraId="03C140B8" w14:textId="094124AA" w:rsidR="0012266E" w:rsidRPr="0012266E" w:rsidRDefault="0012266E" w:rsidP="0012266E">
      <w:pPr>
        <w:rPr>
          <w:lang w:val="en-GB"/>
        </w:rPr>
        <w:sectPr w:rsidR="0012266E" w:rsidRPr="0012266E" w:rsidSect="00DA302B">
          <w:endnotePr>
            <w:numFmt w:val="decimal"/>
          </w:endnotePr>
          <w:type w:val="continuous"/>
          <w:pgSz w:w="11906" w:h="16838" w:code="9"/>
          <w:pgMar w:top="1843" w:right="1418" w:bottom="1418" w:left="1418" w:header="851" w:footer="851" w:gutter="0"/>
          <w:cols w:num="2" w:space="567"/>
          <w:docGrid w:linePitch="360"/>
        </w:sectPr>
      </w:pPr>
    </w:p>
    <w:tbl>
      <w:tblPr>
        <w:tblStyle w:val="MWMKey"/>
        <w:tblW w:w="5000" w:type="pct"/>
        <w:tblLook w:val="0620" w:firstRow="1" w:lastRow="0" w:firstColumn="0" w:lastColumn="0" w:noHBand="1" w:noVBand="1"/>
      </w:tblPr>
      <w:tblGrid>
        <w:gridCol w:w="9070"/>
      </w:tblGrid>
      <w:tr w:rsidR="00BD2280" w:rsidRPr="009764EE" w14:paraId="37718CCE" w14:textId="77777777" w:rsidTr="00BD2280">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53D1ECAD" w14:textId="73BEF772" w:rsidR="00BD2280" w:rsidRPr="00536056" w:rsidRDefault="00BD2280" w:rsidP="00BD2280">
            <w:pPr>
              <w:pStyle w:val="BoxHeading"/>
              <w:spacing w:after="0"/>
            </w:pPr>
            <w:r w:rsidRPr="00536056">
              <w:t xml:space="preserve">Key Government initiatives for working with </w:t>
            </w:r>
            <w:r>
              <w:t>First Nation</w:t>
            </w:r>
            <w:r w:rsidRPr="00536056">
              <w:t>s people</w:t>
            </w:r>
          </w:p>
        </w:tc>
      </w:tr>
      <w:tr w:rsidR="0021138F" w:rsidRPr="009764EE" w14:paraId="445AAE62" w14:textId="77777777" w:rsidTr="00BD2280">
        <w:trPr>
          <w:trHeight w:val="20"/>
        </w:trPr>
        <w:tc>
          <w:tcPr>
            <w:tcW w:w="5000" w:type="pct"/>
            <w:hideMark/>
          </w:tcPr>
          <w:p w14:paraId="4C954E33" w14:textId="6AD4B77C" w:rsidR="0021138F" w:rsidRPr="00025900" w:rsidRDefault="0021138F" w:rsidP="003172D4">
            <w:pPr>
              <w:pStyle w:val="Boxbullet"/>
              <w:rPr>
                <w:lang w:eastAsia="en-US"/>
              </w:rPr>
            </w:pPr>
            <w:r w:rsidRPr="00025900">
              <w:rPr>
                <w:lang w:eastAsia="en-US"/>
              </w:rPr>
              <w:t xml:space="preserve">Implementing the Uluru Statement from the Heart in full. Australians will have the opportunity to have their say on recognising the First Peoples of Australia in the Constitution through an Aboriginal and </w:t>
            </w:r>
            <w:r w:rsidR="001524A0">
              <w:rPr>
                <w:lang w:eastAsia="en-US"/>
              </w:rPr>
              <w:t>Torres Strait</w:t>
            </w:r>
            <w:r w:rsidRPr="00025900">
              <w:rPr>
                <w:lang w:eastAsia="en-US"/>
              </w:rPr>
              <w:t xml:space="preserve"> Islander Voice</w:t>
            </w:r>
            <w:r w:rsidR="00036D79" w:rsidRPr="00025900">
              <w:rPr>
                <w:lang w:eastAsia="en-US"/>
              </w:rPr>
              <w:t>.</w:t>
            </w:r>
          </w:p>
          <w:p w14:paraId="16E5D8B7" w14:textId="17BE5C2D" w:rsidR="0021138F" w:rsidRPr="00025900" w:rsidRDefault="0021138F" w:rsidP="003172D4">
            <w:pPr>
              <w:pStyle w:val="Boxbullet"/>
              <w:rPr>
                <w:lang w:eastAsia="en-US"/>
              </w:rPr>
            </w:pPr>
            <w:r w:rsidRPr="00025900">
              <w:rPr>
                <w:lang w:eastAsia="en-US"/>
              </w:rPr>
              <w:t xml:space="preserve">The Dedicated Aboriginal and </w:t>
            </w:r>
            <w:r w:rsidR="001524A0">
              <w:rPr>
                <w:lang w:eastAsia="en-US"/>
              </w:rPr>
              <w:t>Torres Strait</w:t>
            </w:r>
            <w:r w:rsidRPr="00025900">
              <w:rPr>
                <w:lang w:eastAsia="en-US"/>
              </w:rPr>
              <w:t xml:space="preserve"> Islander Action Plan to address women and children</w:t>
            </w:r>
            <w:r w:rsidR="00135DEA">
              <w:rPr>
                <w:lang w:eastAsia="en-US"/>
              </w:rPr>
              <w:t>’</w:t>
            </w:r>
            <w:r w:rsidRPr="00025900">
              <w:rPr>
                <w:lang w:eastAsia="en-US"/>
              </w:rPr>
              <w:t>s safety</w:t>
            </w:r>
          </w:p>
          <w:p w14:paraId="0AB7A453" w14:textId="16795AB9" w:rsidR="0021138F" w:rsidRPr="00025900" w:rsidRDefault="0021138F" w:rsidP="003172D4">
            <w:pPr>
              <w:pStyle w:val="Boxbullet"/>
              <w:rPr>
                <w:lang w:eastAsia="en-US"/>
              </w:rPr>
            </w:pPr>
            <w:r w:rsidRPr="00025900">
              <w:rPr>
                <w:lang w:eastAsia="en-US"/>
              </w:rPr>
              <w:t>The National Agreement on Closing the Gap</w:t>
            </w:r>
          </w:p>
          <w:p w14:paraId="0757FD33" w14:textId="00C594EF" w:rsidR="0021138F" w:rsidRPr="00025900" w:rsidRDefault="0021138F" w:rsidP="003172D4">
            <w:pPr>
              <w:pStyle w:val="Boxbullet"/>
              <w:rPr>
                <w:lang w:eastAsia="en-US"/>
              </w:rPr>
            </w:pPr>
            <w:r w:rsidRPr="00025900">
              <w:rPr>
                <w:lang w:eastAsia="en-US"/>
              </w:rPr>
              <w:t xml:space="preserve">Development of a </w:t>
            </w:r>
            <w:r w:rsidR="001524A0">
              <w:rPr>
                <w:lang w:eastAsia="en-US"/>
              </w:rPr>
              <w:t>First Nation</w:t>
            </w:r>
            <w:r w:rsidRPr="00025900">
              <w:rPr>
                <w:lang w:eastAsia="en-US"/>
              </w:rPr>
              <w:t>s Foreign Policy (forthcoming)</w:t>
            </w:r>
          </w:p>
          <w:p w14:paraId="55994CD7" w14:textId="13C6EE62" w:rsidR="0021138F" w:rsidRPr="00025900" w:rsidRDefault="0021138F" w:rsidP="003172D4">
            <w:pPr>
              <w:pStyle w:val="Boxbullet"/>
              <w:rPr>
                <w:lang w:eastAsia="en-US"/>
              </w:rPr>
            </w:pPr>
            <w:r w:rsidRPr="00025900">
              <w:rPr>
                <w:lang w:eastAsia="en-US"/>
              </w:rPr>
              <w:t xml:space="preserve">Appointment of Ambassador for </w:t>
            </w:r>
            <w:r w:rsidR="001524A0">
              <w:rPr>
                <w:lang w:eastAsia="en-US"/>
              </w:rPr>
              <w:t>First Nation</w:t>
            </w:r>
            <w:r w:rsidRPr="00025900">
              <w:rPr>
                <w:lang w:eastAsia="en-US"/>
              </w:rPr>
              <w:t>s People</w:t>
            </w:r>
          </w:p>
          <w:p w14:paraId="7525C099" w14:textId="74F630BD" w:rsidR="0021138F" w:rsidRPr="009764EE" w:rsidRDefault="0021138F" w:rsidP="003172D4">
            <w:pPr>
              <w:pStyle w:val="Boxbullet"/>
            </w:pPr>
            <w:r w:rsidRPr="00025900">
              <w:rPr>
                <w:lang w:eastAsia="en-US"/>
              </w:rPr>
              <w:t>Plan for a better, safer future for Central Australia</w:t>
            </w:r>
          </w:p>
        </w:tc>
      </w:tr>
    </w:tbl>
    <w:p w14:paraId="31100AD3" w14:textId="77777777" w:rsidR="0012266E" w:rsidRPr="0012266E" w:rsidRDefault="0012266E" w:rsidP="0012266E">
      <w:bookmarkStart w:id="87" w:name="_Toc147497678"/>
      <w:r>
        <w:br w:type="page"/>
      </w:r>
    </w:p>
    <w:p w14:paraId="43F35466" w14:textId="7EF250BB" w:rsidR="00280B27" w:rsidRPr="009764EE" w:rsidRDefault="00280B27" w:rsidP="00E058C7">
      <w:pPr>
        <w:pStyle w:val="Heading2"/>
      </w:pPr>
      <w:r w:rsidRPr="009764EE">
        <w:lastRenderedPageBreak/>
        <w:t xml:space="preserve">Trust in </w:t>
      </w:r>
      <w:r w:rsidR="000E773A" w:rsidRPr="009764EE">
        <w:t>i</w:t>
      </w:r>
      <w:r w:rsidRPr="009764EE">
        <w:t>nstitutions</w:t>
      </w:r>
      <w:bookmarkEnd w:id="87"/>
    </w:p>
    <w:tbl>
      <w:tblPr>
        <w:tblStyle w:val="MWMTables"/>
        <w:tblW w:w="9072" w:type="dxa"/>
        <w:tblLook w:val="06A0" w:firstRow="1" w:lastRow="0" w:firstColumn="1" w:lastColumn="0" w:noHBand="1" w:noVBand="1"/>
      </w:tblPr>
      <w:tblGrid>
        <w:gridCol w:w="1317"/>
        <w:gridCol w:w="2485"/>
        <w:gridCol w:w="2476"/>
        <w:gridCol w:w="1401"/>
        <w:gridCol w:w="1393"/>
      </w:tblGrid>
      <w:tr w:rsidR="00B86EEB" w:rsidRPr="009764EE" w14:paraId="49A0B05A" w14:textId="77777777" w:rsidTr="00B86EEB">
        <w:trPr>
          <w:cnfStyle w:val="100000000000" w:firstRow="1" w:lastRow="0" w:firstColumn="0" w:lastColumn="0" w:oddVBand="0" w:evenVBand="0" w:oddHBand="0" w:evenHBand="0" w:firstRowFirstColumn="0" w:firstRowLastColumn="0" w:lastRowFirstColumn="0" w:lastRowLastColumn="0"/>
          <w:trHeight w:val="270"/>
        </w:trPr>
        <w:tc>
          <w:tcPr>
            <w:tcW w:w="1134" w:type="dxa"/>
          </w:tcPr>
          <w:p w14:paraId="46DF30F6" w14:textId="603A0F5B" w:rsidR="00280B27" w:rsidRPr="009764EE" w:rsidRDefault="00280B27" w:rsidP="00D97961">
            <w:pPr>
              <w:pStyle w:val="TableColumnHeadingLeft"/>
            </w:pPr>
            <w:r w:rsidRPr="009764EE">
              <w:t>Indicator</w:t>
            </w:r>
          </w:p>
        </w:tc>
        <w:tc>
          <w:tcPr>
            <w:tcW w:w="2552" w:type="dxa"/>
          </w:tcPr>
          <w:p w14:paraId="7B6619F1" w14:textId="77777777" w:rsidR="00280B27" w:rsidRPr="009764EE" w:rsidRDefault="00280B27" w:rsidP="00D97961">
            <w:pPr>
              <w:pStyle w:val="TableColumnHeadingLeft"/>
            </w:pPr>
            <w:r w:rsidRPr="009764EE">
              <w:t>Metric</w:t>
            </w:r>
          </w:p>
        </w:tc>
        <w:tc>
          <w:tcPr>
            <w:tcW w:w="2552" w:type="dxa"/>
          </w:tcPr>
          <w:p w14:paraId="16FE24D2" w14:textId="77777777" w:rsidR="00280B27" w:rsidRPr="009764EE" w:rsidRDefault="00280B27" w:rsidP="00D97961">
            <w:pPr>
              <w:pStyle w:val="TableColumnHeadingLeft"/>
            </w:pPr>
            <w:r w:rsidRPr="009764EE">
              <w:t xml:space="preserve">Why this metric </w:t>
            </w:r>
          </w:p>
        </w:tc>
        <w:tc>
          <w:tcPr>
            <w:tcW w:w="1418" w:type="dxa"/>
          </w:tcPr>
          <w:p w14:paraId="2ED73FEB" w14:textId="2E0E7230" w:rsidR="00280B27" w:rsidRPr="009764EE" w:rsidRDefault="00590E20" w:rsidP="00D97961">
            <w:pPr>
              <w:pStyle w:val="TableColumnHeadingLeft"/>
            </w:pPr>
            <w:r w:rsidRPr="009764EE">
              <w:t>Progress</w:t>
            </w:r>
          </w:p>
        </w:tc>
        <w:tc>
          <w:tcPr>
            <w:tcW w:w="1418" w:type="dxa"/>
          </w:tcPr>
          <w:p w14:paraId="12BBD39F" w14:textId="6B4E227E" w:rsidR="00280B27" w:rsidRPr="009764EE" w:rsidRDefault="00280B27" w:rsidP="00D97961">
            <w:pPr>
              <w:pStyle w:val="TableColumnHeadingLeft"/>
            </w:pPr>
            <w:r w:rsidRPr="009764EE">
              <w:t xml:space="preserve">Latest </w:t>
            </w:r>
            <w:r w:rsidR="0080615D">
              <w:t>V</w:t>
            </w:r>
            <w:r w:rsidR="0080615D" w:rsidRPr="009764EE">
              <w:t>alue</w:t>
            </w:r>
            <w:r w:rsidR="00777F36" w:rsidRPr="005049F1">
              <w:rPr>
                <w:rStyle w:val="FootnoteReference"/>
              </w:rPr>
              <w:t>(i)</w:t>
            </w:r>
          </w:p>
        </w:tc>
      </w:tr>
      <w:tr w:rsidR="00676355" w:rsidRPr="009764EE" w14:paraId="4289C6D3" w14:textId="77777777" w:rsidTr="00B86EEB">
        <w:trPr>
          <w:trHeight w:val="270"/>
        </w:trPr>
        <w:tc>
          <w:tcPr>
            <w:tcW w:w="1134" w:type="dxa"/>
          </w:tcPr>
          <w:p w14:paraId="47998E24" w14:textId="47814A2A" w:rsidR="00280B27" w:rsidRPr="00B86EEB" w:rsidRDefault="00280B27" w:rsidP="003172D4">
            <w:pPr>
              <w:pStyle w:val="TableTextLeft"/>
              <w:rPr>
                <w:rStyle w:val="Strong"/>
                <w:color w:val="082C44"/>
              </w:rPr>
            </w:pPr>
            <w:r w:rsidRPr="00B86EEB">
              <w:rPr>
                <w:rStyle w:val="Strong"/>
                <w:color w:val="082C44"/>
              </w:rPr>
              <w:t xml:space="preserve">Trust in others </w:t>
            </w:r>
          </w:p>
        </w:tc>
        <w:tc>
          <w:tcPr>
            <w:tcW w:w="2552" w:type="dxa"/>
            <w:tcBorders>
              <w:bottom w:val="single" w:sz="4" w:space="0" w:color="216364"/>
            </w:tcBorders>
          </w:tcPr>
          <w:p w14:paraId="578026EE" w14:textId="31C41E40" w:rsidR="00280B27" w:rsidRPr="00B84C52" w:rsidRDefault="00280B27" w:rsidP="003172D4">
            <w:pPr>
              <w:pStyle w:val="TableTextLeft"/>
            </w:pPr>
            <w:r w:rsidRPr="00B84C52">
              <w:t>Proportion of people who report having general trust in others</w:t>
            </w:r>
            <w:r w:rsidRPr="00C239AD">
              <w:rPr>
                <w:rStyle w:val="TableFootnoteReference"/>
              </w:rPr>
              <w:t>(a)</w:t>
            </w:r>
            <w:r w:rsidRPr="00B84C52">
              <w:t xml:space="preserve"> </w:t>
            </w:r>
          </w:p>
        </w:tc>
        <w:tc>
          <w:tcPr>
            <w:tcW w:w="2552" w:type="dxa"/>
            <w:tcBorders>
              <w:bottom w:val="single" w:sz="4" w:space="0" w:color="216364"/>
            </w:tcBorders>
          </w:tcPr>
          <w:p w14:paraId="6A626B2D" w14:textId="1946B8F9" w:rsidR="00280B27" w:rsidRPr="00B84C52" w:rsidRDefault="00DA38D4" w:rsidP="003172D4">
            <w:pPr>
              <w:pStyle w:val="TableTextLeft"/>
            </w:pPr>
            <w:r w:rsidRPr="00B84C52">
              <w:t>G</w:t>
            </w:r>
            <w:r w:rsidR="00280B27" w:rsidRPr="00B84C52">
              <w:t xml:space="preserve">eneralised trust, indicates whether people in the community are trusting of others </w:t>
            </w:r>
          </w:p>
        </w:tc>
        <w:tc>
          <w:tcPr>
            <w:tcW w:w="1418" w:type="dxa"/>
            <w:tcBorders>
              <w:bottom w:val="single" w:sz="4" w:space="0" w:color="216364"/>
            </w:tcBorders>
          </w:tcPr>
          <w:p w14:paraId="70C8F7A1" w14:textId="54F6B4CD" w:rsidR="00122255" w:rsidRPr="009764EE" w:rsidRDefault="00254745" w:rsidP="003172D4">
            <w:pPr>
              <w:pStyle w:val="TableTextCentered"/>
              <w:rPr>
                <w:rFonts w:eastAsia="Century Gothic"/>
              </w:rPr>
            </w:pPr>
            <w:r w:rsidRPr="009764EE">
              <w:rPr>
                <w:rFonts w:eastAsia="Century Gothic"/>
              </w:rPr>
              <w:t>Improved</w:t>
            </w:r>
          </w:p>
          <w:p w14:paraId="5F8E5808" w14:textId="59CBEB41" w:rsidR="00280B27" w:rsidRPr="009764EE" w:rsidRDefault="003B65D8" w:rsidP="003172D4">
            <w:pPr>
              <w:pStyle w:val="TableTextCentered"/>
              <w:rPr>
                <w:rFonts w:eastAsia="Century Gothic"/>
              </w:rPr>
            </w:pPr>
            <w:r w:rsidRPr="009764EE">
              <w:t>2006</w:t>
            </w:r>
            <w:r w:rsidR="00151999">
              <w:t>–</w:t>
            </w:r>
            <w:r w:rsidR="00280B27" w:rsidRPr="009764EE">
              <w:t>2020</w:t>
            </w:r>
          </w:p>
        </w:tc>
        <w:tc>
          <w:tcPr>
            <w:tcW w:w="1418" w:type="dxa"/>
            <w:tcBorders>
              <w:bottom w:val="single" w:sz="4" w:space="0" w:color="216364"/>
            </w:tcBorders>
          </w:tcPr>
          <w:p w14:paraId="72D4026B" w14:textId="6BB75D01" w:rsidR="00280B27" w:rsidRPr="009764EE" w:rsidRDefault="00280B27" w:rsidP="003172D4">
            <w:pPr>
              <w:pStyle w:val="TableTextCentered"/>
            </w:pPr>
            <w:r w:rsidRPr="009764EE">
              <w:t>61</w:t>
            </w:r>
            <w:r w:rsidR="00B21F28" w:rsidRPr="009764EE">
              <w:t>.4</w:t>
            </w:r>
            <w:r w:rsidRPr="009764EE">
              <w:t>%</w:t>
            </w:r>
          </w:p>
          <w:p w14:paraId="70C7774D" w14:textId="30C06EA5" w:rsidR="00280B27" w:rsidRPr="009764EE" w:rsidRDefault="00280B27" w:rsidP="003172D4">
            <w:pPr>
              <w:pStyle w:val="TableTextCentered"/>
            </w:pPr>
            <w:r w:rsidRPr="009764EE">
              <w:t>Others</w:t>
            </w:r>
          </w:p>
        </w:tc>
      </w:tr>
      <w:tr w:rsidR="00676355" w:rsidRPr="009764EE" w14:paraId="5A4545FB" w14:textId="77777777" w:rsidTr="00B86EEB">
        <w:trPr>
          <w:trHeight w:val="930"/>
        </w:trPr>
        <w:tc>
          <w:tcPr>
            <w:tcW w:w="1134" w:type="dxa"/>
            <w:vMerge w:val="restart"/>
          </w:tcPr>
          <w:p w14:paraId="2F38B4EB" w14:textId="28EEEAF6" w:rsidR="00280B27" w:rsidRPr="00B86EEB" w:rsidRDefault="00280B27" w:rsidP="003172D4">
            <w:pPr>
              <w:pStyle w:val="TableTextLeft"/>
              <w:rPr>
                <w:rStyle w:val="Strong"/>
                <w:color w:val="082C44"/>
              </w:rPr>
            </w:pPr>
            <w:r w:rsidRPr="00B86EEB">
              <w:rPr>
                <w:rStyle w:val="Strong"/>
                <w:color w:val="082C44"/>
              </w:rPr>
              <w:t xml:space="preserve">Trust in </w:t>
            </w:r>
            <w:r w:rsidR="00150FDF" w:rsidRPr="00B86EEB">
              <w:rPr>
                <w:rStyle w:val="Strong"/>
                <w:color w:val="082C44"/>
              </w:rPr>
              <w:t xml:space="preserve">key </w:t>
            </w:r>
            <w:r w:rsidRPr="00B86EEB">
              <w:rPr>
                <w:rStyle w:val="Strong"/>
                <w:color w:val="082C44"/>
              </w:rPr>
              <w:t>institutions</w:t>
            </w:r>
          </w:p>
        </w:tc>
        <w:tc>
          <w:tcPr>
            <w:tcW w:w="2552" w:type="dxa"/>
            <w:tcBorders>
              <w:top w:val="single" w:sz="4" w:space="0" w:color="216364"/>
              <w:bottom w:val="single" w:sz="4" w:space="0" w:color="EEEEEE" w:themeColor="background2"/>
            </w:tcBorders>
          </w:tcPr>
          <w:p w14:paraId="616474C5" w14:textId="504AF371" w:rsidR="00280B27" w:rsidRPr="00B84C52" w:rsidRDefault="00280B27" w:rsidP="003172D4">
            <w:pPr>
              <w:pStyle w:val="TableTextLeft"/>
            </w:pPr>
            <w:r w:rsidRPr="00B84C52">
              <w:t>Proportion of people who report having trust in healthcare system</w:t>
            </w:r>
            <w:r w:rsidRPr="00C239AD">
              <w:rPr>
                <w:rStyle w:val="TableFootnoteReference"/>
              </w:rPr>
              <w:t>(a)</w:t>
            </w:r>
            <w:r w:rsidRPr="00B84C52">
              <w:t xml:space="preserve"> </w:t>
            </w:r>
          </w:p>
        </w:tc>
        <w:tc>
          <w:tcPr>
            <w:tcW w:w="2552" w:type="dxa"/>
            <w:vMerge w:val="restart"/>
            <w:tcBorders>
              <w:top w:val="single" w:sz="4" w:space="0" w:color="216364"/>
              <w:bottom w:val="single" w:sz="4" w:space="0" w:color="EEEEEE" w:themeColor="background2"/>
            </w:tcBorders>
          </w:tcPr>
          <w:p w14:paraId="65E083B4" w14:textId="2D4F964E" w:rsidR="00280B27" w:rsidRPr="00B84C52" w:rsidRDefault="00D23E8D" w:rsidP="003172D4">
            <w:pPr>
              <w:pStyle w:val="TableTextLeft"/>
            </w:pPr>
            <w:r w:rsidRPr="00B84C52">
              <w:t xml:space="preserve">Measures </w:t>
            </w:r>
            <w:r w:rsidR="0078349D" w:rsidRPr="00B84C52">
              <w:t>the</w:t>
            </w:r>
            <w:r w:rsidRPr="00B84C52">
              <w:t xml:space="preserve"> belief that</w:t>
            </w:r>
            <w:r w:rsidR="00C00B1E" w:rsidRPr="00B84C52">
              <w:t xml:space="preserve"> </w:t>
            </w:r>
            <w:r w:rsidR="0078349D" w:rsidRPr="00B84C52">
              <w:t xml:space="preserve">the </w:t>
            </w:r>
            <w:r w:rsidR="00C00B1E" w:rsidRPr="00B84C52">
              <w:t xml:space="preserve">healthcare system and the police </w:t>
            </w:r>
            <w:r w:rsidR="0078349D" w:rsidRPr="00B84C52">
              <w:t xml:space="preserve">will </w:t>
            </w:r>
            <w:r w:rsidR="00916E27" w:rsidRPr="00B84C52">
              <w:t>provide the</w:t>
            </w:r>
            <w:r w:rsidR="00C00B1E" w:rsidRPr="00B84C52">
              <w:t xml:space="preserve"> </w:t>
            </w:r>
            <w:r w:rsidR="00D14B40" w:rsidRPr="00B84C52">
              <w:t>intended services</w:t>
            </w:r>
            <w:r w:rsidR="001524A0">
              <w:t xml:space="preserve"> – </w:t>
            </w:r>
            <w:r w:rsidR="00851105" w:rsidRPr="00B84C52">
              <w:t>which</w:t>
            </w:r>
            <w:r w:rsidR="00D14B40" w:rsidRPr="00B84C52">
              <w:t xml:space="preserve"> are key to wellbeing</w:t>
            </w:r>
          </w:p>
        </w:tc>
        <w:tc>
          <w:tcPr>
            <w:tcW w:w="1418" w:type="dxa"/>
            <w:tcBorders>
              <w:top w:val="single" w:sz="4" w:space="0" w:color="216364"/>
              <w:bottom w:val="single" w:sz="4" w:space="0" w:color="EEEEEE" w:themeColor="background2"/>
            </w:tcBorders>
          </w:tcPr>
          <w:p w14:paraId="71297DEF" w14:textId="1782F291" w:rsidR="00280B27" w:rsidRPr="009764EE" w:rsidRDefault="004D4903" w:rsidP="003172D4">
            <w:pPr>
              <w:pStyle w:val="TableTextCentered"/>
              <w:rPr>
                <w:rFonts w:eastAsia="Century Gothic"/>
              </w:rPr>
            </w:pPr>
            <w:r w:rsidRPr="009764EE">
              <w:rPr>
                <w:rFonts w:eastAsia="Century Gothic"/>
              </w:rPr>
              <w:t>Stable</w:t>
            </w:r>
          </w:p>
          <w:p w14:paraId="0CC79800" w14:textId="64A84A18" w:rsidR="00280B27" w:rsidRPr="003172D4" w:rsidRDefault="00280B27" w:rsidP="003172D4">
            <w:pPr>
              <w:pStyle w:val="TableTextCentered"/>
            </w:pPr>
            <w:r w:rsidRPr="009764EE">
              <w:t>2019</w:t>
            </w:r>
            <w:r w:rsidR="00151999">
              <w:t>–</w:t>
            </w:r>
            <w:r w:rsidRPr="009764EE">
              <w:t>2020</w:t>
            </w:r>
          </w:p>
        </w:tc>
        <w:tc>
          <w:tcPr>
            <w:tcW w:w="1418" w:type="dxa"/>
            <w:tcBorders>
              <w:top w:val="single" w:sz="4" w:space="0" w:color="216364"/>
              <w:bottom w:val="single" w:sz="4" w:space="0" w:color="EEEEEE" w:themeColor="background2"/>
            </w:tcBorders>
          </w:tcPr>
          <w:p w14:paraId="601F02ED" w14:textId="345A2B99" w:rsidR="00280B27" w:rsidRPr="009764EE" w:rsidRDefault="00280B27" w:rsidP="003172D4">
            <w:pPr>
              <w:pStyle w:val="TableTextCentered"/>
            </w:pPr>
            <w:r w:rsidRPr="009764EE">
              <w:t>76</w:t>
            </w:r>
            <w:r w:rsidR="00B11CF1" w:rsidRPr="009764EE">
              <w:t>.4</w:t>
            </w:r>
            <w:r w:rsidRPr="009764EE">
              <w:t>%</w:t>
            </w:r>
          </w:p>
          <w:p w14:paraId="1ADD5AAB" w14:textId="12C1E698" w:rsidR="00280B27" w:rsidRPr="009764EE" w:rsidRDefault="00280B27" w:rsidP="003172D4">
            <w:pPr>
              <w:pStyle w:val="TableTextCentered"/>
            </w:pPr>
            <w:r w:rsidRPr="009764EE">
              <w:t>Healthcare</w:t>
            </w:r>
          </w:p>
        </w:tc>
      </w:tr>
      <w:tr w:rsidR="00676355" w:rsidRPr="009764EE" w14:paraId="7DB378F9" w14:textId="77777777" w:rsidTr="00B86EEB">
        <w:trPr>
          <w:trHeight w:val="930"/>
        </w:trPr>
        <w:tc>
          <w:tcPr>
            <w:tcW w:w="1134" w:type="dxa"/>
            <w:vMerge/>
          </w:tcPr>
          <w:p w14:paraId="194A2972" w14:textId="77777777" w:rsidR="00D72D14" w:rsidRPr="00B86EEB" w:rsidRDefault="00D72D14" w:rsidP="003172D4">
            <w:pPr>
              <w:pStyle w:val="TableTextLeft"/>
              <w:rPr>
                <w:rStyle w:val="Strong"/>
                <w:color w:val="082C44"/>
              </w:rPr>
            </w:pPr>
          </w:p>
        </w:tc>
        <w:tc>
          <w:tcPr>
            <w:tcW w:w="2552" w:type="dxa"/>
            <w:tcBorders>
              <w:top w:val="single" w:sz="4" w:space="0" w:color="EEEEEE" w:themeColor="background2"/>
            </w:tcBorders>
          </w:tcPr>
          <w:p w14:paraId="4D24C6B1" w14:textId="017647F0" w:rsidR="00D72D14" w:rsidRPr="00B84C52" w:rsidRDefault="00D72D14" w:rsidP="003172D4">
            <w:pPr>
              <w:pStyle w:val="TableTextLeft"/>
            </w:pPr>
            <w:r w:rsidRPr="00B84C52">
              <w:t>Proportion of people who have trust in police</w:t>
            </w:r>
            <w:r w:rsidRPr="00C239AD">
              <w:rPr>
                <w:rStyle w:val="TableFootnoteReference"/>
              </w:rPr>
              <w:t>(a)</w:t>
            </w:r>
            <w:r w:rsidRPr="00B84C52">
              <w:t xml:space="preserve"> </w:t>
            </w:r>
          </w:p>
        </w:tc>
        <w:tc>
          <w:tcPr>
            <w:tcW w:w="2552" w:type="dxa"/>
            <w:vMerge/>
            <w:tcBorders>
              <w:top w:val="single" w:sz="4" w:space="0" w:color="EEEEEE" w:themeColor="background2"/>
            </w:tcBorders>
          </w:tcPr>
          <w:p w14:paraId="16E74AB2" w14:textId="77777777" w:rsidR="00D72D14" w:rsidRPr="00B84C52" w:rsidRDefault="00D72D14" w:rsidP="003172D4">
            <w:pPr>
              <w:pStyle w:val="TableTextLeft"/>
            </w:pPr>
          </w:p>
        </w:tc>
        <w:tc>
          <w:tcPr>
            <w:tcW w:w="1418" w:type="dxa"/>
            <w:tcBorders>
              <w:top w:val="single" w:sz="4" w:space="0" w:color="EEEEEE" w:themeColor="background2"/>
            </w:tcBorders>
          </w:tcPr>
          <w:p w14:paraId="1DE30166" w14:textId="15A07334" w:rsidR="00D72D14" w:rsidRPr="009764EE" w:rsidRDefault="00D72D14" w:rsidP="003172D4">
            <w:pPr>
              <w:pStyle w:val="TableTextCentered"/>
              <w:rPr>
                <w:rFonts w:eastAsia="Century Gothic"/>
              </w:rPr>
            </w:pPr>
            <w:r w:rsidRPr="009764EE">
              <w:rPr>
                <w:rFonts w:eastAsia="Century Gothic"/>
              </w:rPr>
              <w:t>Stable</w:t>
            </w:r>
          </w:p>
          <w:p w14:paraId="422952B3" w14:textId="0345A2CA" w:rsidR="00D72D14" w:rsidRPr="003172D4" w:rsidRDefault="00D72D14" w:rsidP="003172D4">
            <w:pPr>
              <w:pStyle w:val="TableTextCentered"/>
            </w:pPr>
            <w:r w:rsidRPr="009764EE">
              <w:t>2019</w:t>
            </w:r>
            <w:r w:rsidR="00437C4C">
              <w:softHyphen/>
            </w:r>
            <w:r w:rsidR="00620078">
              <w:t>–</w:t>
            </w:r>
            <w:r w:rsidRPr="009764EE">
              <w:t>2020</w:t>
            </w:r>
          </w:p>
        </w:tc>
        <w:tc>
          <w:tcPr>
            <w:tcW w:w="1418" w:type="dxa"/>
            <w:tcBorders>
              <w:top w:val="single" w:sz="4" w:space="0" w:color="EEEEEE" w:themeColor="background2"/>
            </w:tcBorders>
          </w:tcPr>
          <w:p w14:paraId="48C6D224" w14:textId="77777777" w:rsidR="00D72D14" w:rsidRPr="009764EE" w:rsidRDefault="00D72D14" w:rsidP="003172D4">
            <w:pPr>
              <w:pStyle w:val="TableTextCentered"/>
            </w:pPr>
            <w:r w:rsidRPr="009764EE">
              <w:t>79.3%</w:t>
            </w:r>
          </w:p>
          <w:p w14:paraId="4656742B" w14:textId="156F1F9B" w:rsidR="00D72D14" w:rsidRPr="009764EE" w:rsidRDefault="00D72D14" w:rsidP="003172D4">
            <w:pPr>
              <w:pStyle w:val="TableTextCentered"/>
            </w:pPr>
            <w:r w:rsidRPr="009764EE">
              <w:t>Police</w:t>
            </w:r>
          </w:p>
        </w:tc>
      </w:tr>
      <w:tr w:rsidR="00676355" w:rsidRPr="009764EE" w14:paraId="382DC9A6" w14:textId="77777777" w:rsidTr="00B86EEB">
        <w:trPr>
          <w:trHeight w:val="985"/>
        </w:trPr>
        <w:tc>
          <w:tcPr>
            <w:tcW w:w="1134" w:type="dxa"/>
          </w:tcPr>
          <w:p w14:paraId="38EC1781" w14:textId="12F69BFB" w:rsidR="00280B27" w:rsidRPr="00B86EEB" w:rsidRDefault="00280B27" w:rsidP="003172D4">
            <w:pPr>
              <w:pStyle w:val="TableTextLeft"/>
              <w:rPr>
                <w:rStyle w:val="Strong"/>
                <w:color w:val="082C44"/>
              </w:rPr>
            </w:pPr>
            <w:r w:rsidRPr="00B86EEB">
              <w:rPr>
                <w:rStyle w:val="Strong"/>
                <w:color w:val="082C44"/>
              </w:rPr>
              <w:t xml:space="preserve">Trust in Australian </w:t>
            </w:r>
            <w:r w:rsidR="00A21AE5" w:rsidRPr="00B86EEB">
              <w:rPr>
                <w:rStyle w:val="Strong"/>
                <w:color w:val="082C44"/>
              </w:rPr>
              <w:t>p</w:t>
            </w:r>
            <w:r w:rsidRPr="00B86EEB">
              <w:rPr>
                <w:rStyle w:val="Strong"/>
                <w:color w:val="082C44"/>
              </w:rPr>
              <w:t xml:space="preserve">ublic services </w:t>
            </w:r>
          </w:p>
        </w:tc>
        <w:tc>
          <w:tcPr>
            <w:tcW w:w="2552" w:type="dxa"/>
          </w:tcPr>
          <w:p w14:paraId="652AC2DF" w14:textId="5D6CD88B" w:rsidR="00280B27" w:rsidRPr="00B84C52" w:rsidRDefault="00280B27" w:rsidP="003172D4">
            <w:pPr>
              <w:pStyle w:val="TableTextLeft"/>
            </w:pPr>
            <w:r w:rsidRPr="00B84C52">
              <w:t>Proportion of people who trust in Australian public services</w:t>
            </w:r>
            <w:r w:rsidRPr="00C239AD">
              <w:rPr>
                <w:rStyle w:val="TableFootnoteReference"/>
              </w:rPr>
              <w:t>(b)</w:t>
            </w:r>
            <w:r w:rsidRPr="00B84C52">
              <w:t xml:space="preserve"> </w:t>
            </w:r>
          </w:p>
        </w:tc>
        <w:tc>
          <w:tcPr>
            <w:tcW w:w="2552" w:type="dxa"/>
          </w:tcPr>
          <w:p w14:paraId="3482C00D" w14:textId="593B9AB2" w:rsidR="00280B27" w:rsidRPr="00B84C52" w:rsidRDefault="00280B27" w:rsidP="003172D4">
            <w:pPr>
              <w:pStyle w:val="TableTextLeft"/>
            </w:pPr>
            <w:r w:rsidRPr="00B84C52">
              <w:t xml:space="preserve">Whether </w:t>
            </w:r>
            <w:r w:rsidR="001B36F3" w:rsidRPr="00B84C52">
              <w:t xml:space="preserve">people </w:t>
            </w:r>
            <w:r w:rsidRPr="00B84C52">
              <w:t xml:space="preserve">trust the public services to be reliable and conduct their service with integrity </w:t>
            </w:r>
          </w:p>
        </w:tc>
        <w:tc>
          <w:tcPr>
            <w:tcW w:w="1418" w:type="dxa"/>
          </w:tcPr>
          <w:p w14:paraId="4B15D3ED" w14:textId="26E03045" w:rsidR="00443CB7" w:rsidRPr="003172D4" w:rsidRDefault="001B7871" w:rsidP="003172D4">
            <w:pPr>
              <w:pStyle w:val="TableTextCentered"/>
              <w:rPr>
                <w:rFonts w:eastAsia="Century Gothic"/>
              </w:rPr>
            </w:pPr>
            <w:r w:rsidRPr="009764EE">
              <w:t>Improved</w:t>
            </w:r>
          </w:p>
          <w:p w14:paraId="3C48491A" w14:textId="1E861B41" w:rsidR="00280B27" w:rsidRPr="009764EE" w:rsidRDefault="001F3421" w:rsidP="003172D4">
            <w:pPr>
              <w:pStyle w:val="TableTextCentered"/>
              <w:rPr>
                <w:rFonts w:eastAsia="Century Gothic"/>
              </w:rPr>
            </w:pPr>
            <w:r w:rsidRPr="009764EE">
              <w:t>2019</w:t>
            </w:r>
            <w:r w:rsidR="00516A83">
              <w:t>–</w:t>
            </w:r>
            <w:r w:rsidR="00437C4C">
              <w:softHyphen/>
            </w:r>
            <w:r w:rsidR="00280B27" w:rsidRPr="009764EE">
              <w:t>2022</w:t>
            </w:r>
          </w:p>
        </w:tc>
        <w:tc>
          <w:tcPr>
            <w:tcW w:w="1418" w:type="dxa"/>
          </w:tcPr>
          <w:p w14:paraId="1836CE02" w14:textId="251B58C3" w:rsidR="00280B27" w:rsidRPr="009764EE" w:rsidRDefault="00280B27" w:rsidP="003172D4">
            <w:pPr>
              <w:pStyle w:val="TableTextCentered"/>
            </w:pPr>
            <w:r w:rsidRPr="009764EE">
              <w:t>61</w:t>
            </w:r>
            <w:r w:rsidR="00BB09AA" w:rsidRPr="009764EE">
              <w:t>.0</w:t>
            </w:r>
            <w:r w:rsidRPr="009764EE">
              <w:t>%</w:t>
            </w:r>
          </w:p>
        </w:tc>
      </w:tr>
      <w:tr w:rsidR="00676355" w:rsidRPr="009764EE" w14:paraId="15AABE89" w14:textId="77777777" w:rsidTr="00B86EEB">
        <w:trPr>
          <w:trHeight w:val="270"/>
        </w:trPr>
        <w:tc>
          <w:tcPr>
            <w:tcW w:w="1134" w:type="dxa"/>
          </w:tcPr>
          <w:p w14:paraId="0AE5184B" w14:textId="3C20FDE5" w:rsidR="00280B27" w:rsidRPr="00B86EEB" w:rsidRDefault="00280B27" w:rsidP="003172D4">
            <w:pPr>
              <w:pStyle w:val="TableTextLeft"/>
              <w:rPr>
                <w:rStyle w:val="Strong"/>
                <w:color w:val="082C44"/>
              </w:rPr>
            </w:pPr>
            <w:r w:rsidRPr="00B86EEB">
              <w:rPr>
                <w:rStyle w:val="Strong"/>
                <w:color w:val="082C44"/>
              </w:rPr>
              <w:t>Trust in national</w:t>
            </w:r>
            <w:r w:rsidR="00D02128" w:rsidRPr="00B86EEB">
              <w:rPr>
                <w:rStyle w:val="Strong"/>
                <w:color w:val="082C44"/>
              </w:rPr>
              <w:t xml:space="preserve"> </w:t>
            </w:r>
            <w:r w:rsidR="00A21AE5" w:rsidRPr="00B86EEB">
              <w:rPr>
                <w:rStyle w:val="Strong"/>
                <w:color w:val="082C44"/>
              </w:rPr>
              <w:t>g</w:t>
            </w:r>
            <w:r w:rsidRPr="00B86EEB">
              <w:rPr>
                <w:rStyle w:val="Strong"/>
                <w:color w:val="082C44"/>
              </w:rPr>
              <w:t xml:space="preserve">overnment </w:t>
            </w:r>
          </w:p>
        </w:tc>
        <w:tc>
          <w:tcPr>
            <w:tcW w:w="2552" w:type="dxa"/>
          </w:tcPr>
          <w:p w14:paraId="11E1BCBB" w14:textId="07378344" w:rsidR="00280B27" w:rsidRPr="00B84C52" w:rsidRDefault="00280B27" w:rsidP="003172D4">
            <w:pPr>
              <w:pStyle w:val="TableTextLeft"/>
            </w:pPr>
            <w:r w:rsidRPr="00B84C52">
              <w:t>Proportion of the population that express confidence in the national government</w:t>
            </w:r>
            <w:r w:rsidR="004D2D9A" w:rsidRPr="00C239AD">
              <w:rPr>
                <w:rStyle w:val="TableFootnoteReference"/>
              </w:rPr>
              <w:t>(c)</w:t>
            </w:r>
          </w:p>
        </w:tc>
        <w:tc>
          <w:tcPr>
            <w:tcW w:w="2552" w:type="dxa"/>
          </w:tcPr>
          <w:p w14:paraId="1C12105A" w14:textId="77777777" w:rsidR="00280B27" w:rsidRPr="00B84C52" w:rsidRDefault="00280B27" w:rsidP="003172D4">
            <w:pPr>
              <w:pStyle w:val="TableTextLeft"/>
            </w:pPr>
            <w:r w:rsidRPr="00B84C52">
              <w:t>Trust in government is linked to political participation, social cohesion and collaboration in tackling societal challenges</w:t>
            </w:r>
          </w:p>
        </w:tc>
        <w:tc>
          <w:tcPr>
            <w:tcW w:w="1418" w:type="dxa"/>
          </w:tcPr>
          <w:p w14:paraId="03FFFAC8" w14:textId="058FFA35" w:rsidR="00122255" w:rsidRPr="009764EE" w:rsidRDefault="00C50A09" w:rsidP="003172D4">
            <w:pPr>
              <w:pStyle w:val="TableTextCentered"/>
              <w:rPr>
                <w:rFonts w:eastAsia="Century Gothic"/>
              </w:rPr>
            </w:pPr>
            <w:r w:rsidRPr="009764EE">
              <w:t>Deteriorated</w:t>
            </w:r>
          </w:p>
          <w:p w14:paraId="2878B55B" w14:textId="60BCE1BC" w:rsidR="00280B27" w:rsidRPr="009764EE" w:rsidRDefault="00280B27" w:rsidP="003172D4">
            <w:pPr>
              <w:pStyle w:val="TableTextCentered"/>
              <w:rPr>
                <w:rFonts w:eastAsia="Century Gothic"/>
              </w:rPr>
            </w:pPr>
            <w:r w:rsidRPr="009764EE">
              <w:t>2006</w:t>
            </w:r>
            <w:r w:rsidR="00437C4C">
              <w:softHyphen/>
            </w:r>
            <w:r w:rsidR="00151999">
              <w:t>–</w:t>
            </w:r>
            <w:r w:rsidR="000E4229" w:rsidRPr="009764EE">
              <w:t>202</w:t>
            </w:r>
            <w:r w:rsidR="00EB74D9">
              <w:t>2</w:t>
            </w:r>
          </w:p>
        </w:tc>
        <w:tc>
          <w:tcPr>
            <w:tcW w:w="1418" w:type="dxa"/>
          </w:tcPr>
          <w:p w14:paraId="24FAA572" w14:textId="33458781" w:rsidR="00280B27" w:rsidRPr="009764EE" w:rsidRDefault="00EB74D9" w:rsidP="003172D4">
            <w:pPr>
              <w:pStyle w:val="TableTextCentered"/>
            </w:pPr>
            <w:r>
              <w:t>49</w:t>
            </w:r>
            <w:r w:rsidR="00C2250F" w:rsidRPr="009764EE">
              <w:t>.9</w:t>
            </w:r>
            <w:r w:rsidR="00280B27" w:rsidRPr="009764EE">
              <w:t>%</w:t>
            </w:r>
          </w:p>
        </w:tc>
      </w:tr>
      <w:tr w:rsidR="00676355" w:rsidRPr="009764EE" w14:paraId="08E631EA" w14:textId="77777777" w:rsidTr="00B86EEB">
        <w:trPr>
          <w:trHeight w:val="270"/>
        </w:trPr>
        <w:tc>
          <w:tcPr>
            <w:tcW w:w="1134" w:type="dxa"/>
          </w:tcPr>
          <w:p w14:paraId="3EA9C641" w14:textId="460716C2" w:rsidR="00280B27" w:rsidRPr="00B86EEB" w:rsidRDefault="00280B27" w:rsidP="00D97961">
            <w:pPr>
              <w:pStyle w:val="TableTextLeft"/>
              <w:rPr>
                <w:rStyle w:val="Strong"/>
                <w:color w:val="082C44"/>
              </w:rPr>
            </w:pPr>
            <w:r w:rsidRPr="00B86EEB">
              <w:rPr>
                <w:rStyle w:val="Strong"/>
                <w:color w:val="082C44"/>
              </w:rPr>
              <w:t>Representation in parliament</w:t>
            </w:r>
          </w:p>
        </w:tc>
        <w:tc>
          <w:tcPr>
            <w:tcW w:w="2552" w:type="dxa"/>
          </w:tcPr>
          <w:p w14:paraId="12277C2A" w14:textId="33F348C2" w:rsidR="00280B27" w:rsidRPr="00B84C52" w:rsidRDefault="00280B27" w:rsidP="00D97961">
            <w:pPr>
              <w:pStyle w:val="TableTextLeft"/>
            </w:pPr>
            <w:r w:rsidRPr="00B84C52">
              <w:t xml:space="preserve">Proportion of Federal Australian </w:t>
            </w:r>
            <w:r w:rsidR="0080615D" w:rsidRPr="00B84C52">
              <w:t>Parliamentarians</w:t>
            </w:r>
            <w:r w:rsidRPr="00B84C52">
              <w:t xml:space="preserve"> who are women</w:t>
            </w:r>
            <w:r w:rsidRPr="00C239AD">
              <w:rPr>
                <w:rStyle w:val="TableFootnoteReference"/>
              </w:rPr>
              <w:t>(d)</w:t>
            </w:r>
            <w:r w:rsidRPr="00B84C52">
              <w:t xml:space="preserve"> </w:t>
            </w:r>
          </w:p>
        </w:tc>
        <w:tc>
          <w:tcPr>
            <w:tcW w:w="2552" w:type="dxa"/>
          </w:tcPr>
          <w:p w14:paraId="0FD314DA" w14:textId="77777777" w:rsidR="00280B27" w:rsidRPr="00B84C52" w:rsidRDefault="00280B27" w:rsidP="00D97961">
            <w:pPr>
              <w:pStyle w:val="TableTextLeft"/>
            </w:pPr>
            <w:r w:rsidRPr="00B84C52">
              <w:t>Inclusivity of women in parliament relates to equality of representation political system</w:t>
            </w:r>
          </w:p>
        </w:tc>
        <w:tc>
          <w:tcPr>
            <w:tcW w:w="1418" w:type="dxa"/>
          </w:tcPr>
          <w:p w14:paraId="2B1080C6" w14:textId="629C46C7" w:rsidR="00FB267D" w:rsidRPr="003172D4" w:rsidRDefault="00443CB7" w:rsidP="003172D4">
            <w:pPr>
              <w:pStyle w:val="TableTextCentered"/>
              <w:rPr>
                <w:rFonts w:eastAsia="Century Gothic"/>
              </w:rPr>
            </w:pPr>
            <w:r w:rsidRPr="009764EE">
              <w:t xml:space="preserve">Improved </w:t>
            </w:r>
          </w:p>
          <w:p w14:paraId="6BE19CA5" w14:textId="5A20AF84" w:rsidR="00280B27" w:rsidRPr="009764EE" w:rsidRDefault="00280B27" w:rsidP="00D97961">
            <w:pPr>
              <w:pStyle w:val="TableTextCentered"/>
              <w:rPr>
                <w:rFonts w:eastAsia="Century Gothic"/>
              </w:rPr>
            </w:pPr>
            <w:r w:rsidRPr="009764EE">
              <w:t>20</w:t>
            </w:r>
            <w:r w:rsidR="00584EED" w:rsidRPr="009764EE">
              <w:t>0</w:t>
            </w:r>
            <w:r w:rsidRPr="009764EE">
              <w:t>2</w:t>
            </w:r>
            <w:r w:rsidR="00151999">
              <w:t>–</w:t>
            </w:r>
            <w:r w:rsidR="00437C4C">
              <w:softHyphen/>
            </w:r>
            <w:r w:rsidR="00D6766E" w:rsidRPr="009764EE">
              <w:t>2023</w:t>
            </w:r>
          </w:p>
        </w:tc>
        <w:tc>
          <w:tcPr>
            <w:tcW w:w="1418" w:type="dxa"/>
          </w:tcPr>
          <w:p w14:paraId="7FF3B58F" w14:textId="77777777" w:rsidR="00B161C5" w:rsidRPr="009764EE" w:rsidRDefault="006223D0" w:rsidP="00D97961">
            <w:pPr>
              <w:pStyle w:val="TableTextCentered"/>
            </w:pPr>
            <w:r w:rsidRPr="009764EE">
              <w:t>45.1</w:t>
            </w:r>
            <w:r w:rsidR="00280B27" w:rsidRPr="009764EE">
              <w:t>%</w:t>
            </w:r>
            <w:r w:rsidRPr="009764EE">
              <w:t xml:space="preserve"> </w:t>
            </w:r>
          </w:p>
          <w:p w14:paraId="35543D92" w14:textId="099B319F" w:rsidR="00280B27" w:rsidRPr="009764EE" w:rsidRDefault="006223D0" w:rsidP="003172D4">
            <w:pPr>
              <w:pStyle w:val="TableTextCentered"/>
            </w:pPr>
            <w:r w:rsidRPr="009764EE">
              <w:t>May 2023</w:t>
            </w:r>
          </w:p>
        </w:tc>
      </w:tr>
    </w:tbl>
    <w:p w14:paraId="27D1DB16" w14:textId="131EFF46" w:rsidR="00280B27" w:rsidRPr="00516A83" w:rsidRDefault="00280B27" w:rsidP="00516A83">
      <w:pPr>
        <w:pStyle w:val="ChartorTableNote"/>
      </w:pPr>
      <w:r w:rsidRPr="00516A83">
        <w:t>Source:</w:t>
      </w:r>
      <w:r w:rsidR="00D97961" w:rsidRPr="00516A83">
        <w:tab/>
      </w:r>
      <w:r w:rsidRPr="00516A83">
        <w:t xml:space="preserve">(a) ABS General Social Survey </w:t>
      </w:r>
      <w:r w:rsidR="002E393D" w:rsidRPr="00516A83">
        <w:br/>
      </w:r>
      <w:r w:rsidRPr="00516A83">
        <w:t xml:space="preserve">(b) </w:t>
      </w:r>
      <w:r w:rsidR="005D698C" w:rsidRPr="00516A83">
        <w:t>Department of the Prime Minister and Cabinet, survey of Trust in Australian public services, 2019</w:t>
      </w:r>
      <w:r w:rsidR="00437C4C" w:rsidRPr="00516A83">
        <w:softHyphen/>
      </w:r>
      <w:r w:rsidR="00151999" w:rsidRPr="00516A83">
        <w:t>–</w:t>
      </w:r>
      <w:r w:rsidR="005D698C" w:rsidRPr="00516A83">
        <w:t>2022</w:t>
      </w:r>
      <w:r w:rsidRPr="00516A83">
        <w:t xml:space="preserve"> </w:t>
      </w:r>
      <w:r w:rsidR="002E393D" w:rsidRPr="00516A83">
        <w:br/>
      </w:r>
      <w:r w:rsidRPr="00516A83">
        <w:t xml:space="preserve">(c) </w:t>
      </w:r>
      <w:r w:rsidR="001A0C10" w:rsidRPr="00516A83">
        <w:t>OECD</w:t>
      </w:r>
      <w:r w:rsidR="005D19F8" w:rsidRPr="00516A83">
        <w:t xml:space="preserve"> How</w:t>
      </w:r>
      <w:r w:rsidR="00135DEA" w:rsidRPr="00516A83">
        <w:t>’</w:t>
      </w:r>
      <w:r w:rsidR="005D19F8" w:rsidRPr="00516A83">
        <w:t>s Life? Well</w:t>
      </w:r>
      <w:r w:rsidR="00135DEA" w:rsidRPr="00516A83">
        <w:noBreakHyphen/>
      </w:r>
      <w:r w:rsidR="005D19F8" w:rsidRPr="00516A83">
        <w:t>being database</w:t>
      </w:r>
      <w:r w:rsidRPr="00516A83">
        <w:t xml:space="preserve"> </w:t>
      </w:r>
      <w:r w:rsidR="002C5C3D" w:rsidRPr="00516A83">
        <w:br/>
      </w:r>
      <w:r w:rsidRPr="00516A83">
        <w:t xml:space="preserve">(d) </w:t>
      </w:r>
      <w:r w:rsidR="00E72BDF" w:rsidRPr="00516A83">
        <w:t>Australian Parliamentary Library</w:t>
      </w:r>
      <w:r w:rsidR="00B4174A" w:rsidRPr="00516A83">
        <w:t xml:space="preserve"> and ABS Gender Indicators</w:t>
      </w:r>
    </w:p>
    <w:p w14:paraId="505461FB" w14:textId="77777777" w:rsidR="00F82B4A" w:rsidRPr="00516A83" w:rsidRDefault="00AC74B2" w:rsidP="00516A83">
      <w:pPr>
        <w:pStyle w:val="ChartorTableNote"/>
      </w:pPr>
      <w:r w:rsidRPr="00516A83">
        <w:t>N</w:t>
      </w:r>
      <w:r w:rsidR="00F82B4A" w:rsidRPr="00516A83">
        <w:t>ote:</w:t>
      </w:r>
      <w:r w:rsidR="00D97961" w:rsidRPr="00516A83">
        <w:tab/>
      </w:r>
      <w:r w:rsidR="003824F8" w:rsidRPr="00516A83">
        <w:t xml:space="preserve">(i) </w:t>
      </w:r>
      <w:r w:rsidR="00F82B4A" w:rsidRPr="00516A83">
        <w:t xml:space="preserve">Unless specified the latest value is the last data point in the </w:t>
      </w:r>
      <w:r w:rsidR="008A38C3" w:rsidRPr="00516A83">
        <w:t>series</w:t>
      </w:r>
      <w:r w:rsidR="00F82B4A" w:rsidRPr="00516A83">
        <w:t>.</w:t>
      </w:r>
    </w:p>
    <w:p w14:paraId="729F786E" w14:textId="77777777" w:rsidR="003172D4" w:rsidRDefault="003172D4" w:rsidP="003172D4"/>
    <w:p w14:paraId="35779EF9" w14:textId="2FB94BD8" w:rsidR="003172D4" w:rsidRPr="003172D4" w:rsidRDefault="003172D4" w:rsidP="003172D4">
      <w:pPr>
        <w:sectPr w:rsidR="003172D4" w:rsidRPr="003172D4" w:rsidSect="00DA302B">
          <w:endnotePr>
            <w:numFmt w:val="decimal"/>
          </w:endnotePr>
          <w:type w:val="continuous"/>
          <w:pgSz w:w="11906" w:h="16838" w:code="9"/>
          <w:pgMar w:top="1843" w:right="1418" w:bottom="1418" w:left="1418" w:header="851" w:footer="851" w:gutter="0"/>
          <w:cols w:space="567"/>
          <w:docGrid w:linePitch="360"/>
        </w:sectPr>
      </w:pPr>
    </w:p>
    <w:p w14:paraId="4FD08DAF" w14:textId="6BA5F756" w:rsidR="00280B27" w:rsidRPr="00651526" w:rsidRDefault="00280B27" w:rsidP="00651526">
      <w:r w:rsidRPr="00651526">
        <w:t xml:space="preserve">People have more satisfying lives when they live in an environment </w:t>
      </w:r>
      <w:r w:rsidR="00F21923" w:rsidRPr="00651526">
        <w:t xml:space="preserve">where they have </w:t>
      </w:r>
      <w:r w:rsidRPr="00651526">
        <w:t>trust in each other</w:t>
      </w:r>
      <w:r w:rsidR="004A7500" w:rsidRPr="00651526">
        <w:t xml:space="preserve"> and their institutions, and where those</w:t>
      </w:r>
      <w:r w:rsidRPr="00651526">
        <w:t xml:space="preserve"> </w:t>
      </w:r>
      <w:r w:rsidR="00F21923" w:rsidRPr="00651526">
        <w:t>institutions are strong and effective</w:t>
      </w:r>
      <w:r w:rsidRPr="00651526">
        <w:t>.</w:t>
      </w:r>
      <w:r w:rsidR="002F6F96" w:rsidRPr="009764EE">
        <w:rPr>
          <w:rFonts w:ascii="Calibri" w:hAnsi="Calibri" w:cs="Calibri"/>
        </w:rPr>
        <w:t xml:space="preserve"> </w:t>
      </w:r>
      <w:r w:rsidR="002F6F96" w:rsidRPr="00651526">
        <w:t xml:space="preserve">Trust also creates the conditions necessary </w:t>
      </w:r>
      <w:r w:rsidRPr="00651526">
        <w:t xml:space="preserve">for a society to make progress in pursuing policy that can improve the wellbeing of all people. </w:t>
      </w:r>
    </w:p>
    <w:p w14:paraId="61F626AD" w14:textId="17B28638" w:rsidR="00434705" w:rsidRPr="00651526" w:rsidRDefault="00434705" w:rsidP="00651526">
      <w:r w:rsidRPr="00651526">
        <w:t xml:space="preserve">The following </w:t>
      </w:r>
      <w:r w:rsidR="00B715B6" w:rsidRPr="00651526">
        <w:t xml:space="preserve">metrics will help us to </w:t>
      </w:r>
      <w:r w:rsidR="00701F4E" w:rsidRPr="00651526">
        <w:t xml:space="preserve">measure progress in maintaining trust </w:t>
      </w:r>
      <w:r w:rsidR="000B6386" w:rsidRPr="00651526">
        <w:t>across our society</w:t>
      </w:r>
      <w:r w:rsidR="00C920F1" w:rsidRPr="00651526">
        <w:t xml:space="preserve"> </w:t>
      </w:r>
      <w:r w:rsidR="00701F4E" w:rsidRPr="00651526">
        <w:t>according to five key indicators: trust in others, institutions, public services</w:t>
      </w:r>
      <w:r w:rsidR="002B51B3" w:rsidRPr="00651526">
        <w:t>, national</w:t>
      </w:r>
      <w:r w:rsidR="00701F4E" w:rsidRPr="00651526">
        <w:t xml:space="preserve"> government, and representation in parliament. </w:t>
      </w:r>
    </w:p>
    <w:p w14:paraId="4516AABE" w14:textId="07A4E32A" w:rsidR="00434705" w:rsidRPr="009764EE" w:rsidRDefault="00280B27" w:rsidP="00E72BDF">
      <w:pPr>
        <w:pStyle w:val="Heading3"/>
        <w:rPr>
          <w:rFonts w:cs="Calibri"/>
        </w:rPr>
      </w:pPr>
      <w:r w:rsidRPr="009764EE">
        <w:rPr>
          <w:rFonts w:cs="Calibri"/>
        </w:rPr>
        <w:t>Trust in others</w:t>
      </w:r>
    </w:p>
    <w:p w14:paraId="4E967CC4" w14:textId="5C89A156" w:rsidR="00280B27" w:rsidRPr="009764EE" w:rsidRDefault="00280B27" w:rsidP="00651526">
      <w:pPr>
        <w:rPr>
          <w:lang w:val="en-GB"/>
        </w:rPr>
      </w:pPr>
      <w:r w:rsidRPr="009764EE">
        <w:rPr>
          <w:lang w:val="en-GB"/>
        </w:rPr>
        <w:t>In 2020, 3 out of 5 Australians reported having general trust in others</w:t>
      </w:r>
      <w:r w:rsidR="001524A0">
        <w:rPr>
          <w:lang w:val="en-GB"/>
        </w:rPr>
        <w:t xml:space="preserve"> – </w:t>
      </w:r>
      <w:r w:rsidRPr="009764EE">
        <w:rPr>
          <w:lang w:val="en-GB"/>
        </w:rPr>
        <w:t>slight</w:t>
      </w:r>
      <w:r w:rsidR="00CA661A" w:rsidRPr="009764EE">
        <w:rPr>
          <w:lang w:val="en-GB"/>
        </w:rPr>
        <w:t>ly</w:t>
      </w:r>
      <w:r w:rsidRPr="009764EE">
        <w:rPr>
          <w:lang w:val="en-GB"/>
        </w:rPr>
        <w:t xml:space="preserve"> higher than the </w:t>
      </w:r>
      <w:r w:rsidRPr="009764EE">
        <w:rPr>
          <w:lang w:val="en-GB"/>
        </w:rPr>
        <w:t>previous year of more than half (55.6</w:t>
      </w:r>
      <w:r w:rsidR="001524A0">
        <w:rPr>
          <w:lang w:val="en-GB"/>
        </w:rPr>
        <w:t> per c</w:t>
      </w:r>
      <w:r w:rsidRPr="009764EE">
        <w:rPr>
          <w:lang w:val="en-GB"/>
        </w:rPr>
        <w:t>ent).</w:t>
      </w:r>
      <w:r w:rsidR="008301D4" w:rsidRPr="005049F1">
        <w:rPr>
          <w:rStyle w:val="FootnoteReference"/>
        </w:rPr>
        <w:endnoteReference w:id="63"/>
      </w:r>
      <w:r w:rsidRPr="009764EE">
        <w:rPr>
          <w:lang w:val="en-GB"/>
        </w:rPr>
        <w:t xml:space="preserve"> </w:t>
      </w:r>
      <w:r w:rsidR="005344F8" w:rsidRPr="009764EE">
        <w:rPr>
          <w:lang w:val="en-GB"/>
        </w:rPr>
        <w:t xml:space="preserve">Trust </w:t>
      </w:r>
      <w:r w:rsidR="005270C5" w:rsidRPr="009764EE">
        <w:rPr>
          <w:lang w:val="en-GB"/>
        </w:rPr>
        <w:t xml:space="preserve">in others </w:t>
      </w:r>
      <w:r w:rsidR="00EB6553" w:rsidRPr="009764EE">
        <w:rPr>
          <w:lang w:val="en-GB"/>
        </w:rPr>
        <w:t xml:space="preserve">has increased since 2006, from </w:t>
      </w:r>
      <w:r w:rsidR="006E059B" w:rsidRPr="009764EE">
        <w:rPr>
          <w:lang w:val="en-GB"/>
        </w:rPr>
        <w:t>54.1</w:t>
      </w:r>
      <w:r w:rsidR="001524A0">
        <w:rPr>
          <w:lang w:val="en-GB"/>
        </w:rPr>
        <w:t> per c</w:t>
      </w:r>
      <w:r w:rsidR="006E059B" w:rsidRPr="009764EE">
        <w:rPr>
          <w:lang w:val="en-GB"/>
        </w:rPr>
        <w:t xml:space="preserve">ent to </w:t>
      </w:r>
      <w:r w:rsidR="00BA2845" w:rsidRPr="009764EE">
        <w:rPr>
          <w:lang w:val="en-GB"/>
        </w:rPr>
        <w:t>61.4</w:t>
      </w:r>
      <w:r w:rsidR="001524A0">
        <w:rPr>
          <w:lang w:val="en-GB"/>
        </w:rPr>
        <w:t> per c</w:t>
      </w:r>
      <w:r w:rsidR="00BA2845" w:rsidRPr="009764EE">
        <w:rPr>
          <w:lang w:val="en-GB"/>
        </w:rPr>
        <w:t xml:space="preserve">ent in 2020. </w:t>
      </w:r>
      <w:r w:rsidRPr="009764EE">
        <w:rPr>
          <w:lang w:val="en-GB"/>
        </w:rPr>
        <w:t>Older people aged 70</w:t>
      </w:r>
      <w:r w:rsidR="00C239AD">
        <w:rPr>
          <w:lang w:val="en-GB"/>
        </w:rPr>
        <w:t> year</w:t>
      </w:r>
      <w:r w:rsidRPr="009764EE">
        <w:rPr>
          <w:lang w:val="en-GB"/>
        </w:rPr>
        <w:t>s and over are more likely to trust others compared to younger people (aged 15</w:t>
      </w:r>
      <w:r w:rsidR="00151999">
        <w:t>–</w:t>
      </w:r>
      <w:r w:rsidR="00437C4C">
        <w:rPr>
          <w:lang w:val="en-GB"/>
        </w:rPr>
        <w:softHyphen/>
      </w:r>
      <w:r w:rsidRPr="009764EE">
        <w:rPr>
          <w:lang w:val="en-GB"/>
        </w:rPr>
        <w:t>24)</w:t>
      </w:r>
      <w:r w:rsidR="00053EF8" w:rsidRPr="009764EE">
        <w:rPr>
          <w:lang w:val="en-GB"/>
        </w:rPr>
        <w:t>.</w:t>
      </w:r>
      <w:r w:rsidRPr="009764EE">
        <w:rPr>
          <w:rFonts w:ascii="Calibri" w:hAnsi="Calibri" w:cs="Calibri"/>
          <w:lang w:val="en-GB"/>
        </w:rPr>
        <w:t xml:space="preserve"> </w:t>
      </w:r>
    </w:p>
    <w:p w14:paraId="7E3D5838" w14:textId="7FCDBEFB" w:rsidR="00280B27" w:rsidRPr="009764EE" w:rsidRDefault="00280B27" w:rsidP="00E72BDF">
      <w:pPr>
        <w:pStyle w:val="Heading3"/>
        <w:rPr>
          <w:rFonts w:cs="Calibri"/>
        </w:rPr>
      </w:pPr>
      <w:r w:rsidRPr="009764EE">
        <w:rPr>
          <w:rFonts w:cs="Calibri"/>
        </w:rPr>
        <w:t xml:space="preserve">Trust in </w:t>
      </w:r>
      <w:r w:rsidR="00150FDF" w:rsidRPr="009764EE">
        <w:rPr>
          <w:rFonts w:cs="Calibri"/>
        </w:rPr>
        <w:t xml:space="preserve">key </w:t>
      </w:r>
      <w:r w:rsidRPr="009764EE">
        <w:rPr>
          <w:rFonts w:cs="Calibri"/>
        </w:rPr>
        <w:t xml:space="preserve">institutions </w:t>
      </w:r>
    </w:p>
    <w:p w14:paraId="4B68D527" w14:textId="26D268F6" w:rsidR="00B77D7B" w:rsidRPr="009764EE" w:rsidRDefault="00B77D7B" w:rsidP="00651526">
      <w:pPr>
        <w:rPr>
          <w:lang w:val="en-GB"/>
        </w:rPr>
      </w:pPr>
      <w:r w:rsidRPr="009764EE" w:rsidDel="00EF0621">
        <w:rPr>
          <w:lang w:val="en-GB"/>
        </w:rPr>
        <w:t xml:space="preserve">Currently, we have two metrics which </w:t>
      </w:r>
      <w:r w:rsidRPr="009764EE" w:rsidDel="00A41EE0">
        <w:rPr>
          <w:lang w:val="en-GB"/>
        </w:rPr>
        <w:t>can help us to get</w:t>
      </w:r>
      <w:r w:rsidRPr="009764EE" w:rsidDel="00EF0621">
        <w:rPr>
          <w:lang w:val="en-GB"/>
        </w:rPr>
        <w:t xml:space="preserve"> </w:t>
      </w:r>
      <w:r w:rsidRPr="009764EE" w:rsidDel="00887865">
        <w:rPr>
          <w:lang w:val="en-GB"/>
        </w:rPr>
        <w:t xml:space="preserve">a sense of </w:t>
      </w:r>
      <w:r w:rsidRPr="009764EE">
        <w:rPr>
          <w:lang w:val="en-GB"/>
        </w:rPr>
        <w:t xml:space="preserve">whether </w:t>
      </w:r>
      <w:r w:rsidR="00887865" w:rsidRPr="009764EE">
        <w:rPr>
          <w:lang w:val="en-GB"/>
        </w:rPr>
        <w:t xml:space="preserve">Australians trust key </w:t>
      </w:r>
      <w:r w:rsidRPr="009764EE">
        <w:rPr>
          <w:lang w:val="en-GB"/>
        </w:rPr>
        <w:t>institutions. These</w:t>
      </w:r>
      <w:r w:rsidR="00887865" w:rsidRPr="009764EE">
        <w:rPr>
          <w:lang w:val="en-GB"/>
        </w:rPr>
        <w:t xml:space="preserve"> </w:t>
      </w:r>
      <w:r w:rsidRPr="009764EE">
        <w:rPr>
          <w:lang w:val="en-GB"/>
        </w:rPr>
        <w:t xml:space="preserve">are </w:t>
      </w:r>
      <w:r w:rsidR="003366AC" w:rsidRPr="009764EE">
        <w:rPr>
          <w:lang w:val="en-GB"/>
        </w:rPr>
        <w:t>the extent to which people</w:t>
      </w:r>
      <w:r w:rsidRPr="009764EE">
        <w:rPr>
          <w:lang w:val="en-GB"/>
        </w:rPr>
        <w:t xml:space="preserve"> trust in the police and </w:t>
      </w:r>
      <w:r w:rsidR="00B84870" w:rsidRPr="009764EE">
        <w:rPr>
          <w:lang w:val="en-GB"/>
        </w:rPr>
        <w:t>our</w:t>
      </w:r>
      <w:r w:rsidRPr="009764EE">
        <w:rPr>
          <w:lang w:val="en-GB"/>
        </w:rPr>
        <w:t xml:space="preserve"> healthcare systems. </w:t>
      </w:r>
    </w:p>
    <w:p w14:paraId="38BDF64B" w14:textId="647A6984" w:rsidR="00B77D7B" w:rsidRPr="009764EE" w:rsidRDefault="00280B27" w:rsidP="00651526">
      <w:pPr>
        <w:rPr>
          <w:lang w:val="en-GB"/>
        </w:rPr>
      </w:pPr>
      <w:r w:rsidRPr="009764EE">
        <w:rPr>
          <w:lang w:val="en-GB"/>
        </w:rPr>
        <w:t xml:space="preserve">In 2020, nearly four in five </w:t>
      </w:r>
      <w:r w:rsidR="00AB33DF" w:rsidRPr="009764EE">
        <w:rPr>
          <w:lang w:val="en-GB"/>
        </w:rPr>
        <w:t>(79.3</w:t>
      </w:r>
      <w:r w:rsidR="001524A0">
        <w:rPr>
          <w:lang w:val="en-GB"/>
        </w:rPr>
        <w:t> per c</w:t>
      </w:r>
      <w:r w:rsidR="00AB33DF" w:rsidRPr="009764EE">
        <w:rPr>
          <w:lang w:val="en-GB"/>
        </w:rPr>
        <w:t xml:space="preserve">ent) </w:t>
      </w:r>
      <w:r w:rsidRPr="009764EE">
        <w:rPr>
          <w:lang w:val="en-GB"/>
        </w:rPr>
        <w:t xml:space="preserve">Australians agreed that the police can be </w:t>
      </w:r>
      <w:r w:rsidRPr="009764EE">
        <w:rPr>
          <w:lang w:val="en-GB"/>
        </w:rPr>
        <w:lastRenderedPageBreak/>
        <w:t>trusted</w:t>
      </w:r>
      <w:r w:rsidRPr="009764EE">
        <w:rPr>
          <w:color w:val="000000" w:themeColor="text1"/>
        </w:rPr>
        <w:t xml:space="preserve">, while more than </w:t>
      </w:r>
      <w:r w:rsidR="00915D1E" w:rsidRPr="009764EE">
        <w:rPr>
          <w:color w:val="000000" w:themeColor="text1"/>
        </w:rPr>
        <w:t>three quarters (</w:t>
      </w:r>
      <w:r w:rsidR="001060AE" w:rsidRPr="009764EE">
        <w:rPr>
          <w:color w:val="000000" w:themeColor="text1"/>
        </w:rPr>
        <w:t>76.4</w:t>
      </w:r>
      <w:r w:rsidR="001524A0">
        <w:rPr>
          <w:color w:val="000000" w:themeColor="text1"/>
        </w:rPr>
        <w:t> per c</w:t>
      </w:r>
      <w:r w:rsidRPr="009764EE">
        <w:rPr>
          <w:lang w:val="en-GB"/>
        </w:rPr>
        <w:t>ent</w:t>
      </w:r>
      <w:r w:rsidR="001060AE" w:rsidRPr="009764EE">
        <w:rPr>
          <w:lang w:val="en-GB"/>
        </w:rPr>
        <w:t>)</w:t>
      </w:r>
      <w:r w:rsidRPr="009764EE">
        <w:rPr>
          <w:lang w:val="en-GB"/>
        </w:rPr>
        <w:t xml:space="preserve"> </w:t>
      </w:r>
      <w:r w:rsidR="00A06C32" w:rsidRPr="009764EE">
        <w:t xml:space="preserve">trusted the healthcare </w:t>
      </w:r>
      <w:r w:rsidRPr="009764EE">
        <w:t>system</w:t>
      </w:r>
      <w:r w:rsidRPr="009764EE">
        <w:rPr>
          <w:lang w:val="en-GB"/>
        </w:rPr>
        <w:t xml:space="preserve">. </w:t>
      </w:r>
    </w:p>
    <w:p w14:paraId="1E3FB65E" w14:textId="624AA80E" w:rsidR="00F004D9" w:rsidRPr="009764EE" w:rsidRDefault="005151A5" w:rsidP="00651526">
      <w:pPr>
        <w:rPr>
          <w:lang w:val="en-GB"/>
        </w:rPr>
      </w:pPr>
      <w:r w:rsidRPr="009764EE">
        <w:rPr>
          <w:lang w:val="en-GB"/>
        </w:rPr>
        <w:t>T</w:t>
      </w:r>
      <w:r w:rsidR="00280B27" w:rsidRPr="009764EE">
        <w:rPr>
          <w:lang w:val="en-GB"/>
        </w:rPr>
        <w:t>here is some regional variation in levels of trust. For example,</w:t>
      </w:r>
      <w:r w:rsidR="00280B27" w:rsidRPr="009764EE">
        <w:rPr>
          <w:color w:val="000000" w:themeColor="text1"/>
        </w:rPr>
        <w:t xml:space="preserve"> t</w:t>
      </w:r>
      <w:r w:rsidR="00280B27" w:rsidRPr="009764EE">
        <w:rPr>
          <w:lang w:val="en-GB"/>
        </w:rPr>
        <w:t xml:space="preserve">rust in the healthcare system was higher in major cities </w:t>
      </w:r>
      <w:r w:rsidR="006929FD" w:rsidRPr="009764EE">
        <w:rPr>
          <w:lang w:val="en-GB"/>
        </w:rPr>
        <w:t>(77.6</w:t>
      </w:r>
      <w:r w:rsidR="001524A0">
        <w:rPr>
          <w:lang w:val="en-GB"/>
        </w:rPr>
        <w:t> per c</w:t>
      </w:r>
      <w:r w:rsidR="006929FD" w:rsidRPr="009764EE">
        <w:rPr>
          <w:lang w:val="en-GB"/>
        </w:rPr>
        <w:t xml:space="preserve">ent) </w:t>
      </w:r>
      <w:r w:rsidR="00280B27" w:rsidRPr="009764EE">
        <w:rPr>
          <w:lang w:val="en-GB"/>
        </w:rPr>
        <w:t xml:space="preserve">than </w:t>
      </w:r>
      <w:r w:rsidR="006929FD" w:rsidRPr="009764EE">
        <w:rPr>
          <w:lang w:val="en-GB"/>
        </w:rPr>
        <w:t xml:space="preserve">outer regional and </w:t>
      </w:r>
      <w:r w:rsidR="00280B27" w:rsidRPr="009764EE">
        <w:rPr>
          <w:lang w:val="en-GB"/>
        </w:rPr>
        <w:t>remote areas</w:t>
      </w:r>
      <w:r w:rsidR="006929FD" w:rsidRPr="009764EE">
        <w:rPr>
          <w:lang w:val="en-GB"/>
        </w:rPr>
        <w:t xml:space="preserve"> (69.6</w:t>
      </w:r>
      <w:r w:rsidR="001524A0">
        <w:rPr>
          <w:lang w:val="en-GB"/>
        </w:rPr>
        <w:t> per c</w:t>
      </w:r>
      <w:r w:rsidR="006929FD" w:rsidRPr="009764EE">
        <w:rPr>
          <w:lang w:val="en-GB"/>
        </w:rPr>
        <w:t>ent)</w:t>
      </w:r>
      <w:r w:rsidR="00280B27" w:rsidRPr="009764EE">
        <w:rPr>
          <w:lang w:val="en-GB"/>
        </w:rPr>
        <w:t>.</w:t>
      </w:r>
    </w:p>
    <w:p w14:paraId="3087C5AC" w14:textId="4AAC800D" w:rsidR="00280B27" w:rsidRPr="009764EE" w:rsidRDefault="00280B27" w:rsidP="000C1754">
      <w:pPr>
        <w:pStyle w:val="Heading3"/>
        <w:rPr>
          <w:lang w:val="en-GB"/>
        </w:rPr>
      </w:pPr>
      <w:r w:rsidRPr="009764EE">
        <w:t xml:space="preserve">Trust in </w:t>
      </w:r>
      <w:r w:rsidRPr="000C1754">
        <w:t>Australian</w:t>
      </w:r>
      <w:r w:rsidRPr="009764EE">
        <w:t xml:space="preserve"> public services</w:t>
      </w:r>
    </w:p>
    <w:p w14:paraId="600A75FC" w14:textId="033829CD" w:rsidR="000C1754" w:rsidRDefault="00280B27" w:rsidP="00651526">
      <w:r w:rsidRPr="00651526">
        <w:t xml:space="preserve">Trust in Australian public services is a signal </w:t>
      </w:r>
      <w:r w:rsidRPr="00651526" w:rsidDel="00062A93">
        <w:t xml:space="preserve">of </w:t>
      </w:r>
      <w:r w:rsidRPr="00651526">
        <w:t xml:space="preserve">good governance. In </w:t>
      </w:r>
      <w:r w:rsidR="00BA5845" w:rsidRPr="00651526">
        <w:t xml:space="preserve">June </w:t>
      </w:r>
      <w:r w:rsidRPr="00651526">
        <w:t>2022, 61</w:t>
      </w:r>
      <w:r w:rsidR="001524A0">
        <w:t> per c</w:t>
      </w:r>
      <w:r w:rsidRPr="00651526">
        <w:t xml:space="preserve">ent of Australians </w:t>
      </w:r>
      <w:r w:rsidR="004A6C47" w:rsidRPr="00651526">
        <w:t>agreed that they</w:t>
      </w:r>
      <w:r w:rsidR="004A6C47" w:rsidRPr="009764EE">
        <w:rPr>
          <w:rFonts w:ascii="Calibri" w:hAnsi="Calibri" w:cs="Calibri"/>
          <w:lang w:val="en-GB"/>
        </w:rPr>
        <w:t xml:space="preserve"> </w:t>
      </w:r>
      <w:r w:rsidRPr="00651526">
        <w:t>trust public services</w:t>
      </w:r>
      <w:r w:rsidR="001524A0">
        <w:t xml:space="preserve"> – </w:t>
      </w:r>
      <w:r w:rsidRPr="00651526">
        <w:t xml:space="preserve">compared to </w:t>
      </w:r>
      <w:r w:rsidR="006557C7" w:rsidRPr="00651526">
        <w:t>57</w:t>
      </w:r>
      <w:r w:rsidR="001524A0">
        <w:t> per c</w:t>
      </w:r>
      <w:r w:rsidR="001B7871" w:rsidRPr="00651526">
        <w:t xml:space="preserve">ent </w:t>
      </w:r>
      <w:r w:rsidRPr="00651526">
        <w:t>prior to the COVID</w:t>
      </w:r>
      <w:r w:rsidR="00135DEA">
        <w:noBreakHyphen/>
      </w:r>
      <w:r w:rsidRPr="00651526">
        <w:t>19 pandemic</w:t>
      </w:r>
      <w:r w:rsidR="00616913" w:rsidRPr="00651526">
        <w:t xml:space="preserve"> (June 2019)</w:t>
      </w:r>
      <w:r w:rsidRPr="00651526">
        <w:t>. Trust is high across all services, however, it does vary by</w:t>
      </w:r>
      <w:r w:rsidRPr="009764EE">
        <w:rPr>
          <w:rFonts w:ascii="Calibri" w:hAnsi="Calibri" w:cs="Calibri"/>
          <w:lang w:val="en-GB"/>
        </w:rPr>
        <w:t xml:space="preserve"> </w:t>
      </w:r>
      <w:r w:rsidRPr="00651526">
        <w:t>service agency and</w:t>
      </w:r>
      <w:r w:rsidRPr="009764EE">
        <w:rPr>
          <w:rFonts w:ascii="Calibri" w:hAnsi="Calibri" w:cs="Calibri"/>
          <w:lang w:val="en-GB"/>
        </w:rPr>
        <w:t xml:space="preserve"> </w:t>
      </w:r>
      <w:r w:rsidRPr="00651526">
        <w:t xml:space="preserve">also across life events. </w:t>
      </w:r>
      <w:r w:rsidRPr="00651526">
        <w:t>People who use public services express greater trust in the services than people who do</w:t>
      </w:r>
      <w:r w:rsidR="00CC07C5" w:rsidRPr="00651526">
        <w:t xml:space="preserve"> </w:t>
      </w:r>
      <w:r w:rsidRPr="00651526">
        <w:t>n</w:t>
      </w:r>
      <w:r w:rsidR="00CC07C5" w:rsidRPr="00651526">
        <w:t>o</w:t>
      </w:r>
      <w:r w:rsidRPr="00651526">
        <w:t>t.</w:t>
      </w:r>
      <w:r w:rsidRPr="005049F1">
        <w:rPr>
          <w:rStyle w:val="FootnoteReference"/>
        </w:rPr>
        <w:endnoteReference w:id="64"/>
      </w:r>
    </w:p>
    <w:p w14:paraId="03654BED" w14:textId="2C3DF5C6" w:rsidR="00280B27" w:rsidRPr="000C1754" w:rsidRDefault="00280B27" w:rsidP="000C1754">
      <w:pPr>
        <w:pStyle w:val="Heading3"/>
        <w:rPr>
          <w:rStyle w:val="Heading3Char"/>
          <w:b/>
        </w:rPr>
      </w:pPr>
      <w:r w:rsidRPr="000C1754">
        <w:rPr>
          <w:rStyle w:val="Heading3Char"/>
          <w:b/>
        </w:rPr>
        <w:t xml:space="preserve">Trust in national </w:t>
      </w:r>
      <w:r w:rsidR="00FE6735" w:rsidRPr="000C1754">
        <w:rPr>
          <w:rStyle w:val="Heading3Char"/>
          <w:b/>
        </w:rPr>
        <w:t>g</w:t>
      </w:r>
      <w:r w:rsidRPr="000C1754">
        <w:rPr>
          <w:rStyle w:val="Heading3Char"/>
          <w:b/>
        </w:rPr>
        <w:t xml:space="preserve">overnment </w:t>
      </w:r>
    </w:p>
    <w:p w14:paraId="31B25C85" w14:textId="033B774E" w:rsidR="00A10B04" w:rsidRPr="00651526" w:rsidRDefault="00280B27" w:rsidP="00651526">
      <w:r w:rsidRPr="00651526">
        <w:t xml:space="preserve">Trust in government measures the share of people aged 15 and over who report having confidence in the national government. </w:t>
      </w:r>
    </w:p>
    <w:p w14:paraId="44E808B0" w14:textId="269977F6" w:rsidR="007C644E" w:rsidRDefault="00280B27" w:rsidP="00651526">
      <w:pPr>
        <w:rPr>
          <w:rFonts w:ascii="Calibri" w:hAnsi="Calibri" w:cs="Calibri"/>
          <w:lang w:val="en-GB"/>
        </w:rPr>
      </w:pPr>
      <w:r w:rsidRPr="00651526">
        <w:t xml:space="preserve">Australia </w:t>
      </w:r>
      <w:r w:rsidR="00EC55AC" w:rsidRPr="00651526">
        <w:t xml:space="preserve">is ranked </w:t>
      </w:r>
      <w:r w:rsidR="006C1DEE" w:rsidRPr="00651526">
        <w:t>16</w:t>
      </w:r>
      <w:r w:rsidR="0090104F" w:rsidRPr="00651526">
        <w:t xml:space="preserve"> </w:t>
      </w:r>
      <w:r w:rsidR="006C1DEE" w:rsidRPr="00651526">
        <w:t>out of 38</w:t>
      </w:r>
      <w:r w:rsidR="0090104F" w:rsidRPr="00651526">
        <w:t xml:space="preserve"> and is </w:t>
      </w:r>
      <w:r w:rsidR="00BE589D" w:rsidRPr="00651526">
        <w:t xml:space="preserve">above </w:t>
      </w:r>
      <w:r w:rsidRPr="00651526">
        <w:t>the OECD average</w:t>
      </w:r>
      <w:r w:rsidR="00361A1A" w:rsidRPr="00651526">
        <w:t xml:space="preserve"> (43</w:t>
      </w:r>
      <w:r w:rsidR="001524A0">
        <w:t> per c</w:t>
      </w:r>
      <w:r w:rsidR="00361A1A" w:rsidRPr="00651526">
        <w:t>ent in 2020)</w:t>
      </w:r>
      <w:r w:rsidR="00463C65" w:rsidRPr="00651526">
        <w:t>.</w:t>
      </w:r>
      <w:r w:rsidR="00361A1A" w:rsidRPr="005049F1">
        <w:rPr>
          <w:rStyle w:val="FootnoteReference"/>
        </w:rPr>
        <w:endnoteReference w:id="65"/>
      </w:r>
      <w:r w:rsidR="00463C65" w:rsidRPr="009764EE">
        <w:rPr>
          <w:rFonts w:ascii="Calibri" w:hAnsi="Calibri" w:cs="Calibri"/>
          <w:lang w:val="en-GB"/>
        </w:rPr>
        <w:t xml:space="preserve"> </w:t>
      </w:r>
      <w:r w:rsidR="00463C65" w:rsidRPr="008A5AFD">
        <w:t>P</w:t>
      </w:r>
      <w:r w:rsidRPr="008A5AFD">
        <w:t>erformance has slightly worsened over time</w:t>
      </w:r>
      <w:r w:rsidR="001524A0">
        <w:t xml:space="preserve"> – </w:t>
      </w:r>
      <w:r w:rsidRPr="008A5AFD">
        <w:t>from 53.2</w:t>
      </w:r>
      <w:r w:rsidR="001524A0">
        <w:t> per c</w:t>
      </w:r>
      <w:r w:rsidRPr="008A5AFD">
        <w:t xml:space="preserve">ent to </w:t>
      </w:r>
      <w:r w:rsidR="00D85115" w:rsidRPr="008A5AFD">
        <w:t>49</w:t>
      </w:r>
      <w:r w:rsidRPr="008A5AFD">
        <w:t>.9</w:t>
      </w:r>
      <w:r w:rsidR="001524A0">
        <w:t> per c</w:t>
      </w:r>
      <w:r w:rsidRPr="008A5AFD">
        <w:t xml:space="preserve">ent between 2006 to </w:t>
      </w:r>
      <w:r w:rsidR="009D0B09" w:rsidRPr="008A5AFD">
        <w:t>2022</w:t>
      </w:r>
      <w:r w:rsidRPr="008A5AFD">
        <w:t xml:space="preserve">. </w:t>
      </w:r>
      <w:r w:rsidR="00063B5F" w:rsidRPr="008A5AFD">
        <w:t xml:space="preserve">However, </w:t>
      </w:r>
      <w:r w:rsidR="00B57192" w:rsidRPr="008A5AFD">
        <w:t>confidence has improved compared to pre</w:t>
      </w:r>
      <w:r w:rsidR="00135DEA">
        <w:noBreakHyphen/>
      </w:r>
      <w:r w:rsidR="00CA016D" w:rsidRPr="008A5AFD">
        <w:t>COVID</w:t>
      </w:r>
      <w:r w:rsidR="00135DEA">
        <w:noBreakHyphen/>
      </w:r>
      <w:r w:rsidR="00CA016D" w:rsidRPr="008A5AFD">
        <w:t>19</w:t>
      </w:r>
      <w:r w:rsidR="00B57192" w:rsidRPr="008A5AFD">
        <w:t xml:space="preserve"> levels, </w:t>
      </w:r>
      <w:r w:rsidR="005D5004" w:rsidRPr="008A5AFD">
        <w:t>from</w:t>
      </w:r>
      <w:r w:rsidR="00B57192" w:rsidRPr="008A5AFD">
        <w:t xml:space="preserve"> </w:t>
      </w:r>
      <w:r w:rsidR="000F26A5" w:rsidRPr="008A5AFD">
        <w:t>4</w:t>
      </w:r>
      <w:r w:rsidR="00805B91" w:rsidRPr="008A5AFD">
        <w:t>6.9</w:t>
      </w:r>
      <w:r w:rsidR="001524A0">
        <w:t> per c</w:t>
      </w:r>
      <w:r w:rsidR="00DE52CD" w:rsidRPr="008A5AFD">
        <w:t>en</w:t>
      </w:r>
      <w:r w:rsidR="002A31F4" w:rsidRPr="008A5AFD">
        <w:t xml:space="preserve">t in 2019. </w:t>
      </w:r>
    </w:p>
    <w:p w14:paraId="779E3775" w14:textId="77777777" w:rsidR="007C644E" w:rsidRDefault="007C644E" w:rsidP="004E4E24">
      <w:pPr>
        <w:rPr>
          <w:rFonts w:ascii="Calibri" w:hAnsi="Calibri" w:cs="Calibri"/>
          <w:lang w:val="en-GB"/>
        </w:rPr>
      </w:pPr>
    </w:p>
    <w:p w14:paraId="0C2895DA" w14:textId="77777777" w:rsidR="003172D4" w:rsidRDefault="003172D4" w:rsidP="004E4E24">
      <w:pPr>
        <w:rPr>
          <w:rFonts w:ascii="Calibri" w:hAnsi="Calibri" w:cs="Calibri"/>
          <w:lang w:val="en-GB"/>
        </w:rPr>
      </w:pPr>
    </w:p>
    <w:p w14:paraId="5FDF3C98" w14:textId="5C60E470" w:rsidR="00B86EEB" w:rsidRDefault="00B86EEB" w:rsidP="004E4E24">
      <w:pPr>
        <w:rPr>
          <w:rFonts w:ascii="Calibri" w:hAnsi="Calibri" w:cs="Calibri"/>
          <w:lang w:val="en-GB"/>
        </w:rPr>
        <w:sectPr w:rsidR="00B86EEB" w:rsidSect="00DA302B">
          <w:endnotePr>
            <w:numFmt w:val="decimal"/>
          </w:endnotePr>
          <w:type w:val="continuous"/>
          <w:pgSz w:w="11906" w:h="16838"/>
          <w:pgMar w:top="1843" w:right="1418" w:bottom="1418" w:left="1418" w:header="851" w:footer="851" w:gutter="0"/>
          <w:cols w:num="2" w:space="567"/>
        </w:sectPr>
      </w:pPr>
    </w:p>
    <w:tbl>
      <w:tblPr>
        <w:tblStyle w:val="MWMKey"/>
        <w:tblW w:w="5000" w:type="pct"/>
        <w:tblLook w:val="0620" w:firstRow="1" w:lastRow="0" w:firstColumn="0" w:lastColumn="0" w:noHBand="1" w:noVBand="1"/>
      </w:tblPr>
      <w:tblGrid>
        <w:gridCol w:w="9070"/>
      </w:tblGrid>
      <w:tr w:rsidR="00AE64F0" w:rsidRPr="009764EE" w14:paraId="6892E161" w14:textId="77777777" w:rsidTr="00AE64F0">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3F8B92FE" w14:textId="418D05BC" w:rsidR="00AE64F0" w:rsidRPr="009764EE" w:rsidRDefault="00AE64F0" w:rsidP="00AE64F0">
            <w:pPr>
              <w:pStyle w:val="BoxHeading"/>
              <w:spacing w:after="0"/>
            </w:pPr>
            <w:r w:rsidRPr="009764EE">
              <w:t>Key Government initiatives on governance</w:t>
            </w:r>
          </w:p>
        </w:tc>
      </w:tr>
      <w:tr w:rsidR="007C644E" w:rsidRPr="009764EE" w14:paraId="58F021A8" w14:textId="77777777" w:rsidTr="00AE64F0">
        <w:trPr>
          <w:trHeight w:val="20"/>
        </w:trPr>
        <w:tc>
          <w:tcPr>
            <w:tcW w:w="5000" w:type="pct"/>
            <w:hideMark/>
          </w:tcPr>
          <w:p w14:paraId="19C22DF0" w14:textId="22B02112" w:rsidR="007C644E" w:rsidRPr="00122F5C" w:rsidRDefault="007C644E" w:rsidP="000C1754">
            <w:pPr>
              <w:pStyle w:val="Boxbullet"/>
              <w:rPr>
                <w:lang w:eastAsia="en-US"/>
              </w:rPr>
            </w:pPr>
            <w:r w:rsidRPr="00122F5C">
              <w:rPr>
                <w:lang w:eastAsia="en-US"/>
              </w:rPr>
              <w:t>National Anti</w:t>
            </w:r>
            <w:r w:rsidR="00135DEA">
              <w:rPr>
                <w:lang w:eastAsia="en-US"/>
              </w:rPr>
              <w:noBreakHyphen/>
            </w:r>
            <w:r w:rsidRPr="00122F5C">
              <w:rPr>
                <w:lang w:eastAsia="en-US"/>
              </w:rPr>
              <w:t>Corruption Commission</w:t>
            </w:r>
          </w:p>
          <w:p w14:paraId="49690B75" w14:textId="77777777" w:rsidR="007C644E" w:rsidRPr="00122F5C" w:rsidRDefault="007C644E" w:rsidP="000C1754">
            <w:pPr>
              <w:pStyle w:val="Boxbullet"/>
              <w:rPr>
                <w:lang w:eastAsia="en-US"/>
              </w:rPr>
            </w:pPr>
            <w:r w:rsidRPr="00122F5C">
              <w:rPr>
                <w:lang w:eastAsia="en-US"/>
              </w:rPr>
              <w:t>Strengthening our economic institutions, including implementing the Review of the RBA and committing to refresh the Productivity Commission</w:t>
            </w:r>
          </w:p>
          <w:p w14:paraId="5DE954FA" w14:textId="7CC6987C" w:rsidR="007C644E" w:rsidRPr="009764EE" w:rsidRDefault="007C644E" w:rsidP="000C1754">
            <w:pPr>
              <w:pStyle w:val="Boxbullet"/>
              <w:rPr>
                <w:lang w:eastAsia="en-US"/>
              </w:rPr>
            </w:pPr>
            <w:r w:rsidRPr="00122F5C">
              <w:rPr>
                <w:lang w:eastAsia="en-US"/>
              </w:rPr>
              <w:t>Delivering Australia</w:t>
            </w:r>
            <w:r w:rsidR="00135DEA">
              <w:rPr>
                <w:lang w:eastAsia="en-US"/>
              </w:rPr>
              <w:t>’</w:t>
            </w:r>
            <w:r w:rsidRPr="00122F5C">
              <w:rPr>
                <w:lang w:eastAsia="en-US"/>
              </w:rPr>
              <w:t xml:space="preserve">s </w:t>
            </w:r>
            <w:r w:rsidR="001524A0">
              <w:rPr>
                <w:lang w:eastAsia="en-US"/>
              </w:rPr>
              <w:t>First Nation</w:t>
            </w:r>
            <w:r w:rsidRPr="00122F5C">
              <w:rPr>
                <w:lang w:eastAsia="en-US"/>
              </w:rPr>
              <w:t xml:space="preserve">al Wellbeing Framework, Measuring What Matters </w:t>
            </w:r>
          </w:p>
          <w:p w14:paraId="5B6DF3FA" w14:textId="77777777" w:rsidR="007C644E" w:rsidRPr="009764EE" w:rsidRDefault="007C644E" w:rsidP="000C1754">
            <w:pPr>
              <w:pStyle w:val="Boxbullet"/>
              <w:rPr>
                <w:lang w:eastAsia="en-US"/>
              </w:rPr>
            </w:pPr>
            <w:r w:rsidRPr="00122F5C">
              <w:rPr>
                <w:lang w:eastAsia="en-US"/>
              </w:rPr>
              <w:t>Establishing an Australian Centre for Evaluation</w:t>
            </w:r>
          </w:p>
          <w:p w14:paraId="2435B303" w14:textId="204A55C5" w:rsidR="007C644E" w:rsidRPr="00122F5C" w:rsidRDefault="007C644E" w:rsidP="000C1754">
            <w:pPr>
              <w:pStyle w:val="Boxbullet"/>
              <w:rPr>
                <w:lang w:eastAsia="en-US"/>
              </w:rPr>
            </w:pPr>
            <w:r w:rsidRPr="00122F5C">
              <w:rPr>
                <w:lang w:eastAsia="en-US"/>
              </w:rPr>
              <w:t>Re</w:t>
            </w:r>
            <w:r w:rsidR="00135DEA">
              <w:rPr>
                <w:lang w:eastAsia="en-US"/>
              </w:rPr>
              <w:noBreakHyphen/>
            </w:r>
            <w:r w:rsidRPr="00122F5C">
              <w:rPr>
                <w:lang w:eastAsia="en-US"/>
              </w:rPr>
              <w:t>engaging employers, employees and education providers in workforce planning by establishing Jobs and Skills Australia</w:t>
            </w:r>
          </w:p>
          <w:p w14:paraId="3B2130DD" w14:textId="77777777" w:rsidR="007C644E" w:rsidRPr="00122F5C" w:rsidRDefault="007C644E" w:rsidP="000C1754">
            <w:pPr>
              <w:pStyle w:val="Boxbullet"/>
              <w:rPr>
                <w:lang w:eastAsia="en-US"/>
              </w:rPr>
            </w:pPr>
            <w:r w:rsidRPr="00122F5C">
              <w:rPr>
                <w:lang w:eastAsia="en-US"/>
              </w:rPr>
              <w:t>Australian Public Service reform including an APS Integrity Taskforce</w:t>
            </w:r>
          </w:p>
          <w:p w14:paraId="035C5FA9" w14:textId="77777777" w:rsidR="007C644E" w:rsidRPr="00122F5C" w:rsidRDefault="007C644E" w:rsidP="000C1754">
            <w:pPr>
              <w:pStyle w:val="Boxbullet"/>
              <w:rPr>
                <w:lang w:eastAsia="en-US"/>
              </w:rPr>
            </w:pPr>
            <w:r w:rsidRPr="00122F5C">
              <w:rPr>
                <w:lang w:eastAsia="en-US"/>
              </w:rPr>
              <w:t>Transparency requirements under the Australian Government Guide to Policy Impact Analysis</w:t>
            </w:r>
          </w:p>
          <w:p w14:paraId="09CE93EA" w14:textId="77777777" w:rsidR="007C644E" w:rsidRPr="00122F5C" w:rsidRDefault="007C644E" w:rsidP="000C1754">
            <w:pPr>
              <w:pStyle w:val="Boxbullet"/>
              <w:rPr>
                <w:lang w:eastAsia="en-US"/>
              </w:rPr>
            </w:pPr>
            <w:r w:rsidRPr="00122F5C">
              <w:rPr>
                <w:lang w:eastAsia="en-US"/>
              </w:rPr>
              <w:t>A New Code of Conduct for Ministers</w:t>
            </w:r>
          </w:p>
          <w:p w14:paraId="550D305A" w14:textId="77777777" w:rsidR="007C644E" w:rsidRPr="009764EE" w:rsidRDefault="007C644E" w:rsidP="000C1754">
            <w:pPr>
              <w:pStyle w:val="Boxbullet"/>
              <w:rPr>
                <w:lang w:eastAsia="en-US"/>
              </w:rPr>
            </w:pPr>
            <w:r w:rsidRPr="009764EE">
              <w:rPr>
                <w:lang w:eastAsia="en-US"/>
              </w:rPr>
              <w:t xml:space="preserve">Implementation of the </w:t>
            </w:r>
            <w:r w:rsidRPr="00122F5C">
              <w:rPr>
                <w:lang w:eastAsia="en-US"/>
              </w:rPr>
              <w:t xml:space="preserve">Set the Standard Report </w:t>
            </w:r>
            <w:r w:rsidRPr="009764EE">
              <w:rPr>
                <w:lang w:eastAsia="en-US"/>
              </w:rPr>
              <w:t>across the Parliament</w:t>
            </w:r>
          </w:p>
          <w:p w14:paraId="7604DD4F" w14:textId="77777777" w:rsidR="007C644E" w:rsidRPr="00122F5C" w:rsidRDefault="007C644E" w:rsidP="000C1754">
            <w:pPr>
              <w:pStyle w:val="Boxbullet"/>
              <w:rPr>
                <w:lang w:eastAsia="en-US"/>
              </w:rPr>
            </w:pPr>
            <w:r w:rsidRPr="00122F5C">
              <w:rPr>
                <w:lang w:eastAsia="en-US"/>
              </w:rPr>
              <w:t>Consideration of political donations legislative reform</w:t>
            </w:r>
          </w:p>
          <w:p w14:paraId="33AB2021" w14:textId="53EF31CE" w:rsidR="007C644E" w:rsidRPr="00122F5C" w:rsidRDefault="007C644E" w:rsidP="000C1754">
            <w:pPr>
              <w:pStyle w:val="Boxbullet"/>
              <w:rPr>
                <w:lang w:eastAsia="en-US"/>
              </w:rPr>
            </w:pPr>
            <w:r w:rsidRPr="00122F5C">
              <w:rPr>
                <w:lang w:eastAsia="en-US"/>
              </w:rPr>
              <w:t>Establishing a new tribunal to restore public trust and confidence in Australia</w:t>
            </w:r>
            <w:r w:rsidR="00135DEA">
              <w:rPr>
                <w:lang w:eastAsia="en-US"/>
              </w:rPr>
              <w:t>’</w:t>
            </w:r>
            <w:r w:rsidRPr="00122F5C">
              <w:rPr>
                <w:lang w:eastAsia="en-US"/>
              </w:rPr>
              <w:t xml:space="preserve">s system of federal administrative review </w:t>
            </w:r>
          </w:p>
          <w:p w14:paraId="46FC525A" w14:textId="77777777" w:rsidR="007C644E" w:rsidRPr="009764EE" w:rsidRDefault="007C644E" w:rsidP="000C1754">
            <w:pPr>
              <w:pStyle w:val="Boxbullet"/>
              <w:rPr>
                <w:lang w:eastAsia="en-US"/>
              </w:rPr>
            </w:pPr>
            <w:r w:rsidRPr="00122F5C">
              <w:rPr>
                <w:lang w:eastAsia="en-US"/>
              </w:rPr>
              <w:t>Introducing new measures requiring all Commonwealth entities to take steps to prevent corruption</w:t>
            </w:r>
          </w:p>
        </w:tc>
      </w:tr>
    </w:tbl>
    <w:p w14:paraId="53E6FF5C" w14:textId="77777777" w:rsidR="007C644E" w:rsidRDefault="007C644E" w:rsidP="004E4E24">
      <w:pPr>
        <w:rPr>
          <w:rFonts w:ascii="Calibri" w:hAnsi="Calibri" w:cs="Calibri"/>
          <w:lang w:val="en-GB"/>
        </w:rPr>
      </w:pPr>
    </w:p>
    <w:p w14:paraId="62BF9C33" w14:textId="1A54595A" w:rsidR="003761EA" w:rsidRDefault="003761EA" w:rsidP="00657923">
      <w:pPr>
        <w:rPr>
          <w:rFonts w:ascii="Calibri" w:hAnsi="Calibri" w:cs="Calibri"/>
        </w:rPr>
        <w:sectPr w:rsidR="003761EA" w:rsidSect="00DA302B">
          <w:endnotePr>
            <w:numFmt w:val="decimal"/>
          </w:endnotePr>
          <w:type w:val="continuous"/>
          <w:pgSz w:w="11906" w:h="16838"/>
          <w:pgMar w:top="1843" w:right="1418" w:bottom="1418" w:left="1418" w:header="851" w:footer="851" w:gutter="0"/>
          <w:cols w:space="567"/>
        </w:sectPr>
      </w:pPr>
    </w:p>
    <w:p w14:paraId="57AC6699" w14:textId="45CF1008" w:rsidR="00280B27" w:rsidRPr="009764EE" w:rsidRDefault="00280B27" w:rsidP="00E72BDF">
      <w:pPr>
        <w:pStyle w:val="Heading3"/>
        <w:rPr>
          <w:rFonts w:cs="Calibri"/>
        </w:rPr>
      </w:pPr>
      <w:r w:rsidRPr="009764EE">
        <w:rPr>
          <w:rFonts w:cs="Calibri"/>
        </w:rPr>
        <w:lastRenderedPageBreak/>
        <w:t xml:space="preserve">Representation in </w:t>
      </w:r>
      <w:r w:rsidR="00FA409B" w:rsidRPr="009764EE">
        <w:rPr>
          <w:rFonts w:cs="Calibri"/>
        </w:rPr>
        <w:t>parliament</w:t>
      </w:r>
    </w:p>
    <w:p w14:paraId="0BE8DA85" w14:textId="129B06E6" w:rsidR="00280B27" w:rsidRPr="009764EE" w:rsidRDefault="00280B27" w:rsidP="00F9768C">
      <w:pPr>
        <w:rPr>
          <w:lang w:val="en-GB"/>
        </w:rPr>
      </w:pPr>
      <w:r w:rsidRPr="009764EE">
        <w:rPr>
          <w:lang w:val="en-GB"/>
        </w:rPr>
        <w:t xml:space="preserve">Public institutions must be representative of the Australian community they serve if trust in them is to be maintained and grown. </w:t>
      </w:r>
    </w:p>
    <w:p w14:paraId="7F13D91C" w14:textId="47EAF545" w:rsidR="00280B27" w:rsidRPr="00AD7D09" w:rsidRDefault="00280B27" w:rsidP="00AD7D09">
      <w:pPr>
        <w:rPr>
          <w:lang w:val="en-GB"/>
        </w:rPr>
      </w:pPr>
      <w:r w:rsidRPr="00AD7D09">
        <w:rPr>
          <w:lang w:val="en-GB"/>
        </w:rPr>
        <w:t xml:space="preserve">One indicator of </w:t>
      </w:r>
      <w:r w:rsidR="00224AA9" w:rsidRPr="00AD7D09">
        <w:rPr>
          <w:lang w:val="en-GB"/>
        </w:rPr>
        <w:t xml:space="preserve">adequate </w:t>
      </w:r>
      <w:r w:rsidRPr="00AD7D09">
        <w:rPr>
          <w:lang w:val="en-GB"/>
        </w:rPr>
        <w:t xml:space="preserve">representation </w:t>
      </w:r>
      <w:r w:rsidR="00893118" w:rsidRPr="00AD7D09">
        <w:rPr>
          <w:lang w:val="en-GB"/>
        </w:rPr>
        <w:t>in</w:t>
      </w:r>
      <w:r w:rsidR="00635D80" w:rsidRPr="00AD7D09">
        <w:rPr>
          <w:lang w:val="en-GB"/>
        </w:rPr>
        <w:t> </w:t>
      </w:r>
      <w:r w:rsidR="00893118" w:rsidRPr="00AD7D09">
        <w:rPr>
          <w:lang w:val="en-GB"/>
        </w:rPr>
        <w:t>politics</w:t>
      </w:r>
      <w:r w:rsidRPr="00AD7D09">
        <w:rPr>
          <w:lang w:val="en-GB"/>
        </w:rPr>
        <w:t xml:space="preserve"> is the share of women parliamentarians. </w:t>
      </w:r>
    </w:p>
    <w:p w14:paraId="707C46EB" w14:textId="16B835E6" w:rsidR="00280B27" w:rsidRDefault="00280B27" w:rsidP="00F9768C">
      <w:pPr>
        <w:rPr>
          <w:lang w:val="en-GB"/>
        </w:rPr>
      </w:pPr>
      <w:r w:rsidRPr="009764EE">
        <w:rPr>
          <w:lang w:val="en-GB"/>
        </w:rPr>
        <w:t>The number of Federal women parliamentarians as a share of total filled seats (lower/single house of parliament) has improved from</w:t>
      </w:r>
      <w:r w:rsidR="008316AF" w:rsidRPr="009764EE">
        <w:rPr>
          <w:lang w:val="en-GB"/>
        </w:rPr>
        <w:t xml:space="preserve"> </w:t>
      </w:r>
      <w:r w:rsidRPr="009764EE">
        <w:rPr>
          <w:lang w:val="en-GB"/>
        </w:rPr>
        <w:t>2</w:t>
      </w:r>
      <w:r w:rsidR="00B82B39" w:rsidRPr="009764EE">
        <w:rPr>
          <w:lang w:val="en-GB"/>
        </w:rPr>
        <w:t>5</w:t>
      </w:r>
      <w:r w:rsidRPr="009764EE">
        <w:rPr>
          <w:lang w:val="en-GB"/>
        </w:rPr>
        <w:t>.</w:t>
      </w:r>
      <w:r w:rsidR="00B82B39" w:rsidRPr="009764EE">
        <w:rPr>
          <w:lang w:val="en-GB"/>
        </w:rPr>
        <w:t>3</w:t>
      </w:r>
      <w:r w:rsidR="001524A0">
        <w:rPr>
          <w:lang w:val="en-GB"/>
        </w:rPr>
        <w:t> per c</w:t>
      </w:r>
      <w:r w:rsidRPr="009764EE">
        <w:rPr>
          <w:lang w:val="en-GB"/>
        </w:rPr>
        <w:t xml:space="preserve">ent to </w:t>
      </w:r>
      <w:r w:rsidR="004C6335" w:rsidRPr="009764EE">
        <w:rPr>
          <w:lang w:val="en-GB"/>
        </w:rPr>
        <w:t>39.1</w:t>
      </w:r>
      <w:r w:rsidR="001524A0">
        <w:rPr>
          <w:lang w:val="en-GB"/>
        </w:rPr>
        <w:t> per c</w:t>
      </w:r>
      <w:r w:rsidRPr="009764EE">
        <w:rPr>
          <w:lang w:val="en-GB"/>
        </w:rPr>
        <w:t>ent between 200</w:t>
      </w:r>
      <w:r w:rsidR="00F72569" w:rsidRPr="009764EE">
        <w:rPr>
          <w:lang w:val="en-GB"/>
        </w:rPr>
        <w:t>2</w:t>
      </w:r>
      <w:r w:rsidRPr="009764EE">
        <w:rPr>
          <w:lang w:val="en-GB"/>
        </w:rPr>
        <w:t xml:space="preserve"> to </w:t>
      </w:r>
      <w:r w:rsidR="004C6335" w:rsidRPr="009764EE">
        <w:rPr>
          <w:lang w:val="en-GB"/>
        </w:rPr>
        <w:t>2023</w:t>
      </w:r>
      <w:r w:rsidR="001524A0">
        <w:rPr>
          <w:lang w:val="en-GB"/>
        </w:rPr>
        <w:t xml:space="preserve"> – </w:t>
      </w:r>
      <w:r w:rsidR="00056DDD" w:rsidRPr="009764EE">
        <w:rPr>
          <w:lang w:val="en-GB"/>
        </w:rPr>
        <w:t>higher than</w:t>
      </w:r>
      <w:r w:rsidR="00F72569" w:rsidRPr="009764EE">
        <w:rPr>
          <w:lang w:val="en-GB"/>
        </w:rPr>
        <w:t xml:space="preserve"> </w:t>
      </w:r>
      <w:r w:rsidR="00056DDD" w:rsidRPr="009764EE">
        <w:rPr>
          <w:lang w:val="en-GB"/>
        </w:rPr>
        <w:t xml:space="preserve">the OECD average of </w:t>
      </w:r>
      <w:r w:rsidR="00010B73" w:rsidRPr="009764EE">
        <w:rPr>
          <w:lang w:val="en-GB"/>
        </w:rPr>
        <w:t>33</w:t>
      </w:r>
      <w:r w:rsidR="00EE6DFA" w:rsidRPr="009764EE">
        <w:rPr>
          <w:lang w:val="en-GB"/>
        </w:rPr>
        <w:t>.</w:t>
      </w:r>
      <w:r w:rsidR="00010B73" w:rsidRPr="009764EE">
        <w:rPr>
          <w:lang w:val="en-GB"/>
        </w:rPr>
        <w:t>8</w:t>
      </w:r>
      <w:r w:rsidR="001524A0">
        <w:rPr>
          <w:lang w:val="en-GB"/>
        </w:rPr>
        <w:t> per c</w:t>
      </w:r>
      <w:r w:rsidR="00056DDD" w:rsidRPr="002122C1">
        <w:rPr>
          <w:lang w:val="en-GB"/>
        </w:rPr>
        <w:t>ent in 202</w:t>
      </w:r>
      <w:r w:rsidR="00010B73" w:rsidRPr="002122C1">
        <w:rPr>
          <w:lang w:val="en-GB"/>
        </w:rPr>
        <w:t>3</w:t>
      </w:r>
      <w:r w:rsidR="00056DDD" w:rsidRPr="002122C1">
        <w:rPr>
          <w:lang w:val="en-GB"/>
        </w:rPr>
        <w:t>.</w:t>
      </w:r>
      <w:r w:rsidR="009E0F68" w:rsidRPr="005049F1">
        <w:rPr>
          <w:rStyle w:val="FootnoteReference"/>
        </w:rPr>
        <w:endnoteReference w:id="66"/>
      </w:r>
      <w:r w:rsidR="00EA2ECD" w:rsidRPr="005049F1">
        <w:rPr>
          <w:rStyle w:val="FootnoteReference"/>
        </w:rPr>
        <w:t xml:space="preserve"> </w:t>
      </w:r>
      <w:r w:rsidR="00735243" w:rsidRPr="005049F1">
        <w:rPr>
          <w:rStyle w:val="FootnoteReference"/>
        </w:rPr>
        <w:endnoteReference w:id="67"/>
      </w:r>
      <w:r w:rsidR="00056DDD" w:rsidRPr="002122C1">
        <w:rPr>
          <w:lang w:val="en-GB"/>
        </w:rPr>
        <w:t xml:space="preserve"> </w:t>
      </w:r>
      <w:r w:rsidR="00615560" w:rsidRPr="002122C1">
        <w:rPr>
          <w:lang w:val="en-GB"/>
        </w:rPr>
        <w:t>In the</w:t>
      </w:r>
      <w:r w:rsidR="00615560" w:rsidRPr="009764EE">
        <w:rPr>
          <w:lang w:val="en-GB"/>
        </w:rPr>
        <w:t xml:space="preserve"> same period, </w:t>
      </w:r>
      <w:r w:rsidR="002F7E51" w:rsidRPr="009764EE">
        <w:rPr>
          <w:lang w:val="en-GB"/>
        </w:rPr>
        <w:t xml:space="preserve">representation of women </w:t>
      </w:r>
      <w:r w:rsidR="003F2D22" w:rsidRPr="009764EE">
        <w:rPr>
          <w:lang w:val="en-GB"/>
        </w:rPr>
        <w:t>parliamentarians</w:t>
      </w:r>
      <w:r w:rsidR="002F7E51" w:rsidRPr="009764EE">
        <w:rPr>
          <w:lang w:val="en-GB"/>
        </w:rPr>
        <w:t xml:space="preserve"> in the Senate has been higher than the lower house</w:t>
      </w:r>
      <w:r w:rsidR="001524A0">
        <w:rPr>
          <w:lang w:val="en-GB"/>
        </w:rPr>
        <w:t xml:space="preserve"> – </w:t>
      </w:r>
      <w:r w:rsidR="004F6D23" w:rsidRPr="009764EE">
        <w:rPr>
          <w:lang w:val="en-GB"/>
        </w:rPr>
        <w:t xml:space="preserve">which sits </w:t>
      </w:r>
      <w:r w:rsidR="00056DDD" w:rsidRPr="009764EE">
        <w:rPr>
          <w:lang w:val="en-GB"/>
        </w:rPr>
        <w:t xml:space="preserve">at </w:t>
      </w:r>
      <w:r w:rsidR="00293655" w:rsidRPr="009764EE">
        <w:rPr>
          <w:lang w:val="en-GB"/>
        </w:rPr>
        <w:t>57.3</w:t>
      </w:r>
      <w:r w:rsidR="001524A0">
        <w:rPr>
          <w:lang w:val="en-GB"/>
        </w:rPr>
        <w:t> per c</w:t>
      </w:r>
      <w:r w:rsidR="00056DDD" w:rsidRPr="009764EE">
        <w:rPr>
          <w:lang w:val="en-GB"/>
        </w:rPr>
        <w:t>ent</w:t>
      </w:r>
      <w:r w:rsidR="005B38D6" w:rsidRPr="009764EE">
        <w:rPr>
          <w:lang w:val="en-GB"/>
        </w:rPr>
        <w:t xml:space="preserve"> </w:t>
      </w:r>
      <w:r w:rsidR="003F2D22" w:rsidRPr="009764EE">
        <w:rPr>
          <w:lang w:val="en-GB"/>
        </w:rPr>
        <w:t xml:space="preserve">in </w:t>
      </w:r>
      <w:r w:rsidR="00293655" w:rsidRPr="009764EE">
        <w:rPr>
          <w:lang w:val="en-GB"/>
        </w:rPr>
        <w:t xml:space="preserve">May </w:t>
      </w:r>
      <w:r w:rsidR="003F2D22" w:rsidRPr="009764EE">
        <w:rPr>
          <w:lang w:val="en-GB"/>
        </w:rPr>
        <w:t>2023. T</w:t>
      </w:r>
      <w:r w:rsidR="005B38D6" w:rsidRPr="009764EE">
        <w:rPr>
          <w:lang w:val="en-GB"/>
        </w:rPr>
        <w:t>he</w:t>
      </w:r>
      <w:r w:rsidR="00DB14B8" w:rsidRPr="009764EE">
        <w:rPr>
          <w:lang w:val="en-GB"/>
        </w:rPr>
        <w:t xml:space="preserve"> proportion of </w:t>
      </w:r>
      <w:r w:rsidR="005B38D6" w:rsidRPr="009764EE">
        <w:rPr>
          <w:lang w:val="en-GB"/>
        </w:rPr>
        <w:t xml:space="preserve">women federal parliamentarians </w:t>
      </w:r>
      <w:r w:rsidR="004F4568" w:rsidRPr="009764EE">
        <w:rPr>
          <w:lang w:val="en-GB"/>
        </w:rPr>
        <w:t xml:space="preserve">for both houses </w:t>
      </w:r>
      <w:r w:rsidR="009537FD" w:rsidRPr="009764EE">
        <w:rPr>
          <w:lang w:val="en-GB"/>
        </w:rPr>
        <w:t>is</w:t>
      </w:r>
      <w:r w:rsidR="005B38D6" w:rsidRPr="009764EE">
        <w:rPr>
          <w:lang w:val="en-GB"/>
        </w:rPr>
        <w:t xml:space="preserve"> </w:t>
      </w:r>
      <w:r w:rsidR="008B54BE" w:rsidRPr="009764EE">
        <w:rPr>
          <w:lang w:val="en-GB"/>
        </w:rPr>
        <w:t>45.1</w:t>
      </w:r>
      <w:r w:rsidR="001524A0">
        <w:rPr>
          <w:lang w:val="en-GB"/>
        </w:rPr>
        <w:t> per c</w:t>
      </w:r>
      <w:r w:rsidR="005B38D6" w:rsidRPr="009764EE">
        <w:rPr>
          <w:lang w:val="en-GB"/>
        </w:rPr>
        <w:t xml:space="preserve">ent in </w:t>
      </w:r>
      <w:r w:rsidR="00293655" w:rsidRPr="009764EE">
        <w:rPr>
          <w:lang w:val="en-GB"/>
        </w:rPr>
        <w:t xml:space="preserve">May </w:t>
      </w:r>
      <w:r w:rsidR="005B38D6" w:rsidRPr="009764EE">
        <w:rPr>
          <w:lang w:val="en-GB"/>
        </w:rPr>
        <w:t>2023.</w:t>
      </w:r>
      <w:r w:rsidR="00981FB2">
        <w:rPr>
          <w:lang w:val="en-GB"/>
        </w:rPr>
        <w:t xml:space="preserve"> </w:t>
      </w:r>
      <w:r w:rsidRPr="009764EE">
        <w:rPr>
          <w:lang w:val="en-GB"/>
        </w:rPr>
        <w:t>Despite the recent rise in women parliamentarians</w:t>
      </w:r>
      <w:r w:rsidR="00FC700D" w:rsidRPr="009764EE">
        <w:rPr>
          <w:lang w:val="en-GB"/>
        </w:rPr>
        <w:t xml:space="preserve"> in 2023</w:t>
      </w:r>
      <w:r w:rsidRPr="009764EE">
        <w:rPr>
          <w:lang w:val="en-GB"/>
        </w:rPr>
        <w:t xml:space="preserve">, Australia still lags behind similar countries like Canada and </w:t>
      </w:r>
      <w:r w:rsidR="001524A0">
        <w:rPr>
          <w:lang w:val="en-GB"/>
        </w:rPr>
        <w:t>New Zealand</w:t>
      </w:r>
      <w:r w:rsidRPr="009764EE">
        <w:rPr>
          <w:lang w:val="en-GB"/>
        </w:rPr>
        <w:t xml:space="preserve"> in the cultural diversity of parliamentarians</w:t>
      </w:r>
      <w:r w:rsidR="00C95637" w:rsidRPr="009764EE">
        <w:rPr>
          <w:lang w:val="en-GB"/>
        </w:rPr>
        <w:t xml:space="preserve">. While there has been </w:t>
      </w:r>
      <w:r w:rsidR="0053009B" w:rsidRPr="009764EE">
        <w:rPr>
          <w:lang w:val="en-GB"/>
        </w:rPr>
        <w:t>an</w:t>
      </w:r>
      <w:r w:rsidR="00C95637" w:rsidRPr="009764EE">
        <w:rPr>
          <w:lang w:val="en-GB"/>
        </w:rPr>
        <w:t xml:space="preserve"> increase in </w:t>
      </w:r>
      <w:r w:rsidR="001524A0">
        <w:rPr>
          <w:lang w:val="en-GB"/>
        </w:rPr>
        <w:t>First Nation</w:t>
      </w:r>
      <w:r w:rsidR="0053009B" w:rsidRPr="009764EE">
        <w:rPr>
          <w:lang w:val="en-GB"/>
        </w:rPr>
        <w:t>s people</w:t>
      </w:r>
      <w:r w:rsidR="00E329AC" w:rsidRPr="009764EE">
        <w:rPr>
          <w:lang w:val="en-GB"/>
        </w:rPr>
        <w:t xml:space="preserve"> </w:t>
      </w:r>
      <w:r w:rsidR="00FC700D" w:rsidRPr="009764EE">
        <w:rPr>
          <w:lang w:val="en-GB"/>
        </w:rPr>
        <w:t xml:space="preserve">since </w:t>
      </w:r>
      <w:r w:rsidR="00671DC5" w:rsidRPr="009764EE">
        <w:rPr>
          <w:lang w:val="en-GB"/>
        </w:rPr>
        <w:t>2002</w:t>
      </w:r>
      <w:r w:rsidR="00716DCF" w:rsidRPr="009764EE">
        <w:rPr>
          <w:lang w:val="en-GB"/>
        </w:rPr>
        <w:t xml:space="preserve"> </w:t>
      </w:r>
      <w:r w:rsidR="00E329AC" w:rsidRPr="009764EE">
        <w:rPr>
          <w:lang w:val="en-GB"/>
        </w:rPr>
        <w:t>(</w:t>
      </w:r>
      <w:r w:rsidR="00DC75FC" w:rsidRPr="009764EE">
        <w:rPr>
          <w:lang w:val="en-GB"/>
        </w:rPr>
        <w:t>0.4</w:t>
      </w:r>
      <w:r w:rsidR="001524A0">
        <w:rPr>
          <w:lang w:val="en-GB"/>
        </w:rPr>
        <w:t> per c</w:t>
      </w:r>
      <w:r w:rsidR="00FC700D" w:rsidRPr="009764EE">
        <w:rPr>
          <w:lang w:val="en-GB"/>
        </w:rPr>
        <w:t xml:space="preserve">ent </w:t>
      </w:r>
      <w:r w:rsidR="00716DCF" w:rsidRPr="009764EE">
        <w:rPr>
          <w:lang w:val="en-GB"/>
        </w:rPr>
        <w:t xml:space="preserve">to </w:t>
      </w:r>
      <w:r w:rsidR="00E329AC" w:rsidRPr="009764EE">
        <w:rPr>
          <w:lang w:val="en-GB"/>
        </w:rPr>
        <w:t>4.8</w:t>
      </w:r>
      <w:r w:rsidR="001524A0">
        <w:rPr>
          <w:lang w:val="en-GB"/>
        </w:rPr>
        <w:t> per c</w:t>
      </w:r>
      <w:r w:rsidR="00E329AC" w:rsidRPr="009764EE">
        <w:rPr>
          <w:lang w:val="en-GB"/>
        </w:rPr>
        <w:t xml:space="preserve">ent) and </w:t>
      </w:r>
      <w:r w:rsidR="0036001B" w:rsidRPr="009764EE">
        <w:rPr>
          <w:lang w:val="en-GB"/>
        </w:rPr>
        <w:t>LGBTIQA</w:t>
      </w:r>
      <w:r w:rsidR="00E329AC" w:rsidRPr="009764EE">
        <w:rPr>
          <w:lang w:val="en-GB"/>
        </w:rPr>
        <w:t>+ people (</w:t>
      </w:r>
      <w:r w:rsidR="00DC75FC" w:rsidRPr="009764EE">
        <w:rPr>
          <w:lang w:val="en-GB"/>
        </w:rPr>
        <w:t>0</w:t>
      </w:r>
      <w:r w:rsidR="001524A0">
        <w:rPr>
          <w:lang w:val="en-GB"/>
        </w:rPr>
        <w:t> per c</w:t>
      </w:r>
      <w:r w:rsidR="00716DCF" w:rsidRPr="009764EE">
        <w:rPr>
          <w:lang w:val="en-GB"/>
        </w:rPr>
        <w:t xml:space="preserve">ent to </w:t>
      </w:r>
      <w:r w:rsidR="00E329AC" w:rsidRPr="009764EE">
        <w:rPr>
          <w:lang w:val="en-GB"/>
        </w:rPr>
        <w:t>3.5</w:t>
      </w:r>
      <w:r w:rsidR="001524A0">
        <w:rPr>
          <w:lang w:val="en-GB"/>
        </w:rPr>
        <w:t> per c</w:t>
      </w:r>
      <w:r w:rsidR="00E329AC" w:rsidRPr="009764EE">
        <w:rPr>
          <w:lang w:val="en-GB"/>
        </w:rPr>
        <w:t xml:space="preserve">ent) in federal parliament, </w:t>
      </w:r>
      <w:r w:rsidR="00742A0E" w:rsidRPr="009764EE">
        <w:rPr>
          <w:lang w:val="en-GB"/>
        </w:rPr>
        <w:t>there is still</w:t>
      </w:r>
      <w:r w:rsidR="00C95637" w:rsidRPr="009764EE">
        <w:rPr>
          <w:lang w:val="en-GB"/>
        </w:rPr>
        <w:t xml:space="preserve"> </w:t>
      </w:r>
      <w:r w:rsidRPr="009764EE">
        <w:rPr>
          <w:lang w:val="en-GB"/>
        </w:rPr>
        <w:t xml:space="preserve">an under representation </w:t>
      </w:r>
      <w:r w:rsidR="001B5392" w:rsidRPr="009764EE">
        <w:rPr>
          <w:lang w:val="en-GB"/>
        </w:rPr>
        <w:t xml:space="preserve">for </w:t>
      </w:r>
      <w:r w:rsidR="00742A0E" w:rsidRPr="009764EE">
        <w:rPr>
          <w:lang w:val="en-GB"/>
        </w:rPr>
        <w:t>those with non</w:t>
      </w:r>
      <w:r w:rsidR="00135DEA">
        <w:rPr>
          <w:lang w:val="en-GB"/>
        </w:rPr>
        <w:noBreakHyphen/>
      </w:r>
      <w:r w:rsidR="00742A0E" w:rsidRPr="009764EE">
        <w:rPr>
          <w:lang w:val="en-GB"/>
        </w:rPr>
        <w:t>European ancestry.</w:t>
      </w:r>
      <w:r w:rsidR="000C67F9" w:rsidRPr="005049F1">
        <w:rPr>
          <w:rStyle w:val="FootnoteReference"/>
        </w:rPr>
        <w:endnoteReference w:id="68"/>
      </w:r>
      <w:r w:rsidR="00742A0E" w:rsidRPr="009764EE">
        <w:rPr>
          <w:lang w:val="en-GB"/>
        </w:rPr>
        <w:t xml:space="preserve"> </w:t>
      </w:r>
    </w:p>
    <w:p w14:paraId="0E6AE892" w14:textId="77777777" w:rsidR="007C644E" w:rsidRDefault="007C644E" w:rsidP="004E4E24">
      <w:pPr>
        <w:rPr>
          <w:rFonts w:ascii="Calibri" w:hAnsi="Calibri" w:cs="Calibri"/>
          <w:lang w:val="en-GB"/>
        </w:rPr>
      </w:pPr>
    </w:p>
    <w:p w14:paraId="03B9FF17" w14:textId="5B34AA02" w:rsidR="000C1754" w:rsidRDefault="000C1754" w:rsidP="004E4E24">
      <w:pPr>
        <w:rPr>
          <w:rFonts w:ascii="Calibri" w:hAnsi="Calibri" w:cs="Calibri"/>
          <w:lang w:val="en-GB"/>
        </w:rPr>
        <w:sectPr w:rsidR="000C1754" w:rsidSect="00B86EEB">
          <w:endnotePr>
            <w:numFmt w:val="decimal"/>
          </w:endnotePr>
          <w:pgSz w:w="11906" w:h="16838"/>
          <w:pgMar w:top="1843" w:right="1418" w:bottom="1418" w:left="1418" w:header="851" w:footer="851" w:gutter="0"/>
          <w:cols w:num="2" w:space="567"/>
        </w:sectPr>
      </w:pPr>
    </w:p>
    <w:p w14:paraId="3E7ABE81" w14:textId="63AA20CD" w:rsidR="00C1325E" w:rsidRPr="0040466F" w:rsidRDefault="00697F8A" w:rsidP="000C1754">
      <w:pPr>
        <w:pStyle w:val="ChartMainHeading"/>
      </w:pPr>
      <w:r w:rsidRPr="0040466F">
        <w:t xml:space="preserve">Chart </w:t>
      </w:r>
      <w:r w:rsidR="00742BF6" w:rsidRPr="0040466F">
        <w:t>14</w:t>
      </w:r>
      <w:r w:rsidRPr="0040466F">
        <w:t xml:space="preserve">: Proportion of women federal parliamentarians (combined upper and lower house) </w:t>
      </w:r>
    </w:p>
    <w:p w14:paraId="3632CF7C" w14:textId="77777777" w:rsidR="000C1754" w:rsidRDefault="001300C1" w:rsidP="000C1754">
      <w:pPr>
        <w:pStyle w:val="ChartGraphic"/>
      </w:pPr>
      <w:r w:rsidRPr="001300C1">
        <w:rPr>
          <w:noProof/>
        </w:rPr>
        <w:drawing>
          <wp:inline distT="0" distB="0" distL="0" distR="0" wp14:anchorId="632D05D6" wp14:editId="5697B0BF">
            <wp:extent cx="5400000" cy="2119650"/>
            <wp:effectExtent l="0" t="0" r="0" b="0"/>
            <wp:docPr id="25" name="Picture 25" descr="This line chart shows the percentage of federal parliamentarians in the House of Representatives and the Senate who are women from 2002 to 2023 has increased from 27 per cent in 2002 to 45 per cent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line chart shows the percentage of federal parliamentarians in the House of Representatives and the Senate who are women from 2002 to 2023 has increased from 27 per cent in 2002 to 45 per cent in 2023. "/>
                    <pic:cNvPicPr/>
                  </pic:nvPicPr>
                  <pic:blipFill>
                    <a:blip r:embed="rId55"/>
                    <a:stretch>
                      <a:fillRect/>
                    </a:stretch>
                  </pic:blipFill>
                  <pic:spPr>
                    <a:xfrm>
                      <a:off x="0" y="0"/>
                      <a:ext cx="5400000" cy="2119650"/>
                    </a:xfrm>
                    <a:prstGeom prst="rect">
                      <a:avLst/>
                    </a:prstGeom>
                  </pic:spPr>
                </pic:pic>
              </a:graphicData>
            </a:graphic>
          </wp:inline>
        </w:drawing>
      </w:r>
    </w:p>
    <w:p w14:paraId="18BD971C" w14:textId="68A00C5E" w:rsidR="00B6462A" w:rsidRPr="000C1754" w:rsidRDefault="00B6462A" w:rsidP="000C1754">
      <w:pPr>
        <w:pStyle w:val="ChartorTableNote"/>
      </w:pPr>
      <w:r w:rsidRPr="009764EE">
        <w:t xml:space="preserve">Source: </w:t>
      </w:r>
      <w:r w:rsidR="000C1754">
        <w:tab/>
      </w:r>
      <w:r w:rsidRPr="009764EE">
        <w:t>Australian Parliamentary Library</w:t>
      </w:r>
      <w:r w:rsidR="00226E42">
        <w:t xml:space="preserve"> and ABS Gender Indicators</w:t>
      </w:r>
      <w:r w:rsidR="001A1B74">
        <w:t xml:space="preserve"> 2023</w:t>
      </w:r>
    </w:p>
    <w:p w14:paraId="7A6C8CC2" w14:textId="7C14E178" w:rsidR="00415F75" w:rsidRPr="000C1754" w:rsidRDefault="006A27A7" w:rsidP="000C1754">
      <w:pPr>
        <w:pStyle w:val="ChartorTableNote"/>
        <w:rPr>
          <w:rFonts w:ascii="Calibri" w:hAnsi="Calibri"/>
        </w:rPr>
      </w:pPr>
      <w:r>
        <w:t xml:space="preserve">Note: </w:t>
      </w:r>
      <w:r w:rsidR="000C1754">
        <w:tab/>
      </w:r>
      <w:r w:rsidR="000E5F45">
        <w:t>T</w:t>
      </w:r>
      <w:r w:rsidRPr="006A27A7">
        <w:t>he time series is created from data as of the 1st of January of each year.</w:t>
      </w:r>
    </w:p>
    <w:p w14:paraId="64C3955C" w14:textId="77777777" w:rsidR="000C1754" w:rsidRPr="009764EE" w:rsidRDefault="000C1754" w:rsidP="0069427E">
      <w:pPr>
        <w:rPr>
          <w:rFonts w:ascii="Calibri" w:hAnsi="Calibri" w:cs="Calibri"/>
          <w:color w:val="2C384A" w:themeColor="accent1"/>
          <w:kern w:val="32"/>
        </w:rPr>
      </w:pPr>
    </w:p>
    <w:p w14:paraId="48A8109D" w14:textId="31A5703C" w:rsidR="009B2D55" w:rsidRPr="009764EE" w:rsidRDefault="009B2D55" w:rsidP="0069427E">
      <w:pPr>
        <w:rPr>
          <w:rFonts w:ascii="Calibri" w:hAnsi="Calibri" w:cs="Calibri"/>
          <w:lang w:val="en-GB"/>
        </w:rPr>
        <w:sectPr w:rsidR="009B2D55" w:rsidRPr="009764EE" w:rsidSect="00DA302B">
          <w:endnotePr>
            <w:numFmt w:val="decimal"/>
          </w:endnotePr>
          <w:type w:val="continuous"/>
          <w:pgSz w:w="11906" w:h="16838"/>
          <w:pgMar w:top="1843" w:right="1418" w:bottom="1418" w:left="1418" w:header="851" w:footer="851" w:gutter="0"/>
          <w:cols w:space="567"/>
        </w:sectPr>
      </w:pPr>
    </w:p>
    <w:p w14:paraId="4CDB0DE4" w14:textId="3BC04E59" w:rsidR="002F6209" w:rsidRPr="005530AE" w:rsidRDefault="002F6209" w:rsidP="00037C32">
      <w:pPr>
        <w:pStyle w:val="Heading1"/>
      </w:pPr>
      <w:bookmarkStart w:id="96" w:name="_Toc147497679"/>
      <w:bookmarkStart w:id="97" w:name="_Toc140164497"/>
      <w:r>
        <w:lastRenderedPageBreak/>
        <w:t>Prosperous</w:t>
      </w:r>
      <w:bookmarkEnd w:id="96"/>
      <w:r>
        <w:t xml:space="preserve"> </w:t>
      </w:r>
    </w:p>
    <w:p w14:paraId="2604796E" w14:textId="03F433CB" w:rsidR="002F6209" w:rsidRPr="009764EE" w:rsidRDefault="002F6209" w:rsidP="00037C32">
      <w:pPr>
        <w:pStyle w:val="IntrotextMWM"/>
      </w:pPr>
      <w:r w:rsidRPr="009764EE">
        <w:t>A society that has a dynamic, strong economy, invests in people</w:t>
      </w:r>
      <w:r w:rsidR="00135DEA">
        <w:t>’</w:t>
      </w:r>
      <w:r w:rsidRPr="009764EE">
        <w:t>s skills and education, and provides broad opportunities for employment and well</w:t>
      </w:r>
      <w:r w:rsidR="00135DEA">
        <w:noBreakHyphen/>
      </w:r>
      <w:r w:rsidRPr="009764EE">
        <w:t xml:space="preserve">paid, secure jobs. </w:t>
      </w:r>
    </w:p>
    <w:p w14:paraId="64FD3720" w14:textId="3D082241" w:rsidR="000C1754" w:rsidRDefault="00135DEA" w:rsidP="00037C32">
      <w:pPr>
        <w:pStyle w:val="Quote"/>
      </w:pPr>
      <w:r>
        <w:t>‘</w:t>
      </w:r>
      <w:r w:rsidR="002F6209" w:rsidRPr="009764EE">
        <w:t>Breaking the cycle of entrenched disadvantage begins with education.</w:t>
      </w:r>
      <w:r>
        <w:t>’</w:t>
      </w:r>
      <w:r w:rsidR="002F6209" w:rsidRPr="005049F1">
        <w:rPr>
          <w:rStyle w:val="FootnoteReference"/>
        </w:rPr>
        <w:endnoteReference w:id="69"/>
      </w:r>
    </w:p>
    <w:p w14:paraId="2882AB36" w14:textId="2CA92211" w:rsidR="002F6209" w:rsidRPr="009764EE" w:rsidRDefault="00151999" w:rsidP="00037C32">
      <w:pPr>
        <w:pStyle w:val="Quote"/>
      </w:pPr>
      <w:r>
        <w:t>–</w:t>
      </w:r>
      <w:r w:rsidR="002F6209" w:rsidRPr="009764EE">
        <w:t xml:space="preserve"> Taskforce Community Agency submission</w:t>
      </w:r>
    </w:p>
    <w:p w14:paraId="2DBF8F1A" w14:textId="188EB546" w:rsidR="00AE0245" w:rsidRPr="006D7364" w:rsidRDefault="0055496E" w:rsidP="004C0AC6">
      <w:pPr>
        <w:pStyle w:val="Heading2"/>
      </w:pPr>
      <w:bookmarkStart w:id="98" w:name="_Toc147497680"/>
      <w:bookmarkEnd w:id="97"/>
      <w:r w:rsidRPr="006D7364">
        <w:t>D</w:t>
      </w:r>
      <w:r w:rsidR="003C556F" w:rsidRPr="006D7364">
        <w:t>ynamic</w:t>
      </w:r>
      <w:r w:rsidR="00AE0245" w:rsidRPr="006D7364">
        <w:t xml:space="preserve"> economy</w:t>
      </w:r>
      <w:r w:rsidR="00406106" w:rsidRPr="006D7364">
        <w:t xml:space="preserve"> that shares </w:t>
      </w:r>
      <w:r w:rsidR="00EF1A0F" w:rsidRPr="006D7364">
        <w:t>prosperity</w:t>
      </w:r>
      <w:bookmarkEnd w:id="98"/>
    </w:p>
    <w:tbl>
      <w:tblPr>
        <w:tblStyle w:val="MWMTables"/>
        <w:tblW w:w="9072" w:type="dxa"/>
        <w:tblLook w:val="04A0" w:firstRow="1" w:lastRow="0" w:firstColumn="1" w:lastColumn="0" w:noHBand="0" w:noVBand="1"/>
      </w:tblPr>
      <w:tblGrid>
        <w:gridCol w:w="1511"/>
        <w:gridCol w:w="2445"/>
        <w:gridCol w:w="2391"/>
        <w:gridCol w:w="1383"/>
        <w:gridCol w:w="1342"/>
      </w:tblGrid>
      <w:tr w:rsidR="00B86EEB" w:rsidRPr="009764EE" w14:paraId="5D214E96" w14:textId="77777777" w:rsidTr="00B86EEB">
        <w:trPr>
          <w:cnfStyle w:val="100000000000" w:firstRow="1" w:lastRow="0" w:firstColumn="0" w:lastColumn="0" w:oddVBand="0" w:evenVBand="0" w:oddHBand="0" w:evenHBand="0" w:firstRowFirstColumn="0" w:firstRowLastColumn="0" w:lastRowFirstColumn="0" w:lastRowLastColumn="0"/>
          <w:trHeight w:val="20"/>
        </w:trPr>
        <w:tc>
          <w:tcPr>
            <w:tcW w:w="1134" w:type="dxa"/>
          </w:tcPr>
          <w:p w14:paraId="3DE9A4C2" w14:textId="77777777" w:rsidR="00304245" w:rsidRPr="009764EE" w:rsidRDefault="00304245" w:rsidP="004C0AC6">
            <w:pPr>
              <w:pStyle w:val="TableColumnHeadingLeft"/>
            </w:pPr>
            <w:r w:rsidRPr="009764EE">
              <w:t>Indicator</w:t>
            </w:r>
          </w:p>
        </w:tc>
        <w:tc>
          <w:tcPr>
            <w:tcW w:w="2552" w:type="dxa"/>
          </w:tcPr>
          <w:p w14:paraId="47628350" w14:textId="77777777" w:rsidR="00304245" w:rsidRPr="009764EE" w:rsidRDefault="00304245" w:rsidP="004C0AC6">
            <w:pPr>
              <w:pStyle w:val="TableColumnHeadingLeft"/>
            </w:pPr>
            <w:r w:rsidRPr="009764EE">
              <w:t>Metric</w:t>
            </w:r>
          </w:p>
        </w:tc>
        <w:tc>
          <w:tcPr>
            <w:tcW w:w="2552" w:type="dxa"/>
          </w:tcPr>
          <w:p w14:paraId="29546FED" w14:textId="77777777" w:rsidR="00304245" w:rsidRPr="009764EE" w:rsidRDefault="00304245" w:rsidP="004C0AC6">
            <w:pPr>
              <w:pStyle w:val="TableColumnHeadingLeft"/>
            </w:pPr>
            <w:r w:rsidRPr="009764EE">
              <w:t xml:space="preserve">Why this metric </w:t>
            </w:r>
          </w:p>
        </w:tc>
        <w:tc>
          <w:tcPr>
            <w:tcW w:w="1418" w:type="dxa"/>
          </w:tcPr>
          <w:p w14:paraId="2756A51A" w14:textId="1FB9827E" w:rsidR="00304245" w:rsidRPr="009764EE" w:rsidRDefault="00E755A0" w:rsidP="004C0AC6">
            <w:pPr>
              <w:pStyle w:val="TableColumnHeadingLeft"/>
            </w:pPr>
            <w:r w:rsidRPr="009764EE">
              <w:t>Progress</w:t>
            </w:r>
          </w:p>
        </w:tc>
        <w:tc>
          <w:tcPr>
            <w:tcW w:w="1418" w:type="dxa"/>
          </w:tcPr>
          <w:p w14:paraId="42088D4B" w14:textId="27ADC660" w:rsidR="00304245" w:rsidRPr="009764EE" w:rsidRDefault="00304245" w:rsidP="004C0AC6">
            <w:pPr>
              <w:pStyle w:val="TableColumnHeadingLeft"/>
            </w:pPr>
            <w:r w:rsidRPr="009764EE">
              <w:t>Latest Value</w:t>
            </w:r>
            <w:r w:rsidR="00D77482" w:rsidRPr="005049F1">
              <w:rPr>
                <w:rStyle w:val="FootnoteReference"/>
              </w:rPr>
              <w:t>(i)</w:t>
            </w:r>
          </w:p>
        </w:tc>
      </w:tr>
      <w:tr w:rsidR="00193CF4" w:rsidRPr="009764EE" w14:paraId="07517BC9" w14:textId="77777777" w:rsidTr="00B86EEB">
        <w:trPr>
          <w:cnfStyle w:val="000000100000" w:firstRow="0" w:lastRow="0" w:firstColumn="0" w:lastColumn="0" w:oddVBand="0" w:evenVBand="0" w:oddHBand="1" w:evenHBand="0" w:firstRowFirstColumn="0" w:firstRowLastColumn="0" w:lastRowFirstColumn="0" w:lastRowLastColumn="0"/>
          <w:trHeight w:val="20"/>
        </w:trPr>
        <w:tc>
          <w:tcPr>
            <w:tcW w:w="1134" w:type="dxa"/>
          </w:tcPr>
          <w:p w14:paraId="15BA27A0" w14:textId="2D869422" w:rsidR="00304245" w:rsidRPr="00B86EEB" w:rsidRDefault="002B2247" w:rsidP="004C0AC6">
            <w:pPr>
              <w:pStyle w:val="TableTextLeft"/>
              <w:rPr>
                <w:b/>
                <w:bCs/>
                <w:color w:val="082C44"/>
              </w:rPr>
            </w:pPr>
            <w:r w:rsidRPr="00B86EEB">
              <w:rPr>
                <w:b/>
                <w:bCs/>
                <w:color w:val="082C44"/>
              </w:rPr>
              <w:t>National i</w:t>
            </w:r>
            <w:r w:rsidR="00304245" w:rsidRPr="00B86EEB">
              <w:rPr>
                <w:b/>
                <w:bCs/>
                <w:color w:val="082C44"/>
              </w:rPr>
              <w:t>ncome</w:t>
            </w:r>
            <w:r w:rsidR="001524A0" w:rsidRPr="00B86EEB">
              <w:rPr>
                <w:b/>
                <w:bCs/>
                <w:color w:val="082C44"/>
              </w:rPr>
              <w:t> per c</w:t>
            </w:r>
            <w:r w:rsidR="00304245" w:rsidRPr="00B86EEB">
              <w:rPr>
                <w:b/>
                <w:bCs/>
                <w:color w:val="082C44"/>
              </w:rPr>
              <w:t>apita</w:t>
            </w:r>
          </w:p>
        </w:tc>
        <w:tc>
          <w:tcPr>
            <w:tcW w:w="2552" w:type="dxa"/>
          </w:tcPr>
          <w:p w14:paraId="218EE078" w14:textId="1E3D00F4" w:rsidR="00304245" w:rsidRPr="00122F64" w:rsidRDefault="00304245" w:rsidP="004C0AC6">
            <w:pPr>
              <w:pStyle w:val="TableTextLeft"/>
            </w:pPr>
            <w:r w:rsidRPr="00122F64">
              <w:t xml:space="preserve">Real </w:t>
            </w:r>
            <w:r w:rsidR="006D2BEE" w:rsidRPr="00122F64">
              <w:t>N</w:t>
            </w:r>
            <w:r w:rsidRPr="00122F64">
              <w:t xml:space="preserve">et </w:t>
            </w:r>
            <w:r w:rsidR="006D2BEE" w:rsidRPr="00122F64">
              <w:t>N</w:t>
            </w:r>
            <w:r w:rsidRPr="00122F64">
              <w:t xml:space="preserve">ational </w:t>
            </w:r>
            <w:r w:rsidR="006D2BEE" w:rsidRPr="00122F64">
              <w:t>D</w:t>
            </w:r>
            <w:r w:rsidRPr="00122F64">
              <w:t xml:space="preserve">isposable </w:t>
            </w:r>
            <w:r w:rsidR="006D2BEE" w:rsidRPr="00122F64">
              <w:t>I</w:t>
            </w:r>
            <w:r w:rsidRPr="00122F64">
              <w:t>ncome (RNNDI)</w:t>
            </w:r>
            <w:r w:rsidR="001524A0">
              <w:t> per c</w:t>
            </w:r>
            <w:r w:rsidRPr="00122F64">
              <w:t>apita</w:t>
            </w:r>
            <w:r w:rsidRPr="00C239AD">
              <w:rPr>
                <w:rStyle w:val="TableFootnoteReference"/>
              </w:rPr>
              <w:t>(a)</w:t>
            </w:r>
            <w:r w:rsidRPr="00122F64">
              <w:t xml:space="preserve"> </w:t>
            </w:r>
          </w:p>
        </w:tc>
        <w:tc>
          <w:tcPr>
            <w:tcW w:w="2552" w:type="dxa"/>
          </w:tcPr>
          <w:p w14:paraId="0146300B" w14:textId="2BF412EB" w:rsidR="00304245" w:rsidRPr="00122F64" w:rsidRDefault="0005701A" w:rsidP="004C0AC6">
            <w:pPr>
              <w:pStyle w:val="TableTextLeft"/>
            </w:pPr>
            <w:r w:rsidRPr="00122F64">
              <w:t>B</w:t>
            </w:r>
            <w:r w:rsidR="008C37D3" w:rsidRPr="00122F64">
              <w:t xml:space="preserve">roadly </w:t>
            </w:r>
            <w:r w:rsidR="00DA2F1B" w:rsidRPr="00122F64">
              <w:t>captures</w:t>
            </w:r>
            <w:r w:rsidR="008C37D3" w:rsidRPr="00122F64">
              <w:t xml:space="preserve"> living standards by measuring the amount of real income per person earned domestically and overseas</w:t>
            </w:r>
          </w:p>
        </w:tc>
        <w:tc>
          <w:tcPr>
            <w:tcW w:w="1418" w:type="dxa"/>
          </w:tcPr>
          <w:p w14:paraId="4863E0FC" w14:textId="1286115C" w:rsidR="00122255" w:rsidRPr="009764EE" w:rsidRDefault="0003224A" w:rsidP="004C0AC6">
            <w:pPr>
              <w:pStyle w:val="TableTextCentered"/>
              <w:rPr>
                <w:rFonts w:eastAsia="Century Gothic"/>
              </w:rPr>
            </w:pPr>
            <w:r w:rsidRPr="009764EE">
              <w:rPr>
                <w:rFonts w:eastAsia="Century Gothic"/>
              </w:rPr>
              <w:t>Improved</w:t>
            </w:r>
          </w:p>
          <w:p w14:paraId="7CADBE4E" w14:textId="2AF6E30A" w:rsidR="00304245" w:rsidRPr="009764EE" w:rsidRDefault="00304245" w:rsidP="004C0AC6">
            <w:pPr>
              <w:pStyle w:val="TableTextCentered"/>
              <w:rPr>
                <w:rFonts w:eastAsia="Century Gothic"/>
              </w:rPr>
            </w:pPr>
            <w:r w:rsidRPr="009764EE">
              <w:t>200</w:t>
            </w:r>
            <w:r w:rsidR="00550D6A" w:rsidRPr="009764EE">
              <w:t>2</w:t>
            </w:r>
            <w:r w:rsidR="00151999">
              <w:t>–</w:t>
            </w:r>
            <w:r w:rsidR="005867C1" w:rsidRPr="009764EE">
              <w:t>0</w:t>
            </w:r>
            <w:r w:rsidR="00550D6A" w:rsidRPr="009764EE">
              <w:t>3</w:t>
            </w:r>
            <w:r w:rsidR="005867C1" w:rsidRPr="009764EE">
              <w:t xml:space="preserve"> to </w:t>
            </w:r>
            <w:r w:rsidRPr="009764EE">
              <w:t>202</w:t>
            </w:r>
            <w:r w:rsidR="005867C1" w:rsidRPr="009764EE">
              <w:t>1</w:t>
            </w:r>
            <w:r w:rsidR="00151999">
              <w:t>–</w:t>
            </w:r>
            <w:r w:rsidR="005867C1" w:rsidRPr="009764EE">
              <w:t>22</w:t>
            </w:r>
          </w:p>
        </w:tc>
        <w:tc>
          <w:tcPr>
            <w:tcW w:w="1418" w:type="dxa"/>
          </w:tcPr>
          <w:p w14:paraId="306AABE7" w14:textId="1D9E92CE" w:rsidR="00304245" w:rsidRPr="009764EE" w:rsidRDefault="00304245" w:rsidP="000C1754">
            <w:pPr>
              <w:pStyle w:val="TableTextCentered"/>
            </w:pPr>
            <w:r w:rsidRPr="009764EE">
              <w:t>$68,</w:t>
            </w:r>
            <w:r w:rsidR="005933F9" w:rsidRPr="009764EE">
              <w:t>092</w:t>
            </w:r>
          </w:p>
        </w:tc>
      </w:tr>
      <w:tr w:rsidR="00ED7E91" w:rsidRPr="009764EE" w14:paraId="2AD68F12" w14:textId="77777777" w:rsidTr="00B86EEB">
        <w:trPr>
          <w:cnfStyle w:val="000000010000" w:firstRow="0" w:lastRow="0" w:firstColumn="0" w:lastColumn="0" w:oddVBand="0" w:evenVBand="0" w:oddHBand="0" w:evenHBand="1" w:firstRowFirstColumn="0" w:firstRowLastColumn="0" w:lastRowFirstColumn="0" w:lastRowLastColumn="0"/>
          <w:trHeight w:val="20"/>
        </w:trPr>
        <w:tc>
          <w:tcPr>
            <w:tcW w:w="1134" w:type="dxa"/>
          </w:tcPr>
          <w:p w14:paraId="08EDBD04" w14:textId="2C41640B" w:rsidR="00ED7E91" w:rsidRPr="00B86EEB" w:rsidRDefault="00ED7E91" w:rsidP="004C0AC6">
            <w:pPr>
              <w:pStyle w:val="TableTextLeft"/>
              <w:rPr>
                <w:b/>
                <w:bCs/>
                <w:color w:val="082C44"/>
              </w:rPr>
            </w:pPr>
            <w:r w:rsidRPr="00B86EEB" w:rsidDel="00E32AB6">
              <w:rPr>
                <w:b/>
                <w:bCs/>
                <w:color w:val="082C44"/>
              </w:rPr>
              <w:t>Productivity</w:t>
            </w:r>
          </w:p>
        </w:tc>
        <w:tc>
          <w:tcPr>
            <w:tcW w:w="2552" w:type="dxa"/>
          </w:tcPr>
          <w:p w14:paraId="2378F149" w14:textId="12E4D8B7" w:rsidR="00ED7E91" w:rsidRPr="00122F64" w:rsidRDefault="00ED7E91" w:rsidP="004C0AC6">
            <w:pPr>
              <w:pStyle w:val="TableTextLeft"/>
            </w:pPr>
            <w:r w:rsidRPr="00122F64">
              <w:t xml:space="preserve">The </w:t>
            </w:r>
            <w:r w:rsidR="007951C0" w:rsidRPr="00122F64">
              <w:t>current</w:t>
            </w:r>
            <w:r w:rsidRPr="00122F64">
              <w:t xml:space="preserve"> 20</w:t>
            </w:r>
            <w:r w:rsidR="00135DEA">
              <w:noBreakHyphen/>
            </w:r>
            <w:r w:rsidRPr="00122F64">
              <w:t xml:space="preserve">year average labour productivity growth compared </w:t>
            </w:r>
            <w:r w:rsidR="00E44517" w:rsidRPr="00122F64">
              <w:t>to the 2</w:t>
            </w:r>
            <w:r w:rsidRPr="00122F64">
              <w:t>0</w:t>
            </w:r>
            <w:r w:rsidR="00135DEA">
              <w:noBreakHyphen/>
            </w:r>
            <w:r w:rsidR="00B26A5C" w:rsidRPr="00122F64">
              <w:softHyphen/>
            </w:r>
            <w:r w:rsidRPr="00122F64">
              <w:t>year average growth</w:t>
            </w:r>
            <w:r w:rsidR="007951C0" w:rsidRPr="00122F64">
              <w:t xml:space="preserve"> 10</w:t>
            </w:r>
            <w:r w:rsidR="00C239AD">
              <w:t> year</w:t>
            </w:r>
            <w:r w:rsidR="007951C0" w:rsidRPr="00122F64">
              <w:t>s earlier</w:t>
            </w:r>
            <w:r w:rsidRPr="00C239AD">
              <w:rPr>
                <w:rStyle w:val="TableFootnoteReference"/>
              </w:rPr>
              <w:t>(b)</w:t>
            </w:r>
          </w:p>
        </w:tc>
        <w:tc>
          <w:tcPr>
            <w:tcW w:w="2552" w:type="dxa"/>
          </w:tcPr>
          <w:p w14:paraId="71CD4526" w14:textId="028360EB" w:rsidR="00ED7E91" w:rsidRPr="00122F64" w:rsidRDefault="00ED7E91" w:rsidP="004C0AC6">
            <w:pPr>
              <w:pStyle w:val="TableTextLeft"/>
            </w:pPr>
            <w:r w:rsidRPr="00122F64">
              <w:t>Labour productivity</w:t>
            </w:r>
            <w:r w:rsidR="003016C0" w:rsidRPr="00122F64">
              <w:t xml:space="preserve"> (GDP per hours worked)</w:t>
            </w:r>
            <w:r w:rsidRPr="00122F64">
              <w:t xml:space="preserve"> is the most used indicator for economic efficiency and underpins improvements in living standards in the longer </w:t>
            </w:r>
            <w:r w:rsidRPr="00122F64" w:rsidDel="00E32AB6">
              <w:t>term</w:t>
            </w:r>
          </w:p>
        </w:tc>
        <w:tc>
          <w:tcPr>
            <w:tcW w:w="1418" w:type="dxa"/>
          </w:tcPr>
          <w:p w14:paraId="7ACC7F88" w14:textId="62C1C3BE" w:rsidR="00ED7E91" w:rsidRPr="009764EE" w:rsidRDefault="00ED7E91" w:rsidP="004C0AC6">
            <w:pPr>
              <w:pStyle w:val="TableTextCentered"/>
              <w:rPr>
                <w:color w:val="auto"/>
                <w:lang w:eastAsia="en-US"/>
              </w:rPr>
            </w:pPr>
            <w:r w:rsidRPr="009764EE">
              <w:rPr>
                <w:color w:val="auto"/>
                <w:lang w:eastAsia="en-US"/>
              </w:rPr>
              <w:t>Deteriorated</w:t>
            </w:r>
          </w:p>
          <w:p w14:paraId="6AE2B585" w14:textId="4B3DCF7A" w:rsidR="00ED7E91" w:rsidRPr="009764EE" w:rsidRDefault="00ED7E91" w:rsidP="004C0AC6">
            <w:pPr>
              <w:pStyle w:val="TableTextCentered"/>
              <w:rPr>
                <w:rFonts w:eastAsia="Century Gothic"/>
                <w:color w:val="auto"/>
              </w:rPr>
            </w:pPr>
            <w:r w:rsidRPr="009764EE">
              <w:rPr>
                <w:color w:val="auto"/>
                <w:lang w:eastAsia="en-US"/>
              </w:rPr>
              <w:t>2001</w:t>
            </w:r>
            <w:r w:rsidR="00151999">
              <w:rPr>
                <w:color w:val="auto"/>
                <w:lang w:eastAsia="en-US"/>
              </w:rPr>
              <w:t>–</w:t>
            </w:r>
            <w:r w:rsidRPr="009764EE">
              <w:rPr>
                <w:color w:val="auto"/>
                <w:lang w:eastAsia="en-US"/>
              </w:rPr>
              <w:t>02 to 2021</w:t>
            </w:r>
            <w:r w:rsidR="00151999">
              <w:rPr>
                <w:color w:val="auto"/>
                <w:lang w:eastAsia="en-US"/>
              </w:rPr>
              <w:t>–</w:t>
            </w:r>
            <w:r w:rsidRPr="009764EE" w:rsidDel="00E32AB6">
              <w:rPr>
                <w:color w:val="auto"/>
                <w:lang w:eastAsia="en-US"/>
              </w:rPr>
              <w:t>22</w:t>
            </w:r>
          </w:p>
        </w:tc>
        <w:tc>
          <w:tcPr>
            <w:tcW w:w="1418" w:type="dxa"/>
          </w:tcPr>
          <w:p w14:paraId="165A8CC1" w14:textId="56A25207" w:rsidR="00ED7E91" w:rsidRPr="009764EE" w:rsidRDefault="00394834" w:rsidP="000C1754">
            <w:pPr>
              <w:pStyle w:val="TableTextCentered"/>
              <w:rPr>
                <w:color w:val="auto"/>
              </w:rPr>
            </w:pPr>
            <w:r w:rsidRPr="009764EE">
              <w:rPr>
                <w:color w:val="auto"/>
                <w:lang w:eastAsia="en-US"/>
              </w:rPr>
              <w:t xml:space="preserve">Around </w:t>
            </w:r>
            <w:r w:rsidR="00ED7E91" w:rsidRPr="009764EE">
              <w:rPr>
                <w:color w:val="auto"/>
                <w:lang w:eastAsia="en-US"/>
              </w:rPr>
              <w:t>1.2%</w:t>
            </w:r>
            <w:r w:rsidR="000C1754">
              <w:rPr>
                <w:color w:val="auto"/>
                <w:lang w:eastAsia="en-US"/>
              </w:rPr>
              <w:t xml:space="preserve"> </w:t>
            </w:r>
            <w:r w:rsidR="00ED7E91" w:rsidRPr="009764EE">
              <w:rPr>
                <w:color w:val="auto"/>
                <w:lang w:eastAsia="en-US"/>
              </w:rPr>
              <w:t>average 20</w:t>
            </w:r>
            <w:r w:rsidR="00135DEA">
              <w:rPr>
                <w:color w:val="auto"/>
                <w:lang w:eastAsia="en-US"/>
              </w:rPr>
              <w:noBreakHyphen/>
            </w:r>
            <w:r w:rsidR="00ED7E91" w:rsidRPr="009764EE">
              <w:rPr>
                <w:color w:val="auto"/>
                <w:lang w:eastAsia="en-US"/>
              </w:rPr>
              <w:t>year growth</w:t>
            </w:r>
          </w:p>
        </w:tc>
      </w:tr>
      <w:tr w:rsidR="005151A5" w:rsidRPr="009764EE" w14:paraId="626E42EE" w14:textId="77777777" w:rsidTr="00B86EEB">
        <w:trPr>
          <w:cnfStyle w:val="000000100000" w:firstRow="0" w:lastRow="0" w:firstColumn="0" w:lastColumn="0" w:oddVBand="0" w:evenVBand="0" w:oddHBand="1" w:evenHBand="0" w:firstRowFirstColumn="0" w:firstRowLastColumn="0" w:lastRowFirstColumn="0" w:lastRowLastColumn="0"/>
          <w:trHeight w:val="20"/>
        </w:trPr>
        <w:tc>
          <w:tcPr>
            <w:tcW w:w="1134" w:type="dxa"/>
            <w:vMerge w:val="restart"/>
          </w:tcPr>
          <w:p w14:paraId="24602C8C" w14:textId="66B8F916" w:rsidR="00AD17EE" w:rsidRPr="00B86EEB" w:rsidRDefault="00AD17EE" w:rsidP="004C0AC6">
            <w:pPr>
              <w:pStyle w:val="TableTextLeft"/>
              <w:rPr>
                <w:b/>
                <w:bCs/>
                <w:color w:val="082C44"/>
              </w:rPr>
            </w:pPr>
            <w:r w:rsidRPr="00B86EEB">
              <w:rPr>
                <w:b/>
                <w:bCs/>
                <w:color w:val="082C44"/>
              </w:rPr>
              <w:t xml:space="preserve">Household income and wealth </w:t>
            </w:r>
          </w:p>
        </w:tc>
        <w:tc>
          <w:tcPr>
            <w:tcW w:w="2552" w:type="dxa"/>
            <w:tcBorders>
              <w:bottom w:val="single" w:sz="4" w:space="0" w:color="EEEEEE" w:themeColor="background2"/>
            </w:tcBorders>
          </w:tcPr>
          <w:p w14:paraId="1899BB32" w14:textId="3B17F0AD" w:rsidR="00AD17EE" w:rsidRPr="00122F64" w:rsidRDefault="00AD17EE" w:rsidP="004C0AC6">
            <w:pPr>
              <w:pStyle w:val="TableTextLeft"/>
            </w:pPr>
            <w:r w:rsidRPr="00122F64">
              <w:t>Me</w:t>
            </w:r>
            <w:r w:rsidR="005D32CE" w:rsidRPr="00122F64">
              <w:t>dian</w:t>
            </w:r>
            <w:r w:rsidRPr="00122F64">
              <w:t xml:space="preserve"> equivalised weekly disposable household </w:t>
            </w:r>
            <w:r w:rsidRPr="00122F64" w:rsidDel="00F111DF">
              <w:t>income</w:t>
            </w:r>
            <w:r w:rsidRPr="00C239AD">
              <w:rPr>
                <w:rStyle w:val="TableFootnoteReference"/>
              </w:rPr>
              <w:t>(</w:t>
            </w:r>
            <w:r w:rsidR="00A7016A" w:rsidRPr="00C239AD">
              <w:rPr>
                <w:rStyle w:val="TableFootnoteReference"/>
              </w:rPr>
              <w:t>c</w:t>
            </w:r>
            <w:r w:rsidRPr="00C239AD">
              <w:rPr>
                <w:rStyle w:val="TableFootnoteReference"/>
              </w:rPr>
              <w:t>)</w:t>
            </w:r>
            <w:r w:rsidRPr="00122F64">
              <w:t xml:space="preserve"> </w:t>
            </w:r>
          </w:p>
        </w:tc>
        <w:tc>
          <w:tcPr>
            <w:tcW w:w="2552" w:type="dxa"/>
            <w:vMerge w:val="restart"/>
            <w:tcBorders>
              <w:bottom w:val="single" w:sz="4" w:space="0" w:color="EEEEEE" w:themeColor="background2"/>
            </w:tcBorders>
          </w:tcPr>
          <w:p w14:paraId="5CAF39D0" w14:textId="105CB128" w:rsidR="00AD17EE" w:rsidRPr="00122F64" w:rsidRDefault="00AD17EE" w:rsidP="004C0AC6">
            <w:pPr>
              <w:pStyle w:val="TableTextLeft"/>
            </w:pPr>
            <w:r w:rsidRPr="00122F64">
              <w:t xml:space="preserve">Provides an indication of the </w:t>
            </w:r>
            <w:r w:rsidR="00FC196D" w:rsidRPr="00122F64">
              <w:t xml:space="preserve">financial resources </w:t>
            </w:r>
            <w:r w:rsidRPr="00122F64">
              <w:t>of people</w:t>
            </w:r>
          </w:p>
        </w:tc>
        <w:tc>
          <w:tcPr>
            <w:tcW w:w="1418" w:type="dxa"/>
            <w:tcBorders>
              <w:bottom w:val="single" w:sz="4" w:space="0" w:color="EEEEEE" w:themeColor="background2"/>
            </w:tcBorders>
          </w:tcPr>
          <w:p w14:paraId="66000908" w14:textId="69E98153" w:rsidR="00324AD4" w:rsidRPr="009764EE" w:rsidRDefault="00C31262" w:rsidP="004C0AC6">
            <w:pPr>
              <w:pStyle w:val="TableTextCentered"/>
            </w:pPr>
            <w:r w:rsidRPr="009764EE">
              <w:rPr>
                <w:rFonts w:eastAsia="Century Gothic"/>
              </w:rPr>
              <w:t>I</w:t>
            </w:r>
            <w:r w:rsidR="00356361" w:rsidRPr="009764EE">
              <w:rPr>
                <w:rFonts w:eastAsia="Century Gothic"/>
              </w:rPr>
              <w:t>mproved</w:t>
            </w:r>
          </w:p>
          <w:p w14:paraId="4949D9CC" w14:textId="0BDED897" w:rsidR="00AD17EE" w:rsidRPr="009764EE" w:rsidRDefault="00AD17EE" w:rsidP="000C1754">
            <w:pPr>
              <w:pStyle w:val="TableTextCentered"/>
              <w:rPr>
                <w:rFonts w:eastAsia="Century Gothic"/>
              </w:rPr>
            </w:pPr>
            <w:r w:rsidRPr="009764EE">
              <w:t>2007</w:t>
            </w:r>
            <w:r w:rsidR="00E32955">
              <w:softHyphen/>
            </w:r>
            <w:r w:rsidR="00620078">
              <w:t>–</w:t>
            </w:r>
            <w:r w:rsidRPr="009764EE">
              <w:t>08</w:t>
            </w:r>
            <w:r w:rsidR="00E755A0" w:rsidRPr="009764EE">
              <w:t xml:space="preserve"> to</w:t>
            </w:r>
            <w:r w:rsidR="000C1754">
              <w:t xml:space="preserve"> </w:t>
            </w:r>
            <w:r w:rsidRPr="009764EE">
              <w:t>2019</w:t>
            </w:r>
            <w:r w:rsidR="00151999">
              <w:t>–</w:t>
            </w:r>
            <w:r w:rsidRPr="009764EE">
              <w:t>20</w:t>
            </w:r>
          </w:p>
        </w:tc>
        <w:tc>
          <w:tcPr>
            <w:tcW w:w="1418" w:type="dxa"/>
            <w:tcBorders>
              <w:bottom w:val="single" w:sz="4" w:space="0" w:color="EEEEEE" w:themeColor="background2"/>
            </w:tcBorders>
          </w:tcPr>
          <w:p w14:paraId="31353CE7" w14:textId="4CB71A90" w:rsidR="00AD17EE" w:rsidRPr="009764EE" w:rsidRDefault="008B5361" w:rsidP="004C0AC6">
            <w:pPr>
              <w:pStyle w:val="TableTextCentered"/>
            </w:pPr>
            <w:r w:rsidRPr="009764EE">
              <w:t>$959</w:t>
            </w:r>
          </w:p>
        </w:tc>
      </w:tr>
      <w:tr w:rsidR="008820E9" w:rsidRPr="009764EE" w14:paraId="6D44535D" w14:textId="77777777" w:rsidTr="00B86EEB">
        <w:trPr>
          <w:cnfStyle w:val="000000010000" w:firstRow="0" w:lastRow="0" w:firstColumn="0" w:lastColumn="0" w:oddVBand="0" w:evenVBand="0" w:oddHBand="0" w:evenHBand="1" w:firstRowFirstColumn="0" w:firstRowLastColumn="0" w:lastRowFirstColumn="0" w:lastRowLastColumn="0"/>
          <w:trHeight w:val="20"/>
        </w:trPr>
        <w:tc>
          <w:tcPr>
            <w:tcW w:w="1134" w:type="dxa"/>
            <w:vMerge/>
          </w:tcPr>
          <w:p w14:paraId="5B623F7F" w14:textId="77777777" w:rsidR="00AD17EE" w:rsidRPr="00B86EEB" w:rsidRDefault="00AD17EE" w:rsidP="004C0AC6">
            <w:pPr>
              <w:pStyle w:val="TableTextLeft"/>
              <w:rPr>
                <w:b/>
                <w:bCs/>
                <w:color w:val="082C44"/>
              </w:rPr>
            </w:pPr>
          </w:p>
        </w:tc>
        <w:tc>
          <w:tcPr>
            <w:tcW w:w="2552" w:type="dxa"/>
            <w:tcBorders>
              <w:top w:val="single" w:sz="4" w:space="0" w:color="EEEEEE" w:themeColor="background2"/>
            </w:tcBorders>
          </w:tcPr>
          <w:p w14:paraId="632ABF6E" w14:textId="2A893C62" w:rsidR="00AD17EE" w:rsidRPr="00122F64" w:rsidRDefault="006D2BEE" w:rsidP="004C0AC6">
            <w:pPr>
              <w:pStyle w:val="TableTextLeft"/>
            </w:pPr>
            <w:r w:rsidRPr="00122F64">
              <w:t>N</w:t>
            </w:r>
            <w:r w:rsidR="002B3CDC" w:rsidRPr="00122F64">
              <w:t xml:space="preserve">et worth per </w:t>
            </w:r>
            <w:r w:rsidR="00AD17EE" w:rsidRPr="00122F64">
              <w:t>household</w:t>
            </w:r>
            <w:r w:rsidR="00AD17EE" w:rsidRPr="00C239AD">
              <w:rPr>
                <w:rStyle w:val="TableFootnoteReference"/>
              </w:rPr>
              <w:t>(d)</w:t>
            </w:r>
            <w:r w:rsidR="00AD17EE" w:rsidRPr="00122F64">
              <w:t xml:space="preserve"> </w:t>
            </w:r>
          </w:p>
        </w:tc>
        <w:tc>
          <w:tcPr>
            <w:tcW w:w="2552" w:type="dxa"/>
            <w:vMerge/>
            <w:tcBorders>
              <w:top w:val="single" w:sz="4" w:space="0" w:color="EEEEEE" w:themeColor="background2"/>
            </w:tcBorders>
          </w:tcPr>
          <w:p w14:paraId="79FEC60F" w14:textId="77777777" w:rsidR="00AD17EE" w:rsidRPr="00122F64" w:rsidRDefault="00AD17EE" w:rsidP="004C0AC6">
            <w:pPr>
              <w:pStyle w:val="TableTextLeft"/>
            </w:pPr>
          </w:p>
        </w:tc>
        <w:tc>
          <w:tcPr>
            <w:tcW w:w="1418" w:type="dxa"/>
            <w:tcBorders>
              <w:top w:val="single" w:sz="4" w:space="0" w:color="EEEEEE" w:themeColor="background2"/>
            </w:tcBorders>
          </w:tcPr>
          <w:p w14:paraId="2A9BA675" w14:textId="095C97A0" w:rsidR="00324AD4" w:rsidRPr="009764EE" w:rsidRDefault="00356361" w:rsidP="004C0AC6">
            <w:pPr>
              <w:pStyle w:val="TableTextCentered"/>
            </w:pPr>
            <w:r w:rsidRPr="009764EE">
              <w:rPr>
                <w:rFonts w:eastAsia="Century Gothic"/>
              </w:rPr>
              <w:t>Improved</w:t>
            </w:r>
          </w:p>
          <w:p w14:paraId="3E012B41" w14:textId="06B5A724" w:rsidR="00AD17EE" w:rsidRPr="009764EE" w:rsidRDefault="009B0B8E" w:rsidP="000C1754">
            <w:pPr>
              <w:pStyle w:val="TableTextCentered"/>
              <w:rPr>
                <w:rFonts w:eastAsia="Century Gothic"/>
              </w:rPr>
            </w:pPr>
            <w:r w:rsidRPr="009764EE">
              <w:t>200</w:t>
            </w:r>
            <w:r w:rsidR="002B3CDC" w:rsidRPr="009764EE">
              <w:t>3</w:t>
            </w:r>
            <w:r w:rsidR="00620078">
              <w:t>–</w:t>
            </w:r>
            <w:r w:rsidR="00E32955">
              <w:softHyphen/>
            </w:r>
            <w:r w:rsidR="002B3CDC" w:rsidRPr="009764EE">
              <w:t>04</w:t>
            </w:r>
            <w:r w:rsidR="00E755A0" w:rsidRPr="009764EE">
              <w:t xml:space="preserve"> to</w:t>
            </w:r>
            <w:r w:rsidR="000C1754">
              <w:t xml:space="preserve"> </w:t>
            </w:r>
            <w:r w:rsidRPr="009764EE">
              <w:t>20</w:t>
            </w:r>
            <w:r w:rsidR="002B3CDC" w:rsidRPr="009764EE">
              <w:t>21</w:t>
            </w:r>
            <w:r w:rsidR="00151999">
              <w:t>–</w:t>
            </w:r>
            <w:r w:rsidR="002B3CDC" w:rsidRPr="009764EE">
              <w:t>22</w:t>
            </w:r>
          </w:p>
        </w:tc>
        <w:tc>
          <w:tcPr>
            <w:tcW w:w="1418" w:type="dxa"/>
            <w:tcBorders>
              <w:top w:val="single" w:sz="4" w:space="0" w:color="EEEEEE" w:themeColor="background2"/>
            </w:tcBorders>
          </w:tcPr>
          <w:p w14:paraId="4DE5358D" w14:textId="0EC7B00A" w:rsidR="00AD17EE" w:rsidRPr="009764EE" w:rsidRDefault="00AD17EE" w:rsidP="000C1754">
            <w:pPr>
              <w:pStyle w:val="TableTextCentered"/>
            </w:pPr>
            <w:r w:rsidRPr="009764EE">
              <w:t>$1.</w:t>
            </w:r>
            <w:r w:rsidR="00CB5BC1" w:rsidRPr="009764EE">
              <w:t>4</w:t>
            </w:r>
            <w:r w:rsidRPr="009764EE">
              <w:t xml:space="preserve"> m</w:t>
            </w:r>
          </w:p>
        </w:tc>
      </w:tr>
      <w:tr w:rsidR="009B0B8E" w:rsidRPr="009764EE" w14:paraId="004AF9E2" w14:textId="77777777" w:rsidTr="00B86EEB">
        <w:trPr>
          <w:cnfStyle w:val="000000100000" w:firstRow="0" w:lastRow="0" w:firstColumn="0" w:lastColumn="0" w:oddVBand="0" w:evenVBand="0" w:oddHBand="1" w:evenHBand="0" w:firstRowFirstColumn="0" w:firstRowLastColumn="0" w:lastRowFirstColumn="0" w:lastRowLastColumn="0"/>
          <w:trHeight w:val="20"/>
        </w:trPr>
        <w:tc>
          <w:tcPr>
            <w:tcW w:w="1134" w:type="dxa"/>
          </w:tcPr>
          <w:p w14:paraId="2AF94D95" w14:textId="5F95257B" w:rsidR="009B0B8E" w:rsidRPr="00B86EEB" w:rsidRDefault="009B0B8E" w:rsidP="004C0AC6">
            <w:pPr>
              <w:pStyle w:val="TableTextLeft"/>
              <w:rPr>
                <w:b/>
                <w:bCs/>
                <w:color w:val="082C44"/>
              </w:rPr>
            </w:pPr>
            <w:r w:rsidRPr="00B86EEB">
              <w:rPr>
                <w:b/>
                <w:bCs/>
                <w:color w:val="082C44"/>
              </w:rPr>
              <w:t>Income and wealth inequality</w:t>
            </w:r>
          </w:p>
        </w:tc>
        <w:tc>
          <w:tcPr>
            <w:tcW w:w="2552" w:type="dxa"/>
          </w:tcPr>
          <w:p w14:paraId="39220840" w14:textId="161CC80C" w:rsidR="009B0B8E" w:rsidRPr="00122F64" w:rsidRDefault="009B0B8E" w:rsidP="004C0AC6">
            <w:pPr>
              <w:pStyle w:val="TableTextLeft"/>
            </w:pPr>
            <w:r w:rsidRPr="00122F64">
              <w:t xml:space="preserve">Gini </w:t>
            </w:r>
            <w:r w:rsidR="003E7B59" w:rsidRPr="00122F64">
              <w:t>coefficient</w:t>
            </w:r>
            <w:r w:rsidRPr="00122F64">
              <w:t xml:space="preserve"> for income and wealth</w:t>
            </w:r>
            <w:r w:rsidRPr="00C239AD">
              <w:rPr>
                <w:rStyle w:val="TableFootnoteReference"/>
              </w:rPr>
              <w:t>(</w:t>
            </w:r>
            <w:r w:rsidR="003C222E" w:rsidRPr="00C239AD">
              <w:rPr>
                <w:rStyle w:val="TableFootnoteReference"/>
              </w:rPr>
              <w:t>c</w:t>
            </w:r>
            <w:r w:rsidRPr="00C239AD">
              <w:rPr>
                <w:rStyle w:val="TableFootnoteReference"/>
              </w:rPr>
              <w:t>)</w:t>
            </w:r>
          </w:p>
        </w:tc>
        <w:tc>
          <w:tcPr>
            <w:tcW w:w="2552" w:type="dxa"/>
          </w:tcPr>
          <w:p w14:paraId="69A33EC9" w14:textId="4577D0FB" w:rsidR="009B0B8E" w:rsidRPr="00122F64" w:rsidRDefault="009B0B8E" w:rsidP="004C0AC6">
            <w:pPr>
              <w:pStyle w:val="TableTextLeft"/>
            </w:pPr>
            <w:r w:rsidRPr="00122F64">
              <w:t xml:space="preserve">Measure of how income and wealth are shared amongst the population. The Gini coefficient can range between 0 and 1, and a lower Gini coefficient represents greater equality </w:t>
            </w:r>
          </w:p>
        </w:tc>
        <w:tc>
          <w:tcPr>
            <w:tcW w:w="1418" w:type="dxa"/>
          </w:tcPr>
          <w:p w14:paraId="0CABAB8A" w14:textId="64448742" w:rsidR="009B0B8E" w:rsidRPr="009764EE" w:rsidRDefault="009B0B8E" w:rsidP="004C0AC6">
            <w:pPr>
              <w:pStyle w:val="TableTextCentered"/>
              <w:rPr>
                <w:rFonts w:eastAsia="Century Gothic"/>
              </w:rPr>
            </w:pPr>
            <w:r w:rsidRPr="009764EE">
              <w:rPr>
                <w:rFonts w:eastAsia="Century Gothic"/>
              </w:rPr>
              <w:t>Stable</w:t>
            </w:r>
          </w:p>
          <w:p w14:paraId="61DBCF76" w14:textId="1BBB2D11" w:rsidR="004056DF" w:rsidRPr="009764EE" w:rsidRDefault="00544A9F" w:rsidP="004C0AC6">
            <w:pPr>
              <w:pStyle w:val="TableTextCentered"/>
            </w:pPr>
            <w:r>
              <w:t>I</w:t>
            </w:r>
            <w:r w:rsidRPr="009764EE">
              <w:t>ncome</w:t>
            </w:r>
            <w:r w:rsidR="00362F46">
              <w:t>:</w:t>
            </w:r>
            <w:r w:rsidRPr="009764EE">
              <w:t xml:space="preserve"> </w:t>
            </w:r>
            <w:r w:rsidR="009B0B8E" w:rsidRPr="009764EE">
              <w:t>2007</w:t>
            </w:r>
            <w:r w:rsidR="00151999">
              <w:t>–</w:t>
            </w:r>
            <w:r w:rsidR="00620078">
              <w:t>‍</w:t>
            </w:r>
            <w:r w:rsidR="009B0B8E" w:rsidRPr="009764EE">
              <w:t>08 to</w:t>
            </w:r>
            <w:r w:rsidR="000C1754">
              <w:t xml:space="preserve"> </w:t>
            </w:r>
            <w:r w:rsidR="009B0B8E" w:rsidRPr="009764EE">
              <w:t>2019</w:t>
            </w:r>
            <w:r w:rsidR="00620078">
              <w:t>–</w:t>
            </w:r>
            <w:r w:rsidR="00FA799D">
              <w:softHyphen/>
            </w:r>
            <w:r w:rsidR="009B0B8E" w:rsidRPr="009764EE">
              <w:t>20</w:t>
            </w:r>
            <w:r w:rsidR="00E069CE" w:rsidRPr="009764EE">
              <w:t xml:space="preserve"> </w:t>
            </w:r>
          </w:p>
          <w:p w14:paraId="36ACA66C" w14:textId="6D21FE79" w:rsidR="009B0B8E" w:rsidRPr="009764EE" w:rsidRDefault="00F561AC" w:rsidP="004C0AC6">
            <w:pPr>
              <w:pStyle w:val="TableTextCentered"/>
              <w:rPr>
                <w:rFonts w:eastAsia="Century Gothic"/>
              </w:rPr>
            </w:pPr>
            <w:r>
              <w:t xml:space="preserve">Wealth: </w:t>
            </w:r>
            <w:r w:rsidR="00E069CE" w:rsidRPr="009764EE">
              <w:t>2009</w:t>
            </w:r>
            <w:r w:rsidR="00151999">
              <w:t>–</w:t>
            </w:r>
            <w:r w:rsidR="00620078">
              <w:t>‍</w:t>
            </w:r>
            <w:r w:rsidR="00E069CE" w:rsidRPr="009764EE">
              <w:t>10 to 2019</w:t>
            </w:r>
            <w:r w:rsidR="00620078">
              <w:t>–</w:t>
            </w:r>
            <w:r w:rsidR="00B26A5C">
              <w:softHyphen/>
            </w:r>
            <w:r w:rsidR="00E069CE" w:rsidRPr="009764EE">
              <w:t xml:space="preserve">20 </w:t>
            </w:r>
          </w:p>
        </w:tc>
        <w:tc>
          <w:tcPr>
            <w:tcW w:w="1418" w:type="dxa"/>
          </w:tcPr>
          <w:p w14:paraId="77C36193" w14:textId="530815C9" w:rsidR="009B0B8E" w:rsidRPr="009764EE" w:rsidRDefault="009B0B8E" w:rsidP="004C0AC6">
            <w:pPr>
              <w:pStyle w:val="TableTextCentered"/>
            </w:pPr>
            <w:r w:rsidRPr="009764EE">
              <w:t>0.32 income</w:t>
            </w:r>
          </w:p>
          <w:p w14:paraId="18794B50" w14:textId="5004D6A2" w:rsidR="009B0B8E" w:rsidRPr="009764EE" w:rsidRDefault="009B0B8E" w:rsidP="000C1754">
            <w:pPr>
              <w:pStyle w:val="TableTextCentered"/>
            </w:pPr>
            <w:r w:rsidRPr="009764EE">
              <w:t>0.61 wealth</w:t>
            </w:r>
          </w:p>
        </w:tc>
      </w:tr>
      <w:tr w:rsidR="00FA3095" w:rsidRPr="009764EE" w14:paraId="63BEC047" w14:textId="77777777" w:rsidTr="00B86EEB">
        <w:trPr>
          <w:cnfStyle w:val="000000010000" w:firstRow="0" w:lastRow="0" w:firstColumn="0" w:lastColumn="0" w:oddVBand="0" w:evenVBand="0" w:oddHBand="0" w:evenHBand="1" w:firstRowFirstColumn="0" w:firstRowLastColumn="0" w:lastRowFirstColumn="0" w:lastRowLastColumn="0"/>
          <w:trHeight w:val="20"/>
        </w:trPr>
        <w:tc>
          <w:tcPr>
            <w:tcW w:w="1134" w:type="dxa"/>
          </w:tcPr>
          <w:p w14:paraId="3F6AFE18" w14:textId="50944E44" w:rsidR="00FA3095" w:rsidRPr="00B86EEB" w:rsidRDefault="00FA3095" w:rsidP="004C0AC6">
            <w:pPr>
              <w:pStyle w:val="TableTextLeft"/>
              <w:rPr>
                <w:b/>
                <w:bCs/>
                <w:color w:val="082C44"/>
              </w:rPr>
            </w:pPr>
            <w:r w:rsidRPr="00B86EEB">
              <w:rPr>
                <w:b/>
                <w:bCs/>
                <w:color w:val="082C44"/>
              </w:rPr>
              <w:t>Innovation</w:t>
            </w:r>
          </w:p>
        </w:tc>
        <w:tc>
          <w:tcPr>
            <w:tcW w:w="2552" w:type="dxa"/>
          </w:tcPr>
          <w:p w14:paraId="06A2A335" w14:textId="18E9B3E6" w:rsidR="00FA3095" w:rsidRPr="00122F64" w:rsidRDefault="00FA3095" w:rsidP="004C0AC6">
            <w:pPr>
              <w:pStyle w:val="TableTextLeft"/>
            </w:pPr>
            <w:r w:rsidRPr="00122F64">
              <w:t xml:space="preserve">Number of </w:t>
            </w:r>
            <w:r w:rsidR="00EB3200" w:rsidRPr="00122F64">
              <w:t>patent and trade mark applications in Australia (made by both domestic and overseas applicants</w:t>
            </w:r>
            <w:r w:rsidR="00346288" w:rsidRPr="00122F64">
              <w:t>)</w:t>
            </w:r>
            <w:r w:rsidR="000A61F4" w:rsidRPr="00122F64">
              <w:t xml:space="preserve"> </w:t>
            </w:r>
            <w:r w:rsidRPr="00C239AD">
              <w:rPr>
                <w:rStyle w:val="TableFootnoteReference"/>
              </w:rPr>
              <w:t>(e)</w:t>
            </w:r>
          </w:p>
        </w:tc>
        <w:tc>
          <w:tcPr>
            <w:tcW w:w="2552" w:type="dxa"/>
          </w:tcPr>
          <w:p w14:paraId="285BDC7B" w14:textId="10CB6C93" w:rsidR="00FA3095" w:rsidRPr="00122F64" w:rsidRDefault="00FA3095" w:rsidP="004C0AC6">
            <w:pPr>
              <w:pStyle w:val="TableTextLeft"/>
            </w:pPr>
            <w:r w:rsidRPr="00122F64">
              <w:t>Provides a leading indicator of economic development and the creation and introduction of new products and services that improve the lives of Australians</w:t>
            </w:r>
          </w:p>
        </w:tc>
        <w:tc>
          <w:tcPr>
            <w:tcW w:w="1418" w:type="dxa"/>
          </w:tcPr>
          <w:p w14:paraId="6CFD3D10" w14:textId="496ACDDF" w:rsidR="00E72BDF" w:rsidRPr="009764EE" w:rsidRDefault="000B4C4D" w:rsidP="000C1754">
            <w:pPr>
              <w:pStyle w:val="TableTextCentered"/>
              <w:rPr>
                <w:rFonts w:eastAsia="Century Gothic"/>
              </w:rPr>
            </w:pPr>
            <w:r>
              <w:rPr>
                <w:rFonts w:eastAsia="Century Gothic"/>
              </w:rPr>
              <w:t>Improved</w:t>
            </w:r>
          </w:p>
          <w:p w14:paraId="6726254F" w14:textId="55590338" w:rsidR="00FA3095" w:rsidRPr="009764EE" w:rsidRDefault="00FA3095" w:rsidP="004C0AC6">
            <w:pPr>
              <w:pStyle w:val="TableTextCentered"/>
              <w:rPr>
                <w:rFonts w:eastAsia="Century Gothic"/>
              </w:rPr>
            </w:pPr>
            <w:r w:rsidRPr="009764EE">
              <w:rPr>
                <w:rFonts w:eastAsia="Century Gothic"/>
              </w:rPr>
              <w:t>20</w:t>
            </w:r>
            <w:r w:rsidR="00715C7D" w:rsidRPr="009764EE">
              <w:rPr>
                <w:rFonts w:eastAsia="Century Gothic"/>
              </w:rPr>
              <w:t>03</w:t>
            </w:r>
            <w:r w:rsidR="00151999">
              <w:rPr>
                <w:rFonts w:eastAsia="Century Gothic"/>
              </w:rPr>
              <w:t>–</w:t>
            </w:r>
            <w:r w:rsidRPr="009764EE">
              <w:rPr>
                <w:rFonts w:eastAsia="Century Gothic"/>
              </w:rPr>
              <w:t>2022</w:t>
            </w:r>
          </w:p>
        </w:tc>
        <w:tc>
          <w:tcPr>
            <w:tcW w:w="1418" w:type="dxa"/>
          </w:tcPr>
          <w:p w14:paraId="53BF7B7C" w14:textId="76216291" w:rsidR="005A118E" w:rsidRPr="009764EE" w:rsidRDefault="005A118E" w:rsidP="004C0AC6">
            <w:pPr>
              <w:pStyle w:val="TableTextCentered"/>
            </w:pPr>
            <w:r w:rsidRPr="009764EE">
              <w:t>32,2</w:t>
            </w:r>
            <w:r w:rsidR="00697888">
              <w:t>92</w:t>
            </w:r>
            <w:r w:rsidRPr="009764EE">
              <w:t xml:space="preserve"> patents</w:t>
            </w:r>
          </w:p>
          <w:p w14:paraId="3D72449B" w14:textId="6501ED01" w:rsidR="00FA3095" w:rsidRPr="009764EE" w:rsidRDefault="005A118E" w:rsidP="000C1754">
            <w:pPr>
              <w:pStyle w:val="TableTextCentered"/>
            </w:pPr>
            <w:r w:rsidRPr="009764EE">
              <w:t>78,83</w:t>
            </w:r>
            <w:r w:rsidR="00233E4E" w:rsidRPr="009764EE">
              <w:t>3</w:t>
            </w:r>
            <w:r w:rsidRPr="009764EE">
              <w:t xml:space="preserve"> </w:t>
            </w:r>
            <w:r w:rsidR="00DA17AC">
              <w:t>t</w:t>
            </w:r>
            <w:r w:rsidRPr="009764EE">
              <w:t>rade</w:t>
            </w:r>
            <w:r w:rsidR="00DA17AC">
              <w:t xml:space="preserve"> </w:t>
            </w:r>
            <w:r w:rsidRPr="009764EE">
              <w:t>marks</w:t>
            </w:r>
          </w:p>
        </w:tc>
      </w:tr>
    </w:tbl>
    <w:p w14:paraId="3AA0633E" w14:textId="2BE67A77" w:rsidR="00794B93" w:rsidRPr="00B86EEB" w:rsidRDefault="00571B79" w:rsidP="00E94014">
      <w:pPr>
        <w:pStyle w:val="ChartorTableNote"/>
      </w:pPr>
      <w:r w:rsidRPr="00B86EEB">
        <w:t>Sources:</w:t>
      </w:r>
      <w:r w:rsidR="004C0AC6" w:rsidRPr="00B86EEB">
        <w:tab/>
      </w:r>
      <w:r w:rsidR="00794B93" w:rsidRPr="00B86EEB">
        <w:t>(a) A</w:t>
      </w:r>
      <w:r w:rsidR="00F17FCF" w:rsidRPr="00B86EEB">
        <w:t xml:space="preserve">BS </w:t>
      </w:r>
      <w:r w:rsidR="008360FD" w:rsidRPr="00B86EEB">
        <w:t>National Accounts</w:t>
      </w:r>
      <w:r w:rsidR="00A7016A" w:rsidRPr="00B86EEB">
        <w:t>: National Income, Expenditure and Product</w:t>
      </w:r>
      <w:r w:rsidR="008360FD" w:rsidRPr="00B86EEB">
        <w:t xml:space="preserve"> </w:t>
      </w:r>
      <w:r w:rsidR="005049F1" w:rsidRPr="00B86EEB">
        <w:br/>
      </w:r>
      <w:r w:rsidR="008360FD" w:rsidRPr="00B86EEB">
        <w:t xml:space="preserve">(b) </w:t>
      </w:r>
      <w:r w:rsidR="008C2A4C" w:rsidRPr="00E94014">
        <w:t>ABS</w:t>
      </w:r>
      <w:r w:rsidR="003A338E" w:rsidRPr="00B86EEB">
        <w:t xml:space="preserve"> </w:t>
      </w:r>
      <w:r w:rsidR="004002DB" w:rsidRPr="00B86EEB">
        <w:t>Australian System of National Accounts</w:t>
      </w:r>
      <w:r w:rsidR="003A338E" w:rsidRPr="00B86EEB">
        <w:t xml:space="preserve"> </w:t>
      </w:r>
      <w:r w:rsidR="004C0AC6" w:rsidRPr="00B86EEB">
        <w:br/>
      </w:r>
      <w:r w:rsidR="003A338E" w:rsidRPr="00B86EEB">
        <w:t xml:space="preserve">(c) </w:t>
      </w:r>
      <w:r w:rsidR="00B239A6" w:rsidRPr="00B86EEB">
        <w:t>ABS</w:t>
      </w:r>
      <w:r w:rsidR="005E1F58" w:rsidRPr="00B86EEB">
        <w:t xml:space="preserve"> Survey of Income and Housing</w:t>
      </w:r>
      <w:r w:rsidR="00F730B3" w:rsidRPr="00B86EEB">
        <w:t xml:space="preserve"> </w:t>
      </w:r>
      <w:r w:rsidR="004C0AC6" w:rsidRPr="00B86EEB">
        <w:br/>
      </w:r>
      <w:r w:rsidR="000A76ED" w:rsidRPr="00B86EEB">
        <w:t>(</w:t>
      </w:r>
      <w:r w:rsidR="003C222E" w:rsidRPr="00B86EEB">
        <w:t>d</w:t>
      </w:r>
      <w:r w:rsidR="000A76ED" w:rsidRPr="00B86EEB">
        <w:t>)</w:t>
      </w:r>
      <w:r w:rsidR="00346288" w:rsidRPr="00B86EEB">
        <w:t xml:space="preserve"> ABS Australian National Accounts: Distribution of Household Income, Consumption and Wealth </w:t>
      </w:r>
      <w:r w:rsidR="004C0AC6" w:rsidRPr="00B86EEB">
        <w:br/>
      </w:r>
      <w:r w:rsidR="00346288" w:rsidRPr="00B86EEB">
        <w:t>(</w:t>
      </w:r>
      <w:r w:rsidR="003C222E" w:rsidRPr="00B86EEB">
        <w:t>e</w:t>
      </w:r>
      <w:r w:rsidR="00346288" w:rsidRPr="00B86EEB">
        <w:t>)</w:t>
      </w:r>
      <w:r w:rsidR="00076599" w:rsidRPr="00B86EEB">
        <w:t xml:space="preserve"> </w:t>
      </w:r>
      <w:r w:rsidR="00570D38" w:rsidRPr="00B86EEB">
        <w:t>IP Australia</w:t>
      </w:r>
      <w:r w:rsidR="00BD09DD" w:rsidRPr="00B86EEB">
        <w:t xml:space="preserve"> </w:t>
      </w:r>
    </w:p>
    <w:p w14:paraId="6F536E31" w14:textId="72E9E252" w:rsidR="00F82B4A" w:rsidRPr="00B86EEB" w:rsidRDefault="00AC74B2" w:rsidP="00B86EEB">
      <w:pPr>
        <w:pStyle w:val="ChartorTableNote"/>
      </w:pPr>
      <w:r w:rsidRPr="00B86EEB">
        <w:t>N</w:t>
      </w:r>
      <w:r w:rsidR="00F82B4A" w:rsidRPr="00B86EEB">
        <w:t>ote:</w:t>
      </w:r>
      <w:r w:rsidR="00D622FB" w:rsidRPr="00B86EEB">
        <w:t xml:space="preserve"> </w:t>
      </w:r>
      <w:r w:rsidR="004C0AC6" w:rsidRPr="00B86EEB">
        <w:tab/>
      </w:r>
      <w:r w:rsidR="00D77482" w:rsidRPr="00B86EEB">
        <w:t>(i)</w:t>
      </w:r>
      <w:r w:rsidR="00714007" w:rsidRPr="00B86EEB">
        <w:t xml:space="preserve"> </w:t>
      </w:r>
      <w:r w:rsidR="00F82B4A" w:rsidRPr="00B86EEB">
        <w:t>Unless specified the latest value is the last data point in the</w:t>
      </w:r>
      <w:r w:rsidR="00621C5D" w:rsidRPr="00B86EEB">
        <w:t xml:space="preserve"> series</w:t>
      </w:r>
    </w:p>
    <w:p w14:paraId="08AE5452" w14:textId="77777777" w:rsidR="00B862FD" w:rsidRDefault="00B862FD" w:rsidP="00B862FD"/>
    <w:p w14:paraId="7F575917" w14:textId="6EB74A67" w:rsidR="00B862FD" w:rsidRPr="00B862FD" w:rsidRDefault="00B862FD" w:rsidP="00B862FD">
      <w:pPr>
        <w:sectPr w:rsidR="00B862FD" w:rsidRPr="00B862FD" w:rsidSect="00DA302B">
          <w:endnotePr>
            <w:numFmt w:val="decimal"/>
          </w:endnotePr>
          <w:pgSz w:w="11906" w:h="16838" w:code="9"/>
          <w:pgMar w:top="1843" w:right="1418" w:bottom="1418" w:left="1418" w:header="851" w:footer="851" w:gutter="0"/>
          <w:cols w:space="567"/>
          <w:docGrid w:linePitch="360"/>
        </w:sectPr>
      </w:pPr>
    </w:p>
    <w:p w14:paraId="1F487706" w14:textId="0D394727" w:rsidR="00B72845" w:rsidRPr="009764EE" w:rsidRDefault="00BA100C" w:rsidP="00224578">
      <w:pPr>
        <w:rPr>
          <w:bdr w:val="none" w:sz="0" w:space="0" w:color="auto" w:frame="1"/>
          <w:lang w:val="en-US"/>
        </w:rPr>
      </w:pPr>
      <w:r w:rsidRPr="009764EE">
        <w:rPr>
          <w:bdr w:val="none" w:sz="0" w:space="0" w:color="auto" w:frame="1"/>
          <w:lang w:val="en-US"/>
        </w:rPr>
        <w:lastRenderedPageBreak/>
        <w:t xml:space="preserve">An economy which supports </w:t>
      </w:r>
      <w:r w:rsidR="006A2222" w:rsidRPr="009764EE">
        <w:rPr>
          <w:bdr w:val="none" w:sz="0" w:space="0" w:color="auto" w:frame="1"/>
          <w:lang w:val="en-US"/>
        </w:rPr>
        <w:t>employment, good incomes, financial security, aspiration</w:t>
      </w:r>
      <w:r w:rsidRPr="009764EE">
        <w:rPr>
          <w:bdr w:val="none" w:sz="0" w:space="0" w:color="auto" w:frame="1"/>
          <w:lang w:val="en-US"/>
        </w:rPr>
        <w:t xml:space="preserve">, </w:t>
      </w:r>
      <w:r w:rsidR="00D4223B" w:rsidRPr="009764EE">
        <w:rPr>
          <w:bdr w:val="none" w:sz="0" w:space="0" w:color="auto" w:frame="1"/>
          <w:lang w:val="en-US"/>
        </w:rPr>
        <w:t>and freedom to make choices</w:t>
      </w:r>
      <w:r w:rsidR="008E31E1" w:rsidRPr="009764EE">
        <w:rPr>
          <w:bdr w:val="none" w:sz="0" w:space="0" w:color="auto" w:frame="1"/>
          <w:lang w:val="en-US"/>
        </w:rPr>
        <w:t>,</w:t>
      </w:r>
      <w:r w:rsidRPr="009764EE">
        <w:rPr>
          <w:bdr w:val="none" w:sz="0" w:space="0" w:color="auto" w:frame="1"/>
          <w:lang w:val="en-US"/>
        </w:rPr>
        <w:t xml:space="preserve"> will also support the broader wellbeing of Australians. </w:t>
      </w:r>
    </w:p>
    <w:p w14:paraId="0BC5E2D5" w14:textId="6CC99F4E" w:rsidR="00D67E90" w:rsidRPr="009764EE" w:rsidRDefault="0090194C" w:rsidP="00224578">
      <w:pPr>
        <w:rPr>
          <w:bdr w:val="none" w:sz="0" w:space="0" w:color="auto" w:frame="1"/>
          <w:lang w:val="en-US"/>
        </w:rPr>
      </w:pPr>
      <w:r w:rsidRPr="009764EE">
        <w:rPr>
          <w:color w:val="000000" w:themeColor="text1"/>
          <w:lang w:val="en-US"/>
        </w:rPr>
        <w:t>The following section outlines a range of metrics that can be used to track the progress of the economy in delivering these outcomes</w:t>
      </w:r>
      <w:r w:rsidR="00D67E90" w:rsidRPr="009764EE">
        <w:rPr>
          <w:bdr w:val="none" w:sz="0" w:space="0" w:color="auto" w:frame="1"/>
          <w:lang w:val="en-US"/>
        </w:rPr>
        <w:t xml:space="preserve">. </w:t>
      </w:r>
    </w:p>
    <w:p w14:paraId="024B4C09" w14:textId="13D15A9D" w:rsidR="0090194C" w:rsidRPr="009764EE" w:rsidRDefault="00D67E90" w:rsidP="00224578">
      <w:pPr>
        <w:rPr>
          <w:bdr w:val="none" w:sz="0" w:space="0" w:color="auto" w:frame="1"/>
          <w:lang w:val="en-US"/>
        </w:rPr>
      </w:pPr>
      <w:r w:rsidRPr="009764EE">
        <w:rPr>
          <w:bdr w:val="none" w:sz="0" w:space="0" w:color="auto" w:frame="1"/>
          <w:lang w:val="en-US"/>
        </w:rPr>
        <w:t xml:space="preserve">Broadly, they relate to </w:t>
      </w:r>
      <w:r w:rsidR="00A844A9" w:rsidRPr="009764EE">
        <w:rPr>
          <w:bdr w:val="none" w:sz="0" w:space="0" w:color="auto" w:frame="1"/>
          <w:lang w:val="en-US"/>
        </w:rPr>
        <w:t xml:space="preserve">five </w:t>
      </w:r>
      <w:r w:rsidRPr="009764EE">
        <w:rPr>
          <w:bdr w:val="none" w:sz="0" w:space="0" w:color="auto" w:frame="1"/>
          <w:lang w:val="en-US"/>
        </w:rPr>
        <w:t>indicators: national income</w:t>
      </w:r>
      <w:r w:rsidR="001524A0">
        <w:rPr>
          <w:bdr w:val="none" w:sz="0" w:space="0" w:color="auto" w:frame="1"/>
          <w:lang w:val="en-US"/>
        </w:rPr>
        <w:t> per c</w:t>
      </w:r>
      <w:r w:rsidR="00BC5DF6" w:rsidRPr="009764EE">
        <w:rPr>
          <w:bdr w:val="none" w:sz="0" w:space="0" w:color="auto" w:frame="1"/>
          <w:lang w:val="en-US"/>
        </w:rPr>
        <w:t>apita</w:t>
      </w:r>
      <w:r w:rsidRPr="009764EE">
        <w:rPr>
          <w:bdr w:val="none" w:sz="0" w:space="0" w:color="auto" w:frame="1"/>
          <w:lang w:val="en-US"/>
        </w:rPr>
        <w:t>, productivity, household income and wealth</w:t>
      </w:r>
      <w:r w:rsidR="00A844A9" w:rsidRPr="009764EE">
        <w:rPr>
          <w:bdr w:val="none" w:sz="0" w:space="0" w:color="auto" w:frame="1"/>
          <w:lang w:val="en-US"/>
        </w:rPr>
        <w:t>,</w:t>
      </w:r>
      <w:r w:rsidR="00B97FEE" w:rsidRPr="009764EE">
        <w:rPr>
          <w:bdr w:val="none" w:sz="0" w:space="0" w:color="auto" w:frame="1"/>
          <w:lang w:val="en-US"/>
        </w:rPr>
        <w:t xml:space="preserve"> </w:t>
      </w:r>
      <w:r w:rsidR="00C32149" w:rsidRPr="009764EE">
        <w:rPr>
          <w:bdr w:val="none" w:sz="0" w:space="0" w:color="auto" w:frame="1"/>
          <w:lang w:val="en-US"/>
        </w:rPr>
        <w:t xml:space="preserve">income </w:t>
      </w:r>
      <w:r w:rsidR="00A844A9" w:rsidRPr="009764EE">
        <w:rPr>
          <w:bdr w:val="none" w:sz="0" w:space="0" w:color="auto" w:frame="1"/>
          <w:lang w:val="en-US"/>
        </w:rPr>
        <w:t xml:space="preserve">and wealth </w:t>
      </w:r>
      <w:r w:rsidR="00B97FEE" w:rsidRPr="009764EE">
        <w:rPr>
          <w:bdr w:val="none" w:sz="0" w:space="0" w:color="auto" w:frame="1"/>
          <w:lang w:val="en-US"/>
        </w:rPr>
        <w:t>inequality</w:t>
      </w:r>
      <w:r w:rsidRPr="009764EE">
        <w:rPr>
          <w:bdr w:val="none" w:sz="0" w:space="0" w:color="auto" w:frame="1"/>
          <w:lang w:val="en-US"/>
        </w:rPr>
        <w:t>, and innovation.</w:t>
      </w:r>
      <w:r w:rsidR="0090194C" w:rsidRPr="009764EE">
        <w:rPr>
          <w:color w:val="000000" w:themeColor="text1"/>
          <w:lang w:val="en-US"/>
        </w:rPr>
        <w:t xml:space="preserve"> </w:t>
      </w:r>
    </w:p>
    <w:p w14:paraId="3B2BA87A" w14:textId="20D61FCD" w:rsidR="00AE0245" w:rsidRPr="009764EE" w:rsidRDefault="00AE0245" w:rsidP="00E22556">
      <w:pPr>
        <w:pStyle w:val="Heading3"/>
        <w:rPr>
          <w:rFonts w:cs="Calibri"/>
          <w:szCs w:val="24"/>
        </w:rPr>
      </w:pPr>
      <w:r w:rsidRPr="009764EE">
        <w:rPr>
          <w:rFonts w:cs="Calibri"/>
        </w:rPr>
        <w:t>Nati</w:t>
      </w:r>
      <w:r w:rsidRPr="009764EE">
        <w:rPr>
          <w:rFonts w:cs="Calibri"/>
          <w:szCs w:val="24"/>
        </w:rPr>
        <w:t>onal income</w:t>
      </w:r>
      <w:r w:rsidR="001524A0">
        <w:rPr>
          <w:rFonts w:cs="Calibri"/>
          <w:szCs w:val="24"/>
        </w:rPr>
        <w:t> per c</w:t>
      </w:r>
      <w:r w:rsidRPr="009764EE">
        <w:rPr>
          <w:rFonts w:cs="Calibri"/>
          <w:szCs w:val="24"/>
        </w:rPr>
        <w:t>apita</w:t>
      </w:r>
    </w:p>
    <w:p w14:paraId="14EB1B07" w14:textId="4E851B3C" w:rsidR="00AE0245" w:rsidRPr="00B268AE" w:rsidRDefault="00AE0245" w:rsidP="00224578">
      <w:pPr>
        <w:rPr>
          <w:rFonts w:eastAsia="Calibri Light"/>
          <w:spacing w:val="-3"/>
        </w:rPr>
      </w:pPr>
      <w:r w:rsidRPr="00B268AE">
        <w:rPr>
          <w:spacing w:val="-3"/>
        </w:rPr>
        <w:t xml:space="preserve">Real </w:t>
      </w:r>
      <w:r w:rsidR="00BE6570" w:rsidRPr="00B268AE">
        <w:rPr>
          <w:spacing w:val="-3"/>
        </w:rPr>
        <w:t>n</w:t>
      </w:r>
      <w:r w:rsidRPr="00B268AE">
        <w:rPr>
          <w:spacing w:val="-3"/>
        </w:rPr>
        <w:t xml:space="preserve">et </w:t>
      </w:r>
      <w:r w:rsidR="00BE6570" w:rsidRPr="00B268AE">
        <w:rPr>
          <w:spacing w:val="-3"/>
        </w:rPr>
        <w:t>n</w:t>
      </w:r>
      <w:r w:rsidRPr="00B268AE">
        <w:rPr>
          <w:spacing w:val="-3"/>
        </w:rPr>
        <w:t xml:space="preserve">ational </w:t>
      </w:r>
      <w:r w:rsidR="00BE6570" w:rsidRPr="00B268AE">
        <w:rPr>
          <w:spacing w:val="-3"/>
        </w:rPr>
        <w:t>d</w:t>
      </w:r>
      <w:r w:rsidRPr="00B268AE">
        <w:rPr>
          <w:spacing w:val="-3"/>
        </w:rPr>
        <w:t xml:space="preserve">isposable </w:t>
      </w:r>
      <w:r w:rsidR="00CF6A3F" w:rsidRPr="00B268AE">
        <w:rPr>
          <w:spacing w:val="-3"/>
        </w:rPr>
        <w:t>I</w:t>
      </w:r>
      <w:r w:rsidRPr="00B268AE">
        <w:rPr>
          <w:spacing w:val="-3"/>
        </w:rPr>
        <w:t>ncome (RNNDI)</w:t>
      </w:r>
      <w:r w:rsidR="00B268AE" w:rsidRPr="00B268AE">
        <w:rPr>
          <w:spacing w:val="-3"/>
        </w:rPr>
        <w:t xml:space="preserve"> </w:t>
      </w:r>
      <w:r w:rsidR="001524A0" w:rsidRPr="00B268AE">
        <w:rPr>
          <w:spacing w:val="-3"/>
        </w:rPr>
        <w:t>per</w:t>
      </w:r>
      <w:r w:rsidR="00B268AE" w:rsidRPr="00B268AE">
        <w:rPr>
          <w:spacing w:val="-3"/>
        </w:rPr>
        <w:t xml:space="preserve"> </w:t>
      </w:r>
      <w:r w:rsidR="001524A0" w:rsidRPr="00B268AE">
        <w:rPr>
          <w:spacing w:val="-3"/>
        </w:rPr>
        <w:t>c</w:t>
      </w:r>
      <w:r w:rsidRPr="00B268AE">
        <w:rPr>
          <w:spacing w:val="-3"/>
        </w:rPr>
        <w:t>apita measures real income available across the economy to spend and save per</w:t>
      </w:r>
      <w:r w:rsidR="00B268AE" w:rsidRPr="00B268AE">
        <w:rPr>
          <w:spacing w:val="-3"/>
        </w:rPr>
        <w:t> </w:t>
      </w:r>
      <w:r w:rsidRPr="00B268AE">
        <w:rPr>
          <w:spacing w:val="-3"/>
        </w:rPr>
        <w:t xml:space="preserve">person. </w:t>
      </w:r>
    </w:p>
    <w:p w14:paraId="1A7892B1" w14:textId="0A0EC85B" w:rsidR="00AE0245" w:rsidRPr="009764EE" w:rsidRDefault="006317DB" w:rsidP="00224578">
      <w:r w:rsidRPr="009764EE">
        <w:rPr>
          <w:rFonts w:eastAsia="Calibri Light"/>
        </w:rPr>
        <w:t xml:space="preserve">This is a broader measure of prosperity than </w:t>
      </w:r>
      <w:r w:rsidR="00571B79" w:rsidRPr="009764EE">
        <w:rPr>
          <w:rFonts w:eastAsia="Calibri Light"/>
        </w:rPr>
        <w:t xml:space="preserve">the </w:t>
      </w:r>
      <w:r w:rsidRPr="009764EE">
        <w:rPr>
          <w:rFonts w:eastAsia="Calibri Light"/>
        </w:rPr>
        <w:t>commonly cited measure of real GDP, since it also includes</w:t>
      </w:r>
      <w:r w:rsidR="009F595F" w:rsidRPr="009764EE">
        <w:rPr>
          <w:rFonts w:eastAsia="Calibri Light"/>
        </w:rPr>
        <w:t xml:space="preserve"> </w:t>
      </w:r>
      <w:r w:rsidR="00AE0245" w:rsidRPr="009764EE">
        <w:t>income of Australian residents generated overseas and excludes income of non</w:t>
      </w:r>
      <w:r w:rsidR="00135DEA">
        <w:noBreakHyphen/>
      </w:r>
      <w:r w:rsidR="00AE0245" w:rsidRPr="009764EE">
        <w:t>residents generated in Australia</w:t>
      </w:r>
      <w:r w:rsidRPr="009764EE">
        <w:t xml:space="preserve">. This means it </w:t>
      </w:r>
      <w:r w:rsidR="00AE0245" w:rsidRPr="009764EE">
        <w:t xml:space="preserve">is more closely related to the </w:t>
      </w:r>
      <w:r w:rsidR="00981B2A" w:rsidRPr="009764EE">
        <w:t xml:space="preserve">average </w:t>
      </w:r>
      <w:r w:rsidRPr="009764EE">
        <w:t xml:space="preserve">lived experience and </w:t>
      </w:r>
      <w:r w:rsidR="00AE0245" w:rsidRPr="009764EE">
        <w:t>prosperity of Australians.</w:t>
      </w:r>
      <w:r w:rsidRPr="009764EE" w:rsidDel="006317DB">
        <w:t xml:space="preserve"> </w:t>
      </w:r>
    </w:p>
    <w:p w14:paraId="628AD3E3" w14:textId="47D17412" w:rsidR="006317DB" w:rsidRPr="009764EE" w:rsidRDefault="00AE0245" w:rsidP="00224578">
      <w:r w:rsidRPr="009764EE">
        <w:t>Over the past 20</w:t>
      </w:r>
      <w:r w:rsidR="00C239AD">
        <w:t> year</w:t>
      </w:r>
      <w:r w:rsidRPr="009764EE">
        <w:t xml:space="preserve">s, </w:t>
      </w:r>
      <w:r w:rsidRPr="009764EE" w:rsidDel="009A2A43">
        <w:t>RNNDI</w:t>
      </w:r>
      <w:r w:rsidR="001524A0">
        <w:t> per c</w:t>
      </w:r>
      <w:r w:rsidRPr="009764EE">
        <w:t>apita increased by 1.</w:t>
      </w:r>
      <w:r w:rsidR="00EA4DED" w:rsidRPr="009764EE">
        <w:t>4</w:t>
      </w:r>
      <w:r w:rsidRPr="009764EE">
        <w:t xml:space="preserve"> times from $4</w:t>
      </w:r>
      <w:r w:rsidR="00DE4594" w:rsidRPr="009764EE">
        <w:t>8</w:t>
      </w:r>
      <w:r w:rsidRPr="009764EE">
        <w:t>,</w:t>
      </w:r>
      <w:r w:rsidR="00AE38B3" w:rsidRPr="009764EE">
        <w:t>538</w:t>
      </w:r>
      <w:r w:rsidRPr="009764EE">
        <w:t xml:space="preserve"> in 200</w:t>
      </w:r>
      <w:r w:rsidR="008918FC" w:rsidRPr="009764EE">
        <w:t>2</w:t>
      </w:r>
      <w:r w:rsidR="001524A0">
        <w:t>‍–‍</w:t>
      </w:r>
      <w:r w:rsidR="00B22924" w:rsidRPr="009764EE">
        <w:t>0</w:t>
      </w:r>
      <w:r w:rsidR="008918FC" w:rsidRPr="009764EE">
        <w:t>3</w:t>
      </w:r>
      <w:r w:rsidRPr="009764EE">
        <w:t xml:space="preserve"> to $68,092 in 20</w:t>
      </w:r>
      <w:r w:rsidR="001E6820" w:rsidRPr="009764EE">
        <w:t>21</w:t>
      </w:r>
      <w:r w:rsidR="00151999">
        <w:t>–</w:t>
      </w:r>
      <w:r w:rsidRPr="009764EE">
        <w:t>2</w:t>
      </w:r>
      <w:r w:rsidR="005933F9" w:rsidRPr="009764EE">
        <w:t>2</w:t>
      </w:r>
      <w:r w:rsidRPr="009764EE">
        <w:t xml:space="preserve">. While annual growth has fluctuated for </w:t>
      </w:r>
      <w:r w:rsidR="008A4FFC" w:rsidRPr="009764EE">
        <w:t>RNNDI</w:t>
      </w:r>
      <w:r w:rsidR="001524A0">
        <w:t> per c</w:t>
      </w:r>
      <w:r w:rsidRPr="009764EE">
        <w:t>apita, the average annual growth over the past two decades has been moderate at 1.8</w:t>
      </w:r>
      <w:r w:rsidR="001524A0">
        <w:t> per c</w:t>
      </w:r>
      <w:r w:rsidRPr="009764EE">
        <w:t>ent.</w:t>
      </w:r>
    </w:p>
    <w:p w14:paraId="1A7CC3EE" w14:textId="0BBEBBE6" w:rsidR="002558F3" w:rsidRPr="009764EE" w:rsidRDefault="002558F3" w:rsidP="00224578">
      <w:r w:rsidRPr="009764EE">
        <w:t>Annual growth has bounced back following a drop in 20</w:t>
      </w:r>
      <w:r w:rsidR="00BE65B6" w:rsidRPr="009764EE">
        <w:t>19</w:t>
      </w:r>
      <w:r w:rsidR="00151999">
        <w:t>–</w:t>
      </w:r>
      <w:r w:rsidRPr="009764EE">
        <w:t>20 due to the COVID</w:t>
      </w:r>
      <w:r w:rsidR="00135DEA">
        <w:noBreakHyphen/>
      </w:r>
      <w:r w:rsidRPr="009764EE">
        <w:t xml:space="preserve">19 </w:t>
      </w:r>
      <w:r w:rsidR="00B268AE">
        <w:br w:type="column"/>
      </w:r>
      <w:r w:rsidRPr="009764EE">
        <w:t>pandemic, although recent outcomes are being impacted by cost</w:t>
      </w:r>
      <w:r w:rsidR="00135DEA">
        <w:noBreakHyphen/>
      </w:r>
      <w:r w:rsidR="006A70EE" w:rsidRPr="009764EE">
        <w:t>of</w:t>
      </w:r>
      <w:r w:rsidR="00135DEA">
        <w:noBreakHyphen/>
      </w:r>
      <w:r w:rsidR="006A70EE" w:rsidRPr="009764EE">
        <w:t>living</w:t>
      </w:r>
      <w:r w:rsidRPr="009764EE">
        <w:t xml:space="preserve"> pressures.</w:t>
      </w:r>
      <w:r w:rsidR="005049F1">
        <w:t xml:space="preserve"> </w:t>
      </w:r>
      <w:r w:rsidRPr="009764EE">
        <w:t>As</w:t>
      </w:r>
      <w:r w:rsidR="005049F1">
        <w:t> </w:t>
      </w:r>
      <w:r w:rsidRPr="009764EE">
        <w:t xml:space="preserve">this indicator is a whole of economy measure, it does not capture differences in individual or household experiences. </w:t>
      </w:r>
    </w:p>
    <w:p w14:paraId="0948CD72" w14:textId="604C1A15" w:rsidR="00AE0245" w:rsidRPr="009764EE" w:rsidRDefault="00634052" w:rsidP="00E22556">
      <w:pPr>
        <w:pStyle w:val="Heading3"/>
        <w:rPr>
          <w:rFonts w:cs="Calibri"/>
        </w:rPr>
      </w:pPr>
      <w:r>
        <w:rPr>
          <w:rFonts w:cs="Calibri"/>
        </w:rPr>
        <w:t>P</w:t>
      </w:r>
      <w:r w:rsidR="00AE0245" w:rsidRPr="009764EE">
        <w:rPr>
          <w:rFonts w:cs="Calibri"/>
        </w:rPr>
        <w:t>roductivity</w:t>
      </w:r>
    </w:p>
    <w:p w14:paraId="4B228A99" w14:textId="7495FF27" w:rsidR="00FC59E2" w:rsidRPr="009764EE" w:rsidRDefault="00AE0245" w:rsidP="00224578">
      <w:r w:rsidRPr="009764EE">
        <w:t xml:space="preserve">Labour productivity is a driver of economic growth, real wages, and overall living standards. </w:t>
      </w:r>
    </w:p>
    <w:p w14:paraId="7B211CFB" w14:textId="77777777" w:rsidR="00216017" w:rsidRPr="009764EE" w:rsidRDefault="00B01419" w:rsidP="00224578">
      <w:r w:rsidRPr="009764EE">
        <w:t xml:space="preserve">Short term movements in productivity are subject to volatility, so it is </w:t>
      </w:r>
      <w:r w:rsidR="00503BB6" w:rsidRPr="009764EE">
        <w:t xml:space="preserve">most appropriately </w:t>
      </w:r>
      <w:r w:rsidRPr="009764EE">
        <w:t xml:space="preserve">examined </w:t>
      </w:r>
      <w:r w:rsidR="00503BB6" w:rsidRPr="009764EE">
        <w:t xml:space="preserve">by considering trends </w:t>
      </w:r>
      <w:r w:rsidRPr="009764EE">
        <w:t xml:space="preserve">over </w:t>
      </w:r>
      <w:r w:rsidR="004F16D4" w:rsidRPr="009764EE">
        <w:t>time</w:t>
      </w:r>
      <w:r w:rsidRPr="009764EE">
        <w:t xml:space="preserve">. </w:t>
      </w:r>
    </w:p>
    <w:p w14:paraId="402713D6" w14:textId="2EA79CE5" w:rsidR="00E33E55" w:rsidRPr="009764EE" w:rsidRDefault="00E33E55" w:rsidP="00224578">
      <w:r w:rsidRPr="009764EE">
        <w:t>Labour productivity growth has slowed in Australia since the mid</w:t>
      </w:r>
      <w:r w:rsidR="00F77788">
        <w:softHyphen/>
      </w:r>
      <w:r w:rsidR="00135DEA">
        <w:noBreakHyphen/>
      </w:r>
      <w:r w:rsidRPr="009764EE">
        <w:t>2000s. In the decade to 2020, Australia</w:t>
      </w:r>
      <w:r w:rsidR="00135DEA">
        <w:t>’</w:t>
      </w:r>
      <w:r w:rsidRPr="009764EE">
        <w:t>s productivity growth was the slowest in 60</w:t>
      </w:r>
      <w:r w:rsidR="00C239AD">
        <w:t> year</w:t>
      </w:r>
      <w:r w:rsidRPr="009764EE">
        <w:t>s. Average productivity growth over the past 20</w:t>
      </w:r>
      <w:r w:rsidR="00C239AD">
        <w:t> year</w:t>
      </w:r>
      <w:r w:rsidRPr="009764EE">
        <w:t>s to 2021</w:t>
      </w:r>
      <w:r w:rsidR="00151999">
        <w:t>–</w:t>
      </w:r>
      <w:r w:rsidRPr="009764EE">
        <w:t xml:space="preserve">22 </w:t>
      </w:r>
      <w:r w:rsidR="00381875">
        <w:t>wa</w:t>
      </w:r>
      <w:r w:rsidRPr="009764EE">
        <w:t>s around 1.2</w:t>
      </w:r>
      <w:r w:rsidR="001524A0">
        <w:t> per c</w:t>
      </w:r>
      <w:r w:rsidRPr="009764EE">
        <w:t xml:space="preserve">ent. </w:t>
      </w:r>
    </w:p>
    <w:p w14:paraId="7BA87B6D" w14:textId="0B4FBE42" w:rsidR="00EB558D" w:rsidRDefault="00EB558D" w:rsidP="00224578">
      <w:r w:rsidRPr="009764EE">
        <w:t>The slowdown in Australia</w:t>
      </w:r>
      <w:r w:rsidR="00135DEA">
        <w:t>’</w:t>
      </w:r>
      <w:r w:rsidRPr="009764EE">
        <w:t xml:space="preserve">s </w:t>
      </w:r>
      <w:r w:rsidR="00A42E51">
        <w:t xml:space="preserve">labour </w:t>
      </w:r>
      <w:r w:rsidRPr="009764EE">
        <w:t xml:space="preserve">productivity growth is not unique and is broadly consistent with the experience of most other advanced economies. Revitalising productivity growth will require </w:t>
      </w:r>
      <w:r w:rsidR="0090693E" w:rsidRPr="009764EE">
        <w:t>building</w:t>
      </w:r>
      <w:r w:rsidRPr="009764EE">
        <w:t xml:space="preserve"> Australians</w:t>
      </w:r>
      <w:r w:rsidR="00135DEA">
        <w:t>’</w:t>
      </w:r>
      <w:r w:rsidRPr="009764EE">
        <w:t xml:space="preserve"> skills, improving business dynamism, boosting digital adoption, and realising the opportunities of the net zero transformation and growth of the care economy. Given the extended period of poor </w:t>
      </w:r>
      <w:r w:rsidR="00AD77D7" w:rsidRPr="009764EE">
        <w:t>productivity</w:t>
      </w:r>
      <w:r w:rsidRPr="009764EE">
        <w:t xml:space="preserve"> performance, it will take some time for these policies to improve productivity.</w:t>
      </w:r>
    </w:p>
    <w:p w14:paraId="351E63B5" w14:textId="77777777" w:rsidR="008373BA" w:rsidRDefault="008373BA" w:rsidP="00224578"/>
    <w:p w14:paraId="5BF667FE" w14:textId="7F45D58C" w:rsidR="000C1754" w:rsidRDefault="000C1754" w:rsidP="00224578">
      <w:pPr>
        <w:sectPr w:rsidR="000C1754" w:rsidSect="00B86EEB">
          <w:endnotePr>
            <w:numFmt w:val="decimal"/>
          </w:endnotePr>
          <w:pgSz w:w="11906" w:h="16838" w:code="9"/>
          <w:pgMar w:top="1843" w:right="1418" w:bottom="1418" w:left="1418" w:header="851" w:footer="851" w:gutter="0"/>
          <w:cols w:num="2" w:space="709"/>
          <w:docGrid w:linePitch="360"/>
        </w:sectPr>
      </w:pPr>
    </w:p>
    <w:p w14:paraId="3A26F01A" w14:textId="62917D74" w:rsidR="00FA58E9" w:rsidRPr="004C0AC6" w:rsidRDefault="00FA58E9" w:rsidP="00B268AE">
      <w:pPr>
        <w:pStyle w:val="ChartMainHeading"/>
      </w:pPr>
      <w:r w:rsidRPr="004C0AC6">
        <w:t xml:space="preserve">Chart </w:t>
      </w:r>
      <w:r w:rsidR="00742BF6" w:rsidRPr="004C0AC6">
        <w:t>15</w:t>
      </w:r>
      <w:r w:rsidRPr="004C0AC6">
        <w:t xml:space="preserve">: Labour productivity </w:t>
      </w:r>
      <w:r w:rsidR="00AD73B8" w:rsidRPr="004C0AC6">
        <w:t>over the four decades to 2020</w:t>
      </w:r>
    </w:p>
    <w:p w14:paraId="2EFFE709" w14:textId="77777777" w:rsidR="000C1754" w:rsidRDefault="001A6979" w:rsidP="000C1754">
      <w:pPr>
        <w:pStyle w:val="ChartGraphic"/>
      </w:pPr>
      <w:r w:rsidRPr="001A6979">
        <w:rPr>
          <w:noProof/>
        </w:rPr>
        <w:drawing>
          <wp:inline distT="0" distB="0" distL="0" distR="0" wp14:anchorId="46E212ED" wp14:editId="11A12900">
            <wp:extent cx="5400000" cy="2089611"/>
            <wp:effectExtent l="0" t="0" r="0" b="6350"/>
            <wp:docPr id="27" name="Picture 27" descr="This chart shows average annual labour productivity by decade, from 1980 to 2020, as well as the 20 and 30 year average annual growth rates. The average for 1980-1990 was 1.2 per cent, for 1990-2000, 2.2 per cent. The average fell to 1.4 per cent for the decade to 2010 and 1.1 per cent for the decade to 2020. &#10;The 30 year average is 1.6 per cent and the 20 year average 1.3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hart shows average annual labour productivity by decade, from 1980 to 2020, as well as the 20 and 30 year average annual growth rates. The average for 1980-1990 was 1.2 per cent, for 1990-2000, 2.2 per cent. The average fell to 1.4 per cent for the decade to 2010 and 1.1 per cent for the decade to 2020. &#10;The 30 year average is 1.6 per cent and the 20 year average 1.3 per cent. &#10;"/>
                    <pic:cNvPicPr/>
                  </pic:nvPicPr>
                  <pic:blipFill>
                    <a:blip r:embed="rId56"/>
                    <a:stretch>
                      <a:fillRect/>
                    </a:stretch>
                  </pic:blipFill>
                  <pic:spPr>
                    <a:xfrm>
                      <a:off x="0" y="0"/>
                      <a:ext cx="5400000" cy="2089611"/>
                    </a:xfrm>
                    <a:prstGeom prst="rect">
                      <a:avLst/>
                    </a:prstGeom>
                  </pic:spPr>
                </pic:pic>
              </a:graphicData>
            </a:graphic>
          </wp:inline>
        </w:drawing>
      </w:r>
    </w:p>
    <w:p w14:paraId="7C562D3E" w14:textId="5984B8D3" w:rsidR="008373BA" w:rsidRDefault="00FA58E9" w:rsidP="00043BA7">
      <w:pPr>
        <w:pStyle w:val="ChartorTableNote"/>
        <w:rPr>
          <w:rFonts w:ascii="Calibri" w:hAnsi="Calibri" w:cs="Calibri"/>
          <w:sz w:val="18"/>
          <w:szCs w:val="14"/>
        </w:rPr>
      </w:pPr>
      <w:r w:rsidRPr="001A6979">
        <w:t>Source: ABS Australian System of National Accounts 20</w:t>
      </w:r>
      <w:r w:rsidR="00381A79" w:rsidRPr="001A6979">
        <w:t>21</w:t>
      </w:r>
      <w:r w:rsidR="00151999">
        <w:t>–</w:t>
      </w:r>
      <w:r w:rsidRPr="001A6979">
        <w:t>2</w:t>
      </w:r>
      <w:r w:rsidR="00381A79" w:rsidRPr="001A6979">
        <w:t>2</w:t>
      </w:r>
    </w:p>
    <w:p w14:paraId="4B0C7F87" w14:textId="26CF5E02" w:rsidR="000C1754" w:rsidRDefault="000C1754" w:rsidP="00E22556">
      <w:pPr>
        <w:rPr>
          <w:rFonts w:ascii="Calibri" w:hAnsi="Calibri" w:cs="Calibri"/>
          <w:sz w:val="18"/>
          <w:szCs w:val="14"/>
        </w:rPr>
        <w:sectPr w:rsidR="000C1754" w:rsidSect="00DA302B">
          <w:endnotePr>
            <w:numFmt w:val="decimal"/>
          </w:endnotePr>
          <w:type w:val="continuous"/>
          <w:pgSz w:w="11906" w:h="16838" w:code="9"/>
          <w:pgMar w:top="1843" w:right="1418" w:bottom="1418" w:left="1418" w:header="851" w:footer="851" w:gutter="0"/>
          <w:cols w:space="709"/>
          <w:docGrid w:linePitch="360"/>
        </w:sectPr>
      </w:pPr>
    </w:p>
    <w:p w14:paraId="6E092F6F" w14:textId="71226A0A" w:rsidR="00084736" w:rsidRPr="009764EE" w:rsidRDefault="00084736" w:rsidP="00E22556">
      <w:pPr>
        <w:pStyle w:val="Heading3"/>
        <w:rPr>
          <w:rFonts w:cs="Calibri"/>
          <w:szCs w:val="24"/>
        </w:rPr>
      </w:pPr>
      <w:r w:rsidRPr="009764EE">
        <w:rPr>
          <w:rFonts w:cs="Calibri"/>
        </w:rPr>
        <w:lastRenderedPageBreak/>
        <w:t>Household income and wealth</w:t>
      </w:r>
    </w:p>
    <w:p w14:paraId="716DAD6E" w14:textId="754AC391" w:rsidR="00084736" w:rsidRPr="009764EE" w:rsidRDefault="00B442F2" w:rsidP="00C532C2">
      <w:pPr>
        <w:rPr>
          <w:lang w:val="en-GB"/>
        </w:rPr>
      </w:pPr>
      <w:r w:rsidRPr="009764EE">
        <w:rPr>
          <w:lang w:val="en-GB"/>
        </w:rPr>
        <w:t>I</w:t>
      </w:r>
      <w:r w:rsidR="00084736" w:rsidRPr="009764EE">
        <w:rPr>
          <w:lang w:val="en-GB"/>
        </w:rPr>
        <w:t xml:space="preserve">ncome or wealth </w:t>
      </w:r>
      <w:r w:rsidRPr="009764EE">
        <w:rPr>
          <w:lang w:val="en-GB"/>
        </w:rPr>
        <w:t>are the economic resources that households use</w:t>
      </w:r>
      <w:r w:rsidR="00084736" w:rsidRPr="009764EE">
        <w:rPr>
          <w:lang w:val="en-GB"/>
        </w:rPr>
        <w:t xml:space="preserve"> to buy necessary goods and services for a </w:t>
      </w:r>
      <w:r w:rsidRPr="009764EE">
        <w:rPr>
          <w:lang w:val="en-GB"/>
        </w:rPr>
        <w:t xml:space="preserve">decent </w:t>
      </w:r>
      <w:r w:rsidR="00084736" w:rsidRPr="009764EE">
        <w:rPr>
          <w:lang w:val="en-GB"/>
        </w:rPr>
        <w:t xml:space="preserve">living. </w:t>
      </w:r>
    </w:p>
    <w:p w14:paraId="4E31E7C7" w14:textId="3F82C898" w:rsidR="00486B54" w:rsidRPr="009764EE" w:rsidRDefault="00BE65B1" w:rsidP="00C532C2">
      <w:r>
        <w:rPr>
          <w:lang w:val="en-GB"/>
        </w:rPr>
        <w:t>H</w:t>
      </w:r>
      <w:r w:rsidR="00B442F2" w:rsidRPr="009764EE">
        <w:rPr>
          <w:lang w:val="en-GB"/>
        </w:rPr>
        <w:t>ouseholds</w:t>
      </w:r>
      <w:r w:rsidR="00084736" w:rsidRPr="009764EE">
        <w:rPr>
          <w:lang w:val="en-GB"/>
        </w:rPr>
        <w:t xml:space="preserve">, on average, have more income and wealth than in the past. </w:t>
      </w:r>
      <w:r w:rsidR="0033371E" w:rsidRPr="009764EE">
        <w:rPr>
          <w:lang w:val="en-GB"/>
        </w:rPr>
        <w:t>Median</w:t>
      </w:r>
      <w:r w:rsidR="00336D92" w:rsidRPr="009764EE">
        <w:rPr>
          <w:lang w:val="en-GB"/>
        </w:rPr>
        <w:t xml:space="preserve"> </w:t>
      </w:r>
      <w:r w:rsidR="00084736" w:rsidRPr="009764EE">
        <w:t>equivalised disposable household income, an income measure that adjusts for household size, was $</w:t>
      </w:r>
      <w:r w:rsidR="00336D92" w:rsidRPr="009764EE">
        <w:t>9</w:t>
      </w:r>
      <w:r w:rsidR="00C4646F" w:rsidRPr="009764EE">
        <w:t>59</w:t>
      </w:r>
      <w:r w:rsidR="00084736" w:rsidRPr="009764EE">
        <w:t xml:space="preserve"> per week in 2019</w:t>
      </w:r>
      <w:r w:rsidR="00151999">
        <w:t>–</w:t>
      </w:r>
      <w:r w:rsidR="00084736" w:rsidRPr="009764EE">
        <w:t>20</w:t>
      </w:r>
      <w:r w:rsidR="00EB795D" w:rsidRPr="009764EE">
        <w:t>, although experience varies across households</w:t>
      </w:r>
      <w:r w:rsidR="00084736" w:rsidRPr="009764EE">
        <w:t xml:space="preserve">. This is </w:t>
      </w:r>
      <w:r w:rsidR="008A04EA" w:rsidRPr="009764EE">
        <w:t>after a period of not growing between 2013</w:t>
      </w:r>
      <w:r w:rsidR="001524A0">
        <w:t>‍–‍</w:t>
      </w:r>
      <w:r w:rsidR="008A04EA" w:rsidRPr="009764EE">
        <w:t>14 and 2017</w:t>
      </w:r>
      <w:r w:rsidR="00151999">
        <w:t>–</w:t>
      </w:r>
      <w:r w:rsidR="008A04EA" w:rsidRPr="009764EE">
        <w:t>18.</w:t>
      </w:r>
      <w:r w:rsidR="00084736" w:rsidRPr="009764EE">
        <w:t xml:space="preserve"> </w:t>
      </w:r>
      <w:r w:rsidR="00523FD1" w:rsidRPr="009764EE">
        <w:t>Average h</w:t>
      </w:r>
      <w:r w:rsidR="00084736" w:rsidRPr="009764EE">
        <w:t>ousehold net w</w:t>
      </w:r>
      <w:r w:rsidR="00E6431E" w:rsidRPr="009764EE">
        <w:t>orth</w:t>
      </w:r>
      <w:r w:rsidR="00084736" w:rsidRPr="009764EE">
        <w:t xml:space="preserve"> has also increased </w:t>
      </w:r>
      <w:r w:rsidR="00CB5BC1" w:rsidRPr="009764EE">
        <w:t>from</w:t>
      </w:r>
      <w:r w:rsidR="00084736" w:rsidRPr="009764EE">
        <w:t xml:space="preserve"> </w:t>
      </w:r>
      <w:r w:rsidR="000A76ED" w:rsidRPr="009764EE">
        <w:t>$514,058 in 2003</w:t>
      </w:r>
      <w:r w:rsidR="001524A0">
        <w:t>‍–‍</w:t>
      </w:r>
      <w:r w:rsidR="000A76ED" w:rsidRPr="009764EE">
        <w:t xml:space="preserve">04 to </w:t>
      </w:r>
      <w:r w:rsidR="00084736" w:rsidRPr="009764EE">
        <w:t>$1.</w:t>
      </w:r>
      <w:r w:rsidR="000A76ED" w:rsidRPr="009764EE">
        <w:t>4</w:t>
      </w:r>
      <w:r w:rsidR="00C239AD">
        <w:t> million</w:t>
      </w:r>
      <w:r w:rsidR="00084736" w:rsidRPr="009764EE">
        <w:t xml:space="preserve"> in 20</w:t>
      </w:r>
      <w:r w:rsidR="000A76ED" w:rsidRPr="009764EE">
        <w:t>21</w:t>
      </w:r>
      <w:r w:rsidR="00151999">
        <w:t>–</w:t>
      </w:r>
      <w:r w:rsidR="000A76ED" w:rsidRPr="009764EE">
        <w:t>22</w:t>
      </w:r>
      <w:r w:rsidR="00084736" w:rsidRPr="009764EE">
        <w:t>.</w:t>
      </w:r>
      <w:r w:rsidR="004C0500" w:rsidRPr="009764EE">
        <w:rPr>
          <w:sz w:val="24"/>
          <w:szCs w:val="24"/>
        </w:rPr>
        <w:t xml:space="preserve"> </w:t>
      </w:r>
    </w:p>
    <w:p w14:paraId="2106B14E" w14:textId="6256EC8D" w:rsidR="00084736" w:rsidRPr="009764EE" w:rsidRDefault="00486B54" w:rsidP="00C23D79">
      <w:pPr>
        <w:pStyle w:val="Heading3"/>
        <w:rPr>
          <w:rFonts w:cs="Calibri"/>
        </w:rPr>
      </w:pPr>
      <w:r w:rsidRPr="009764EE">
        <w:rPr>
          <w:rFonts w:cs="Calibri"/>
        </w:rPr>
        <w:t>Income and wealth inequality</w:t>
      </w:r>
      <w:r w:rsidR="00084736" w:rsidRPr="009764EE">
        <w:rPr>
          <w:rFonts w:cs="Calibri"/>
        </w:rPr>
        <w:t xml:space="preserve"> </w:t>
      </w:r>
    </w:p>
    <w:p w14:paraId="2EFAE0C9" w14:textId="2060BE4C" w:rsidR="00486B54" w:rsidRPr="009764EE" w:rsidRDefault="00486B54" w:rsidP="00C532C2">
      <w:pPr>
        <w:rPr>
          <w:lang w:val="en-GB"/>
        </w:rPr>
      </w:pPr>
      <w:r w:rsidRPr="009764EE">
        <w:rPr>
          <w:lang w:val="en-GB"/>
        </w:rPr>
        <w:t xml:space="preserve">The distribution of income and wealth is an important aspect of community wellbeing. </w:t>
      </w:r>
      <w:r w:rsidR="00F81F7C" w:rsidRPr="009764EE">
        <w:rPr>
          <w:lang w:val="en-GB"/>
        </w:rPr>
        <w:t>One measure to assess how equally income and wealth is distributed across the community is</w:t>
      </w:r>
      <w:r w:rsidRPr="009764EE">
        <w:rPr>
          <w:lang w:val="en-GB"/>
        </w:rPr>
        <w:t xml:space="preserve"> </w:t>
      </w:r>
      <w:r w:rsidR="005B28EE" w:rsidRPr="009764EE">
        <w:rPr>
          <w:lang w:val="en-GB"/>
        </w:rPr>
        <w:t>the</w:t>
      </w:r>
      <w:r w:rsidRPr="009764EE">
        <w:rPr>
          <w:lang w:val="en-GB"/>
        </w:rPr>
        <w:t xml:space="preserve"> Gini coefficient. A Gini coefficient can range between 0 and 1, </w:t>
      </w:r>
      <w:r w:rsidR="00F81F7C" w:rsidRPr="009764EE">
        <w:rPr>
          <w:lang w:val="en-GB"/>
        </w:rPr>
        <w:t>with</w:t>
      </w:r>
      <w:r w:rsidR="00FE32CA" w:rsidRPr="009764EE">
        <w:rPr>
          <w:lang w:val="en-GB"/>
        </w:rPr>
        <w:t xml:space="preserve"> a</w:t>
      </w:r>
      <w:r w:rsidRPr="009764EE">
        <w:rPr>
          <w:lang w:val="en-GB"/>
        </w:rPr>
        <w:t xml:space="preserve"> lower Gini coefficient represent</w:t>
      </w:r>
      <w:r w:rsidR="00FE32CA" w:rsidRPr="009764EE">
        <w:rPr>
          <w:lang w:val="en-GB"/>
        </w:rPr>
        <w:t xml:space="preserve">ing </w:t>
      </w:r>
      <w:r w:rsidR="00D5122E" w:rsidRPr="009764EE">
        <w:rPr>
          <w:lang w:val="en-GB"/>
        </w:rPr>
        <w:t>a more equal distribution.</w:t>
      </w:r>
      <w:r w:rsidRPr="009764EE">
        <w:rPr>
          <w:lang w:val="en-GB"/>
        </w:rPr>
        <w:t xml:space="preserve"> </w:t>
      </w:r>
    </w:p>
    <w:p w14:paraId="698E5B2E" w14:textId="4F8B1DB8" w:rsidR="00486B54" w:rsidRPr="009764EE" w:rsidRDefault="00486B54" w:rsidP="00C532C2">
      <w:pPr>
        <w:rPr>
          <w:lang w:val="en-GB"/>
        </w:rPr>
      </w:pPr>
      <w:r w:rsidRPr="009764EE">
        <w:rPr>
          <w:lang w:val="en-GB"/>
        </w:rPr>
        <w:t>Income inequality has remained relatively steady since 200</w:t>
      </w:r>
      <w:r w:rsidR="00B03BB0" w:rsidRPr="009764EE">
        <w:rPr>
          <w:lang w:val="en-GB"/>
        </w:rPr>
        <w:t>7</w:t>
      </w:r>
      <w:r w:rsidR="00151999">
        <w:rPr>
          <w:lang w:val="en-GB"/>
        </w:rPr>
        <w:t>–</w:t>
      </w:r>
      <w:r w:rsidR="00B03BB0" w:rsidRPr="009764EE">
        <w:rPr>
          <w:lang w:val="en-GB"/>
        </w:rPr>
        <w:t>08</w:t>
      </w:r>
      <w:r w:rsidRPr="009764EE">
        <w:rPr>
          <w:lang w:val="en-GB"/>
        </w:rPr>
        <w:t xml:space="preserve">, with the Gini coefficient for equivalised </w:t>
      </w:r>
      <w:r w:rsidR="00EB3DC6">
        <w:rPr>
          <w:lang w:val="en-GB"/>
        </w:rPr>
        <w:t xml:space="preserve">disposable </w:t>
      </w:r>
      <w:r w:rsidRPr="009764EE">
        <w:rPr>
          <w:lang w:val="en-GB"/>
        </w:rPr>
        <w:t>household income sitting at 0.32 in 2019</w:t>
      </w:r>
      <w:r w:rsidR="00151999">
        <w:rPr>
          <w:lang w:val="en-GB"/>
        </w:rPr>
        <w:t>–</w:t>
      </w:r>
      <w:r w:rsidRPr="009764EE">
        <w:rPr>
          <w:lang w:val="en-GB"/>
        </w:rPr>
        <w:t>20. In 2020, Australia</w:t>
      </w:r>
      <w:r w:rsidR="00135DEA">
        <w:rPr>
          <w:lang w:val="en-GB"/>
        </w:rPr>
        <w:t>’</w:t>
      </w:r>
      <w:r w:rsidRPr="009764EE">
        <w:rPr>
          <w:lang w:val="en-GB"/>
        </w:rPr>
        <w:t xml:space="preserve">s Gini coefficient for income </w:t>
      </w:r>
      <w:r w:rsidR="00166298" w:rsidRPr="009764EE">
        <w:rPr>
          <w:lang w:val="en-GB"/>
        </w:rPr>
        <w:t xml:space="preserve">indicated that Australia </w:t>
      </w:r>
      <w:r w:rsidR="00130AF5" w:rsidRPr="009764EE">
        <w:rPr>
          <w:lang w:val="en-GB"/>
        </w:rPr>
        <w:t>had</w:t>
      </w:r>
      <w:r w:rsidR="000B7013" w:rsidRPr="009764EE">
        <w:rPr>
          <w:lang w:val="en-GB"/>
        </w:rPr>
        <w:t xml:space="preserve"> </w:t>
      </w:r>
      <w:r w:rsidR="00B36D48" w:rsidRPr="009764EE">
        <w:rPr>
          <w:lang w:val="en-GB"/>
        </w:rPr>
        <w:t xml:space="preserve">the </w:t>
      </w:r>
      <w:r w:rsidRPr="009764EE">
        <w:rPr>
          <w:lang w:val="en-GB"/>
        </w:rPr>
        <w:t>1</w:t>
      </w:r>
      <w:r w:rsidR="00031555" w:rsidRPr="009764EE">
        <w:rPr>
          <w:lang w:val="en-GB"/>
        </w:rPr>
        <w:t>4</w:t>
      </w:r>
      <w:r w:rsidRPr="009764EE">
        <w:rPr>
          <w:vertAlign w:val="superscript"/>
          <w:lang w:val="en-GB"/>
        </w:rPr>
        <w:t>th</w:t>
      </w:r>
      <w:r w:rsidRPr="009764EE">
        <w:rPr>
          <w:lang w:val="en-GB"/>
        </w:rPr>
        <w:t xml:space="preserve"> highest </w:t>
      </w:r>
      <w:r w:rsidR="00B36D48" w:rsidRPr="009764EE">
        <w:rPr>
          <w:lang w:val="en-GB"/>
        </w:rPr>
        <w:t xml:space="preserve">level of </w:t>
      </w:r>
      <w:r w:rsidR="00B36D48" w:rsidRPr="009764EE">
        <w:rPr>
          <w:lang w:val="en-GB"/>
        </w:rPr>
        <w:t xml:space="preserve">inequality </w:t>
      </w:r>
      <w:r w:rsidRPr="009764EE">
        <w:rPr>
          <w:lang w:val="en-GB"/>
        </w:rPr>
        <w:t xml:space="preserve">of </w:t>
      </w:r>
      <w:r w:rsidR="004B2947" w:rsidRPr="009764EE">
        <w:rPr>
          <w:lang w:val="en-GB"/>
        </w:rPr>
        <w:t xml:space="preserve">the </w:t>
      </w:r>
      <w:r w:rsidR="00031555" w:rsidRPr="009764EE">
        <w:rPr>
          <w:lang w:val="en-GB"/>
        </w:rPr>
        <w:t>28</w:t>
      </w:r>
      <w:r w:rsidRPr="009764EE">
        <w:rPr>
          <w:lang w:val="en-GB"/>
        </w:rPr>
        <w:t xml:space="preserve"> OECD countries for which data was available for </w:t>
      </w:r>
      <w:r w:rsidRPr="00C46693">
        <w:rPr>
          <w:lang w:val="en-GB"/>
        </w:rPr>
        <w:t>that year</w:t>
      </w:r>
      <w:r w:rsidR="00F81A61">
        <w:rPr>
          <w:lang w:val="en-GB"/>
        </w:rPr>
        <w:t>.</w:t>
      </w:r>
      <w:r w:rsidRPr="005049F1">
        <w:rPr>
          <w:rStyle w:val="FootnoteReference"/>
        </w:rPr>
        <w:endnoteReference w:id="70"/>
      </w:r>
    </w:p>
    <w:p w14:paraId="3DFB06A1" w14:textId="1AB92ACE" w:rsidR="00486B54" w:rsidRPr="009764EE" w:rsidRDefault="00486B54" w:rsidP="00C532C2">
      <w:r w:rsidRPr="009764EE">
        <w:rPr>
          <w:lang w:val="en-GB"/>
        </w:rPr>
        <w:t>Wealth is typically distributed less equally than income. Wealth inequality has</w:t>
      </w:r>
      <w:r w:rsidR="0090782C" w:rsidRPr="009764EE">
        <w:rPr>
          <w:lang w:val="en-GB"/>
        </w:rPr>
        <w:t xml:space="preserve"> remained steady</w:t>
      </w:r>
      <w:r w:rsidRPr="009764EE">
        <w:rPr>
          <w:lang w:val="en-GB"/>
        </w:rPr>
        <w:t xml:space="preserve"> over time</w:t>
      </w:r>
      <w:r w:rsidR="00ED7AE6" w:rsidRPr="009764EE">
        <w:rPr>
          <w:lang w:val="en-GB"/>
        </w:rPr>
        <w:t>, with t</w:t>
      </w:r>
      <w:r w:rsidRPr="009764EE">
        <w:t xml:space="preserve">he Gini coefficient for wealth </w:t>
      </w:r>
      <w:r w:rsidR="00936CD0" w:rsidRPr="009764EE">
        <w:t xml:space="preserve">increasing </w:t>
      </w:r>
      <w:r w:rsidR="0043724C" w:rsidRPr="009764EE">
        <w:t xml:space="preserve">marginally </w:t>
      </w:r>
      <w:r w:rsidR="00A97090" w:rsidRPr="009764EE">
        <w:t xml:space="preserve">from </w:t>
      </w:r>
      <w:r w:rsidR="00936CD0" w:rsidRPr="009764EE">
        <w:t>0.60 in 200</w:t>
      </w:r>
      <w:r w:rsidR="003823B3">
        <w:t>9</w:t>
      </w:r>
      <w:r w:rsidR="00151999">
        <w:t>–</w:t>
      </w:r>
      <w:r w:rsidR="003823B3">
        <w:t>10</w:t>
      </w:r>
      <w:r w:rsidR="00936CD0" w:rsidRPr="009764EE">
        <w:t xml:space="preserve"> to</w:t>
      </w:r>
      <w:r w:rsidR="000715CF" w:rsidRPr="009764EE">
        <w:t xml:space="preserve"> </w:t>
      </w:r>
      <w:r w:rsidRPr="009764EE">
        <w:t>0.61</w:t>
      </w:r>
      <w:r w:rsidR="00936CD0" w:rsidRPr="009764EE">
        <w:t xml:space="preserve"> </w:t>
      </w:r>
      <w:r w:rsidRPr="009764EE">
        <w:t>in 2019</w:t>
      </w:r>
      <w:r w:rsidR="00151999">
        <w:t>–</w:t>
      </w:r>
      <w:r w:rsidRPr="009764EE">
        <w:t>20</w:t>
      </w:r>
      <w:r w:rsidR="00936CD0" w:rsidRPr="009764EE">
        <w:t>.</w:t>
      </w:r>
      <w:r w:rsidR="00B076C3" w:rsidRPr="009764EE">
        <w:t xml:space="preserve"> </w:t>
      </w:r>
    </w:p>
    <w:p w14:paraId="67768D0C" w14:textId="2E7F3409" w:rsidR="00AE0245" w:rsidRPr="009764EE" w:rsidRDefault="00AE0245" w:rsidP="00431BF4">
      <w:pPr>
        <w:pStyle w:val="Heading3"/>
        <w:rPr>
          <w:rFonts w:cs="Calibri"/>
          <w:szCs w:val="24"/>
        </w:rPr>
      </w:pPr>
      <w:r w:rsidRPr="009764EE">
        <w:rPr>
          <w:rFonts w:cs="Calibri"/>
        </w:rPr>
        <w:t>In</w:t>
      </w:r>
      <w:r w:rsidR="00D027C8" w:rsidRPr="009764EE">
        <w:rPr>
          <w:rFonts w:cs="Calibri"/>
          <w:szCs w:val="24"/>
        </w:rPr>
        <w:t>novation</w:t>
      </w:r>
      <w:r w:rsidRPr="009764EE">
        <w:rPr>
          <w:rFonts w:cs="Calibri"/>
          <w:szCs w:val="24"/>
        </w:rPr>
        <w:t xml:space="preserve"> </w:t>
      </w:r>
    </w:p>
    <w:p w14:paraId="06358BD6" w14:textId="4323A02F" w:rsidR="001E2951" w:rsidRPr="009764EE" w:rsidRDefault="001E2951" w:rsidP="00C532C2">
      <w:r w:rsidRPr="009764EE">
        <w:t>If the Australian economy is to keep on delivering the improved living standards and prosperity that we need it to, innovation is key.</w:t>
      </w:r>
    </w:p>
    <w:p w14:paraId="700A22DF" w14:textId="11EA556A" w:rsidR="0057554D" w:rsidRPr="009764EE" w:rsidRDefault="00261D4B" w:rsidP="00C532C2">
      <w:r w:rsidRPr="009764EE">
        <w:t xml:space="preserve">Innovation is a complex concept </w:t>
      </w:r>
      <w:r w:rsidR="00035AF8" w:rsidRPr="009764EE">
        <w:t xml:space="preserve">to measure. </w:t>
      </w:r>
      <w:r w:rsidR="00A63893" w:rsidRPr="009764EE">
        <w:t xml:space="preserve">One </w:t>
      </w:r>
      <w:r w:rsidR="000A20E1" w:rsidRPr="009764EE">
        <w:t>way to track progress</w:t>
      </w:r>
      <w:r w:rsidR="00A63893" w:rsidRPr="009764EE">
        <w:t xml:space="preserve"> </w:t>
      </w:r>
      <w:r w:rsidR="00291FF6" w:rsidRPr="009764EE">
        <w:t xml:space="preserve">is </w:t>
      </w:r>
      <w:r w:rsidR="00F07359" w:rsidRPr="009764EE">
        <w:t>the rate at which inventive activity occurs</w:t>
      </w:r>
      <w:r w:rsidR="004C4398" w:rsidRPr="009764EE">
        <w:t>,</w:t>
      </w:r>
      <w:r w:rsidR="00F07359" w:rsidRPr="009764EE">
        <w:t xml:space="preserve"> </w:t>
      </w:r>
      <w:r w:rsidR="00212678" w:rsidRPr="009764EE">
        <w:t>repr</w:t>
      </w:r>
      <w:r w:rsidR="00FB2DC3" w:rsidRPr="009764EE">
        <w:t xml:space="preserve">esented through </w:t>
      </w:r>
      <w:r w:rsidR="009D3B3C" w:rsidRPr="009764EE">
        <w:t xml:space="preserve">the </w:t>
      </w:r>
      <w:r w:rsidR="00424EAA" w:rsidRPr="009764EE">
        <w:t>number of filings</w:t>
      </w:r>
      <w:r w:rsidR="00FB2DC3" w:rsidRPr="009764EE">
        <w:t xml:space="preserve"> </w:t>
      </w:r>
      <w:r w:rsidR="004C4398" w:rsidRPr="009764EE">
        <w:t>for</w:t>
      </w:r>
      <w:r w:rsidR="00223906" w:rsidRPr="009764EE">
        <w:t xml:space="preserve"> patents and trade</w:t>
      </w:r>
      <w:r w:rsidR="007F48AD">
        <w:t> </w:t>
      </w:r>
      <w:r w:rsidR="00223906" w:rsidRPr="009764EE">
        <w:t>marks</w:t>
      </w:r>
      <w:r w:rsidR="00406F23" w:rsidRPr="009764EE">
        <w:t xml:space="preserve">. </w:t>
      </w:r>
    </w:p>
    <w:p w14:paraId="08E507E9" w14:textId="68EF9917" w:rsidR="00AE0245" w:rsidRPr="009764EE" w:rsidRDefault="00084EC3" w:rsidP="00C532C2">
      <w:r w:rsidRPr="009764EE">
        <w:t>Innovation investments in Australia were resilient during the C</w:t>
      </w:r>
      <w:r w:rsidR="0001609D" w:rsidRPr="009764EE">
        <w:t>OVID</w:t>
      </w:r>
      <w:r w:rsidR="00135DEA">
        <w:noBreakHyphen/>
      </w:r>
      <w:r w:rsidRPr="009764EE">
        <w:t xml:space="preserve">19 crisis, with the </w:t>
      </w:r>
      <w:r w:rsidR="00152901" w:rsidRPr="009764EE">
        <w:t xml:space="preserve">total </w:t>
      </w:r>
      <w:r w:rsidRPr="009764EE">
        <w:t>number of patent and trade</w:t>
      </w:r>
      <w:r w:rsidR="002F74D2">
        <w:t xml:space="preserve"> </w:t>
      </w:r>
      <w:r w:rsidRPr="009764EE">
        <w:t xml:space="preserve">mark applications both reaching record highs in 2021. While there has been a decline in 2022 from these peaks, levels remain </w:t>
      </w:r>
      <w:r w:rsidR="0082061E" w:rsidRPr="009764EE">
        <w:t>relatively</w:t>
      </w:r>
      <w:r w:rsidRPr="009764EE">
        <w:t xml:space="preserve"> strong.</w:t>
      </w:r>
      <w:r w:rsidR="00AE0245" w:rsidRPr="009764EE">
        <w:t xml:space="preserve"> </w:t>
      </w:r>
    </w:p>
    <w:p w14:paraId="7BB7BD64" w14:textId="4302BD72" w:rsidR="007431FD" w:rsidRPr="009764EE" w:rsidRDefault="008057C9" w:rsidP="00C532C2">
      <w:r w:rsidRPr="009764EE">
        <w:t>This</w:t>
      </w:r>
      <w:r w:rsidR="00F0379D" w:rsidRPr="009764EE">
        <w:t xml:space="preserve"> measure</w:t>
      </w:r>
      <w:r w:rsidRPr="009764EE">
        <w:t xml:space="preserve"> </w:t>
      </w:r>
      <w:r w:rsidR="00567CF5" w:rsidRPr="009764EE">
        <w:t>captures</w:t>
      </w:r>
      <w:r w:rsidRPr="009764EE">
        <w:t xml:space="preserve"> a fairly </w:t>
      </w:r>
      <w:r w:rsidR="00F0379D" w:rsidRPr="009764EE">
        <w:t>limited</w:t>
      </w:r>
      <w:r w:rsidRPr="009764EE">
        <w:t xml:space="preserve"> aspect of Australia</w:t>
      </w:r>
      <w:r w:rsidR="00135DEA">
        <w:t>’</w:t>
      </w:r>
      <w:r w:rsidRPr="009764EE">
        <w:t>s</w:t>
      </w:r>
      <w:r w:rsidR="00A665D7" w:rsidRPr="009764EE">
        <w:t xml:space="preserve"> innovation but</w:t>
      </w:r>
      <w:r w:rsidR="00D45439" w:rsidRPr="009764EE">
        <w:t xml:space="preserve"> </w:t>
      </w:r>
      <w:r w:rsidRPr="009764EE">
        <w:t xml:space="preserve">provides useful insights on the innovation and introduction of new products and services that can improve the lives of Australians. </w:t>
      </w:r>
    </w:p>
    <w:p w14:paraId="6A8A37D7" w14:textId="77777777" w:rsidR="008E7CD1" w:rsidRDefault="008E7CD1" w:rsidP="00B50CF7">
      <w:pPr>
        <w:rPr>
          <w:rFonts w:ascii="Calibri" w:hAnsi="Calibri" w:cs="Calibri"/>
        </w:rPr>
      </w:pPr>
    </w:p>
    <w:p w14:paraId="094EB697" w14:textId="75F8F2DE" w:rsidR="000C1754" w:rsidRPr="009764EE" w:rsidRDefault="000C1754" w:rsidP="00B50CF7">
      <w:pPr>
        <w:rPr>
          <w:rFonts w:ascii="Calibri" w:hAnsi="Calibri" w:cs="Calibri"/>
        </w:rPr>
        <w:sectPr w:rsidR="000C1754" w:rsidRPr="009764EE" w:rsidSect="00043BA7">
          <w:endnotePr>
            <w:numFmt w:val="decimal"/>
          </w:endnotePr>
          <w:pgSz w:w="11906" w:h="16838" w:code="9"/>
          <w:pgMar w:top="1843" w:right="1418" w:bottom="1418" w:left="1418" w:header="851" w:footer="851" w:gutter="0"/>
          <w:cols w:num="2" w:space="709"/>
          <w:docGrid w:linePitch="360"/>
        </w:sectPr>
      </w:pPr>
    </w:p>
    <w:tbl>
      <w:tblPr>
        <w:tblStyle w:val="MWMKey"/>
        <w:tblW w:w="5000" w:type="pct"/>
        <w:tblLook w:val="0620" w:firstRow="1" w:lastRow="0" w:firstColumn="0" w:lastColumn="0" w:noHBand="1" w:noVBand="1"/>
      </w:tblPr>
      <w:tblGrid>
        <w:gridCol w:w="9070"/>
      </w:tblGrid>
      <w:tr w:rsidR="00AE64F0" w:rsidRPr="009764EE" w14:paraId="6E1AF642" w14:textId="77777777" w:rsidTr="00AE64F0">
        <w:trPr>
          <w:cnfStyle w:val="100000000000" w:firstRow="1" w:lastRow="0" w:firstColumn="0" w:lastColumn="0" w:oddVBand="0" w:evenVBand="0" w:oddHBand="0" w:evenHBand="0" w:firstRowFirstColumn="0" w:firstRowLastColumn="0" w:lastRowFirstColumn="0" w:lastRowLastColumn="0"/>
          <w:trHeight w:val="20"/>
        </w:trPr>
        <w:tc>
          <w:tcPr>
            <w:tcW w:w="9026" w:type="dxa"/>
          </w:tcPr>
          <w:p w14:paraId="71A550D5" w14:textId="5652B233" w:rsidR="00AE64F0" w:rsidRPr="009764EE" w:rsidRDefault="00AE64F0" w:rsidP="00AE64F0">
            <w:pPr>
              <w:pStyle w:val="BoxHeading"/>
              <w:spacing w:after="0"/>
              <w:rPr>
                <w:lang w:eastAsia="en-US"/>
              </w:rPr>
            </w:pPr>
            <w:r w:rsidRPr="009764EE">
              <w:rPr>
                <w:lang w:eastAsia="en-US"/>
              </w:rPr>
              <w:lastRenderedPageBreak/>
              <w:t xml:space="preserve">Key Government initiatives to lay the foundations for future growth </w:t>
            </w:r>
          </w:p>
        </w:tc>
      </w:tr>
      <w:tr w:rsidR="000C1754" w:rsidRPr="009764EE" w14:paraId="20EE80A4" w14:textId="77777777" w:rsidTr="00AE64F0">
        <w:trPr>
          <w:trHeight w:val="20"/>
        </w:trPr>
        <w:tc>
          <w:tcPr>
            <w:tcW w:w="9026" w:type="dxa"/>
          </w:tcPr>
          <w:p w14:paraId="6EC4DA3A" w14:textId="77777777" w:rsidR="000C1754" w:rsidRPr="00363729" w:rsidRDefault="000C1754" w:rsidP="000C1754">
            <w:pPr>
              <w:pStyle w:val="Boxbullet"/>
              <w:rPr>
                <w:lang w:eastAsia="en-US"/>
              </w:rPr>
            </w:pPr>
            <w:r w:rsidRPr="00363729">
              <w:rPr>
                <w:lang w:eastAsia="en-US"/>
              </w:rPr>
              <w:t>National Reconstruction Fund, and the Industry Growth Program</w:t>
            </w:r>
          </w:p>
          <w:p w14:paraId="10F4D3B1" w14:textId="0DB5150E" w:rsidR="000C1754" w:rsidRPr="00363729" w:rsidRDefault="000C1754" w:rsidP="000C1754">
            <w:pPr>
              <w:pStyle w:val="Boxbullet"/>
              <w:rPr>
                <w:lang w:eastAsia="en-US"/>
              </w:rPr>
            </w:pPr>
            <w:r w:rsidRPr="00363729">
              <w:rPr>
                <w:lang w:eastAsia="en-US"/>
              </w:rPr>
              <w:t>Australia</w:t>
            </w:r>
            <w:r w:rsidR="00135DEA">
              <w:rPr>
                <w:lang w:eastAsia="en-US"/>
              </w:rPr>
              <w:t>’</w:t>
            </w:r>
            <w:r w:rsidRPr="00363729">
              <w:rPr>
                <w:lang w:eastAsia="en-US"/>
              </w:rPr>
              <w:t>s plan to become a Renewable Energy Superpower, including Rewiring the Nation fund, Hydrogen Headstart program and the Capacity Investment Scheme for electricity generation</w:t>
            </w:r>
          </w:p>
          <w:p w14:paraId="1B69E114" w14:textId="77777777" w:rsidR="000C1754" w:rsidRPr="00363729" w:rsidRDefault="000C1754" w:rsidP="000C1754">
            <w:pPr>
              <w:pStyle w:val="Boxbullet"/>
              <w:rPr>
                <w:lang w:eastAsia="en-US"/>
              </w:rPr>
            </w:pPr>
            <w:r w:rsidRPr="00363729">
              <w:rPr>
                <w:lang w:eastAsia="en-US"/>
              </w:rPr>
              <w:t>Critical Technologies Strategy and associated investments technologies including AI, Quantum and Robotics</w:t>
            </w:r>
          </w:p>
          <w:p w14:paraId="47EC8373" w14:textId="77777777" w:rsidR="000C1754" w:rsidRPr="00363729" w:rsidRDefault="000C1754" w:rsidP="000C1754">
            <w:pPr>
              <w:pStyle w:val="Boxbullet"/>
              <w:rPr>
                <w:lang w:eastAsia="en-US"/>
              </w:rPr>
            </w:pPr>
            <w:r w:rsidRPr="00363729">
              <w:rPr>
                <w:lang w:eastAsia="en-US"/>
              </w:rPr>
              <w:t xml:space="preserve">Expansion to Paid Parental Leave </w:t>
            </w:r>
          </w:p>
          <w:p w14:paraId="577B9BAE" w14:textId="77777777" w:rsidR="000C1754" w:rsidRPr="00363729" w:rsidRDefault="000C1754" w:rsidP="000C1754">
            <w:pPr>
              <w:pStyle w:val="Boxbullet"/>
              <w:rPr>
                <w:lang w:eastAsia="en-US"/>
              </w:rPr>
            </w:pPr>
            <w:r w:rsidRPr="00363729">
              <w:rPr>
                <w:lang w:eastAsia="en-US"/>
              </w:rPr>
              <w:t>A new National Skills Agreement</w:t>
            </w:r>
          </w:p>
          <w:p w14:paraId="3C10584C" w14:textId="4B9DFE5A" w:rsidR="000C1754" w:rsidRPr="00363729" w:rsidRDefault="000C1754" w:rsidP="000C1754">
            <w:pPr>
              <w:pStyle w:val="Boxbullet"/>
              <w:rPr>
                <w:lang w:eastAsia="en-US"/>
              </w:rPr>
            </w:pPr>
            <w:r w:rsidRPr="00363729">
              <w:rPr>
                <w:lang w:eastAsia="en-US"/>
              </w:rPr>
              <w:t>Fee</w:t>
            </w:r>
            <w:r w:rsidR="00135DEA">
              <w:rPr>
                <w:lang w:eastAsia="en-US"/>
              </w:rPr>
              <w:noBreakHyphen/>
            </w:r>
            <w:r w:rsidRPr="00363729">
              <w:rPr>
                <w:lang w:eastAsia="en-US"/>
              </w:rPr>
              <w:t>free TAFE places</w:t>
            </w:r>
          </w:p>
          <w:p w14:paraId="5A183FA3" w14:textId="77777777" w:rsidR="000C1754" w:rsidRPr="00363729" w:rsidRDefault="000C1754" w:rsidP="000C1754">
            <w:pPr>
              <w:pStyle w:val="Boxbullet"/>
              <w:rPr>
                <w:lang w:eastAsia="en-US"/>
              </w:rPr>
            </w:pPr>
            <w:r w:rsidRPr="00363729">
              <w:rPr>
                <w:lang w:eastAsia="en-US"/>
              </w:rPr>
              <w:t xml:space="preserve">A new Australian Skills Guarantee </w:t>
            </w:r>
          </w:p>
          <w:p w14:paraId="6F4E3CDC" w14:textId="77777777" w:rsidR="000C1754" w:rsidRPr="00363729" w:rsidRDefault="000C1754" w:rsidP="000C1754">
            <w:pPr>
              <w:pStyle w:val="Boxbullet"/>
              <w:rPr>
                <w:lang w:eastAsia="en-US"/>
              </w:rPr>
            </w:pPr>
            <w:r w:rsidRPr="00363729">
              <w:rPr>
                <w:lang w:eastAsia="en-US"/>
              </w:rPr>
              <w:t xml:space="preserve">A new Australian Universities Accord </w:t>
            </w:r>
          </w:p>
          <w:p w14:paraId="2781AC4C" w14:textId="77777777" w:rsidR="000C1754" w:rsidRPr="00363729" w:rsidRDefault="000C1754" w:rsidP="000C1754">
            <w:pPr>
              <w:pStyle w:val="Boxbullet"/>
              <w:rPr>
                <w:lang w:eastAsia="en-US"/>
              </w:rPr>
            </w:pPr>
            <w:r w:rsidRPr="00363729">
              <w:rPr>
                <w:lang w:eastAsia="en-US"/>
              </w:rPr>
              <w:t>National Broadband Network including the Better Connectivity Plan for Regional and Rural Australia</w:t>
            </w:r>
          </w:p>
          <w:p w14:paraId="34BBBA80" w14:textId="77777777" w:rsidR="000C1754" w:rsidRPr="00363729" w:rsidRDefault="000C1754" w:rsidP="000C1754">
            <w:pPr>
              <w:pStyle w:val="Boxbullet"/>
              <w:rPr>
                <w:szCs w:val="22"/>
                <w:lang w:eastAsia="en-US"/>
              </w:rPr>
            </w:pPr>
            <w:r w:rsidRPr="00363729">
              <w:rPr>
                <w:lang w:eastAsia="en-US"/>
              </w:rPr>
              <w:t xml:space="preserve">Cheaper Child Care reforms </w:t>
            </w:r>
          </w:p>
        </w:tc>
      </w:tr>
    </w:tbl>
    <w:p w14:paraId="1D808D1E" w14:textId="77777777" w:rsidR="00043BA7" w:rsidRPr="00043BA7" w:rsidRDefault="00043BA7" w:rsidP="00043BA7">
      <w:bookmarkStart w:id="101" w:name="_Toc147497681"/>
      <w:r w:rsidRPr="00043BA7">
        <w:br w:type="page"/>
      </w:r>
    </w:p>
    <w:p w14:paraId="7D590B89" w14:textId="3937673E" w:rsidR="00AE0245" w:rsidRPr="009764EE" w:rsidRDefault="00AC5410" w:rsidP="00857CAA">
      <w:pPr>
        <w:pStyle w:val="Heading2"/>
      </w:pPr>
      <w:r w:rsidRPr="009764EE">
        <w:lastRenderedPageBreak/>
        <w:t>Access to education, skills development and lea</w:t>
      </w:r>
      <w:r w:rsidR="00A21AE5" w:rsidRPr="009764EE">
        <w:t>r</w:t>
      </w:r>
      <w:r w:rsidRPr="009764EE">
        <w:t>ning throughout life</w:t>
      </w:r>
      <w:bookmarkEnd w:id="101"/>
      <w:r w:rsidR="00AE0245" w:rsidRPr="009764EE">
        <w:t xml:space="preserve"> </w:t>
      </w:r>
    </w:p>
    <w:tbl>
      <w:tblPr>
        <w:tblStyle w:val="MWMTables"/>
        <w:tblW w:w="9071" w:type="dxa"/>
        <w:tblLayout w:type="fixed"/>
        <w:tblLook w:val="06A0" w:firstRow="1" w:lastRow="0" w:firstColumn="1" w:lastColumn="0" w:noHBand="1" w:noVBand="1"/>
      </w:tblPr>
      <w:tblGrid>
        <w:gridCol w:w="1247"/>
        <w:gridCol w:w="2494"/>
        <w:gridCol w:w="2494"/>
        <w:gridCol w:w="1418"/>
        <w:gridCol w:w="1418"/>
      </w:tblGrid>
      <w:tr w:rsidR="00043BA7" w:rsidRPr="005676C7" w14:paraId="4C8C5CD6" w14:textId="77777777" w:rsidTr="00043BA7">
        <w:trPr>
          <w:cnfStyle w:val="100000000000" w:firstRow="1" w:lastRow="0" w:firstColumn="0" w:lastColumn="0" w:oddVBand="0" w:evenVBand="0" w:oddHBand="0" w:evenHBand="0" w:firstRowFirstColumn="0" w:firstRowLastColumn="0" w:lastRowFirstColumn="0" w:lastRowLastColumn="0"/>
          <w:trHeight w:val="270"/>
        </w:trPr>
        <w:tc>
          <w:tcPr>
            <w:tcW w:w="1247" w:type="dxa"/>
          </w:tcPr>
          <w:p w14:paraId="5C1C889E" w14:textId="75AD0122" w:rsidR="00AE0245" w:rsidRPr="005676C7" w:rsidRDefault="00A136B7" w:rsidP="005676C7">
            <w:pPr>
              <w:pStyle w:val="TableColumnHeadingLeft"/>
            </w:pPr>
            <w:r w:rsidRPr="005676C7">
              <w:t>Indicator</w:t>
            </w:r>
          </w:p>
        </w:tc>
        <w:tc>
          <w:tcPr>
            <w:tcW w:w="2494" w:type="dxa"/>
          </w:tcPr>
          <w:p w14:paraId="4DB20D5C" w14:textId="510C7B00" w:rsidR="00AE0245" w:rsidRPr="005676C7" w:rsidRDefault="00457317" w:rsidP="005676C7">
            <w:pPr>
              <w:pStyle w:val="TableColumnHeadingLeft"/>
            </w:pPr>
            <w:r w:rsidRPr="005676C7">
              <w:t>M</w:t>
            </w:r>
            <w:r w:rsidR="00AE0245" w:rsidRPr="005676C7">
              <w:t>etric</w:t>
            </w:r>
          </w:p>
        </w:tc>
        <w:tc>
          <w:tcPr>
            <w:tcW w:w="2494" w:type="dxa"/>
          </w:tcPr>
          <w:p w14:paraId="42B754D8" w14:textId="77777777" w:rsidR="00AE0245" w:rsidRPr="005676C7" w:rsidRDefault="00AE0245" w:rsidP="005676C7">
            <w:pPr>
              <w:pStyle w:val="TableColumnHeadingLeft"/>
            </w:pPr>
            <w:r w:rsidRPr="005676C7">
              <w:t xml:space="preserve">Why this metric </w:t>
            </w:r>
          </w:p>
        </w:tc>
        <w:tc>
          <w:tcPr>
            <w:tcW w:w="1418" w:type="dxa"/>
          </w:tcPr>
          <w:p w14:paraId="0E3EB4D1" w14:textId="3F2EAA20" w:rsidR="00AE0245" w:rsidRPr="005676C7" w:rsidRDefault="009F3D8B" w:rsidP="005676C7">
            <w:pPr>
              <w:pStyle w:val="TableColumnHeadingLeft"/>
            </w:pPr>
            <w:r w:rsidRPr="005676C7">
              <w:t>Progress</w:t>
            </w:r>
          </w:p>
        </w:tc>
        <w:tc>
          <w:tcPr>
            <w:tcW w:w="1418" w:type="dxa"/>
          </w:tcPr>
          <w:p w14:paraId="16AB814E" w14:textId="697B91B1" w:rsidR="00AE0245" w:rsidRPr="005676C7" w:rsidRDefault="00AE0245" w:rsidP="005676C7">
            <w:pPr>
              <w:pStyle w:val="TableColumnHeadingLeft"/>
            </w:pPr>
            <w:r w:rsidRPr="005676C7">
              <w:t>Latest value</w:t>
            </w:r>
            <w:r w:rsidR="00D77482" w:rsidRPr="005676C7">
              <w:rPr>
                <w:rStyle w:val="FootnoteReference"/>
              </w:rPr>
              <w:t>(i)</w:t>
            </w:r>
            <w:r w:rsidRPr="005676C7">
              <w:t xml:space="preserve"> </w:t>
            </w:r>
          </w:p>
        </w:tc>
      </w:tr>
      <w:tr w:rsidR="007B5FF4" w:rsidRPr="009764EE" w14:paraId="33DD838C" w14:textId="77777777" w:rsidTr="00043BA7">
        <w:trPr>
          <w:trHeight w:val="270"/>
        </w:trPr>
        <w:tc>
          <w:tcPr>
            <w:tcW w:w="1247" w:type="dxa"/>
          </w:tcPr>
          <w:p w14:paraId="2B33218B" w14:textId="3EBA5FDD" w:rsidR="00205D34" w:rsidRPr="005676C7" w:rsidRDefault="00205D34" w:rsidP="00E40212">
            <w:pPr>
              <w:pStyle w:val="TableTextLeft"/>
              <w:rPr>
                <w:rStyle w:val="Strong"/>
                <w:color w:val="082C44"/>
              </w:rPr>
            </w:pPr>
            <w:r w:rsidRPr="005676C7">
              <w:rPr>
                <w:rStyle w:val="Strong"/>
                <w:color w:val="082C44"/>
              </w:rPr>
              <w:t xml:space="preserve">Childhood development </w:t>
            </w:r>
          </w:p>
        </w:tc>
        <w:tc>
          <w:tcPr>
            <w:tcW w:w="2494" w:type="dxa"/>
          </w:tcPr>
          <w:p w14:paraId="639A8B57" w14:textId="33E751E3" w:rsidR="00205D34" w:rsidRPr="009764EE" w:rsidRDefault="00205D34" w:rsidP="00E40212">
            <w:pPr>
              <w:pStyle w:val="TableTextLeft"/>
            </w:pPr>
            <w:r w:rsidRPr="009764EE">
              <w:t xml:space="preserve">Proportion of children who are developmentally on track </w:t>
            </w:r>
            <w:r w:rsidR="00147204" w:rsidRPr="009764EE">
              <w:t>i</w:t>
            </w:r>
            <w:r w:rsidRPr="009764EE">
              <w:t>n all five domains of the Australian Early Development Census</w:t>
            </w:r>
            <w:r w:rsidRPr="005049F1">
              <w:rPr>
                <w:rStyle w:val="FootnoteReference"/>
              </w:rPr>
              <w:t>(</w:t>
            </w:r>
            <w:r w:rsidR="001816E0" w:rsidRPr="005049F1">
              <w:rPr>
                <w:rStyle w:val="FootnoteReference"/>
              </w:rPr>
              <w:t>a)</w:t>
            </w:r>
            <w:r w:rsidRPr="009764EE">
              <w:t xml:space="preserve"> </w:t>
            </w:r>
          </w:p>
        </w:tc>
        <w:tc>
          <w:tcPr>
            <w:tcW w:w="2494" w:type="dxa"/>
          </w:tcPr>
          <w:p w14:paraId="3AE06B23" w14:textId="5308A442" w:rsidR="00205D34" w:rsidRPr="009764EE" w:rsidRDefault="00205D34" w:rsidP="00E40212">
            <w:pPr>
              <w:pStyle w:val="TableTextLeft"/>
            </w:pPr>
            <w:r w:rsidRPr="009764EE">
              <w:t>Early childhood development is a key determinant of future health, wellbeing and prosperity</w:t>
            </w:r>
          </w:p>
        </w:tc>
        <w:tc>
          <w:tcPr>
            <w:tcW w:w="1418" w:type="dxa"/>
          </w:tcPr>
          <w:p w14:paraId="2FE5F68A" w14:textId="151357F9" w:rsidR="004843DD" w:rsidRPr="009764EE" w:rsidRDefault="0096052F" w:rsidP="000C1754">
            <w:pPr>
              <w:pStyle w:val="TableTextCentered"/>
              <w:rPr>
                <w:rFonts w:eastAsia="Century Gothic"/>
              </w:rPr>
            </w:pPr>
            <w:r w:rsidRPr="009764EE">
              <w:rPr>
                <w:rFonts w:eastAsia="Tahoma"/>
              </w:rPr>
              <w:t>Improved</w:t>
            </w:r>
          </w:p>
          <w:p w14:paraId="5DA5FDB2" w14:textId="78D9FD43" w:rsidR="00205D34" w:rsidRPr="009764EE" w:rsidRDefault="003F12DD" w:rsidP="00E40212">
            <w:pPr>
              <w:pStyle w:val="TableTextCentered"/>
            </w:pPr>
            <w:r w:rsidRPr="009764EE">
              <w:rPr>
                <w:rFonts w:eastAsia="Century Gothic"/>
              </w:rPr>
              <w:t>2009</w:t>
            </w:r>
            <w:r w:rsidR="00151999">
              <w:rPr>
                <w:rFonts w:eastAsia="Century Gothic"/>
              </w:rPr>
              <w:t>–</w:t>
            </w:r>
            <w:r w:rsidRPr="009764EE">
              <w:rPr>
                <w:rFonts w:eastAsia="Century Gothic"/>
              </w:rPr>
              <w:t>2021</w:t>
            </w:r>
          </w:p>
        </w:tc>
        <w:tc>
          <w:tcPr>
            <w:tcW w:w="1418" w:type="dxa"/>
          </w:tcPr>
          <w:p w14:paraId="44028F59" w14:textId="7BA5BEA8" w:rsidR="00205D34" w:rsidRPr="009764EE" w:rsidRDefault="00205D34" w:rsidP="00E40212">
            <w:pPr>
              <w:pStyle w:val="TableTextCentered"/>
            </w:pPr>
            <w:r w:rsidRPr="009764EE">
              <w:t>54.8%</w:t>
            </w:r>
          </w:p>
        </w:tc>
      </w:tr>
      <w:tr w:rsidR="000C096F" w:rsidRPr="009764EE" w14:paraId="044A4E74" w14:textId="77777777" w:rsidTr="00043BA7">
        <w:trPr>
          <w:trHeight w:val="898"/>
        </w:trPr>
        <w:tc>
          <w:tcPr>
            <w:tcW w:w="1247" w:type="dxa"/>
          </w:tcPr>
          <w:p w14:paraId="52065119" w14:textId="3789DB99" w:rsidR="000C096F" w:rsidRPr="005676C7" w:rsidRDefault="00727CED" w:rsidP="00E40212">
            <w:pPr>
              <w:pStyle w:val="TableTextLeft"/>
              <w:rPr>
                <w:rStyle w:val="Strong"/>
                <w:color w:val="082C44"/>
              </w:rPr>
            </w:pPr>
            <w:r w:rsidRPr="005676C7">
              <w:rPr>
                <w:rStyle w:val="Strong"/>
                <w:color w:val="082C44"/>
              </w:rPr>
              <w:t>Literacy and numeracy skills at school</w:t>
            </w:r>
          </w:p>
        </w:tc>
        <w:tc>
          <w:tcPr>
            <w:tcW w:w="2494" w:type="dxa"/>
            <w:tcBorders>
              <w:bottom w:val="single" w:sz="4" w:space="0" w:color="216364"/>
            </w:tcBorders>
          </w:tcPr>
          <w:p w14:paraId="57621DE6" w14:textId="4C3D3C2C" w:rsidR="000C096F" w:rsidRPr="009764EE" w:rsidRDefault="0047531A" w:rsidP="00E40212">
            <w:pPr>
              <w:pStyle w:val="TableTextLeft"/>
            </w:pPr>
            <w:r w:rsidRPr="009764EE">
              <w:rPr>
                <w:shd w:val="clear" w:color="auto" w:fill="FFFFFF"/>
              </w:rPr>
              <w:t xml:space="preserve">Average </w:t>
            </w:r>
            <w:r w:rsidR="000C096F" w:rsidRPr="009764EE">
              <w:rPr>
                <w:shd w:val="clear" w:color="auto" w:fill="FFFFFF"/>
              </w:rPr>
              <w:t xml:space="preserve">Year 3 </w:t>
            </w:r>
            <w:r w:rsidR="00FD672C" w:rsidRPr="009764EE">
              <w:rPr>
                <w:shd w:val="clear" w:color="auto" w:fill="FFFFFF"/>
              </w:rPr>
              <w:t>NAPLAN scores for literacy and numeracy</w:t>
            </w:r>
            <w:r w:rsidR="009D48DA" w:rsidRPr="005049F1">
              <w:rPr>
                <w:rStyle w:val="FootnoteReference"/>
              </w:rPr>
              <w:t>(b)</w:t>
            </w:r>
          </w:p>
        </w:tc>
        <w:tc>
          <w:tcPr>
            <w:tcW w:w="2494" w:type="dxa"/>
            <w:tcBorders>
              <w:bottom w:val="single" w:sz="4" w:space="0" w:color="216364"/>
            </w:tcBorders>
          </w:tcPr>
          <w:p w14:paraId="6A21D705" w14:textId="643A3222" w:rsidR="000C096F" w:rsidRPr="009764EE" w:rsidRDefault="002F0A3B" w:rsidP="00E40212">
            <w:pPr>
              <w:pStyle w:val="TableTextLeft"/>
              <w:rPr>
                <w:shd w:val="clear" w:color="auto" w:fill="FFFFFF"/>
              </w:rPr>
            </w:pPr>
            <w:r w:rsidRPr="009764EE">
              <w:t>Literacy and numeracy</w:t>
            </w:r>
            <w:r w:rsidR="000C096F" w:rsidRPr="009764EE">
              <w:t xml:space="preserve"> skills </w:t>
            </w:r>
            <w:r w:rsidRPr="009764EE">
              <w:t>developed during school years</w:t>
            </w:r>
            <w:r w:rsidR="000C096F" w:rsidRPr="009764EE">
              <w:t xml:space="preserve"> are critical to participating in all aspects of life</w:t>
            </w:r>
          </w:p>
        </w:tc>
        <w:tc>
          <w:tcPr>
            <w:tcW w:w="1418" w:type="dxa"/>
            <w:tcBorders>
              <w:bottom w:val="single" w:sz="4" w:space="0" w:color="216364"/>
            </w:tcBorders>
          </w:tcPr>
          <w:p w14:paraId="6A1697D6" w14:textId="01552E06" w:rsidR="004843DD" w:rsidRPr="000C1754" w:rsidRDefault="00DE5C67" w:rsidP="000C1754">
            <w:pPr>
              <w:pStyle w:val="TableTextCentered"/>
              <w:rPr>
                <w:rFonts w:eastAsia="Century Gothic"/>
              </w:rPr>
            </w:pPr>
            <w:r w:rsidRPr="009764EE">
              <w:rPr>
                <w:rFonts w:eastAsia="Century Gothic"/>
              </w:rPr>
              <w:t>Improved</w:t>
            </w:r>
          </w:p>
          <w:p w14:paraId="2F42CC2F" w14:textId="13E99F8D" w:rsidR="000C096F" w:rsidRPr="009764EE" w:rsidRDefault="000C096F" w:rsidP="00E40212">
            <w:pPr>
              <w:pStyle w:val="TableTextCentered"/>
              <w:rPr>
                <w:rFonts w:eastAsia="Century Gothic"/>
              </w:rPr>
            </w:pPr>
            <w:r w:rsidRPr="009764EE">
              <w:t>2008</w:t>
            </w:r>
            <w:r w:rsidR="00620078">
              <w:t>–</w:t>
            </w:r>
            <w:r w:rsidR="000739CF">
              <w:rPr>
                <w:rFonts w:eastAsia="Century Gothic"/>
              </w:rPr>
              <w:softHyphen/>
            </w:r>
            <w:r w:rsidRPr="009764EE">
              <w:t>2022</w:t>
            </w:r>
          </w:p>
        </w:tc>
        <w:tc>
          <w:tcPr>
            <w:tcW w:w="1418" w:type="dxa"/>
            <w:tcBorders>
              <w:bottom w:val="single" w:sz="4" w:space="0" w:color="216364"/>
            </w:tcBorders>
          </w:tcPr>
          <w:p w14:paraId="309FFA19" w14:textId="22C80DAF" w:rsidR="000C096F" w:rsidRPr="009764EE" w:rsidRDefault="002160BF" w:rsidP="00E40212">
            <w:pPr>
              <w:pStyle w:val="TableTextCentered"/>
            </w:pPr>
            <w:r w:rsidRPr="009764EE">
              <w:t>Mixed results across curriculum areas</w:t>
            </w:r>
          </w:p>
        </w:tc>
      </w:tr>
      <w:tr w:rsidR="00AE0245" w:rsidRPr="009764EE" w14:paraId="34A753E5" w14:textId="77777777" w:rsidTr="00043BA7">
        <w:trPr>
          <w:trHeight w:val="898"/>
        </w:trPr>
        <w:tc>
          <w:tcPr>
            <w:tcW w:w="1247" w:type="dxa"/>
            <w:vMerge w:val="restart"/>
          </w:tcPr>
          <w:p w14:paraId="08C94C25" w14:textId="0D9FA968" w:rsidR="00AE0245" w:rsidRPr="005676C7" w:rsidRDefault="00AE0245" w:rsidP="00E40212">
            <w:pPr>
              <w:pStyle w:val="TableTextLeft"/>
              <w:rPr>
                <w:rStyle w:val="Strong"/>
                <w:color w:val="082C44"/>
              </w:rPr>
            </w:pPr>
            <w:r w:rsidRPr="005676C7">
              <w:rPr>
                <w:rStyle w:val="Strong"/>
                <w:color w:val="082C44"/>
              </w:rPr>
              <w:t>Education attainment</w:t>
            </w:r>
          </w:p>
        </w:tc>
        <w:tc>
          <w:tcPr>
            <w:tcW w:w="2494" w:type="dxa"/>
            <w:tcBorders>
              <w:top w:val="single" w:sz="4" w:space="0" w:color="216364"/>
              <w:bottom w:val="single" w:sz="4" w:space="0" w:color="EEEEEE" w:themeColor="background2"/>
            </w:tcBorders>
          </w:tcPr>
          <w:p w14:paraId="2D7AEDE0" w14:textId="22A500D1" w:rsidR="00AE0245" w:rsidRPr="000C1754" w:rsidRDefault="00680AC0" w:rsidP="00E40212">
            <w:pPr>
              <w:pStyle w:val="TableTextLeft"/>
            </w:pPr>
            <w:r w:rsidRPr="009764EE">
              <w:t>Proportion of people aged 20</w:t>
            </w:r>
            <w:r w:rsidR="005676C7">
              <w:t>‍</w:t>
            </w:r>
            <w:r w:rsidR="00151999">
              <w:t>–</w:t>
            </w:r>
            <w:r w:rsidR="005676C7">
              <w:t>‍</w:t>
            </w:r>
            <w:r w:rsidRPr="009764EE">
              <w:t>24 with Year 12 or equivalent</w:t>
            </w:r>
            <w:r w:rsidR="001E4F49" w:rsidRPr="009764EE">
              <w:t xml:space="preserve"> </w:t>
            </w:r>
          </w:p>
        </w:tc>
        <w:tc>
          <w:tcPr>
            <w:tcW w:w="2494" w:type="dxa"/>
            <w:vMerge w:val="restart"/>
            <w:tcBorders>
              <w:top w:val="single" w:sz="4" w:space="0" w:color="216364"/>
              <w:bottom w:val="single" w:sz="4" w:space="0" w:color="EEEEEE" w:themeColor="background2"/>
            </w:tcBorders>
          </w:tcPr>
          <w:p w14:paraId="60047A52" w14:textId="7EB470F6" w:rsidR="00AE0245" w:rsidRPr="009764EE" w:rsidRDefault="00AE0245" w:rsidP="00E40212">
            <w:pPr>
              <w:pStyle w:val="TableTextLeft"/>
            </w:pPr>
            <w:r w:rsidRPr="009764EE">
              <w:rPr>
                <w:shd w:val="clear" w:color="auto" w:fill="FFFFFF"/>
              </w:rPr>
              <w:t xml:space="preserve">Education attainment shows the education status of </w:t>
            </w:r>
            <w:r w:rsidR="00680AC0" w:rsidRPr="009764EE">
              <w:rPr>
                <w:shd w:val="clear" w:color="auto" w:fill="FFFFFF"/>
              </w:rPr>
              <w:t>Australia</w:t>
            </w:r>
            <w:r w:rsidRPr="009764EE">
              <w:rPr>
                <w:shd w:val="clear" w:color="auto" w:fill="FFFFFF"/>
              </w:rPr>
              <w:t xml:space="preserve"> and provides a measure of the skills and capabilities of the population</w:t>
            </w:r>
          </w:p>
        </w:tc>
        <w:tc>
          <w:tcPr>
            <w:tcW w:w="1418" w:type="dxa"/>
            <w:tcBorders>
              <w:top w:val="single" w:sz="4" w:space="0" w:color="216364"/>
              <w:bottom w:val="single" w:sz="4" w:space="0" w:color="EEEEEE" w:themeColor="background2"/>
            </w:tcBorders>
          </w:tcPr>
          <w:p w14:paraId="5DA4AA7C" w14:textId="59016BE2" w:rsidR="004843DD" w:rsidRPr="000C1754" w:rsidRDefault="00B65F77" w:rsidP="000C1754">
            <w:pPr>
              <w:pStyle w:val="TableTextCentered"/>
              <w:rPr>
                <w:rFonts w:eastAsia="Century Gothic"/>
              </w:rPr>
            </w:pPr>
            <w:r w:rsidRPr="009764EE">
              <w:rPr>
                <w:rFonts w:eastAsia="Tahoma"/>
              </w:rPr>
              <w:t>Improved</w:t>
            </w:r>
          </w:p>
          <w:p w14:paraId="6AB75D7D" w14:textId="513FC2EC" w:rsidR="00AE0245" w:rsidRPr="009764EE" w:rsidRDefault="00AE0245" w:rsidP="00E40212">
            <w:pPr>
              <w:pStyle w:val="TableTextCentered"/>
            </w:pPr>
            <w:r w:rsidRPr="009764EE">
              <w:t>201</w:t>
            </w:r>
            <w:r w:rsidR="00582E99" w:rsidRPr="009764EE">
              <w:t>3</w:t>
            </w:r>
            <w:r w:rsidR="00620078">
              <w:t>–</w:t>
            </w:r>
            <w:r w:rsidR="000739CF">
              <w:rPr>
                <w:rFonts w:eastAsia="Century Gothic"/>
              </w:rPr>
              <w:softHyphen/>
            </w:r>
            <w:r w:rsidRPr="009764EE">
              <w:t>2022</w:t>
            </w:r>
          </w:p>
        </w:tc>
        <w:tc>
          <w:tcPr>
            <w:tcW w:w="1418" w:type="dxa"/>
            <w:tcBorders>
              <w:top w:val="single" w:sz="4" w:space="0" w:color="216364"/>
              <w:bottom w:val="single" w:sz="4" w:space="0" w:color="EEEEEE" w:themeColor="background2"/>
            </w:tcBorders>
          </w:tcPr>
          <w:p w14:paraId="178A6DE9" w14:textId="575DB2B8" w:rsidR="00AE0245" w:rsidRPr="009764EE" w:rsidRDefault="00680AC0" w:rsidP="00E40212">
            <w:pPr>
              <w:pStyle w:val="TableTextCentered"/>
            </w:pPr>
            <w:r w:rsidRPr="009764EE">
              <w:t>86.2%</w:t>
            </w:r>
          </w:p>
        </w:tc>
      </w:tr>
      <w:tr w:rsidR="0081223D" w:rsidRPr="009764EE" w14:paraId="4B4EF797" w14:textId="77777777" w:rsidTr="00043BA7">
        <w:trPr>
          <w:trHeight w:val="666"/>
        </w:trPr>
        <w:tc>
          <w:tcPr>
            <w:tcW w:w="1247" w:type="dxa"/>
            <w:vMerge/>
          </w:tcPr>
          <w:p w14:paraId="3ADB0E99" w14:textId="77777777" w:rsidR="0081223D" w:rsidRPr="005676C7" w:rsidRDefault="0081223D" w:rsidP="00E40212">
            <w:pPr>
              <w:pStyle w:val="TableTextLeft"/>
              <w:rPr>
                <w:rStyle w:val="Strong"/>
                <w:color w:val="082C44"/>
              </w:rPr>
            </w:pPr>
          </w:p>
        </w:tc>
        <w:tc>
          <w:tcPr>
            <w:tcW w:w="2494" w:type="dxa"/>
            <w:tcBorders>
              <w:top w:val="single" w:sz="4" w:space="0" w:color="EEEEEE" w:themeColor="background2"/>
            </w:tcBorders>
          </w:tcPr>
          <w:p w14:paraId="00CBC633" w14:textId="1D9DFF22" w:rsidR="0081223D" w:rsidRPr="009764EE" w:rsidRDefault="003A12BD" w:rsidP="00E40212">
            <w:pPr>
              <w:pStyle w:val="TableTextLeft"/>
            </w:pPr>
            <w:r w:rsidRPr="009764EE">
              <w:t>Proportion of people aged 25</w:t>
            </w:r>
            <w:r w:rsidR="00151999">
              <w:t>–</w:t>
            </w:r>
            <w:r w:rsidR="005676C7">
              <w:t>‍</w:t>
            </w:r>
            <w:r w:rsidRPr="009764EE">
              <w:t>34 with a qualification at Certificate III level or ab</w:t>
            </w:r>
            <w:r w:rsidRPr="009764EE" w:rsidDel="00FD2F4A">
              <w:t>ove</w:t>
            </w:r>
            <w:r w:rsidRPr="005049F1">
              <w:rPr>
                <w:rStyle w:val="FootnoteReference"/>
              </w:rPr>
              <w:t>(c)</w:t>
            </w:r>
          </w:p>
        </w:tc>
        <w:tc>
          <w:tcPr>
            <w:tcW w:w="2494" w:type="dxa"/>
            <w:vMerge/>
            <w:tcBorders>
              <w:top w:val="single" w:sz="4" w:space="0" w:color="EEEEEE" w:themeColor="background2"/>
            </w:tcBorders>
          </w:tcPr>
          <w:p w14:paraId="247F3200" w14:textId="77777777" w:rsidR="0081223D" w:rsidRPr="009764EE" w:rsidRDefault="0081223D" w:rsidP="00E40212">
            <w:pPr>
              <w:pStyle w:val="TableTextLeft"/>
              <w:rPr>
                <w:shd w:val="clear" w:color="auto" w:fill="FFFFFF"/>
              </w:rPr>
            </w:pPr>
          </w:p>
        </w:tc>
        <w:tc>
          <w:tcPr>
            <w:tcW w:w="1418" w:type="dxa"/>
            <w:tcBorders>
              <w:top w:val="single" w:sz="4" w:space="0" w:color="EEEEEE" w:themeColor="background2"/>
            </w:tcBorders>
          </w:tcPr>
          <w:p w14:paraId="1CC5661A" w14:textId="690C9D5B" w:rsidR="002160BF" w:rsidRPr="000C1754" w:rsidRDefault="009746C8" w:rsidP="000C1754">
            <w:pPr>
              <w:pStyle w:val="TableTextCentered"/>
              <w:rPr>
                <w:rFonts w:eastAsia="Tahoma"/>
              </w:rPr>
            </w:pPr>
            <w:r w:rsidRPr="009764EE">
              <w:rPr>
                <w:rFonts w:eastAsia="Tahoma"/>
              </w:rPr>
              <w:t xml:space="preserve">Improved </w:t>
            </w:r>
          </w:p>
          <w:p w14:paraId="3EADE891" w14:textId="2BFD0566" w:rsidR="009F3D8B" w:rsidRPr="009764EE" w:rsidRDefault="0081223D" w:rsidP="00E40212">
            <w:pPr>
              <w:pStyle w:val="TableTextCentered"/>
            </w:pPr>
            <w:r w:rsidRPr="009764EE">
              <w:t>2013</w:t>
            </w:r>
            <w:r w:rsidR="000739CF">
              <w:rPr>
                <w:rFonts w:eastAsia="Century Gothic"/>
              </w:rPr>
              <w:softHyphen/>
            </w:r>
            <w:r w:rsidR="00620078">
              <w:rPr>
                <w:rFonts w:eastAsia="Century Gothic"/>
              </w:rPr>
              <w:t>–</w:t>
            </w:r>
            <w:r w:rsidR="000C1754">
              <w:rPr>
                <w:rFonts w:eastAsia="Century Gothic"/>
              </w:rPr>
              <w:t>2</w:t>
            </w:r>
            <w:r w:rsidRPr="009764EE">
              <w:t>022</w:t>
            </w:r>
          </w:p>
        </w:tc>
        <w:tc>
          <w:tcPr>
            <w:tcW w:w="1418" w:type="dxa"/>
            <w:tcBorders>
              <w:top w:val="single" w:sz="4" w:space="0" w:color="EEEEEE" w:themeColor="background2"/>
            </w:tcBorders>
          </w:tcPr>
          <w:p w14:paraId="30BFDB5B" w14:textId="3CFBBA06" w:rsidR="0081223D" w:rsidRPr="009764EE" w:rsidRDefault="00690F6A" w:rsidP="00E40212">
            <w:pPr>
              <w:pStyle w:val="TableTextCentered"/>
            </w:pPr>
            <w:r w:rsidRPr="009764EE">
              <w:t>73.0</w:t>
            </w:r>
            <w:r w:rsidR="00680AC0" w:rsidRPr="009764EE">
              <w:t>%</w:t>
            </w:r>
          </w:p>
        </w:tc>
      </w:tr>
      <w:tr w:rsidR="00925FE3" w:rsidRPr="009764EE" w14:paraId="0B3321AA" w14:textId="77777777" w:rsidTr="00043BA7">
        <w:trPr>
          <w:trHeight w:val="270"/>
        </w:trPr>
        <w:tc>
          <w:tcPr>
            <w:tcW w:w="1247" w:type="dxa"/>
          </w:tcPr>
          <w:p w14:paraId="124A4047" w14:textId="53AE8B6A" w:rsidR="00AE0245" w:rsidRPr="005676C7" w:rsidRDefault="00680AC0" w:rsidP="00E40212">
            <w:pPr>
              <w:pStyle w:val="TableTextLeft"/>
              <w:rPr>
                <w:rStyle w:val="Strong"/>
                <w:color w:val="082C44"/>
              </w:rPr>
            </w:pPr>
            <w:r w:rsidRPr="005676C7">
              <w:rPr>
                <w:rStyle w:val="Strong"/>
                <w:color w:val="082C44"/>
              </w:rPr>
              <w:t>Skills development</w:t>
            </w:r>
          </w:p>
        </w:tc>
        <w:tc>
          <w:tcPr>
            <w:tcW w:w="2494" w:type="dxa"/>
          </w:tcPr>
          <w:p w14:paraId="2762BC42" w14:textId="1078B9C9" w:rsidR="00680AC0" w:rsidRPr="009764EE" w:rsidRDefault="00680AC0" w:rsidP="00E40212">
            <w:pPr>
              <w:pStyle w:val="TableTextLeft"/>
              <w:rPr>
                <w:szCs w:val="14"/>
              </w:rPr>
            </w:pPr>
            <w:r w:rsidRPr="009764EE">
              <w:rPr>
                <w:szCs w:val="14"/>
              </w:rPr>
              <w:t>The share of adults (aged 15 to 74) who in the previous 12</w:t>
            </w:r>
            <w:r w:rsidR="00043BA7">
              <w:rPr>
                <w:szCs w:val="14"/>
              </w:rPr>
              <w:t> </w:t>
            </w:r>
            <w:r w:rsidRPr="009764EE">
              <w:rPr>
                <w:szCs w:val="14"/>
              </w:rPr>
              <w:t>months, participated in:</w:t>
            </w:r>
          </w:p>
          <w:p w14:paraId="11DD0ADE" w14:textId="13B8579A" w:rsidR="00680AC0" w:rsidRPr="00084FD2" w:rsidRDefault="00680AC0" w:rsidP="00084FD2">
            <w:pPr>
              <w:pStyle w:val="TableTextBullet"/>
            </w:pPr>
            <w:r w:rsidRPr="00084FD2">
              <w:t>formal study which le</w:t>
            </w:r>
            <w:r w:rsidR="00D30E81" w:rsidRPr="00084FD2">
              <w:t>d</w:t>
            </w:r>
            <w:r w:rsidRPr="00084FD2">
              <w:t xml:space="preserve"> to a qualification recognised by the Australian Qualifications Framework, and</w:t>
            </w:r>
            <w:r w:rsidR="008259FE" w:rsidRPr="00084FD2">
              <w:t xml:space="preserve"> </w:t>
            </w:r>
          </w:p>
          <w:p w14:paraId="30A8D5B4" w14:textId="61C9C849" w:rsidR="00AE0245" w:rsidRPr="009764EE" w:rsidRDefault="00AE0245" w:rsidP="00084FD2">
            <w:pPr>
              <w:pStyle w:val="TableTextBullet"/>
              <w:rPr>
                <w:sz w:val="20"/>
                <w:szCs w:val="16"/>
              </w:rPr>
            </w:pPr>
            <w:r w:rsidRPr="009764EE">
              <w:t>non</w:t>
            </w:r>
            <w:r w:rsidR="00135DEA">
              <w:noBreakHyphen/>
            </w:r>
            <w:r w:rsidRPr="009764EE">
              <w:t>formal learning (structured training or courses) that d</w:t>
            </w:r>
            <w:r w:rsidR="00C61805" w:rsidRPr="009764EE">
              <w:t>id</w:t>
            </w:r>
            <w:r w:rsidRPr="009764EE">
              <w:t xml:space="preserve"> not lead to a formal qualification</w:t>
            </w:r>
            <w:r w:rsidR="00935B49" w:rsidRPr="005049F1">
              <w:rPr>
                <w:rStyle w:val="FootnoteReference"/>
              </w:rPr>
              <w:t>(</w:t>
            </w:r>
            <w:r w:rsidR="00A230F7" w:rsidRPr="005049F1">
              <w:rPr>
                <w:rStyle w:val="FootnoteReference"/>
              </w:rPr>
              <w:t>d</w:t>
            </w:r>
            <w:r w:rsidR="00935B49" w:rsidRPr="005049F1">
              <w:rPr>
                <w:rStyle w:val="FootnoteReference"/>
              </w:rPr>
              <w:t>)</w:t>
            </w:r>
          </w:p>
        </w:tc>
        <w:tc>
          <w:tcPr>
            <w:tcW w:w="2494" w:type="dxa"/>
          </w:tcPr>
          <w:p w14:paraId="48A798B8" w14:textId="4272EDFC" w:rsidR="00AE0245" w:rsidRPr="009764EE" w:rsidRDefault="00893FF5" w:rsidP="00E40212">
            <w:pPr>
              <w:pStyle w:val="TableTextLeft"/>
            </w:pPr>
            <w:r w:rsidRPr="009764EE">
              <w:t>A</w:t>
            </w:r>
            <w:r w:rsidR="002B0D61" w:rsidRPr="009764EE">
              <w:t xml:space="preserve">ccess to training </w:t>
            </w:r>
            <w:r w:rsidR="006D30A0" w:rsidRPr="009764EE">
              <w:t xml:space="preserve">and upskilling </w:t>
            </w:r>
            <w:r w:rsidR="00756A7C" w:rsidRPr="009764EE">
              <w:t>better enables people to</w:t>
            </w:r>
            <w:r w:rsidR="006D30A0" w:rsidRPr="009764EE">
              <w:t xml:space="preserve"> take advantage of emerging job opportunities throughout their working lives. </w:t>
            </w:r>
          </w:p>
          <w:p w14:paraId="232BD596" w14:textId="26A33D9E" w:rsidR="00AE0245" w:rsidRPr="009764EE" w:rsidRDefault="00AE0245" w:rsidP="00E40212">
            <w:pPr>
              <w:pStyle w:val="TableTextLeft"/>
            </w:pPr>
            <w:r w:rsidRPr="009764EE">
              <w:t>Measuring participation in study and training also helps estimate the future composition of skills and capabilities in the workforce</w:t>
            </w:r>
          </w:p>
        </w:tc>
        <w:tc>
          <w:tcPr>
            <w:tcW w:w="1418" w:type="dxa"/>
          </w:tcPr>
          <w:p w14:paraId="2562324E" w14:textId="78390923" w:rsidR="00AE0245" w:rsidRPr="009764EE" w:rsidRDefault="00212FF1" w:rsidP="000C1754">
            <w:pPr>
              <w:pStyle w:val="TableTextCentered"/>
              <w:rPr>
                <w:rFonts w:eastAsia="Century Gothic"/>
              </w:rPr>
            </w:pPr>
            <w:r w:rsidRPr="009764EE">
              <w:rPr>
                <w:rFonts w:eastAsia="Century Gothic"/>
              </w:rPr>
              <w:t>Deteriorated</w:t>
            </w:r>
          </w:p>
          <w:p w14:paraId="12C65D60" w14:textId="0178EBBD" w:rsidR="00AE0245" w:rsidRPr="000C1754" w:rsidRDefault="00C640C8" w:rsidP="000C1754">
            <w:pPr>
              <w:pStyle w:val="TableTextCentered"/>
              <w:rPr>
                <w:rFonts w:eastAsia="Century Gothic"/>
              </w:rPr>
            </w:pPr>
            <w:r w:rsidRPr="009764EE">
              <w:rPr>
                <w:rFonts w:eastAsia="Century Gothic"/>
              </w:rPr>
              <w:t>2013</w:t>
            </w:r>
            <w:r w:rsidR="00865E5E" w:rsidRPr="009764EE">
              <w:rPr>
                <w:rFonts w:eastAsia="Century Gothic"/>
              </w:rPr>
              <w:t xml:space="preserve"> to </w:t>
            </w:r>
            <w:r w:rsidRPr="009764EE">
              <w:rPr>
                <w:rFonts w:eastAsia="Century Gothic"/>
              </w:rPr>
              <w:t>202</w:t>
            </w:r>
            <w:r w:rsidR="009D0D62" w:rsidRPr="009764EE">
              <w:rPr>
                <w:rFonts w:eastAsia="Century Gothic"/>
              </w:rPr>
              <w:t>0</w:t>
            </w:r>
            <w:r w:rsidR="00151999">
              <w:rPr>
                <w:rFonts w:eastAsia="Century Gothic"/>
              </w:rPr>
              <w:t>–</w:t>
            </w:r>
            <w:r w:rsidR="00620078">
              <w:rPr>
                <w:rFonts w:eastAsia="Century Gothic"/>
              </w:rPr>
              <w:t>‍</w:t>
            </w:r>
            <w:r w:rsidRPr="009764EE">
              <w:rPr>
                <w:rFonts w:eastAsia="Century Gothic"/>
              </w:rPr>
              <w:t>21</w:t>
            </w:r>
          </w:p>
        </w:tc>
        <w:tc>
          <w:tcPr>
            <w:tcW w:w="1418" w:type="dxa"/>
          </w:tcPr>
          <w:p w14:paraId="5EF8D5E9" w14:textId="6A65A410" w:rsidR="00AE0245" w:rsidRPr="009764EE" w:rsidRDefault="00C640C8" w:rsidP="00E40212">
            <w:pPr>
              <w:pStyle w:val="TableTextCentered"/>
            </w:pPr>
            <w:r w:rsidRPr="009764EE">
              <w:t>42.1</w:t>
            </w:r>
            <w:r w:rsidR="00680AC0" w:rsidRPr="009764EE">
              <w:t>%</w:t>
            </w:r>
          </w:p>
        </w:tc>
      </w:tr>
      <w:tr w:rsidR="0046647C" w:rsidRPr="009764EE" w14:paraId="69BD1BA8" w14:textId="77777777" w:rsidTr="00043BA7">
        <w:trPr>
          <w:trHeight w:val="270"/>
        </w:trPr>
        <w:tc>
          <w:tcPr>
            <w:tcW w:w="1247" w:type="dxa"/>
          </w:tcPr>
          <w:p w14:paraId="07F9D29F" w14:textId="449D6F65" w:rsidR="0046647C" w:rsidRPr="005676C7" w:rsidRDefault="0046647C" w:rsidP="00E40212">
            <w:pPr>
              <w:pStyle w:val="TableTextLeft"/>
              <w:rPr>
                <w:rStyle w:val="Strong"/>
                <w:color w:val="082C44"/>
              </w:rPr>
            </w:pPr>
            <w:r w:rsidRPr="005676C7">
              <w:rPr>
                <w:rStyle w:val="Strong"/>
                <w:color w:val="082C44"/>
              </w:rPr>
              <w:t xml:space="preserve">Digital </w:t>
            </w:r>
            <w:r w:rsidR="000E773A" w:rsidRPr="005676C7">
              <w:rPr>
                <w:rStyle w:val="Strong"/>
                <w:color w:val="082C44"/>
              </w:rPr>
              <w:t>p</w:t>
            </w:r>
            <w:r w:rsidR="5D00192F" w:rsidRPr="005676C7">
              <w:rPr>
                <w:rStyle w:val="Strong"/>
                <w:color w:val="082C44"/>
              </w:rPr>
              <w:t>reparedness</w:t>
            </w:r>
          </w:p>
        </w:tc>
        <w:tc>
          <w:tcPr>
            <w:tcW w:w="2494" w:type="dxa"/>
          </w:tcPr>
          <w:p w14:paraId="1611CA1F" w14:textId="3E0961A2" w:rsidR="0046647C" w:rsidRPr="009764EE" w:rsidRDefault="0046647C" w:rsidP="00E40212">
            <w:pPr>
              <w:pStyle w:val="TableTextLeft"/>
              <w:rPr>
                <w:sz w:val="20"/>
                <w:szCs w:val="16"/>
              </w:rPr>
            </w:pPr>
            <w:r w:rsidRPr="005A7FEC">
              <w:rPr>
                <w:szCs w:val="14"/>
              </w:rPr>
              <w:t>An aggregate score of digital inclusion based on access, affordability and digital ability</w:t>
            </w:r>
            <w:r w:rsidRPr="005049F1">
              <w:rPr>
                <w:rStyle w:val="FootnoteReference"/>
              </w:rPr>
              <w:t>(</w:t>
            </w:r>
            <w:r w:rsidR="00A230F7" w:rsidRPr="005049F1">
              <w:rPr>
                <w:rStyle w:val="FootnoteReference"/>
              </w:rPr>
              <w:t>e</w:t>
            </w:r>
            <w:r w:rsidRPr="005049F1">
              <w:rPr>
                <w:rStyle w:val="FootnoteReference"/>
              </w:rPr>
              <w:t>)</w:t>
            </w:r>
          </w:p>
        </w:tc>
        <w:tc>
          <w:tcPr>
            <w:tcW w:w="2494" w:type="dxa"/>
          </w:tcPr>
          <w:p w14:paraId="4383CF1E" w14:textId="0DE545A0" w:rsidR="0046647C" w:rsidRPr="009764EE" w:rsidRDefault="006658E7" w:rsidP="00E40212">
            <w:pPr>
              <w:pStyle w:val="TableTextLeft"/>
            </w:pPr>
            <w:r w:rsidRPr="009764EE">
              <w:t xml:space="preserve">The </w:t>
            </w:r>
            <w:r w:rsidR="0046647C" w:rsidRPr="009764EE">
              <w:t>Digital Inclusion Index indicates access, affordability, digital ability and barriers to a sustainable and inclusive digitally connected society</w:t>
            </w:r>
          </w:p>
        </w:tc>
        <w:tc>
          <w:tcPr>
            <w:tcW w:w="1418" w:type="dxa"/>
          </w:tcPr>
          <w:p w14:paraId="47F33687" w14:textId="4CA4B85A" w:rsidR="0046647C" w:rsidRPr="009764EE" w:rsidRDefault="00752F88" w:rsidP="00E40212">
            <w:pPr>
              <w:pStyle w:val="TableTextCentered"/>
              <w:rPr>
                <w:rFonts w:eastAsia="Century Gothic"/>
              </w:rPr>
            </w:pPr>
            <w:r w:rsidRPr="009764EE">
              <w:rPr>
                <w:rFonts w:eastAsia="Century Gothic"/>
              </w:rPr>
              <w:t>Improved</w:t>
            </w:r>
          </w:p>
          <w:p w14:paraId="587FC071" w14:textId="7E98E322" w:rsidR="0046647C" w:rsidRPr="009764EE" w:rsidRDefault="0046647C" w:rsidP="00E40212">
            <w:pPr>
              <w:pStyle w:val="TableTextCentered"/>
              <w:rPr>
                <w:rFonts w:eastAsia="Century Gothic"/>
              </w:rPr>
            </w:pPr>
            <w:r w:rsidRPr="009764EE">
              <w:rPr>
                <w:rFonts w:eastAsia="Century Gothic"/>
              </w:rPr>
              <w:t>2020</w:t>
            </w:r>
            <w:r w:rsidR="0085043F">
              <w:rPr>
                <w:rFonts w:eastAsia="Century Gothic"/>
              </w:rPr>
              <w:t xml:space="preserve"> </w:t>
            </w:r>
            <w:r w:rsidR="00D04854">
              <w:rPr>
                <w:rFonts w:eastAsia="Century Gothic"/>
              </w:rPr>
              <w:t>to 202</w:t>
            </w:r>
            <w:r w:rsidR="00120B65">
              <w:rPr>
                <w:rFonts w:eastAsia="Century Gothic"/>
              </w:rPr>
              <w:t>3</w:t>
            </w:r>
          </w:p>
        </w:tc>
        <w:tc>
          <w:tcPr>
            <w:tcW w:w="1418" w:type="dxa"/>
          </w:tcPr>
          <w:p w14:paraId="3806A25E" w14:textId="543BFD04" w:rsidR="0046647C" w:rsidRPr="009764EE" w:rsidRDefault="0046647C" w:rsidP="00E40212">
            <w:pPr>
              <w:pStyle w:val="TableTextCentered"/>
            </w:pPr>
            <w:r w:rsidRPr="009764EE">
              <w:t>7</w:t>
            </w:r>
            <w:r w:rsidR="0031724F">
              <w:t>3</w:t>
            </w:r>
            <w:r w:rsidRPr="009764EE">
              <w:t xml:space="preserve"> out of 100 (with 100 being fully accessible)</w:t>
            </w:r>
          </w:p>
        </w:tc>
      </w:tr>
    </w:tbl>
    <w:p w14:paraId="625BB4D2" w14:textId="74D66DD0" w:rsidR="00794B93" w:rsidRPr="00561AD6" w:rsidRDefault="00794B93" w:rsidP="005049F1">
      <w:pPr>
        <w:pStyle w:val="ChartorTableNote"/>
      </w:pPr>
      <w:r w:rsidRPr="009764EE">
        <w:rPr>
          <w:szCs w:val="16"/>
        </w:rPr>
        <w:t>Source:</w:t>
      </w:r>
      <w:r w:rsidR="00926474">
        <w:rPr>
          <w:szCs w:val="16"/>
        </w:rPr>
        <w:tab/>
      </w:r>
      <w:r w:rsidRPr="009764EE">
        <w:t>(a)</w:t>
      </w:r>
      <w:r w:rsidR="001816E0" w:rsidRPr="009764EE">
        <w:t xml:space="preserve"> Department of Education</w:t>
      </w:r>
      <w:r w:rsidRPr="009764EE">
        <w:t xml:space="preserve"> </w:t>
      </w:r>
      <w:r w:rsidR="001816E0" w:rsidRPr="009764EE">
        <w:t>Australian Early Development Census</w:t>
      </w:r>
      <w:r w:rsidRPr="009764EE">
        <w:t xml:space="preserve"> </w:t>
      </w:r>
      <w:r w:rsidR="00561AD6">
        <w:br/>
      </w:r>
      <w:r w:rsidRPr="009764EE">
        <w:t xml:space="preserve">(b) </w:t>
      </w:r>
      <w:r w:rsidR="00A00D08">
        <w:t>Australian Curriculum Assessment and Report</w:t>
      </w:r>
      <w:r w:rsidR="007F2419" w:rsidRPr="009764EE" w:rsidDel="007F2419">
        <w:t xml:space="preserve"> </w:t>
      </w:r>
      <w:r w:rsidR="00561AD6">
        <w:br/>
      </w:r>
      <w:r w:rsidR="00284308" w:rsidRPr="009764EE">
        <w:t xml:space="preserve">(c) </w:t>
      </w:r>
      <w:r w:rsidR="00892677" w:rsidRPr="009764EE">
        <w:t xml:space="preserve">ABS </w:t>
      </w:r>
      <w:r w:rsidR="00892677" w:rsidRPr="005049F1">
        <w:t>Survey</w:t>
      </w:r>
      <w:r w:rsidR="00892677" w:rsidRPr="009764EE">
        <w:t xml:space="preserve"> of Education and Work</w:t>
      </w:r>
      <w:r w:rsidR="00ED3290" w:rsidRPr="009764EE">
        <w:t xml:space="preserve"> </w:t>
      </w:r>
      <w:r w:rsidR="00561AD6">
        <w:br/>
      </w:r>
      <w:r w:rsidR="00A230F7" w:rsidRPr="009764EE">
        <w:t xml:space="preserve">(d) ABS </w:t>
      </w:r>
      <w:r w:rsidR="001B3B6D" w:rsidRPr="009764EE">
        <w:t>Work</w:t>
      </w:r>
      <w:r w:rsidR="00135DEA">
        <w:noBreakHyphen/>
      </w:r>
      <w:r w:rsidR="001B3B6D" w:rsidRPr="009764EE">
        <w:t>Related Training and Adult Learning</w:t>
      </w:r>
      <w:r w:rsidR="00A230F7" w:rsidRPr="009764EE">
        <w:t xml:space="preserve"> </w:t>
      </w:r>
      <w:r w:rsidR="00561AD6">
        <w:br/>
      </w:r>
      <w:r w:rsidR="00ED3290" w:rsidRPr="009764EE">
        <w:t>(</w:t>
      </w:r>
      <w:r w:rsidR="00A230F7" w:rsidRPr="009764EE">
        <w:t>e</w:t>
      </w:r>
      <w:r w:rsidR="00ED3290" w:rsidRPr="009764EE">
        <w:t>) RMIT</w:t>
      </w:r>
      <w:r w:rsidR="00A640C6" w:rsidRPr="009764EE">
        <w:t xml:space="preserve"> </w:t>
      </w:r>
      <w:r w:rsidR="00ED3290" w:rsidRPr="009764EE">
        <w:t>Swinburne University of Technology and Telstra, Australian Digital Inclusion Index</w:t>
      </w:r>
      <w:r w:rsidR="005411A5" w:rsidRPr="009764EE">
        <w:t xml:space="preserve"> </w:t>
      </w:r>
    </w:p>
    <w:p w14:paraId="17C59952" w14:textId="77777777" w:rsidR="00F82B4A" w:rsidRDefault="00AC74B2" w:rsidP="00926474">
      <w:pPr>
        <w:pStyle w:val="ChartorTableNote"/>
      </w:pPr>
      <w:r w:rsidRPr="009764EE">
        <w:t>N</w:t>
      </w:r>
      <w:r w:rsidR="00F82B4A" w:rsidRPr="009764EE">
        <w:t>ote:</w:t>
      </w:r>
      <w:r w:rsidR="00561AD6">
        <w:tab/>
      </w:r>
      <w:r w:rsidR="00160FD1" w:rsidRPr="005049F1">
        <w:t xml:space="preserve">(i) </w:t>
      </w:r>
      <w:r w:rsidR="00F82B4A" w:rsidRPr="005049F1">
        <w:t>Unless</w:t>
      </w:r>
      <w:r w:rsidR="00F82B4A" w:rsidRPr="009764EE">
        <w:t xml:space="preserve"> specified the latest value is the last data point in the </w:t>
      </w:r>
      <w:r w:rsidR="00700883">
        <w:t>series</w:t>
      </w:r>
    </w:p>
    <w:p w14:paraId="62B79889" w14:textId="77777777" w:rsidR="00084FD2" w:rsidRDefault="00084FD2" w:rsidP="00084FD2"/>
    <w:p w14:paraId="66106EB1" w14:textId="4A66BEEE" w:rsidR="00084FD2" w:rsidRPr="00084FD2" w:rsidRDefault="00084FD2" w:rsidP="00084FD2">
      <w:pPr>
        <w:sectPr w:rsidR="00084FD2" w:rsidRPr="00084FD2" w:rsidSect="00DA302B">
          <w:endnotePr>
            <w:numFmt w:val="decimal"/>
          </w:endnotePr>
          <w:type w:val="continuous"/>
          <w:pgSz w:w="11906" w:h="16838" w:code="9"/>
          <w:pgMar w:top="1843" w:right="1418" w:bottom="1418" w:left="1418" w:header="851" w:footer="851" w:gutter="0"/>
          <w:cols w:space="567"/>
          <w:docGrid w:linePitch="360"/>
        </w:sectPr>
      </w:pPr>
    </w:p>
    <w:p w14:paraId="43516635" w14:textId="777EEE08" w:rsidR="008E7293" w:rsidRPr="009764EE" w:rsidRDefault="008E7293" w:rsidP="00561AD6">
      <w:r w:rsidRPr="009764EE">
        <w:t xml:space="preserve">Education and training </w:t>
      </w:r>
      <w:r w:rsidR="00812725" w:rsidRPr="009764EE">
        <w:t xml:space="preserve">creates </w:t>
      </w:r>
      <w:r w:rsidR="00791C22" w:rsidRPr="009764EE">
        <w:t xml:space="preserve">opportunity for </w:t>
      </w:r>
      <w:r w:rsidR="005C4E10">
        <w:t>Australians</w:t>
      </w:r>
      <w:r w:rsidR="00791C22" w:rsidRPr="009764EE">
        <w:t>, enables the</w:t>
      </w:r>
      <w:r w:rsidR="00812725" w:rsidRPr="009764EE">
        <w:t xml:space="preserve">m to make a full contribution to the community, </w:t>
      </w:r>
      <w:r w:rsidR="000D307B" w:rsidRPr="009764EE">
        <w:t>and</w:t>
      </w:r>
      <w:r w:rsidR="00791C22" w:rsidRPr="009764EE">
        <w:t xml:space="preserve"> underpin</w:t>
      </w:r>
      <w:r w:rsidR="00812725" w:rsidRPr="009764EE">
        <w:t>s</w:t>
      </w:r>
      <w:r w:rsidR="00791C22" w:rsidRPr="009764EE">
        <w:t xml:space="preserve"> the development of aspiration and purpose. </w:t>
      </w:r>
    </w:p>
    <w:p w14:paraId="37B5760C" w14:textId="3F902976" w:rsidR="00701F4E" w:rsidRPr="009764EE" w:rsidRDefault="00BF3921" w:rsidP="00561AD6">
      <w:r w:rsidRPr="009764EE">
        <w:t>The f</w:t>
      </w:r>
      <w:r w:rsidR="007E09F4" w:rsidRPr="009764EE">
        <w:t>ive</w:t>
      </w:r>
      <w:r w:rsidR="00701F4E" w:rsidRPr="009764EE">
        <w:t xml:space="preserve"> determinants </w:t>
      </w:r>
      <w:r w:rsidR="008E6F2F" w:rsidRPr="009764EE">
        <w:t>of access to education map to various stages of a person</w:t>
      </w:r>
      <w:r w:rsidR="00135DEA">
        <w:t>’</w:t>
      </w:r>
      <w:r w:rsidR="008E6F2F" w:rsidRPr="009764EE">
        <w:t>s life: childhood development,</w:t>
      </w:r>
      <w:r w:rsidR="00925FE3" w:rsidRPr="009764EE">
        <w:t xml:space="preserve"> </w:t>
      </w:r>
      <w:r w:rsidRPr="009764EE">
        <w:t xml:space="preserve">foundational </w:t>
      </w:r>
      <w:r w:rsidR="00925FE3" w:rsidRPr="009764EE">
        <w:t>skills</w:t>
      </w:r>
      <w:r w:rsidR="006A2C9A" w:rsidRPr="009764EE">
        <w:t xml:space="preserve"> including literacy and numeracy</w:t>
      </w:r>
      <w:r w:rsidR="002F2F8E" w:rsidRPr="009764EE">
        <w:t>,</w:t>
      </w:r>
      <w:r w:rsidR="008E6F2F" w:rsidRPr="009764EE">
        <w:t xml:space="preserve"> education </w:t>
      </w:r>
      <w:r w:rsidR="006425AC" w:rsidRPr="009764EE">
        <w:t>attainment</w:t>
      </w:r>
      <w:r w:rsidR="006448BE" w:rsidRPr="009764EE">
        <w:t>,</w:t>
      </w:r>
      <w:r w:rsidR="008E6F2F" w:rsidRPr="009764EE">
        <w:t xml:space="preserve"> skills development</w:t>
      </w:r>
      <w:r w:rsidR="00F1033A" w:rsidRPr="009764EE">
        <w:t>,</w:t>
      </w:r>
      <w:r w:rsidR="007E09F4" w:rsidRPr="009764EE">
        <w:t xml:space="preserve"> </w:t>
      </w:r>
      <w:r w:rsidR="00375813" w:rsidRPr="009764EE">
        <w:t xml:space="preserve">and </w:t>
      </w:r>
      <w:r w:rsidR="00FD3280" w:rsidRPr="009764EE">
        <w:t>access to</w:t>
      </w:r>
      <w:r w:rsidR="006448BE" w:rsidRPr="009764EE">
        <w:t xml:space="preserve"> </w:t>
      </w:r>
      <w:r w:rsidR="00FC035A" w:rsidRPr="009764EE">
        <w:t xml:space="preserve">digital </w:t>
      </w:r>
      <w:r w:rsidR="006448BE" w:rsidRPr="009764EE">
        <w:t>t</w:t>
      </w:r>
      <w:r w:rsidR="00FD3280" w:rsidRPr="009764EE">
        <w:t>echnology</w:t>
      </w:r>
      <w:r w:rsidR="006448BE" w:rsidRPr="009764EE">
        <w:t xml:space="preserve"> </w:t>
      </w:r>
      <w:r w:rsidR="00375813" w:rsidRPr="009764EE">
        <w:t>(</w:t>
      </w:r>
      <w:r w:rsidR="00C107F0" w:rsidRPr="009764EE">
        <w:t>crucial for</w:t>
      </w:r>
      <w:r w:rsidR="00FA4CC6" w:rsidRPr="009764EE">
        <w:t xml:space="preserve"> </w:t>
      </w:r>
      <w:r w:rsidR="00FC035A" w:rsidRPr="009764EE">
        <w:t>learning</w:t>
      </w:r>
      <w:r w:rsidR="00FA4CC6" w:rsidRPr="009764EE">
        <w:t xml:space="preserve"> and </w:t>
      </w:r>
      <w:r w:rsidR="001B4DAF">
        <w:t xml:space="preserve">the </w:t>
      </w:r>
      <w:r w:rsidR="00FC035A" w:rsidRPr="009764EE">
        <w:t>future of work</w:t>
      </w:r>
      <w:r w:rsidR="00375813" w:rsidRPr="009764EE">
        <w:t>)</w:t>
      </w:r>
      <w:r w:rsidR="00FC035A" w:rsidRPr="009764EE">
        <w:t xml:space="preserve">. </w:t>
      </w:r>
    </w:p>
    <w:p w14:paraId="149FE51E" w14:textId="0E9A0909" w:rsidR="00AE0245" w:rsidRPr="009764EE" w:rsidRDefault="008E6F2F" w:rsidP="00561AD6">
      <w:r w:rsidRPr="009764EE">
        <w:t xml:space="preserve">The following metrics are intended to help us track our progress </w:t>
      </w:r>
      <w:r w:rsidR="00730E52" w:rsidRPr="009764EE">
        <w:t>against these indicators</w:t>
      </w:r>
      <w:r w:rsidR="0001609D" w:rsidRPr="009764EE">
        <w:t>.</w:t>
      </w:r>
    </w:p>
    <w:p w14:paraId="1A159459" w14:textId="6B8362E4" w:rsidR="00AB06E2" w:rsidRPr="009764EE" w:rsidRDefault="00AB06E2" w:rsidP="00B50CF7">
      <w:pPr>
        <w:pStyle w:val="Heading3"/>
        <w:rPr>
          <w:rFonts w:cs="Calibri"/>
          <w:szCs w:val="24"/>
        </w:rPr>
      </w:pPr>
      <w:r w:rsidRPr="009764EE">
        <w:rPr>
          <w:rFonts w:cs="Calibri"/>
        </w:rPr>
        <w:lastRenderedPageBreak/>
        <w:t>Childhood development </w:t>
      </w:r>
    </w:p>
    <w:p w14:paraId="48E8E017" w14:textId="7A4A8211" w:rsidR="00AB06E2" w:rsidRPr="009764EE" w:rsidRDefault="00AB06E2" w:rsidP="00561AD6">
      <w:r w:rsidRPr="009764EE">
        <w:t>Early childhood development sets the stage for future health, wellbeing and prosperity</w:t>
      </w:r>
      <w:r w:rsidR="00266B11" w:rsidRPr="009764EE">
        <w:t>.</w:t>
      </w:r>
    </w:p>
    <w:p w14:paraId="28E9B051" w14:textId="5DD94819" w:rsidR="00AB06E2" w:rsidRPr="00043BA7" w:rsidRDefault="00AB06E2" w:rsidP="00561AD6">
      <w:pPr>
        <w:rPr>
          <w:spacing w:val="-3"/>
        </w:rPr>
      </w:pPr>
      <w:r w:rsidRPr="00043BA7">
        <w:rPr>
          <w:spacing w:val="-3"/>
        </w:rPr>
        <w:t xml:space="preserve">The 2021 Australian Early Development Census indicated that the majority of children were </w:t>
      </w:r>
      <w:r w:rsidR="00135DEA" w:rsidRPr="00043BA7">
        <w:rPr>
          <w:spacing w:val="-3"/>
        </w:rPr>
        <w:t>‘</w:t>
      </w:r>
      <w:r w:rsidRPr="00043BA7">
        <w:rPr>
          <w:spacing w:val="-3"/>
        </w:rPr>
        <w:t>on track</w:t>
      </w:r>
      <w:r w:rsidR="00135DEA" w:rsidRPr="00043BA7">
        <w:rPr>
          <w:spacing w:val="-3"/>
        </w:rPr>
        <w:t>’</w:t>
      </w:r>
      <w:r w:rsidRPr="00043BA7">
        <w:rPr>
          <w:spacing w:val="-3"/>
        </w:rPr>
        <w:t xml:space="preserve"> in all five domains of physical health and wellbeing, social competence, emotional maturity, language and cognitive skills, and communication skills and general knowledge.</w:t>
      </w:r>
    </w:p>
    <w:p w14:paraId="338F7C5E" w14:textId="7836EB30" w:rsidR="007D45A7" w:rsidRPr="00672509" w:rsidRDefault="00FC531D" w:rsidP="00561AD6">
      <w:pPr>
        <w:rPr>
          <w:spacing w:val="-2"/>
        </w:rPr>
      </w:pPr>
      <w:r w:rsidRPr="00672509">
        <w:rPr>
          <w:spacing w:val="-2"/>
        </w:rPr>
        <w:t>In 2021, t</w:t>
      </w:r>
      <w:r w:rsidR="00AB06E2" w:rsidRPr="00672509">
        <w:rPr>
          <w:spacing w:val="-2"/>
        </w:rPr>
        <w:t>here was a slight decline in this figure for the first time since 200</w:t>
      </w:r>
      <w:r w:rsidR="00217F1C" w:rsidRPr="00672509">
        <w:rPr>
          <w:spacing w:val="-2"/>
        </w:rPr>
        <w:t>9</w:t>
      </w:r>
      <w:r w:rsidR="001524A0" w:rsidRPr="00672509">
        <w:rPr>
          <w:spacing w:val="-2"/>
        </w:rPr>
        <w:t xml:space="preserve"> – </w:t>
      </w:r>
      <w:r w:rsidR="00AB06E2" w:rsidRPr="00672509">
        <w:rPr>
          <w:spacing w:val="-2"/>
        </w:rPr>
        <w:t>from 55.4</w:t>
      </w:r>
      <w:r w:rsidR="001524A0" w:rsidRPr="00672509">
        <w:rPr>
          <w:spacing w:val="-2"/>
        </w:rPr>
        <w:t> per c</w:t>
      </w:r>
      <w:r w:rsidR="00AB06E2" w:rsidRPr="00672509">
        <w:rPr>
          <w:spacing w:val="-2"/>
        </w:rPr>
        <w:t>ent in 2018 to 54.8</w:t>
      </w:r>
      <w:r w:rsidR="001524A0" w:rsidRPr="00672509">
        <w:rPr>
          <w:spacing w:val="-2"/>
        </w:rPr>
        <w:t> per c</w:t>
      </w:r>
      <w:r w:rsidR="00AB06E2" w:rsidRPr="00672509">
        <w:rPr>
          <w:spacing w:val="-2"/>
        </w:rPr>
        <w:t>ent</w:t>
      </w:r>
      <w:r w:rsidR="008B037B" w:rsidRPr="00672509">
        <w:rPr>
          <w:spacing w:val="-2"/>
        </w:rPr>
        <w:t xml:space="preserve">. </w:t>
      </w:r>
      <w:r w:rsidR="00A74A22" w:rsidRPr="00672509">
        <w:rPr>
          <w:spacing w:val="-2"/>
        </w:rPr>
        <w:t>This was most likely due to</w:t>
      </w:r>
      <w:r w:rsidR="00AB06E2" w:rsidRPr="00672509">
        <w:rPr>
          <w:spacing w:val="-2"/>
        </w:rPr>
        <w:t xml:space="preserve"> the impact of COVID</w:t>
      </w:r>
      <w:r w:rsidR="00135DEA" w:rsidRPr="00672509">
        <w:rPr>
          <w:spacing w:val="-2"/>
        </w:rPr>
        <w:noBreakHyphen/>
      </w:r>
      <w:r w:rsidR="00AB06E2" w:rsidRPr="00672509">
        <w:rPr>
          <w:spacing w:val="-2"/>
        </w:rPr>
        <w:t>19</w:t>
      </w:r>
      <w:r w:rsidR="00135DEA" w:rsidRPr="00672509">
        <w:rPr>
          <w:spacing w:val="-2"/>
        </w:rPr>
        <w:noBreakHyphen/>
      </w:r>
      <w:r w:rsidR="00AB06E2" w:rsidRPr="00672509">
        <w:rPr>
          <w:spacing w:val="-2"/>
        </w:rPr>
        <w:t>related disruptions on early childhood development.</w:t>
      </w:r>
      <w:r w:rsidR="00AB06E2" w:rsidRPr="00672509">
        <w:rPr>
          <w:rStyle w:val="FootnoteReference"/>
          <w:rFonts w:ascii="Calibri Light" w:hAnsi="Calibri Light"/>
          <w:spacing w:val="-2"/>
        </w:rPr>
        <w:endnoteReference w:id="71"/>
      </w:r>
      <w:r w:rsidR="00AB06E2" w:rsidRPr="00672509">
        <w:rPr>
          <w:spacing w:val="-2"/>
        </w:rPr>
        <w:t xml:space="preserve"> This decline was more pronounced for groups already experiencing disadvantage, revealing how experiences of entrenched disadvantage may have been exacerbated or compounded by COVID</w:t>
      </w:r>
      <w:r w:rsidR="00135DEA" w:rsidRPr="00672509">
        <w:rPr>
          <w:spacing w:val="-2"/>
        </w:rPr>
        <w:noBreakHyphen/>
      </w:r>
      <w:r w:rsidR="00AB06E2" w:rsidRPr="00672509">
        <w:rPr>
          <w:spacing w:val="-2"/>
        </w:rPr>
        <w:t xml:space="preserve">19 disruptions. </w:t>
      </w:r>
    </w:p>
    <w:p w14:paraId="45549363" w14:textId="111877D0" w:rsidR="00FC0F57" w:rsidRPr="00672509" w:rsidRDefault="002F0A3B" w:rsidP="00672509">
      <w:pPr>
        <w:pStyle w:val="Heading3"/>
        <w:rPr>
          <w:szCs w:val="28"/>
        </w:rPr>
      </w:pPr>
      <w:r w:rsidRPr="00672509">
        <w:t xml:space="preserve">Literary and numeracy </w:t>
      </w:r>
      <w:r w:rsidR="00FC0F57" w:rsidRPr="00672509">
        <w:t>skills</w:t>
      </w:r>
      <w:r w:rsidR="001B4DAF" w:rsidRPr="00672509">
        <w:t xml:space="preserve"> at school </w:t>
      </w:r>
    </w:p>
    <w:p w14:paraId="58A71741" w14:textId="1EA050BC" w:rsidR="00FC0F57" w:rsidRPr="00043BA7" w:rsidRDefault="00EA10D3" w:rsidP="00561AD6">
      <w:pPr>
        <w:rPr>
          <w:spacing w:val="-2"/>
        </w:rPr>
      </w:pPr>
      <w:r w:rsidRPr="00043BA7">
        <w:rPr>
          <w:spacing w:val="-2"/>
        </w:rPr>
        <w:t>Lan</w:t>
      </w:r>
      <w:r w:rsidR="0072742F" w:rsidRPr="00043BA7">
        <w:rPr>
          <w:spacing w:val="-2"/>
        </w:rPr>
        <w:t>guage, l</w:t>
      </w:r>
      <w:r w:rsidR="00FC0F57" w:rsidRPr="00043BA7">
        <w:rPr>
          <w:spacing w:val="-2"/>
        </w:rPr>
        <w:t>iteracy, numeracy and digital skills</w:t>
      </w:r>
      <w:r w:rsidR="008058C8" w:rsidRPr="00043BA7">
        <w:rPr>
          <w:spacing w:val="-2"/>
        </w:rPr>
        <w:t>,</w:t>
      </w:r>
      <w:r w:rsidR="00FC0F57" w:rsidRPr="00043BA7">
        <w:rPr>
          <w:spacing w:val="-2"/>
        </w:rPr>
        <w:t xml:space="preserve"> as well as general skills like organising, problem solving and teamwork</w:t>
      </w:r>
      <w:r w:rsidR="008058C8" w:rsidRPr="00043BA7">
        <w:rPr>
          <w:spacing w:val="-2"/>
        </w:rPr>
        <w:t>,</w:t>
      </w:r>
      <w:r w:rsidR="00FC0F57" w:rsidRPr="00043BA7">
        <w:rPr>
          <w:spacing w:val="-2"/>
        </w:rPr>
        <w:t xml:space="preserve"> are critical to participating in all aspects of life and are required to engage in work and further learning. </w:t>
      </w:r>
    </w:p>
    <w:p w14:paraId="1D33EDBC" w14:textId="4FDEDCE7" w:rsidR="00FC0F57" w:rsidRPr="008854C6" w:rsidRDefault="00FC0F57" w:rsidP="00561AD6">
      <w:pPr>
        <w:rPr>
          <w:spacing w:val="-2"/>
        </w:rPr>
      </w:pPr>
      <w:r w:rsidRPr="008854C6">
        <w:rPr>
          <w:spacing w:val="-2"/>
        </w:rPr>
        <w:t xml:space="preserve">Attainment of </w:t>
      </w:r>
      <w:r w:rsidR="00F35B1C" w:rsidRPr="008854C6">
        <w:rPr>
          <w:spacing w:val="-2"/>
        </w:rPr>
        <w:t>these</w:t>
      </w:r>
      <w:r w:rsidRPr="008854C6">
        <w:rPr>
          <w:spacing w:val="-2"/>
        </w:rPr>
        <w:t xml:space="preserve"> </w:t>
      </w:r>
      <w:r w:rsidR="0027478F" w:rsidRPr="008854C6">
        <w:rPr>
          <w:spacing w:val="-2"/>
        </w:rPr>
        <w:t xml:space="preserve">foundation </w:t>
      </w:r>
      <w:r w:rsidRPr="008854C6">
        <w:rPr>
          <w:spacing w:val="-2"/>
        </w:rPr>
        <w:t xml:space="preserve">skills is uneven across our population. </w:t>
      </w:r>
      <w:r w:rsidR="00AF0819" w:rsidRPr="008854C6">
        <w:rPr>
          <w:spacing w:val="-2"/>
        </w:rPr>
        <w:t xml:space="preserve">OECD data from 2012 suggest </w:t>
      </w:r>
      <w:r w:rsidR="00B45051" w:rsidRPr="008854C6">
        <w:rPr>
          <w:spacing w:val="-2"/>
        </w:rPr>
        <w:t xml:space="preserve">that </w:t>
      </w:r>
      <w:r w:rsidR="00AF0819" w:rsidRPr="008854C6">
        <w:rPr>
          <w:spacing w:val="-2"/>
        </w:rPr>
        <w:t>a</w:t>
      </w:r>
      <w:r w:rsidRPr="008854C6">
        <w:rPr>
          <w:spacing w:val="-2"/>
        </w:rPr>
        <w:t>round one</w:t>
      </w:r>
      <w:r w:rsidR="00135DEA" w:rsidRPr="008854C6">
        <w:rPr>
          <w:spacing w:val="-2"/>
        </w:rPr>
        <w:noBreakHyphen/>
      </w:r>
      <w:r w:rsidRPr="008854C6">
        <w:rPr>
          <w:spacing w:val="-2"/>
        </w:rPr>
        <w:t xml:space="preserve">fifth of </w:t>
      </w:r>
      <w:r w:rsidR="00F932B5" w:rsidRPr="008854C6">
        <w:rPr>
          <w:spacing w:val="-2"/>
        </w:rPr>
        <w:t xml:space="preserve">adult </w:t>
      </w:r>
      <w:r w:rsidRPr="008854C6">
        <w:rPr>
          <w:spacing w:val="-2"/>
        </w:rPr>
        <w:t>Australians have low literacy and/or numeracy skills</w:t>
      </w:r>
      <w:r w:rsidR="008F4AB8" w:rsidRPr="008854C6">
        <w:rPr>
          <w:spacing w:val="-2"/>
        </w:rPr>
        <w:t xml:space="preserve"> </w:t>
      </w:r>
      <w:r w:rsidR="00E90FE6" w:rsidRPr="008854C6">
        <w:rPr>
          <w:spacing w:val="-2"/>
        </w:rPr>
        <w:t>and</w:t>
      </w:r>
      <w:r w:rsidR="005541D0" w:rsidRPr="008854C6">
        <w:rPr>
          <w:spacing w:val="-2"/>
        </w:rPr>
        <w:t xml:space="preserve"> </w:t>
      </w:r>
      <w:r w:rsidRPr="008854C6">
        <w:rPr>
          <w:spacing w:val="-2"/>
        </w:rPr>
        <w:t xml:space="preserve">are </w:t>
      </w:r>
      <w:r w:rsidR="008854C6">
        <w:rPr>
          <w:spacing w:val="-2"/>
        </w:rPr>
        <w:br w:type="column"/>
      </w:r>
      <w:r w:rsidRPr="008854C6">
        <w:rPr>
          <w:spacing w:val="-2"/>
        </w:rPr>
        <w:t>more likely to come from disadvantaged backgrounds</w:t>
      </w:r>
      <w:r w:rsidR="005541D0" w:rsidRPr="008854C6">
        <w:rPr>
          <w:spacing w:val="-2"/>
        </w:rPr>
        <w:t>, and older age groups</w:t>
      </w:r>
      <w:r w:rsidR="00B97FEE" w:rsidRPr="008854C6">
        <w:rPr>
          <w:spacing w:val="-2"/>
        </w:rPr>
        <w:t>.</w:t>
      </w:r>
      <w:r w:rsidR="00925396" w:rsidRPr="008854C6">
        <w:rPr>
          <w:spacing w:val="-2"/>
        </w:rPr>
        <w:t xml:space="preserve"> </w:t>
      </w:r>
      <w:r w:rsidR="00515D55" w:rsidRPr="008854C6">
        <w:rPr>
          <w:spacing w:val="-2"/>
        </w:rPr>
        <w:t xml:space="preserve">A more contemporary </w:t>
      </w:r>
      <w:r w:rsidR="00A66274" w:rsidRPr="008854C6">
        <w:rPr>
          <w:spacing w:val="-2"/>
        </w:rPr>
        <w:t>assessment of</w:t>
      </w:r>
      <w:r w:rsidR="00515D55" w:rsidRPr="008854C6">
        <w:rPr>
          <w:spacing w:val="-2"/>
        </w:rPr>
        <w:t xml:space="preserve"> adult foundation skills</w:t>
      </w:r>
      <w:r w:rsidR="00A66274" w:rsidRPr="008854C6">
        <w:rPr>
          <w:spacing w:val="-2"/>
        </w:rPr>
        <w:t xml:space="preserve"> </w:t>
      </w:r>
      <w:r w:rsidR="00515D55" w:rsidRPr="008854C6">
        <w:rPr>
          <w:spacing w:val="-2"/>
        </w:rPr>
        <w:t xml:space="preserve">is </w:t>
      </w:r>
      <w:r w:rsidR="00A66274" w:rsidRPr="008854C6">
        <w:rPr>
          <w:spacing w:val="-2"/>
        </w:rPr>
        <w:t>being develop</w:t>
      </w:r>
      <w:r w:rsidR="00EF1941" w:rsidRPr="008854C6">
        <w:rPr>
          <w:spacing w:val="-2"/>
        </w:rPr>
        <w:t>ed</w:t>
      </w:r>
      <w:r w:rsidR="00AF0819" w:rsidRPr="008854C6">
        <w:rPr>
          <w:spacing w:val="-2"/>
        </w:rPr>
        <w:t xml:space="preserve"> </w:t>
      </w:r>
      <w:r w:rsidR="000628DB" w:rsidRPr="008854C6">
        <w:rPr>
          <w:spacing w:val="-2"/>
        </w:rPr>
        <w:t>by Jobs and Skills Australia</w:t>
      </w:r>
      <w:r w:rsidR="00307CB1" w:rsidRPr="008854C6">
        <w:rPr>
          <w:spacing w:val="-2"/>
        </w:rPr>
        <w:t>.</w:t>
      </w:r>
    </w:p>
    <w:p w14:paraId="461B61F2" w14:textId="23FA93E9" w:rsidR="008363EC" w:rsidRPr="009764EE" w:rsidRDefault="00553788" w:rsidP="00561AD6">
      <w:pPr>
        <w:rPr>
          <w:rFonts w:eastAsia="Calibri Light"/>
        </w:rPr>
      </w:pPr>
      <w:r w:rsidRPr="009764EE">
        <w:t>L</w:t>
      </w:r>
      <w:r w:rsidR="00F35B1C" w:rsidRPr="009764EE">
        <w:t>iteracy and numeracy</w:t>
      </w:r>
      <w:r w:rsidR="00FC0F57" w:rsidRPr="009764EE">
        <w:t xml:space="preserve"> skills among young Australians are improving. Average NAPLAN Year 3 scores have increased across all domains since NAPLAN started in 2008. </w:t>
      </w:r>
      <w:r w:rsidR="008363EC" w:rsidRPr="009764EE">
        <w:rPr>
          <w:rFonts w:eastAsia="Calibri Light"/>
          <w:szCs w:val="22"/>
          <w:lang w:eastAsia="en-US"/>
        </w:rPr>
        <w:t>There have been statistically significant improvements in most domains for Year 3 and Year 5 students, although performance at Year 7 and Year 9 has been more varied. Numeracy, reading and writing mean performance for all students has remained largely stable nationally, but there is a growing gap for disadvantaged students.</w:t>
      </w:r>
    </w:p>
    <w:p w14:paraId="54F1761E" w14:textId="13F51BA6" w:rsidR="000219E6" w:rsidRDefault="000219E6" w:rsidP="00561AD6">
      <w:r w:rsidRPr="009764EE">
        <w:t xml:space="preserve">While Australia was once a top performer across the OECD </w:t>
      </w:r>
      <w:r w:rsidR="00EE648C" w:rsidRPr="009764EE">
        <w:t>Programme for International Student Assessment</w:t>
      </w:r>
      <w:r w:rsidRPr="009764EE">
        <w:t xml:space="preserve"> rankings, the performance of </w:t>
      </w:r>
      <w:r w:rsidR="00F47B34" w:rsidRPr="009764EE" w:rsidDel="00F8040C">
        <w:t>15</w:t>
      </w:r>
      <w:r w:rsidR="00135DEA">
        <w:noBreakHyphen/>
      </w:r>
      <w:r w:rsidR="00F47B34" w:rsidRPr="009764EE" w:rsidDel="00F8040C">
        <w:t>year</w:t>
      </w:r>
      <w:r w:rsidR="00135DEA">
        <w:noBreakHyphen/>
      </w:r>
      <w:r w:rsidR="00F8040C" w:rsidRPr="009764EE">
        <w:t>olds</w:t>
      </w:r>
      <w:r w:rsidR="00F47B34" w:rsidRPr="009764EE">
        <w:t xml:space="preserve"> </w:t>
      </w:r>
      <w:r w:rsidRPr="009764EE">
        <w:t>in science, reading and maths ha</w:t>
      </w:r>
      <w:r w:rsidR="00DE5E55" w:rsidRPr="009764EE">
        <w:t>s</w:t>
      </w:r>
      <w:r w:rsidRPr="009764EE">
        <w:t xml:space="preserve"> slipped compared with other OECD countries. This may partly reflect an increased share of </w:t>
      </w:r>
      <w:r w:rsidR="004D10BA" w:rsidRPr="009764EE">
        <w:t>15</w:t>
      </w:r>
      <w:r w:rsidR="00135DEA">
        <w:noBreakHyphen/>
      </w:r>
      <w:r w:rsidR="004D10BA" w:rsidRPr="009764EE">
        <w:t>year</w:t>
      </w:r>
      <w:r w:rsidR="00135DEA">
        <w:noBreakHyphen/>
      </w:r>
      <w:r w:rsidR="004D10BA" w:rsidRPr="009764EE">
        <w:t>olds</w:t>
      </w:r>
      <w:r w:rsidRPr="009764EE">
        <w:t xml:space="preserve"> in Australia being in low</w:t>
      </w:r>
      <w:r w:rsidR="00992C90" w:rsidRPr="009764EE">
        <w:t>er</w:t>
      </w:r>
      <w:r w:rsidRPr="009764EE">
        <w:t xml:space="preserve"> grade levels</w:t>
      </w:r>
      <w:r w:rsidR="007024CC" w:rsidRPr="009764EE">
        <w:t xml:space="preserve"> </w:t>
      </w:r>
      <w:r w:rsidR="00F47B34" w:rsidRPr="009764EE">
        <w:t>(that is</w:t>
      </w:r>
      <w:r w:rsidR="00992C90" w:rsidRPr="009764EE">
        <w:t>,</w:t>
      </w:r>
      <w:r w:rsidR="00F47B34" w:rsidRPr="009764EE">
        <w:t xml:space="preserve"> one less year of schooling</w:t>
      </w:r>
      <w:r w:rsidR="00103F02" w:rsidRPr="009764EE">
        <w:t>)</w:t>
      </w:r>
      <w:r w:rsidR="00F47B34" w:rsidRPr="009764EE">
        <w:t xml:space="preserve"> </w:t>
      </w:r>
      <w:r w:rsidR="007024CC" w:rsidRPr="009764EE">
        <w:t xml:space="preserve">compared with </w:t>
      </w:r>
      <w:r w:rsidR="001F3D2A" w:rsidRPr="009764EE">
        <w:t>earlier rankings</w:t>
      </w:r>
      <w:r w:rsidR="00103F02" w:rsidRPr="009764EE">
        <w:t xml:space="preserve"> for Australia</w:t>
      </w:r>
      <w:r w:rsidR="00995CD7" w:rsidRPr="005049F1">
        <w:rPr>
          <w:rStyle w:val="FootnoteReference"/>
        </w:rPr>
        <w:endnoteReference w:id="72"/>
      </w:r>
      <w:r w:rsidR="00995CD7" w:rsidRPr="005049F1">
        <w:rPr>
          <w:rStyle w:val="FootnoteReference"/>
        </w:rPr>
        <w:t>.</w:t>
      </w:r>
    </w:p>
    <w:p w14:paraId="0B0A2292" w14:textId="72CAF0DB" w:rsidR="00F53DE6" w:rsidRDefault="00C17491" w:rsidP="00B50CF7">
      <w:pPr>
        <w:rPr>
          <w:rFonts w:ascii="Calibri" w:hAnsi="Calibri" w:cs="Calibri"/>
        </w:rPr>
      </w:pPr>
      <w:r w:rsidRPr="009764EE">
        <w:t xml:space="preserve">The Australian, state and territory education ministers introduced major changes to NAPLAN in 2023. NAPLAN results from 2023 onwards will not be directly comparable to the results from 2008 to 2022 displayed here. Following these changes, NAPLAN will more clearly and simply show parents and schools the students who need additional support. </w:t>
      </w:r>
    </w:p>
    <w:p w14:paraId="61B14B8D" w14:textId="76CBFF32" w:rsidR="00084FD2" w:rsidRDefault="00084FD2" w:rsidP="00B50CF7">
      <w:pPr>
        <w:rPr>
          <w:rFonts w:ascii="Calibri" w:hAnsi="Calibri" w:cs="Calibri"/>
        </w:rPr>
        <w:sectPr w:rsidR="00084FD2" w:rsidSect="00DA302B">
          <w:endnotePr>
            <w:numFmt w:val="decimal"/>
          </w:endnotePr>
          <w:type w:val="continuous"/>
          <w:pgSz w:w="11906" w:h="16838" w:code="9"/>
          <w:pgMar w:top="1843" w:right="1418" w:bottom="1418" w:left="1418" w:header="851" w:footer="851" w:gutter="0"/>
          <w:cols w:num="2" w:space="567"/>
          <w:docGrid w:linePitch="360"/>
        </w:sectPr>
      </w:pPr>
    </w:p>
    <w:p w14:paraId="22D57ED8" w14:textId="30E9BDA1" w:rsidR="00FC0F57" w:rsidRPr="00561AD6" w:rsidRDefault="00FC0F57" w:rsidP="00672509">
      <w:pPr>
        <w:pStyle w:val="ChartMainHeading"/>
        <w:spacing w:after="0"/>
      </w:pPr>
      <w:r w:rsidRPr="00561AD6">
        <w:t xml:space="preserve">Chart </w:t>
      </w:r>
      <w:r w:rsidR="00742BF6" w:rsidRPr="00561AD6">
        <w:t>16</w:t>
      </w:r>
      <w:r w:rsidRPr="00561AD6">
        <w:t xml:space="preserve">: Average NAPLAN Year 3 scores </w:t>
      </w:r>
    </w:p>
    <w:p w14:paraId="736FDB3D" w14:textId="312E9F08" w:rsidR="00FC0F57" w:rsidRPr="009764EE" w:rsidRDefault="00DF6418" w:rsidP="00672509">
      <w:pPr>
        <w:pStyle w:val="ChartGraphic"/>
        <w:spacing w:before="60" w:after="60"/>
      </w:pPr>
      <w:r w:rsidRPr="00DF6418">
        <w:rPr>
          <w:noProof/>
        </w:rPr>
        <w:drawing>
          <wp:inline distT="0" distB="0" distL="0" distR="0" wp14:anchorId="6497C3AE" wp14:editId="4217032F">
            <wp:extent cx="5398548" cy="1875295"/>
            <wp:effectExtent l="0" t="0" r="0" b="0"/>
            <wp:docPr id="28" name="Picture 28" descr="This chart shows NAPLAN results from 2008, 2011 and 2022 for students in grade 3 in the fields of grammar and punctuation, numeracy, reading, writing and spelling. The writing test was not introduced until 2011 so there is a gap in collection for that year. Average NAPLAN Year 3 scores have increased across all domains since NAPLAN started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NAPLAN results from 2008, 2011 and 2022 for students in grade 3 in the fields of grammar and punctuation, numeracy, reading, writing and spelling. The writing test was not introduced until 2011 so there is a gap in collection for that year. Average NAPLAN Year 3 scores have increased across all domains since NAPLAN started in 2008."/>
                    <pic:cNvPicPr/>
                  </pic:nvPicPr>
                  <pic:blipFill rotWithShape="1">
                    <a:blip r:embed="rId57"/>
                    <a:srcRect b="5224"/>
                    <a:stretch/>
                  </pic:blipFill>
                  <pic:spPr bwMode="auto">
                    <a:xfrm>
                      <a:off x="0" y="0"/>
                      <a:ext cx="5400000" cy="1875799"/>
                    </a:xfrm>
                    <a:prstGeom prst="rect">
                      <a:avLst/>
                    </a:prstGeom>
                    <a:ln>
                      <a:noFill/>
                    </a:ln>
                    <a:extLst>
                      <a:ext uri="{53640926-AAD7-44D8-BBD7-CCE9431645EC}">
                        <a14:shadowObscured xmlns:a14="http://schemas.microsoft.com/office/drawing/2010/main"/>
                      </a:ext>
                    </a:extLst>
                  </pic:spPr>
                </pic:pic>
              </a:graphicData>
            </a:graphic>
          </wp:inline>
        </w:drawing>
      </w:r>
    </w:p>
    <w:p w14:paraId="2C21CF83" w14:textId="50926D3D" w:rsidR="00AD14E4" w:rsidRDefault="00FC0F57" w:rsidP="00672509">
      <w:pPr>
        <w:pStyle w:val="ChartorTableNote"/>
      </w:pPr>
      <w:r w:rsidRPr="009764EE">
        <w:t xml:space="preserve">Source: </w:t>
      </w:r>
      <w:r w:rsidR="00084FD2">
        <w:tab/>
      </w:r>
      <w:r w:rsidR="00B530F1" w:rsidRPr="00084FD2">
        <w:t>NAPLAN</w:t>
      </w:r>
      <w:r w:rsidR="00B530F1" w:rsidRPr="009764EE">
        <w:t xml:space="preserve"> data</w:t>
      </w:r>
      <w:r w:rsidR="00A640C6" w:rsidRPr="009764EE">
        <w:t>.</w:t>
      </w:r>
      <w:r w:rsidR="00C17491">
        <w:t xml:space="preserve"> </w:t>
      </w:r>
    </w:p>
    <w:p w14:paraId="771492DE" w14:textId="642F26DD" w:rsidR="00F53DE6" w:rsidRDefault="00F52B06" w:rsidP="00672509">
      <w:pPr>
        <w:pStyle w:val="ChartorTableNote"/>
      </w:pPr>
      <w:r>
        <w:t>N</w:t>
      </w:r>
      <w:r w:rsidR="009744CD" w:rsidRPr="009764EE">
        <w:t xml:space="preserve">ote: </w:t>
      </w:r>
      <w:r w:rsidR="00084FD2">
        <w:tab/>
      </w:r>
      <w:r w:rsidR="009744CD" w:rsidRPr="009764EE">
        <w:t>W</w:t>
      </w:r>
      <w:r w:rsidR="00D90310" w:rsidRPr="009764EE">
        <w:t>riting assessment (based on persuasive writing) was not introduced until 2011</w:t>
      </w:r>
      <w:r w:rsidR="001524A0">
        <w:t xml:space="preserve"> – </w:t>
      </w:r>
      <w:r w:rsidR="00D90310" w:rsidRPr="009764EE">
        <w:t>hence</w:t>
      </w:r>
      <w:r w:rsidR="00D90310" w:rsidRPr="009764EE" w:rsidDel="00C23D79">
        <w:t xml:space="preserve"> </w:t>
      </w:r>
      <w:r w:rsidR="00D90310" w:rsidRPr="009764EE">
        <w:t xml:space="preserve">there is a gap in 2008 for data on writing scores. </w:t>
      </w:r>
    </w:p>
    <w:p w14:paraId="5F6AF5B9" w14:textId="0DEDCE6B" w:rsidR="00084FD2" w:rsidRDefault="00084FD2" w:rsidP="00672509">
      <w:pPr>
        <w:pStyle w:val="ChartorTableNote"/>
        <w:sectPr w:rsidR="00084FD2" w:rsidSect="00DA302B">
          <w:endnotePr>
            <w:numFmt w:val="decimal"/>
          </w:endnotePr>
          <w:type w:val="continuous"/>
          <w:pgSz w:w="11906" w:h="16838" w:code="9"/>
          <w:pgMar w:top="1843" w:right="1418" w:bottom="1418" w:left="1418" w:header="851" w:footer="851" w:gutter="0"/>
          <w:cols w:space="567"/>
          <w:docGrid w:linePitch="360"/>
        </w:sectPr>
      </w:pPr>
    </w:p>
    <w:p w14:paraId="20A6C30D" w14:textId="439B0C45" w:rsidR="00AE0245" w:rsidRPr="009764EE" w:rsidRDefault="00451436" w:rsidP="008854C6">
      <w:pPr>
        <w:pStyle w:val="Heading3"/>
        <w:spacing w:before="0"/>
        <w:rPr>
          <w:rFonts w:cs="Calibri"/>
          <w:szCs w:val="24"/>
        </w:rPr>
      </w:pPr>
      <w:r w:rsidRPr="009764EE">
        <w:rPr>
          <w:rFonts w:cs="Calibri"/>
        </w:rPr>
        <w:lastRenderedPageBreak/>
        <w:t>Education attai</w:t>
      </w:r>
      <w:r w:rsidRPr="009764EE">
        <w:rPr>
          <w:rFonts w:cs="Calibri"/>
          <w:szCs w:val="24"/>
        </w:rPr>
        <w:t>nment</w:t>
      </w:r>
    </w:p>
    <w:p w14:paraId="57A063A1" w14:textId="0EC69D37" w:rsidR="0016536A" w:rsidRPr="009764EE" w:rsidRDefault="0016536A" w:rsidP="00AA640D">
      <w:r w:rsidRPr="009764EE">
        <w:t xml:space="preserve">Beyond </w:t>
      </w:r>
      <w:r w:rsidR="002F2F8E" w:rsidRPr="009764EE">
        <w:t>foundation skills development</w:t>
      </w:r>
      <w:r w:rsidRPr="009764EE">
        <w:t xml:space="preserve">, </w:t>
      </w:r>
      <w:r w:rsidR="00665C92" w:rsidRPr="009764EE">
        <w:t xml:space="preserve">more Australians are getting educated than ever before. </w:t>
      </w:r>
    </w:p>
    <w:p w14:paraId="7382C0E8" w14:textId="24A0D283" w:rsidR="00976846" w:rsidRPr="009764EE" w:rsidRDefault="00976846" w:rsidP="00AA640D">
      <w:r w:rsidRPr="009764EE">
        <w:t>From 2013 to 2022, the share of people aged 20</w:t>
      </w:r>
      <w:r w:rsidR="00151999">
        <w:t>–</w:t>
      </w:r>
      <w:r w:rsidRPr="009764EE">
        <w:t>24</w:t>
      </w:r>
      <w:r w:rsidR="00C239AD">
        <w:t> year</w:t>
      </w:r>
      <w:r w:rsidRPr="009764EE">
        <w:t>s that completed Year 12 or equivalent, has increased from 77.2</w:t>
      </w:r>
      <w:r w:rsidR="001524A0">
        <w:t> per c</w:t>
      </w:r>
      <w:r w:rsidRPr="009764EE">
        <w:t>ent to 86.2</w:t>
      </w:r>
      <w:r w:rsidR="001524A0">
        <w:t> per c</w:t>
      </w:r>
      <w:r w:rsidRPr="009764EE">
        <w:t>ent. Over the same period, the proportion of people aged 25</w:t>
      </w:r>
      <w:r w:rsidR="00151999">
        <w:t>–</w:t>
      </w:r>
      <w:r w:rsidRPr="009764EE">
        <w:t>34</w:t>
      </w:r>
      <w:r w:rsidR="00C239AD">
        <w:t> year</w:t>
      </w:r>
      <w:r w:rsidRPr="009764EE">
        <w:t xml:space="preserve">s that attained a qualification at Certificate III level or above increased from </w:t>
      </w:r>
      <w:r w:rsidR="00B22F97" w:rsidRPr="009764EE">
        <w:t>6</w:t>
      </w:r>
      <w:r w:rsidRPr="009764EE">
        <w:t>5.7</w:t>
      </w:r>
      <w:r w:rsidR="001524A0">
        <w:t> per c</w:t>
      </w:r>
      <w:r w:rsidRPr="009764EE">
        <w:t xml:space="preserve">ent to </w:t>
      </w:r>
      <w:r w:rsidR="00B22F97" w:rsidRPr="009764EE">
        <w:t>73.0</w:t>
      </w:r>
      <w:r w:rsidR="001524A0">
        <w:t> per c</w:t>
      </w:r>
      <w:r w:rsidRPr="009764EE">
        <w:t>ent.</w:t>
      </w:r>
    </w:p>
    <w:p w14:paraId="27118795" w14:textId="60B64E67" w:rsidR="00414AC8" w:rsidRDefault="00414AC8" w:rsidP="00AA640D">
      <w:r w:rsidRPr="009764EE">
        <w:t xml:space="preserve">The education indicators </w:t>
      </w:r>
      <w:r w:rsidR="005E5364" w:rsidRPr="009764EE">
        <w:t xml:space="preserve">will evolve </w:t>
      </w:r>
      <w:r w:rsidRPr="009764EE">
        <w:t>for future Statements to align with targets for Australia</w:t>
      </w:r>
      <w:r w:rsidR="00135DEA">
        <w:t>’</w:t>
      </w:r>
      <w:r w:rsidRPr="009764EE">
        <w:t>s education system that emerge from the major education reviews currently underway</w:t>
      </w:r>
      <w:r w:rsidR="00756DED" w:rsidRPr="009764EE">
        <w:t>. These reviews include</w:t>
      </w:r>
      <w:r w:rsidRPr="009764EE">
        <w:t xml:space="preserve"> </w:t>
      </w:r>
      <w:r w:rsidR="008F4240" w:rsidRPr="009764EE">
        <w:t>the Productivity Commission</w:t>
      </w:r>
      <w:r w:rsidR="00135DEA">
        <w:t>’</w:t>
      </w:r>
      <w:r w:rsidR="008F4240" w:rsidRPr="009764EE">
        <w:t xml:space="preserve">s review into Early Childhood Education and Care, </w:t>
      </w:r>
      <w:r w:rsidR="00182B0E" w:rsidRPr="009764EE">
        <w:t xml:space="preserve">the </w:t>
      </w:r>
      <w:r w:rsidR="008F4240" w:rsidRPr="009764EE">
        <w:t xml:space="preserve">review to Inform a Better and Fairer Education System, and the Australian Universities Accord. </w:t>
      </w:r>
      <w:r w:rsidR="00F0278F" w:rsidRPr="009764EE">
        <w:t xml:space="preserve">These reviews </w:t>
      </w:r>
      <w:r w:rsidRPr="009764EE">
        <w:t>will place high priority on ensuring targets</w:t>
      </w:r>
      <w:r w:rsidR="00F0278F" w:rsidRPr="009764EE">
        <w:t xml:space="preserve"> </w:t>
      </w:r>
      <w:r w:rsidRPr="009764EE">
        <w:t>emphasis</w:t>
      </w:r>
      <w:r w:rsidR="00316226" w:rsidRPr="009764EE">
        <w:t>e</w:t>
      </w:r>
      <w:r w:rsidRPr="009764EE">
        <w:t xml:space="preserve"> improving equity outcomes. </w:t>
      </w:r>
    </w:p>
    <w:p w14:paraId="72C67905" w14:textId="77777777" w:rsidR="005A7044" w:rsidRDefault="005A7044" w:rsidP="00E22556">
      <w:pPr>
        <w:rPr>
          <w:rFonts w:ascii="Calibri" w:hAnsi="Calibri" w:cs="Calibri"/>
        </w:rPr>
      </w:pPr>
    </w:p>
    <w:p w14:paraId="1357BC82" w14:textId="78BC81A4" w:rsidR="005A7044" w:rsidRDefault="005A7044" w:rsidP="00E22556">
      <w:pPr>
        <w:rPr>
          <w:rFonts w:ascii="Calibri" w:hAnsi="Calibri" w:cs="Calibri"/>
        </w:rPr>
        <w:sectPr w:rsidR="005A7044" w:rsidSect="00672509">
          <w:endnotePr>
            <w:numFmt w:val="decimal"/>
          </w:endnotePr>
          <w:pgSz w:w="11906" w:h="16838" w:code="9"/>
          <w:pgMar w:top="1843" w:right="1418" w:bottom="1418" w:left="1418" w:header="851" w:footer="851" w:gutter="0"/>
          <w:cols w:num="2" w:space="567"/>
          <w:docGrid w:linePitch="360"/>
        </w:sectPr>
      </w:pPr>
    </w:p>
    <w:p w14:paraId="6FB32570" w14:textId="53F9D669" w:rsidR="005A7044" w:rsidRPr="00AA640D" w:rsidRDefault="005A7044" w:rsidP="00F20600">
      <w:pPr>
        <w:pStyle w:val="ChartMainHeading"/>
      </w:pPr>
      <w:r w:rsidRPr="00AA640D">
        <w:t xml:space="preserve">Chart 17: Proportion of </w:t>
      </w:r>
      <w:r w:rsidRPr="00F20600">
        <w:t>people</w:t>
      </w:r>
      <w:r w:rsidRPr="00AA640D">
        <w:t xml:space="preserve"> aged 20</w:t>
      </w:r>
      <w:r w:rsidR="00151999">
        <w:t>–</w:t>
      </w:r>
      <w:r w:rsidRPr="00AA640D">
        <w:t>24</w:t>
      </w:r>
      <w:r w:rsidR="00C239AD">
        <w:t> year</w:t>
      </w:r>
      <w:r w:rsidRPr="00AA640D">
        <w:t>s with Year 12 or equivalent and proportion of people aged 25</w:t>
      </w:r>
      <w:r w:rsidR="00151999">
        <w:t>–</w:t>
      </w:r>
      <w:r w:rsidRPr="00AA640D">
        <w:t>34</w:t>
      </w:r>
      <w:r w:rsidR="00C239AD">
        <w:t> year</w:t>
      </w:r>
      <w:r w:rsidRPr="00AA640D">
        <w:t>s with qualification at Certificate III level or above</w:t>
      </w:r>
    </w:p>
    <w:p w14:paraId="46B0370B" w14:textId="77777777" w:rsidR="005A7044" w:rsidRPr="009764EE" w:rsidRDefault="005A7044" w:rsidP="00F20600">
      <w:pPr>
        <w:pStyle w:val="ChartGraphic"/>
      </w:pPr>
      <w:r w:rsidRPr="002F1AAC">
        <w:rPr>
          <w:noProof/>
        </w:rPr>
        <w:drawing>
          <wp:inline distT="0" distB="0" distL="0" distR="0" wp14:anchorId="379A7CEA" wp14:editId="5F51D831">
            <wp:extent cx="5400000" cy="1965146"/>
            <wp:effectExtent l="0" t="0" r="0" b="0"/>
            <wp:docPr id="33" name="Picture 33" descr="This line chart shows that the proportion of people aged 20-24 with Year 12 or equivalent and the proportion of people aged 25-34 years with qualification at Certificate 3 level or above has steadily increased from 2013 to 2022. &#10;People aged between 20-24 with Year 12 or equivalent has increased from 77.2 per cent in 2013 to 86.2 per cent in 2022. &#10;People aged 25-34 with a Certificate 3 or higher has increased from 65.67 per cent in 2013 to 73 per cent in 202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line chart shows that the proportion of people aged 20-24 with Year 12 or equivalent and the proportion of people aged 25-34 years with qualification at Certificate 3 level or above has steadily increased from 2013 to 2022. &#10;People aged between 20-24 with Year 12 or equivalent has increased from 77.2 per cent in 2013 to 86.2 per cent in 2022. &#10;People aged 25-34 with a Certificate 3 or higher has increased from 65.67 per cent in 2013 to 73 per cent in 2022. &#10;"/>
                    <pic:cNvPicPr/>
                  </pic:nvPicPr>
                  <pic:blipFill>
                    <a:blip r:embed="rId58"/>
                    <a:stretch>
                      <a:fillRect/>
                    </a:stretch>
                  </pic:blipFill>
                  <pic:spPr>
                    <a:xfrm>
                      <a:off x="0" y="0"/>
                      <a:ext cx="5400000" cy="1965146"/>
                    </a:xfrm>
                    <a:prstGeom prst="rect">
                      <a:avLst/>
                    </a:prstGeom>
                  </pic:spPr>
                </pic:pic>
              </a:graphicData>
            </a:graphic>
          </wp:inline>
        </w:drawing>
      </w:r>
    </w:p>
    <w:p w14:paraId="713C767D" w14:textId="0F077106" w:rsidR="005A7044" w:rsidRPr="00F20600" w:rsidRDefault="005A7044" w:rsidP="00F20600">
      <w:pPr>
        <w:pStyle w:val="ChartorTableNote"/>
      </w:pPr>
      <w:r w:rsidRPr="009764EE">
        <w:t xml:space="preserve">Source: </w:t>
      </w:r>
      <w:r w:rsidR="00F20600">
        <w:tab/>
      </w:r>
      <w:r w:rsidRPr="009764EE">
        <w:t>ABS Education and Work.</w:t>
      </w:r>
    </w:p>
    <w:p w14:paraId="33661EAA" w14:textId="77777777" w:rsidR="005A7044" w:rsidRDefault="005A7044" w:rsidP="008854C6"/>
    <w:p w14:paraId="27E78A97" w14:textId="4A156F92" w:rsidR="005A7044" w:rsidRDefault="005A7044" w:rsidP="008854C6">
      <w:pPr>
        <w:sectPr w:rsidR="005A7044" w:rsidSect="00DA302B">
          <w:endnotePr>
            <w:numFmt w:val="decimal"/>
          </w:endnotePr>
          <w:type w:val="continuous"/>
          <w:pgSz w:w="11906" w:h="16838" w:code="9"/>
          <w:pgMar w:top="1843" w:right="1418" w:bottom="1418" w:left="1418" w:header="851" w:footer="851" w:gutter="0"/>
          <w:cols w:space="567"/>
          <w:docGrid w:linePitch="360"/>
        </w:sectPr>
      </w:pPr>
    </w:p>
    <w:p w14:paraId="718A51A3" w14:textId="016B28CC" w:rsidR="00450FA0" w:rsidRPr="009764EE" w:rsidRDefault="00450FA0" w:rsidP="008854C6">
      <w:pPr>
        <w:pStyle w:val="Heading3"/>
        <w:spacing w:before="0"/>
        <w:rPr>
          <w:rFonts w:cs="Calibri"/>
          <w:sz w:val="22"/>
          <w:szCs w:val="24"/>
        </w:rPr>
      </w:pPr>
      <w:r w:rsidRPr="009764EE">
        <w:rPr>
          <w:rFonts w:cs="Calibri"/>
        </w:rPr>
        <w:t xml:space="preserve">Skills development </w:t>
      </w:r>
    </w:p>
    <w:p w14:paraId="0FE7AD10" w14:textId="25950ECB" w:rsidR="00AE0245" w:rsidRPr="009764EE" w:rsidRDefault="00E86C22" w:rsidP="00AA640D">
      <w:r w:rsidRPr="009764EE">
        <w:t>It is</w:t>
      </w:r>
      <w:r w:rsidR="00AE0245" w:rsidRPr="009764EE">
        <w:t xml:space="preserve"> important for Australians to </w:t>
      </w:r>
      <w:r w:rsidR="006D30A0" w:rsidRPr="009764EE">
        <w:t>have access to training and upskilling so they can take advantage of emerging job opportunities throughout their working lives</w:t>
      </w:r>
      <w:r w:rsidR="00D43373" w:rsidRPr="009764EE">
        <w:t xml:space="preserve">. This will also help to ensure </w:t>
      </w:r>
      <w:r w:rsidR="00AE0245" w:rsidRPr="009764EE">
        <w:t xml:space="preserve">that people and businesses </w:t>
      </w:r>
      <w:r w:rsidR="00D954D2" w:rsidRPr="009764EE">
        <w:t>can</w:t>
      </w:r>
      <w:r w:rsidR="00AE0245" w:rsidRPr="009764EE">
        <w:t xml:space="preserve"> adapt to change. </w:t>
      </w:r>
    </w:p>
    <w:p w14:paraId="38D1269E" w14:textId="23DB7585" w:rsidR="00450FA0" w:rsidRPr="009764EE" w:rsidRDefault="00450FA0" w:rsidP="00AA640D">
      <w:r w:rsidRPr="009764EE">
        <w:t>In 2020</w:t>
      </w:r>
      <w:r w:rsidR="00151999">
        <w:t>–</w:t>
      </w:r>
      <w:r w:rsidR="00BD44C1">
        <w:softHyphen/>
      </w:r>
      <w:r w:rsidRPr="009764EE">
        <w:t>21, 42.1</w:t>
      </w:r>
      <w:r w:rsidR="001524A0">
        <w:t> per c</w:t>
      </w:r>
      <w:r w:rsidRPr="009764EE">
        <w:t>ent of Australians aged 15 to 74</w:t>
      </w:r>
      <w:r w:rsidR="00C239AD">
        <w:t> year</w:t>
      </w:r>
      <w:r w:rsidRPr="009764EE">
        <w:t>s participated in learning over the past 12 months. This was a decrease from 46.4</w:t>
      </w:r>
      <w:r w:rsidR="001524A0">
        <w:t> per c</w:t>
      </w:r>
      <w:r w:rsidRPr="009764EE">
        <w:t xml:space="preserve">ent in 2013. The decline in skills development is driven by the </w:t>
      </w:r>
      <w:r w:rsidR="004A088A" w:rsidRPr="009764EE">
        <w:t>fall</w:t>
      </w:r>
      <w:r w:rsidRPr="009764EE">
        <w:t xml:space="preserve"> in non</w:t>
      </w:r>
      <w:r w:rsidR="00135DEA">
        <w:noBreakHyphen/>
      </w:r>
      <w:r w:rsidRPr="009764EE">
        <w:t xml:space="preserve">formal </w:t>
      </w:r>
      <w:r w:rsidRPr="009764EE">
        <w:t>training from 32.1</w:t>
      </w:r>
      <w:r w:rsidR="001524A0">
        <w:t> per c</w:t>
      </w:r>
      <w:r w:rsidRPr="009764EE">
        <w:t>ent to 27.4</w:t>
      </w:r>
      <w:r w:rsidR="001524A0">
        <w:t> per c</w:t>
      </w:r>
      <w:r w:rsidRPr="009764EE">
        <w:t>ent over the same period.</w:t>
      </w:r>
    </w:p>
    <w:p w14:paraId="146864E3" w14:textId="6F4C5C9A" w:rsidR="006753E1" w:rsidRDefault="00040EC3" w:rsidP="00AA640D">
      <w:r w:rsidRPr="009764EE">
        <w:t>In addition to</w:t>
      </w:r>
      <w:r w:rsidR="00735581" w:rsidRPr="009764EE">
        <w:t xml:space="preserve"> </w:t>
      </w:r>
      <w:r w:rsidR="004A088A" w:rsidRPr="009764EE">
        <w:t>a domestic skills agenda,</w:t>
      </w:r>
      <w:r w:rsidR="000B30E8" w:rsidRPr="009764EE">
        <w:t xml:space="preserve"> t</w:t>
      </w:r>
      <w:r w:rsidR="00031B9D" w:rsidRPr="009764EE">
        <w:t>argeted and well</w:t>
      </w:r>
      <w:r w:rsidR="00135DEA">
        <w:noBreakHyphen/>
      </w:r>
      <w:r w:rsidR="00031B9D" w:rsidRPr="009764EE">
        <w:t>managed migration</w:t>
      </w:r>
      <w:r w:rsidR="00240D49" w:rsidRPr="009764EE">
        <w:t xml:space="preserve"> can </w:t>
      </w:r>
      <w:r w:rsidR="00031B9D" w:rsidRPr="009764EE">
        <w:t>provid</w:t>
      </w:r>
      <w:r w:rsidR="00240D49" w:rsidRPr="009764EE">
        <w:t>e</w:t>
      </w:r>
      <w:r w:rsidR="00031B9D" w:rsidRPr="009764EE">
        <w:t xml:space="preserve"> access to specialist skill sets to support emerging sectors</w:t>
      </w:r>
      <w:r w:rsidR="00B83B49" w:rsidRPr="009764EE">
        <w:t xml:space="preserve"> and</w:t>
      </w:r>
      <w:r w:rsidR="00031B9D" w:rsidRPr="009764EE">
        <w:t xml:space="preserve"> drive knowledge transfer, </w:t>
      </w:r>
      <w:r w:rsidR="00031B9D" w:rsidRPr="009764EE" w:rsidDel="00CA4102">
        <w:t>innovation</w:t>
      </w:r>
      <w:r w:rsidR="00CA4102" w:rsidRPr="009764EE">
        <w:t>,</w:t>
      </w:r>
      <w:r w:rsidR="00031B9D" w:rsidRPr="009764EE">
        <w:t xml:space="preserve"> and productivity.</w:t>
      </w:r>
      <w:r w:rsidR="00B857DC" w:rsidRPr="009764EE">
        <w:t xml:space="preserve"> </w:t>
      </w:r>
      <w:r w:rsidR="003043CC" w:rsidRPr="009764EE">
        <w:t xml:space="preserve">Informed by strengthened labour force analysis, </w:t>
      </w:r>
      <w:r w:rsidR="0098427A" w:rsidRPr="009764EE">
        <w:t>t</w:t>
      </w:r>
      <w:r w:rsidR="00B857DC" w:rsidRPr="009764EE">
        <w:t xml:space="preserve">he forthcoming Migration Strategy </w:t>
      </w:r>
      <w:r w:rsidR="0098427A" w:rsidRPr="009764EE">
        <w:t xml:space="preserve">will include a focus on </w:t>
      </w:r>
      <w:r w:rsidR="00F46938" w:rsidRPr="009764EE">
        <w:t>ensuring Australia has the right skills for the future</w:t>
      </w:r>
      <w:r w:rsidR="00FE3654" w:rsidRPr="009764EE">
        <w:t>.</w:t>
      </w:r>
      <w:r w:rsidR="0022066F" w:rsidRPr="009764EE">
        <w:t xml:space="preserve"> </w:t>
      </w:r>
    </w:p>
    <w:p w14:paraId="28514DE2" w14:textId="77777777" w:rsidR="00616834" w:rsidRDefault="00616834" w:rsidP="00F63735">
      <w:pPr>
        <w:rPr>
          <w:rFonts w:ascii="Calibri" w:hAnsi="Calibri" w:cs="Calibri"/>
        </w:rPr>
      </w:pPr>
    </w:p>
    <w:p w14:paraId="1F79D311" w14:textId="324F53DF" w:rsidR="00F20600" w:rsidRDefault="00F20600" w:rsidP="00F63735">
      <w:pPr>
        <w:rPr>
          <w:rFonts w:ascii="Calibri" w:hAnsi="Calibri" w:cs="Calibri"/>
        </w:rPr>
        <w:sectPr w:rsidR="00F20600" w:rsidSect="00DA302B">
          <w:endnotePr>
            <w:numFmt w:val="decimal"/>
          </w:endnotePr>
          <w:type w:val="continuous"/>
          <w:pgSz w:w="11906" w:h="16838" w:code="9"/>
          <w:pgMar w:top="1843" w:right="1418" w:bottom="1418" w:left="1418" w:header="851" w:footer="851" w:gutter="0"/>
          <w:cols w:num="2" w:space="567"/>
          <w:docGrid w:linePitch="360"/>
        </w:sectPr>
      </w:pPr>
    </w:p>
    <w:p w14:paraId="479FA487" w14:textId="0B94436E" w:rsidR="00616834" w:rsidRPr="00AA640D" w:rsidRDefault="00616834" w:rsidP="00AA640D">
      <w:pPr>
        <w:pStyle w:val="ChartMainHeading"/>
      </w:pPr>
      <w:r w:rsidRPr="00AA640D">
        <w:lastRenderedPageBreak/>
        <w:t>Chart 18: Proportion of people aged 15</w:t>
      </w:r>
      <w:r w:rsidRPr="00AA640D">
        <w:softHyphen/>
      </w:r>
      <w:r w:rsidR="00151999">
        <w:t>–</w:t>
      </w:r>
      <w:r w:rsidRPr="00AA640D">
        <w:t>74</w:t>
      </w:r>
      <w:r w:rsidR="00C239AD">
        <w:t> year</w:t>
      </w:r>
      <w:r w:rsidRPr="00AA640D">
        <w:t>s participating in formal and non</w:t>
      </w:r>
      <w:r w:rsidR="00135DEA">
        <w:noBreakHyphen/>
      </w:r>
      <w:r w:rsidRPr="00AA640D">
        <w:t>formal learning</w:t>
      </w:r>
    </w:p>
    <w:p w14:paraId="5277BB77" w14:textId="77777777" w:rsidR="00616834" w:rsidRPr="009764EE" w:rsidRDefault="00616834" w:rsidP="00F20600">
      <w:pPr>
        <w:pStyle w:val="ChartGraphic"/>
        <w:rPr>
          <w:lang w:val="en-GB"/>
        </w:rPr>
      </w:pPr>
      <w:r w:rsidRPr="00D35DE7">
        <w:rPr>
          <w:noProof/>
        </w:rPr>
        <w:drawing>
          <wp:inline distT="0" distB="0" distL="0" distR="0" wp14:anchorId="2C4B9535" wp14:editId="64D61707">
            <wp:extent cx="5400000" cy="1970254"/>
            <wp:effectExtent l="0" t="0" r="0" b="0"/>
            <wp:docPr id="34" name="Picture 34" descr="This chart shows the proportion of people aged 15-74 years participating in formal and non-formal learning in 2013, 2016-17 and 2020-21. &#10;The proportion participating in formal study has fallen slightly from 21.6 per cent in 2013, to 20.6 per cent in 2020-21. &#10;The proportion participating in non-formal learning fell from 32.1 per cent in 2013, to 25.5 per cent in 2016-17, however increased slightly in 2020-21 to 27.4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the proportion of people aged 15-74 years participating in formal and non-formal learning in 2013, 2016-17 and 2020-21. &#10;The proportion participating in formal study has fallen slightly from 21.6 per cent in 2013, to 20.6 per cent in 2020-21. &#10;The proportion participating in non-formal learning fell from 32.1 per cent in 2013, to 25.5 per cent in 2016-17, however increased slightly in 2020-21 to 27.4 per cent. &#10;"/>
                    <pic:cNvPicPr/>
                  </pic:nvPicPr>
                  <pic:blipFill>
                    <a:blip r:embed="rId59"/>
                    <a:stretch>
                      <a:fillRect/>
                    </a:stretch>
                  </pic:blipFill>
                  <pic:spPr>
                    <a:xfrm>
                      <a:off x="0" y="0"/>
                      <a:ext cx="5400000" cy="1970254"/>
                    </a:xfrm>
                    <a:prstGeom prst="rect">
                      <a:avLst/>
                    </a:prstGeom>
                  </pic:spPr>
                </pic:pic>
              </a:graphicData>
            </a:graphic>
          </wp:inline>
        </w:drawing>
      </w:r>
    </w:p>
    <w:p w14:paraId="565F97B3" w14:textId="2942A254" w:rsidR="00616834" w:rsidRDefault="00616834" w:rsidP="00F20600">
      <w:pPr>
        <w:pStyle w:val="ChartorTableNote"/>
      </w:pPr>
      <w:r w:rsidRPr="009764EE">
        <w:t xml:space="preserve">Source: </w:t>
      </w:r>
      <w:r w:rsidR="00F20600">
        <w:tab/>
      </w:r>
      <w:r w:rsidRPr="009764EE">
        <w:t>ABS Work</w:t>
      </w:r>
      <w:r w:rsidR="00135DEA">
        <w:noBreakHyphen/>
      </w:r>
      <w:r w:rsidRPr="009764EE">
        <w:t xml:space="preserve">Related Training and Adult </w:t>
      </w:r>
      <w:r w:rsidRPr="00F20600">
        <w:t>Learning</w:t>
      </w:r>
      <w:r w:rsidRPr="009764EE">
        <w:t>.</w:t>
      </w:r>
    </w:p>
    <w:p w14:paraId="605843A2" w14:textId="77777777" w:rsidR="00DC1712" w:rsidRPr="00DC1712" w:rsidRDefault="00DC1712" w:rsidP="00DC1712"/>
    <w:tbl>
      <w:tblPr>
        <w:tblStyle w:val="MWMKey"/>
        <w:tblW w:w="5000" w:type="pct"/>
        <w:tblLook w:val="0620" w:firstRow="1" w:lastRow="0" w:firstColumn="0" w:lastColumn="0" w:noHBand="1" w:noVBand="1"/>
      </w:tblPr>
      <w:tblGrid>
        <w:gridCol w:w="9070"/>
      </w:tblGrid>
      <w:tr w:rsidR="00AE64F0" w:rsidRPr="009764EE" w14:paraId="4766DDCA" w14:textId="77777777" w:rsidTr="00AE64F0">
        <w:trPr>
          <w:cnfStyle w:val="100000000000" w:firstRow="1" w:lastRow="0" w:firstColumn="0" w:lastColumn="0" w:oddVBand="0" w:evenVBand="0" w:oddHBand="0" w:evenHBand="0" w:firstRowFirstColumn="0" w:firstRowLastColumn="0" w:lastRowFirstColumn="0" w:lastRowLastColumn="0"/>
        </w:trPr>
        <w:tc>
          <w:tcPr>
            <w:tcW w:w="5000" w:type="pct"/>
          </w:tcPr>
          <w:p w14:paraId="4E485161" w14:textId="5D28A777" w:rsidR="00AE64F0" w:rsidRPr="009764EE" w:rsidRDefault="00AE64F0" w:rsidP="00AE64F0">
            <w:pPr>
              <w:pStyle w:val="BoxHeading"/>
              <w:spacing w:after="0"/>
              <w:rPr>
                <w:lang w:eastAsia="en-US"/>
              </w:rPr>
            </w:pPr>
            <w:r w:rsidRPr="009764EE">
              <w:rPr>
                <w:lang w:eastAsia="en-US"/>
              </w:rPr>
              <w:t>Key Government initiatives to invest in education, skills and training</w:t>
            </w:r>
          </w:p>
        </w:tc>
      </w:tr>
      <w:tr w:rsidR="00AE0245" w:rsidRPr="009764EE" w14:paraId="13F6CFC9" w14:textId="77777777" w:rsidTr="00AE64F0">
        <w:tc>
          <w:tcPr>
            <w:tcW w:w="5000" w:type="pct"/>
            <w:hideMark/>
          </w:tcPr>
          <w:p w14:paraId="2867C4F0" w14:textId="7C17C8E6" w:rsidR="005A3BCA" w:rsidRPr="0015127B" w:rsidRDefault="005A3BCA" w:rsidP="00AA640D">
            <w:pPr>
              <w:pStyle w:val="Boxbullet"/>
              <w:rPr>
                <w:lang w:eastAsia="en-US"/>
              </w:rPr>
            </w:pPr>
            <w:r w:rsidRPr="0015127B">
              <w:rPr>
                <w:lang w:eastAsia="en-US"/>
              </w:rPr>
              <w:t xml:space="preserve">A new National School Reform Agreement </w:t>
            </w:r>
            <w:r w:rsidR="00D12E70" w:rsidRPr="0015127B">
              <w:rPr>
                <w:lang w:eastAsia="en-US"/>
              </w:rPr>
              <w:t>in 2025</w:t>
            </w:r>
          </w:p>
          <w:p w14:paraId="7A9F4F79" w14:textId="77777777" w:rsidR="00CA4102" w:rsidRPr="0015127B" w:rsidRDefault="00CA4102" w:rsidP="00AA640D">
            <w:pPr>
              <w:pStyle w:val="Boxbullet"/>
              <w:rPr>
                <w:lang w:eastAsia="en-US"/>
              </w:rPr>
            </w:pPr>
            <w:r w:rsidRPr="0015127B">
              <w:rPr>
                <w:lang w:eastAsia="en-US"/>
              </w:rPr>
              <w:t xml:space="preserve">National Early Years Strategy </w:t>
            </w:r>
          </w:p>
          <w:p w14:paraId="14A3AD14" w14:textId="19005089" w:rsidR="00711AA7" w:rsidRPr="0015127B" w:rsidRDefault="00FD2F4A" w:rsidP="00AA640D">
            <w:pPr>
              <w:pStyle w:val="Boxbullet"/>
              <w:rPr>
                <w:lang w:eastAsia="en-US"/>
              </w:rPr>
            </w:pPr>
            <w:r w:rsidRPr="0015127B">
              <w:rPr>
                <w:lang w:eastAsia="en-US"/>
              </w:rPr>
              <w:t>Cheaper Child Care reforms</w:t>
            </w:r>
          </w:p>
          <w:p w14:paraId="0C3252FC" w14:textId="77777777" w:rsidR="00ED06E8" w:rsidRPr="0015127B" w:rsidRDefault="00B24C44" w:rsidP="00AA640D">
            <w:pPr>
              <w:pStyle w:val="Boxbullet"/>
              <w:rPr>
                <w:lang w:eastAsia="en-US"/>
              </w:rPr>
            </w:pPr>
            <w:r w:rsidRPr="0015127B">
              <w:rPr>
                <w:lang w:eastAsia="en-US"/>
              </w:rPr>
              <w:t>National Teacher Workforce Action Plan</w:t>
            </w:r>
            <w:r w:rsidRPr="0015127B" w:rsidDel="00B24C44">
              <w:rPr>
                <w:lang w:eastAsia="en-US"/>
              </w:rPr>
              <w:t xml:space="preserve"> </w:t>
            </w:r>
          </w:p>
          <w:p w14:paraId="72E09866" w14:textId="30AA314E" w:rsidR="00AE0245" w:rsidRPr="0015127B" w:rsidRDefault="00AE0245" w:rsidP="00AA640D">
            <w:pPr>
              <w:pStyle w:val="Boxbullet"/>
              <w:rPr>
                <w:lang w:eastAsia="en-US"/>
              </w:rPr>
            </w:pPr>
            <w:r w:rsidRPr="0015127B">
              <w:rPr>
                <w:lang w:eastAsia="en-US"/>
              </w:rPr>
              <w:t>A new National Skills Agreement</w:t>
            </w:r>
          </w:p>
          <w:p w14:paraId="2D43811C" w14:textId="29F84F60" w:rsidR="00AE0245" w:rsidRPr="0015127B" w:rsidRDefault="00AE0245" w:rsidP="00AA640D">
            <w:pPr>
              <w:pStyle w:val="Boxbullet"/>
              <w:rPr>
                <w:lang w:eastAsia="en-US"/>
              </w:rPr>
            </w:pPr>
            <w:r w:rsidRPr="0015127B">
              <w:rPr>
                <w:lang w:eastAsia="en-US"/>
              </w:rPr>
              <w:t>Fee</w:t>
            </w:r>
            <w:r w:rsidR="00135DEA">
              <w:rPr>
                <w:lang w:eastAsia="en-US"/>
              </w:rPr>
              <w:noBreakHyphen/>
            </w:r>
            <w:r w:rsidRPr="0015127B">
              <w:rPr>
                <w:lang w:eastAsia="en-US"/>
              </w:rPr>
              <w:t>free TAFE places</w:t>
            </w:r>
          </w:p>
          <w:p w14:paraId="0749CB69" w14:textId="3DDBEEE9" w:rsidR="00AE0245" w:rsidRPr="0015127B" w:rsidRDefault="00392733" w:rsidP="00AA640D">
            <w:pPr>
              <w:pStyle w:val="Boxbullet"/>
              <w:rPr>
                <w:lang w:eastAsia="en-US"/>
              </w:rPr>
            </w:pPr>
            <w:r w:rsidRPr="0015127B">
              <w:rPr>
                <w:lang w:eastAsia="en-US"/>
              </w:rPr>
              <w:t xml:space="preserve">A new </w:t>
            </w:r>
            <w:r w:rsidR="00AE0245" w:rsidRPr="0015127B">
              <w:rPr>
                <w:lang w:eastAsia="en-US"/>
              </w:rPr>
              <w:t>Australian Skills Guarantee</w:t>
            </w:r>
            <w:r w:rsidR="00AE0245" w:rsidRPr="0015127B" w:rsidDel="002B299B">
              <w:rPr>
                <w:lang w:eastAsia="en-US"/>
              </w:rPr>
              <w:t xml:space="preserve"> </w:t>
            </w:r>
          </w:p>
          <w:p w14:paraId="614F05CC" w14:textId="1D1ABB11" w:rsidR="00292453" w:rsidRPr="0015127B" w:rsidRDefault="00392733" w:rsidP="00AA640D">
            <w:pPr>
              <w:pStyle w:val="Boxbullet"/>
              <w:rPr>
                <w:lang w:eastAsia="en-US"/>
              </w:rPr>
            </w:pPr>
            <w:r w:rsidRPr="0015127B">
              <w:rPr>
                <w:lang w:eastAsia="en-US"/>
              </w:rPr>
              <w:t xml:space="preserve">A new </w:t>
            </w:r>
            <w:r w:rsidR="00292453" w:rsidRPr="0015127B">
              <w:rPr>
                <w:lang w:eastAsia="en-US"/>
              </w:rPr>
              <w:t xml:space="preserve">Australian University Accord </w:t>
            </w:r>
          </w:p>
          <w:p w14:paraId="596B55B0" w14:textId="10FBF284" w:rsidR="00282E04" w:rsidRPr="0015127B" w:rsidRDefault="00392733" w:rsidP="00AA640D">
            <w:pPr>
              <w:pStyle w:val="Boxbullet"/>
              <w:rPr>
                <w:lang w:eastAsia="en-US"/>
              </w:rPr>
            </w:pPr>
            <w:r w:rsidRPr="0015127B">
              <w:rPr>
                <w:lang w:eastAsia="en-US"/>
              </w:rPr>
              <w:t xml:space="preserve">Review of </w:t>
            </w:r>
            <w:r w:rsidR="00B829FD" w:rsidRPr="0015127B">
              <w:rPr>
                <w:lang w:eastAsia="en-US"/>
              </w:rPr>
              <w:t xml:space="preserve">the </w:t>
            </w:r>
            <w:r w:rsidR="00282E04" w:rsidRPr="0015127B">
              <w:rPr>
                <w:lang w:eastAsia="en-US"/>
              </w:rPr>
              <w:t>Migration</w:t>
            </w:r>
            <w:r w:rsidR="0063244C" w:rsidRPr="0015127B">
              <w:rPr>
                <w:lang w:eastAsia="en-US"/>
              </w:rPr>
              <w:t xml:space="preserve"> Strategy </w:t>
            </w:r>
          </w:p>
          <w:p w14:paraId="27B63A04" w14:textId="36778E91" w:rsidR="00CA4102" w:rsidRPr="0015127B" w:rsidRDefault="00E75C93" w:rsidP="00AA640D">
            <w:pPr>
              <w:pStyle w:val="Boxbullet"/>
              <w:rPr>
                <w:lang w:eastAsia="en-US"/>
              </w:rPr>
            </w:pPr>
            <w:r w:rsidRPr="0015127B">
              <w:rPr>
                <w:lang w:eastAsia="en-US"/>
              </w:rPr>
              <w:t>Review of the impact of COVID</w:t>
            </w:r>
            <w:r w:rsidR="00135DEA">
              <w:rPr>
                <w:lang w:eastAsia="en-US"/>
              </w:rPr>
              <w:noBreakHyphen/>
            </w:r>
            <w:r w:rsidRPr="0015127B">
              <w:rPr>
                <w:lang w:eastAsia="en-US"/>
              </w:rPr>
              <w:t>19 on students with a disability</w:t>
            </w:r>
          </w:p>
          <w:p w14:paraId="64BB8554" w14:textId="0BB034AF" w:rsidR="003D3C0F" w:rsidRPr="0015127B" w:rsidRDefault="00F41471" w:rsidP="00AA640D">
            <w:pPr>
              <w:pStyle w:val="Boxbullet"/>
              <w:rPr>
                <w:lang w:eastAsia="en-US"/>
              </w:rPr>
            </w:pPr>
            <w:r w:rsidRPr="0015127B">
              <w:rPr>
                <w:lang w:eastAsia="en-US"/>
              </w:rPr>
              <w:t xml:space="preserve">Better outcomes for </w:t>
            </w:r>
            <w:r w:rsidR="001524A0">
              <w:rPr>
                <w:lang w:eastAsia="en-US"/>
              </w:rPr>
              <w:t>First Nation</w:t>
            </w:r>
            <w:r w:rsidRPr="0015127B">
              <w:rPr>
                <w:lang w:eastAsia="en-US"/>
              </w:rPr>
              <w:t>s Students</w:t>
            </w:r>
          </w:p>
          <w:p w14:paraId="04D1B7EE" w14:textId="782860A3" w:rsidR="00282E04" w:rsidRPr="0015127B" w:rsidRDefault="00CF28C4" w:rsidP="00AA640D">
            <w:pPr>
              <w:pStyle w:val="Boxbullet"/>
              <w:rPr>
                <w:lang w:eastAsia="en-US"/>
              </w:rPr>
            </w:pPr>
            <w:r w:rsidRPr="0015127B">
              <w:rPr>
                <w:lang w:eastAsia="en-US"/>
              </w:rPr>
              <w:t>Productivity Commission inquiry into Early Childhood Education and Care</w:t>
            </w:r>
          </w:p>
          <w:p w14:paraId="690334CF" w14:textId="703A540D" w:rsidR="00DF45BD" w:rsidRPr="0015127B" w:rsidRDefault="00DF45BD" w:rsidP="00AA640D">
            <w:pPr>
              <w:pStyle w:val="Boxbullet"/>
              <w:rPr>
                <w:lang w:eastAsia="en-US"/>
              </w:rPr>
            </w:pPr>
            <w:r w:rsidRPr="0015127B">
              <w:rPr>
                <w:lang w:eastAsia="en-US"/>
              </w:rPr>
              <w:t>A</w:t>
            </w:r>
            <w:r w:rsidR="00EF4BBB" w:rsidRPr="0015127B">
              <w:rPr>
                <w:lang w:eastAsia="en-US"/>
              </w:rPr>
              <w:t xml:space="preserve">ustralian </w:t>
            </w:r>
            <w:r w:rsidRPr="0015127B">
              <w:rPr>
                <w:lang w:eastAsia="en-US"/>
              </w:rPr>
              <w:t>C</w:t>
            </w:r>
            <w:r w:rsidR="00EF4BBB" w:rsidRPr="0015127B">
              <w:rPr>
                <w:lang w:eastAsia="en-US"/>
              </w:rPr>
              <w:t xml:space="preserve">ompetition and </w:t>
            </w:r>
            <w:r w:rsidRPr="0015127B">
              <w:rPr>
                <w:lang w:eastAsia="en-US"/>
              </w:rPr>
              <w:t>C</w:t>
            </w:r>
            <w:r w:rsidR="00EF4BBB" w:rsidRPr="0015127B">
              <w:rPr>
                <w:lang w:eastAsia="en-US"/>
              </w:rPr>
              <w:t xml:space="preserve">onsumer </w:t>
            </w:r>
            <w:r w:rsidR="00D738B1" w:rsidRPr="0015127B">
              <w:rPr>
                <w:lang w:eastAsia="en-US"/>
              </w:rPr>
              <w:t>Commission</w:t>
            </w:r>
            <w:r w:rsidRPr="0015127B">
              <w:rPr>
                <w:lang w:eastAsia="en-US"/>
              </w:rPr>
              <w:t xml:space="preserve"> </w:t>
            </w:r>
            <w:r w:rsidR="00527A4B" w:rsidRPr="0015127B">
              <w:rPr>
                <w:lang w:eastAsia="en-US"/>
              </w:rPr>
              <w:t>Childcare inquiry</w:t>
            </w:r>
          </w:p>
          <w:p w14:paraId="14F3F7F4" w14:textId="77777777" w:rsidR="00845A97" w:rsidRPr="0015127B" w:rsidRDefault="008042B2" w:rsidP="00AA640D">
            <w:pPr>
              <w:pStyle w:val="Boxbullet"/>
              <w:rPr>
                <w:lang w:eastAsia="en-US"/>
              </w:rPr>
            </w:pPr>
            <w:r w:rsidRPr="0015127B">
              <w:rPr>
                <w:lang w:eastAsia="en-US"/>
              </w:rPr>
              <w:t>Targeted</w:t>
            </w:r>
            <w:r w:rsidR="00845A97" w:rsidRPr="0015127B">
              <w:rPr>
                <w:lang w:eastAsia="en-US"/>
              </w:rPr>
              <w:t xml:space="preserve"> support for Apprentices</w:t>
            </w:r>
          </w:p>
          <w:p w14:paraId="3E128934" w14:textId="77777777" w:rsidR="00845A97" w:rsidRPr="0015127B" w:rsidRDefault="007D21E2" w:rsidP="00AA640D">
            <w:pPr>
              <w:pStyle w:val="Boxbullet"/>
              <w:rPr>
                <w:lang w:eastAsia="en-US"/>
              </w:rPr>
            </w:pPr>
            <w:r w:rsidRPr="0015127B">
              <w:rPr>
                <w:lang w:eastAsia="en-US"/>
              </w:rPr>
              <w:t>Review to Inform a Better and Fairer Education System</w:t>
            </w:r>
          </w:p>
          <w:p w14:paraId="53129430" w14:textId="77777777" w:rsidR="00845A97" w:rsidRPr="0015127B" w:rsidRDefault="00594971" w:rsidP="00AA640D">
            <w:pPr>
              <w:pStyle w:val="Boxbullet"/>
              <w:rPr>
                <w:lang w:eastAsia="en-US"/>
              </w:rPr>
            </w:pPr>
            <w:r w:rsidRPr="0015127B">
              <w:rPr>
                <w:lang w:eastAsia="en-US"/>
              </w:rPr>
              <w:t>Skills for Education and Employment program</w:t>
            </w:r>
          </w:p>
          <w:p w14:paraId="053E7EC6" w14:textId="77777777" w:rsidR="00845A97" w:rsidRPr="0015127B" w:rsidRDefault="00D9311B" w:rsidP="00AA640D">
            <w:pPr>
              <w:pStyle w:val="Boxbullet"/>
              <w:rPr>
                <w:lang w:eastAsia="en-US"/>
              </w:rPr>
            </w:pPr>
            <w:r w:rsidRPr="0015127B">
              <w:rPr>
                <w:lang w:eastAsia="en-US"/>
              </w:rPr>
              <w:t>Jobs and Skills Australia national study on adult literacy, numeracy, and digital skills</w:t>
            </w:r>
          </w:p>
          <w:p w14:paraId="11BCD2FC" w14:textId="0BFA19DC" w:rsidR="00FD2F4A" w:rsidRPr="009764EE" w:rsidRDefault="00FD2F4A" w:rsidP="00AA640D">
            <w:pPr>
              <w:pStyle w:val="Boxbullet"/>
              <w:rPr>
                <w:lang w:eastAsia="en-US"/>
              </w:rPr>
            </w:pPr>
            <w:r w:rsidRPr="0015127B">
              <w:rPr>
                <w:lang w:eastAsia="en-US"/>
              </w:rPr>
              <w:t>Preschool Reform Agreement</w:t>
            </w:r>
          </w:p>
        </w:tc>
      </w:tr>
    </w:tbl>
    <w:p w14:paraId="1FA2E7B4" w14:textId="77777777" w:rsidR="00616834" w:rsidRDefault="00616834" w:rsidP="00AE0245">
      <w:pPr>
        <w:rPr>
          <w:rFonts w:ascii="Calibri" w:hAnsi="Calibri" w:cs="Calibri"/>
        </w:rPr>
        <w:sectPr w:rsidR="00616834" w:rsidSect="00DA302B">
          <w:endnotePr>
            <w:numFmt w:val="decimal"/>
          </w:endnotePr>
          <w:type w:val="continuous"/>
          <w:pgSz w:w="11906" w:h="16838" w:code="9"/>
          <w:pgMar w:top="1843" w:right="1418" w:bottom="1418" w:left="1418" w:header="851" w:footer="851" w:gutter="0"/>
          <w:cols w:space="567"/>
          <w:docGrid w:linePitch="360"/>
        </w:sectPr>
      </w:pPr>
    </w:p>
    <w:p w14:paraId="6F780A18" w14:textId="5CA41A97" w:rsidR="00A0364F" w:rsidRPr="009764EE" w:rsidRDefault="00A0364F" w:rsidP="001511DA">
      <w:pPr>
        <w:pStyle w:val="Heading3"/>
        <w:rPr>
          <w:rFonts w:cs="Calibri"/>
          <w:szCs w:val="24"/>
        </w:rPr>
      </w:pPr>
      <w:r w:rsidRPr="009764EE">
        <w:rPr>
          <w:rFonts w:cs="Calibri"/>
        </w:rPr>
        <w:lastRenderedPageBreak/>
        <w:t>Digital preparedness</w:t>
      </w:r>
    </w:p>
    <w:p w14:paraId="6B283EE4" w14:textId="27F8CC4B" w:rsidR="00A0364F" w:rsidRPr="009764EE" w:rsidRDefault="00A0364F" w:rsidP="00AA640D">
      <w:r w:rsidRPr="009764EE">
        <w:t>One of the big factors which will determine whether we succeed in improving the productivity, competitiveness and resilience of our economy is how well we manage the digital transformation.</w:t>
      </w:r>
      <w:r w:rsidR="00640C71" w:rsidRPr="009764EE">
        <w:t xml:space="preserve"> </w:t>
      </w:r>
      <w:r w:rsidR="0010706A" w:rsidRPr="009764EE">
        <w:t xml:space="preserve">Digital technology is critical for online learning and developing skills for the future of work. </w:t>
      </w:r>
    </w:p>
    <w:p w14:paraId="02019A8E" w14:textId="4EB3FDDC" w:rsidR="00A0364F" w:rsidRPr="009764EE" w:rsidRDefault="00A0364F" w:rsidP="00AA640D">
      <w:r w:rsidRPr="009764EE">
        <w:t xml:space="preserve">One measure of that is digital inclusion. </w:t>
      </w:r>
    </w:p>
    <w:p w14:paraId="1292F874" w14:textId="22A053D1" w:rsidR="00A0364F" w:rsidRPr="009764EE" w:rsidRDefault="00DC1712" w:rsidP="008726F4">
      <w:r>
        <w:br w:type="column"/>
      </w:r>
      <w:r w:rsidR="00A0364F" w:rsidRPr="009764EE">
        <w:t>In 202</w:t>
      </w:r>
      <w:r w:rsidR="00B86A11">
        <w:t>3</w:t>
      </w:r>
      <w:r w:rsidR="00A0364F" w:rsidRPr="009764EE">
        <w:t xml:space="preserve"> (compared to 2020) digital inclusion across Australia increased for most social groups and regions. The number of highly excluded Australians has declined (but remains substantial)</w:t>
      </w:r>
      <w:r w:rsidR="00280E75" w:rsidRPr="009764EE">
        <w:t>.</w:t>
      </w:r>
      <w:r w:rsidR="00A0364F" w:rsidRPr="005049F1">
        <w:rPr>
          <w:rStyle w:val="FootnoteReference"/>
        </w:rPr>
        <w:endnoteReference w:id="73"/>
      </w:r>
      <w:r w:rsidR="00A0364F" w:rsidRPr="009764EE">
        <w:t xml:space="preserve"> </w:t>
      </w:r>
    </w:p>
    <w:p w14:paraId="3F9A2548" w14:textId="7CEA2FAD" w:rsidR="00A0364F" w:rsidRDefault="006F249F" w:rsidP="00AA640D">
      <w:r w:rsidRPr="009764EE">
        <w:t>Furthermore</w:t>
      </w:r>
      <w:r w:rsidR="00A0364F" w:rsidRPr="009764EE">
        <w:t>, while the divide between city, regional and remote areas has narrowed, it</w:t>
      </w:r>
      <w:r w:rsidR="00A0364F" w:rsidRPr="009764EE" w:rsidDel="000C2EFB">
        <w:t xml:space="preserve"> </w:t>
      </w:r>
      <w:r w:rsidR="00A0364F" w:rsidRPr="009764EE">
        <w:t xml:space="preserve">remains marked. In addition, access, affordability and digital ability remain a central barrier to closing the digital gap, </w:t>
      </w:r>
      <w:r w:rsidR="006144E1">
        <w:t>including</w:t>
      </w:r>
      <w:r w:rsidR="00A0364F" w:rsidRPr="009764EE">
        <w:t xml:space="preserve"> for </w:t>
      </w:r>
      <w:r w:rsidR="001524A0">
        <w:t>First Nation</w:t>
      </w:r>
      <w:r w:rsidR="00A0364F" w:rsidRPr="009764EE">
        <w:t xml:space="preserve">s people, Australians </w:t>
      </w:r>
      <w:r w:rsidR="0012139F" w:rsidRPr="009764EE">
        <w:t>aged 7</w:t>
      </w:r>
      <w:r w:rsidR="006144E1">
        <w:t>5</w:t>
      </w:r>
      <w:r w:rsidR="00C239AD">
        <w:t> year</w:t>
      </w:r>
      <w:r w:rsidR="00BE2134" w:rsidRPr="009764EE">
        <w:t xml:space="preserve">s </w:t>
      </w:r>
      <w:r w:rsidR="0012139F" w:rsidRPr="009764EE">
        <w:t xml:space="preserve">and over </w:t>
      </w:r>
      <w:r w:rsidR="00A0364F" w:rsidRPr="009764EE">
        <w:t xml:space="preserve">and Australians with disability. </w:t>
      </w:r>
    </w:p>
    <w:p w14:paraId="6B899C25" w14:textId="77777777" w:rsidR="00292B6E" w:rsidRDefault="00292B6E" w:rsidP="008F0AEE">
      <w:pPr>
        <w:rPr>
          <w:rFonts w:ascii="Calibri" w:hAnsi="Calibri" w:cs="Calibri"/>
        </w:rPr>
      </w:pPr>
    </w:p>
    <w:p w14:paraId="1189E096" w14:textId="083875BD" w:rsidR="00BB6AB9" w:rsidRDefault="00BB6AB9" w:rsidP="008F0AEE">
      <w:pPr>
        <w:rPr>
          <w:rFonts w:ascii="Calibri" w:hAnsi="Calibri" w:cs="Calibri"/>
        </w:rPr>
        <w:sectPr w:rsidR="00BB6AB9" w:rsidSect="00DA302B">
          <w:endnotePr>
            <w:numFmt w:val="decimal"/>
          </w:endnotePr>
          <w:pgSz w:w="11906" w:h="16838" w:code="9"/>
          <w:pgMar w:top="1843" w:right="1418" w:bottom="1418" w:left="1418" w:header="851" w:footer="851" w:gutter="0"/>
          <w:cols w:num="2" w:space="567"/>
          <w:docGrid w:linePitch="360"/>
        </w:sectPr>
      </w:pPr>
    </w:p>
    <w:tbl>
      <w:tblPr>
        <w:tblStyle w:val="MWMKey"/>
        <w:tblW w:w="5000" w:type="pct"/>
        <w:tblLook w:val="0620" w:firstRow="1" w:lastRow="0" w:firstColumn="0" w:lastColumn="0" w:noHBand="1" w:noVBand="1"/>
      </w:tblPr>
      <w:tblGrid>
        <w:gridCol w:w="9070"/>
      </w:tblGrid>
      <w:tr w:rsidR="00AE64F0" w:rsidRPr="009764EE" w14:paraId="24B64FC2" w14:textId="77777777" w:rsidTr="00AE64F0">
        <w:trPr>
          <w:cnfStyle w:val="100000000000" w:firstRow="1" w:lastRow="0" w:firstColumn="0" w:lastColumn="0" w:oddVBand="0" w:evenVBand="0" w:oddHBand="0" w:evenHBand="0" w:firstRowFirstColumn="0" w:firstRowLastColumn="0" w:lastRowFirstColumn="0" w:lastRowLastColumn="0"/>
        </w:trPr>
        <w:tc>
          <w:tcPr>
            <w:tcW w:w="5000" w:type="pct"/>
          </w:tcPr>
          <w:p w14:paraId="5BA00395" w14:textId="7D18D53F" w:rsidR="00AE64F0" w:rsidRPr="009764EE" w:rsidRDefault="00AE64F0" w:rsidP="00AE64F0">
            <w:pPr>
              <w:pStyle w:val="BoxHeading"/>
              <w:spacing w:after="0"/>
              <w:rPr>
                <w:lang w:eastAsia="en-US"/>
              </w:rPr>
            </w:pPr>
            <w:r w:rsidRPr="009764EE">
              <w:rPr>
                <w:lang w:eastAsia="en-US"/>
              </w:rPr>
              <w:t xml:space="preserve">Key Government initiatives for the digital economy </w:t>
            </w:r>
          </w:p>
        </w:tc>
      </w:tr>
      <w:tr w:rsidR="00292B6E" w:rsidRPr="009764EE" w14:paraId="3C35E585" w14:textId="77777777" w:rsidTr="00AE64F0">
        <w:tc>
          <w:tcPr>
            <w:tcW w:w="5000" w:type="pct"/>
            <w:hideMark/>
          </w:tcPr>
          <w:p w14:paraId="49162B3C" w14:textId="77777777" w:rsidR="00292B6E" w:rsidRPr="009764EE" w:rsidRDefault="00292B6E" w:rsidP="00473617">
            <w:pPr>
              <w:pStyle w:val="Boxbullet"/>
            </w:pPr>
            <w:r w:rsidRPr="009764EE">
              <w:t>National Broadband Network including the Better Connectivity Plan for Regional and Rural Australia</w:t>
            </w:r>
          </w:p>
          <w:p w14:paraId="7285817F" w14:textId="77777777" w:rsidR="00292B6E" w:rsidRPr="009764EE" w:rsidRDefault="00292B6E" w:rsidP="00473617">
            <w:pPr>
              <w:pStyle w:val="Boxbullet"/>
            </w:pPr>
            <w:r w:rsidRPr="009764EE">
              <w:t>Cyber Security Strategy (forthcoming)</w:t>
            </w:r>
          </w:p>
          <w:p w14:paraId="06C5EA23" w14:textId="77777777" w:rsidR="00292B6E" w:rsidRPr="009764EE" w:rsidRDefault="00292B6E" w:rsidP="00473617">
            <w:pPr>
              <w:pStyle w:val="Boxbullet"/>
            </w:pPr>
            <w:r w:rsidRPr="009764EE">
              <w:t>Establishing the Coordinator of Cyber Security</w:t>
            </w:r>
          </w:p>
          <w:p w14:paraId="71B40413" w14:textId="77777777" w:rsidR="00292B6E" w:rsidRPr="009764EE" w:rsidRDefault="00292B6E" w:rsidP="00473617">
            <w:pPr>
              <w:pStyle w:val="Boxbullet"/>
            </w:pPr>
            <w:r w:rsidRPr="009764EE">
              <w:t>Improving security of critical infrastructure</w:t>
            </w:r>
          </w:p>
          <w:p w14:paraId="220D320F" w14:textId="3F8307BE" w:rsidR="00292B6E" w:rsidRPr="009764EE" w:rsidRDefault="00292B6E" w:rsidP="00473617">
            <w:pPr>
              <w:pStyle w:val="Boxbullet"/>
            </w:pPr>
            <w:r w:rsidRPr="009764EE">
              <w:t>Training cyber wardens to build capability in small businesses and reduce exposure to cyber</w:t>
            </w:r>
            <w:r w:rsidR="00DC1712">
              <w:t> </w:t>
            </w:r>
            <w:r w:rsidRPr="009764EE">
              <w:t>attacks</w:t>
            </w:r>
          </w:p>
          <w:p w14:paraId="6F462550" w14:textId="77777777" w:rsidR="00292B6E" w:rsidRPr="009764EE" w:rsidRDefault="00292B6E" w:rsidP="00473617">
            <w:pPr>
              <w:pStyle w:val="Boxbullet"/>
            </w:pPr>
            <w:r w:rsidRPr="009764EE">
              <w:t>School Students Broadband Initiative</w:t>
            </w:r>
          </w:p>
          <w:p w14:paraId="71127348" w14:textId="025B6C40" w:rsidR="00292B6E" w:rsidRPr="009764EE" w:rsidRDefault="001524A0" w:rsidP="00473617">
            <w:pPr>
              <w:pStyle w:val="Boxbullet"/>
            </w:pPr>
            <w:r>
              <w:t>First Nation</w:t>
            </w:r>
            <w:r w:rsidR="00292B6E" w:rsidRPr="009764EE">
              <w:t>s Digital Inclusion Advisory Group</w:t>
            </w:r>
          </w:p>
          <w:p w14:paraId="6BDD8FDC" w14:textId="77777777" w:rsidR="00292B6E" w:rsidRPr="009764EE" w:rsidRDefault="00292B6E" w:rsidP="00473617">
            <w:pPr>
              <w:pStyle w:val="Boxbullet"/>
            </w:pPr>
            <w:r w:rsidRPr="009764EE">
              <w:t xml:space="preserve">Digital Skills initiative </w:t>
            </w:r>
          </w:p>
          <w:p w14:paraId="2DE4CAC2" w14:textId="77777777" w:rsidR="00292B6E" w:rsidRPr="009764EE" w:rsidRDefault="00292B6E" w:rsidP="00473617">
            <w:pPr>
              <w:pStyle w:val="Boxbullet"/>
            </w:pPr>
            <w:r w:rsidRPr="009764EE">
              <w:t>Be Connected Program</w:t>
            </w:r>
          </w:p>
          <w:p w14:paraId="3D43343E" w14:textId="77777777" w:rsidR="00292B6E" w:rsidRPr="009764EE" w:rsidRDefault="00292B6E" w:rsidP="00473617">
            <w:pPr>
              <w:pStyle w:val="Boxbullet"/>
            </w:pPr>
            <w:r w:rsidRPr="009764EE">
              <w:t>National Artificial Intelligence Centre to support digital adoption, as part of the Digital Economy Strategy</w:t>
            </w:r>
          </w:p>
          <w:p w14:paraId="5637F81A" w14:textId="77777777" w:rsidR="00292B6E" w:rsidRPr="00222646" w:rsidRDefault="00292B6E" w:rsidP="00473617">
            <w:pPr>
              <w:pStyle w:val="Boxbullet"/>
            </w:pPr>
            <w:r w:rsidRPr="009764EE">
              <w:t>Enabling new, digital markets through the Consumer Data Right in the banking and energy sectors, while expanding digital ID</w:t>
            </w:r>
          </w:p>
        </w:tc>
      </w:tr>
    </w:tbl>
    <w:p w14:paraId="519D105F" w14:textId="77777777" w:rsidR="00292B6E" w:rsidRPr="009764EE" w:rsidRDefault="00292B6E" w:rsidP="008F0AEE">
      <w:pPr>
        <w:rPr>
          <w:rFonts w:ascii="Calibri" w:hAnsi="Calibri" w:cs="Calibri"/>
        </w:rPr>
      </w:pPr>
    </w:p>
    <w:p w14:paraId="08C38536" w14:textId="77777777" w:rsidR="00CC7F38" w:rsidRPr="009764EE" w:rsidRDefault="00CC7F38" w:rsidP="00AE0245">
      <w:pPr>
        <w:pStyle w:val="Heading2"/>
        <w:spacing w:line="276" w:lineRule="auto"/>
        <w:rPr>
          <w:rFonts w:cs="Calibri"/>
          <w:b w:val="0"/>
          <w:sz w:val="32"/>
          <w:szCs w:val="24"/>
        </w:rPr>
        <w:sectPr w:rsidR="00CC7F38" w:rsidRPr="009764EE" w:rsidSect="00DA302B">
          <w:endnotePr>
            <w:numFmt w:val="decimal"/>
          </w:endnotePr>
          <w:type w:val="continuous"/>
          <w:pgSz w:w="11906" w:h="16838" w:code="9"/>
          <w:pgMar w:top="1843" w:right="1418" w:bottom="1418" w:left="1418" w:header="851" w:footer="851" w:gutter="0"/>
          <w:cols w:space="567"/>
          <w:docGrid w:linePitch="360"/>
        </w:sectPr>
      </w:pPr>
    </w:p>
    <w:p w14:paraId="39985DAC" w14:textId="1171263C" w:rsidR="00AE0245" w:rsidRPr="009764EE" w:rsidRDefault="004F1DBE" w:rsidP="00430CF7">
      <w:pPr>
        <w:pStyle w:val="Heading2"/>
        <w:spacing w:before="0"/>
      </w:pPr>
      <w:bookmarkStart w:id="102" w:name="_Toc147497682"/>
      <w:r w:rsidRPr="009764EE">
        <w:lastRenderedPageBreak/>
        <w:t>Broad opportunities for</w:t>
      </w:r>
      <w:r w:rsidR="00B61FDB" w:rsidRPr="009764EE">
        <w:t xml:space="preserve"> </w:t>
      </w:r>
      <w:r w:rsidR="001964B7" w:rsidRPr="009764EE">
        <w:t xml:space="preserve">employment and </w:t>
      </w:r>
      <w:r w:rsidR="003D68D2" w:rsidRPr="009764EE">
        <w:t>well</w:t>
      </w:r>
      <w:r w:rsidR="00135DEA">
        <w:noBreakHyphen/>
      </w:r>
      <w:r w:rsidR="003D68D2" w:rsidRPr="009764EE">
        <w:t xml:space="preserve">paid, </w:t>
      </w:r>
      <w:r w:rsidR="00B61FDB" w:rsidRPr="009764EE">
        <w:t>secure</w:t>
      </w:r>
      <w:r w:rsidR="00BB6AB9">
        <w:t> </w:t>
      </w:r>
      <w:r w:rsidR="00B61FDB" w:rsidRPr="009764EE">
        <w:t>jobs</w:t>
      </w:r>
      <w:bookmarkEnd w:id="102"/>
    </w:p>
    <w:tbl>
      <w:tblPr>
        <w:tblStyle w:val="MWMTables"/>
        <w:tblW w:w="9071" w:type="dxa"/>
        <w:tblLook w:val="06A0" w:firstRow="1" w:lastRow="0" w:firstColumn="1" w:lastColumn="0" w:noHBand="1" w:noVBand="1"/>
      </w:tblPr>
      <w:tblGrid>
        <w:gridCol w:w="1198"/>
        <w:gridCol w:w="2630"/>
        <w:gridCol w:w="2409"/>
        <w:gridCol w:w="1134"/>
        <w:gridCol w:w="1700"/>
      </w:tblGrid>
      <w:tr w:rsidR="00AB0ABC" w:rsidRPr="009764EE" w14:paraId="3446A9DB" w14:textId="77777777" w:rsidTr="00101648">
        <w:trPr>
          <w:cnfStyle w:val="100000000000" w:firstRow="1" w:lastRow="0" w:firstColumn="0" w:lastColumn="0" w:oddVBand="0" w:evenVBand="0" w:oddHBand="0" w:evenHBand="0" w:firstRowFirstColumn="0" w:firstRowLastColumn="0" w:lastRowFirstColumn="0" w:lastRowLastColumn="0"/>
          <w:trHeight w:val="20"/>
        </w:trPr>
        <w:tc>
          <w:tcPr>
            <w:tcW w:w="1198" w:type="dxa"/>
          </w:tcPr>
          <w:p w14:paraId="5866FF88" w14:textId="4015BD3E" w:rsidR="00E14E18" w:rsidRPr="009764EE" w:rsidRDefault="00E14E18" w:rsidP="00516A83">
            <w:pPr>
              <w:pStyle w:val="TableColumnHeadingLeft"/>
            </w:pPr>
            <w:r w:rsidRPr="009764EE">
              <w:t>Indicator</w:t>
            </w:r>
          </w:p>
        </w:tc>
        <w:tc>
          <w:tcPr>
            <w:tcW w:w="2630" w:type="dxa"/>
          </w:tcPr>
          <w:p w14:paraId="0265DF26" w14:textId="77777777" w:rsidR="00E14E18" w:rsidRPr="009764EE" w:rsidRDefault="00E14E18" w:rsidP="00516A83">
            <w:pPr>
              <w:pStyle w:val="TableColumnHeadingLeft"/>
            </w:pPr>
            <w:r w:rsidRPr="009764EE">
              <w:t>Metric</w:t>
            </w:r>
          </w:p>
        </w:tc>
        <w:tc>
          <w:tcPr>
            <w:tcW w:w="2409" w:type="dxa"/>
          </w:tcPr>
          <w:p w14:paraId="192E6702" w14:textId="77777777" w:rsidR="00E14E18" w:rsidRPr="009764EE" w:rsidRDefault="00E14E18" w:rsidP="00516A83">
            <w:pPr>
              <w:pStyle w:val="TableColumnHeadingLeft"/>
            </w:pPr>
            <w:r w:rsidRPr="009764EE">
              <w:t>Why this metric</w:t>
            </w:r>
          </w:p>
        </w:tc>
        <w:tc>
          <w:tcPr>
            <w:tcW w:w="1134" w:type="dxa"/>
          </w:tcPr>
          <w:p w14:paraId="24328608" w14:textId="77777777" w:rsidR="00E14E18" w:rsidRPr="009764EE" w:rsidRDefault="00E14E18" w:rsidP="00516A83">
            <w:pPr>
              <w:pStyle w:val="TableColumnHeadingLeft"/>
            </w:pPr>
            <w:r w:rsidRPr="00516A83">
              <w:t>Progress</w:t>
            </w:r>
          </w:p>
        </w:tc>
        <w:tc>
          <w:tcPr>
            <w:tcW w:w="1700" w:type="dxa"/>
          </w:tcPr>
          <w:p w14:paraId="414CA444" w14:textId="734EB2BF" w:rsidR="00E14E18" w:rsidRPr="009764EE" w:rsidRDefault="00E14E18" w:rsidP="00516A83">
            <w:pPr>
              <w:pStyle w:val="TableColumnHeadingLeft"/>
            </w:pPr>
            <w:r w:rsidRPr="009764EE">
              <w:t>Latest Value</w:t>
            </w:r>
            <w:r w:rsidR="00345047" w:rsidRPr="00C239AD">
              <w:rPr>
                <w:rStyle w:val="FootnoteReference"/>
              </w:rPr>
              <w:t>(i)</w:t>
            </w:r>
          </w:p>
        </w:tc>
      </w:tr>
      <w:tr w:rsidR="002B4DD9" w:rsidRPr="009764EE" w14:paraId="22B6EFEB" w14:textId="77777777" w:rsidTr="00101648">
        <w:trPr>
          <w:trHeight w:val="20"/>
        </w:trPr>
        <w:tc>
          <w:tcPr>
            <w:tcW w:w="1198" w:type="dxa"/>
          </w:tcPr>
          <w:p w14:paraId="0F77E2D1" w14:textId="0132E1C3" w:rsidR="008A563E" w:rsidRPr="005667A4" w:rsidRDefault="008A563E" w:rsidP="00516A83">
            <w:pPr>
              <w:pStyle w:val="TableTextLeft"/>
              <w:rPr>
                <w:rStyle w:val="Strong"/>
                <w:color w:val="082C44"/>
              </w:rPr>
            </w:pPr>
            <w:r w:rsidRPr="005667A4">
              <w:rPr>
                <w:rStyle w:val="Strong"/>
                <w:color w:val="082C44"/>
              </w:rPr>
              <w:t xml:space="preserve">Wages </w:t>
            </w:r>
          </w:p>
        </w:tc>
        <w:tc>
          <w:tcPr>
            <w:tcW w:w="2630" w:type="dxa"/>
            <w:tcBorders>
              <w:bottom w:val="single" w:sz="4" w:space="0" w:color="216364"/>
            </w:tcBorders>
          </w:tcPr>
          <w:p w14:paraId="05452074" w14:textId="499CAABE" w:rsidR="008A563E" w:rsidRPr="009764EE" w:rsidRDefault="005B6A13" w:rsidP="00516A83">
            <w:pPr>
              <w:pStyle w:val="TableTextLeft"/>
              <w:rPr>
                <w:bCs/>
              </w:rPr>
            </w:pPr>
            <w:r>
              <w:t>Growth in the wage price index adjusted for inflation, as measured by the consumer price index</w:t>
            </w:r>
            <w:r w:rsidR="008A563E" w:rsidRPr="00C239AD">
              <w:rPr>
                <w:rStyle w:val="TableFootnoteReference"/>
              </w:rPr>
              <w:t>(</w:t>
            </w:r>
            <w:r w:rsidR="00EF05D9" w:rsidRPr="00C239AD">
              <w:rPr>
                <w:rStyle w:val="TableFootnoteReference"/>
              </w:rPr>
              <w:t>a</w:t>
            </w:r>
            <w:r w:rsidR="008A563E" w:rsidRPr="00C239AD">
              <w:rPr>
                <w:rStyle w:val="TableFootnoteReference"/>
              </w:rPr>
              <w:t>)</w:t>
            </w:r>
          </w:p>
        </w:tc>
        <w:tc>
          <w:tcPr>
            <w:tcW w:w="2409" w:type="dxa"/>
            <w:tcBorders>
              <w:bottom w:val="single" w:sz="4" w:space="0" w:color="216364"/>
            </w:tcBorders>
          </w:tcPr>
          <w:p w14:paraId="47FAC247" w14:textId="1DCFB4A0" w:rsidR="00A01B6C" w:rsidRPr="009764EE" w:rsidDel="00A62A24" w:rsidRDefault="008A563E" w:rsidP="00516A83">
            <w:pPr>
              <w:pStyle w:val="TableTextLeft"/>
              <w:rPr>
                <w:bCs/>
              </w:rPr>
            </w:pPr>
            <w:r w:rsidRPr="009764EE">
              <w:rPr>
                <w:lang w:eastAsia="en-US"/>
              </w:rPr>
              <w:t xml:space="preserve">Increases in real </w:t>
            </w:r>
            <w:r w:rsidR="00A77323" w:rsidRPr="009764EE">
              <w:rPr>
                <w:lang w:eastAsia="en-US"/>
              </w:rPr>
              <w:t xml:space="preserve">wages </w:t>
            </w:r>
            <w:r w:rsidRPr="009764EE">
              <w:rPr>
                <w:lang w:eastAsia="en-US"/>
              </w:rPr>
              <w:t xml:space="preserve">allow households to increase the volume or quality of consumption, improving their wellbeing outcomes </w:t>
            </w:r>
          </w:p>
        </w:tc>
        <w:tc>
          <w:tcPr>
            <w:tcW w:w="1134" w:type="dxa"/>
            <w:tcBorders>
              <w:bottom w:val="single" w:sz="4" w:space="0" w:color="216364"/>
            </w:tcBorders>
          </w:tcPr>
          <w:p w14:paraId="6A72808F" w14:textId="176AAD2D" w:rsidR="008A563E" w:rsidRPr="00BB6AB9" w:rsidRDefault="008A563E" w:rsidP="00516A83">
            <w:pPr>
              <w:pStyle w:val="TableTextCentered"/>
            </w:pPr>
            <w:r w:rsidRPr="009764EE">
              <w:t>Stable</w:t>
            </w:r>
            <w:r w:rsidR="00A764CB" w:rsidRPr="009764EE">
              <w:t xml:space="preserve"> to 2020</w:t>
            </w:r>
          </w:p>
          <w:p w14:paraId="59DF3936" w14:textId="50E0B43D" w:rsidR="00B478FF" w:rsidRPr="009764EE" w:rsidRDefault="00B478FF" w:rsidP="00516A83">
            <w:pPr>
              <w:pStyle w:val="TableTextCentered"/>
              <w:rPr>
                <w:lang w:eastAsia="en-US"/>
              </w:rPr>
            </w:pPr>
            <w:r w:rsidRPr="009764EE">
              <w:rPr>
                <w:lang w:eastAsia="en-US"/>
              </w:rPr>
              <w:t>Volatile</w:t>
            </w:r>
          </w:p>
          <w:p w14:paraId="79FC0A36" w14:textId="6223C1BD" w:rsidR="008A563E" w:rsidRPr="009764EE" w:rsidRDefault="008A563E" w:rsidP="00516A83">
            <w:pPr>
              <w:pStyle w:val="TableTextCentered"/>
            </w:pPr>
            <w:r w:rsidRPr="009764EE">
              <w:rPr>
                <w:lang w:eastAsia="en-US"/>
              </w:rPr>
              <w:t>20</w:t>
            </w:r>
            <w:r w:rsidR="00B478FF" w:rsidRPr="009764EE">
              <w:rPr>
                <w:lang w:eastAsia="en-US"/>
              </w:rPr>
              <w:t>20</w:t>
            </w:r>
            <w:r w:rsidR="00151999">
              <w:rPr>
                <w:lang w:eastAsia="en-US"/>
              </w:rPr>
              <w:t>–</w:t>
            </w:r>
            <w:r w:rsidRPr="009764EE">
              <w:rPr>
                <w:lang w:eastAsia="en-US"/>
              </w:rPr>
              <w:t>202</w:t>
            </w:r>
            <w:r w:rsidR="00E51C25" w:rsidRPr="009764EE">
              <w:rPr>
                <w:lang w:eastAsia="en-US"/>
              </w:rPr>
              <w:t>3</w:t>
            </w:r>
          </w:p>
        </w:tc>
        <w:tc>
          <w:tcPr>
            <w:tcW w:w="1700" w:type="dxa"/>
            <w:tcBorders>
              <w:bottom w:val="single" w:sz="4" w:space="0" w:color="216364"/>
            </w:tcBorders>
          </w:tcPr>
          <w:p w14:paraId="40B4CF80" w14:textId="18AFE9DA" w:rsidR="00744316" w:rsidRPr="009764EE" w:rsidRDefault="00135DEA" w:rsidP="00516A83">
            <w:pPr>
              <w:pStyle w:val="TableTextCentered"/>
              <w:rPr>
                <w:lang w:eastAsia="en-US"/>
              </w:rPr>
            </w:pPr>
            <w:r>
              <w:rPr>
                <w:lang w:eastAsia="en-US"/>
              </w:rPr>
              <w:noBreakHyphen/>
            </w:r>
            <w:r w:rsidR="00C523A1" w:rsidRPr="009764EE">
              <w:rPr>
                <w:lang w:eastAsia="en-US"/>
              </w:rPr>
              <w:t>3.</w:t>
            </w:r>
            <w:r w:rsidR="00397F47" w:rsidRPr="009764EE">
              <w:rPr>
                <w:lang w:eastAsia="en-US"/>
              </w:rPr>
              <w:t>1</w:t>
            </w:r>
            <w:r w:rsidR="00053677" w:rsidRPr="009764EE">
              <w:rPr>
                <w:lang w:eastAsia="en-US"/>
              </w:rPr>
              <w:t>%</w:t>
            </w:r>
            <w:r w:rsidR="008A563E" w:rsidRPr="009764EE">
              <w:rPr>
                <w:lang w:eastAsia="en-US"/>
              </w:rPr>
              <w:t xml:space="preserve"> </w:t>
            </w:r>
          </w:p>
          <w:p w14:paraId="5520B373" w14:textId="3D2B49A3" w:rsidR="008A563E" w:rsidRPr="009764EE" w:rsidRDefault="008A563E" w:rsidP="00516A83">
            <w:pPr>
              <w:pStyle w:val="TableTextCentered"/>
              <w:rPr>
                <w:bCs/>
              </w:rPr>
            </w:pPr>
            <w:r w:rsidRPr="009764EE">
              <w:rPr>
                <w:lang w:eastAsia="en-US"/>
              </w:rPr>
              <w:t>March quarter 2023</w:t>
            </w:r>
          </w:p>
        </w:tc>
      </w:tr>
      <w:tr w:rsidR="002B4DD9" w:rsidRPr="009764EE" w14:paraId="36584D51" w14:textId="77777777" w:rsidTr="00101648">
        <w:trPr>
          <w:trHeight w:val="20"/>
        </w:trPr>
        <w:tc>
          <w:tcPr>
            <w:tcW w:w="1198" w:type="dxa"/>
            <w:vMerge w:val="restart"/>
          </w:tcPr>
          <w:p w14:paraId="15EF18A5" w14:textId="7E32E039" w:rsidR="00647201" w:rsidRPr="005667A4" w:rsidRDefault="00647201" w:rsidP="00516A83">
            <w:pPr>
              <w:pStyle w:val="TableTextLeft"/>
              <w:rPr>
                <w:rStyle w:val="Strong"/>
                <w:color w:val="082C44"/>
              </w:rPr>
            </w:pPr>
            <w:r w:rsidRPr="005667A4">
              <w:rPr>
                <w:rStyle w:val="Strong"/>
                <w:color w:val="082C44"/>
              </w:rPr>
              <w:t xml:space="preserve">Job opportunities </w:t>
            </w:r>
          </w:p>
        </w:tc>
        <w:tc>
          <w:tcPr>
            <w:tcW w:w="2630" w:type="dxa"/>
            <w:tcBorders>
              <w:top w:val="single" w:sz="4" w:space="0" w:color="216364"/>
              <w:bottom w:val="single" w:sz="4" w:space="0" w:color="EEEEEE" w:themeColor="background2"/>
            </w:tcBorders>
          </w:tcPr>
          <w:p w14:paraId="10911C81" w14:textId="40C7FD28" w:rsidR="00647201" w:rsidRPr="009764EE" w:rsidRDefault="00647201" w:rsidP="00516A83">
            <w:pPr>
              <w:pStyle w:val="TableTextLeft"/>
            </w:pPr>
            <w:r w:rsidRPr="009764EE">
              <w:t>Unemployment rate</w:t>
            </w:r>
            <w:r w:rsidRPr="00C239AD">
              <w:rPr>
                <w:rStyle w:val="TableFootnoteReference"/>
              </w:rPr>
              <w:t>(b)</w:t>
            </w:r>
          </w:p>
        </w:tc>
        <w:tc>
          <w:tcPr>
            <w:tcW w:w="2409" w:type="dxa"/>
            <w:vMerge w:val="restart"/>
            <w:tcBorders>
              <w:top w:val="single" w:sz="4" w:space="0" w:color="216364"/>
              <w:bottom w:val="single" w:sz="4" w:space="0" w:color="EEEEEE" w:themeColor="background2"/>
            </w:tcBorders>
          </w:tcPr>
          <w:p w14:paraId="29FF3AEF" w14:textId="02147A36" w:rsidR="00647201" w:rsidRPr="009764EE" w:rsidRDefault="00647201" w:rsidP="00516A83">
            <w:pPr>
              <w:pStyle w:val="TableTextLeft"/>
            </w:pPr>
            <w:r w:rsidRPr="009764EE" w:rsidDel="00A62A24">
              <w:t xml:space="preserve">Provides an indication of </w:t>
            </w:r>
            <w:r w:rsidRPr="009764EE">
              <w:t xml:space="preserve">those </w:t>
            </w:r>
            <w:r w:rsidRPr="009764EE" w:rsidDel="00A62A24">
              <w:t xml:space="preserve">people who want </w:t>
            </w:r>
            <w:r w:rsidRPr="009764EE">
              <w:t>a job or who want to</w:t>
            </w:r>
            <w:r w:rsidRPr="009764EE" w:rsidDel="00A62A24">
              <w:t xml:space="preserve"> work</w:t>
            </w:r>
            <w:r w:rsidRPr="009764EE">
              <w:t xml:space="preserve"> more hours</w:t>
            </w:r>
          </w:p>
        </w:tc>
        <w:tc>
          <w:tcPr>
            <w:tcW w:w="1134" w:type="dxa"/>
            <w:vMerge w:val="restart"/>
            <w:tcBorders>
              <w:top w:val="single" w:sz="4" w:space="0" w:color="216364"/>
              <w:bottom w:val="single" w:sz="4" w:space="0" w:color="EEEEEE" w:themeColor="background2"/>
            </w:tcBorders>
          </w:tcPr>
          <w:p w14:paraId="6346B9B6" w14:textId="3B48CAB5" w:rsidR="00647201" w:rsidRPr="009764EE" w:rsidRDefault="00647201" w:rsidP="00516A83">
            <w:pPr>
              <w:pStyle w:val="TableTextCentered"/>
            </w:pPr>
            <w:r w:rsidRPr="009764EE">
              <w:t>Improved</w:t>
            </w:r>
          </w:p>
          <w:p w14:paraId="62FDCB24" w14:textId="093F74D2" w:rsidR="00647201" w:rsidRPr="009764EE" w:rsidRDefault="00647201" w:rsidP="00516A83">
            <w:pPr>
              <w:pStyle w:val="TableTextCentered"/>
            </w:pPr>
            <w:r w:rsidRPr="009764EE">
              <w:t>2003</w:t>
            </w:r>
            <w:r w:rsidR="00151999">
              <w:t>–</w:t>
            </w:r>
            <w:r w:rsidR="007363C5">
              <w:t>M</w:t>
            </w:r>
            <w:r w:rsidRPr="009764EE">
              <w:t>ay</w:t>
            </w:r>
            <w:r w:rsidR="007363C5">
              <w:t> </w:t>
            </w:r>
            <w:r w:rsidRPr="009764EE">
              <w:t>23</w:t>
            </w:r>
          </w:p>
        </w:tc>
        <w:tc>
          <w:tcPr>
            <w:tcW w:w="1700" w:type="dxa"/>
            <w:tcBorders>
              <w:top w:val="single" w:sz="4" w:space="0" w:color="216364"/>
              <w:bottom w:val="single" w:sz="4" w:space="0" w:color="EEEEEE" w:themeColor="background2"/>
            </w:tcBorders>
          </w:tcPr>
          <w:p w14:paraId="3D671332" w14:textId="03F97962" w:rsidR="00647201" w:rsidRPr="009764EE" w:rsidRDefault="00647201" w:rsidP="00516A83">
            <w:pPr>
              <w:pStyle w:val="TableTextCentered"/>
            </w:pPr>
            <w:r w:rsidRPr="009764EE">
              <w:t>3.6%</w:t>
            </w:r>
          </w:p>
        </w:tc>
      </w:tr>
      <w:tr w:rsidR="002B4DD9" w:rsidRPr="009764EE" w14:paraId="77E8C6BB" w14:textId="77777777" w:rsidTr="00101648">
        <w:trPr>
          <w:trHeight w:val="20"/>
        </w:trPr>
        <w:tc>
          <w:tcPr>
            <w:tcW w:w="1198" w:type="dxa"/>
            <w:vMerge/>
          </w:tcPr>
          <w:p w14:paraId="749AE255" w14:textId="77777777" w:rsidR="00647201" w:rsidRPr="005667A4" w:rsidRDefault="00647201" w:rsidP="008A563E">
            <w:pPr>
              <w:spacing w:before="0" w:after="0"/>
              <w:rPr>
                <w:rStyle w:val="Strong"/>
                <w:color w:val="082C44"/>
              </w:rPr>
            </w:pPr>
          </w:p>
        </w:tc>
        <w:tc>
          <w:tcPr>
            <w:tcW w:w="2630" w:type="dxa"/>
            <w:tcBorders>
              <w:top w:val="single" w:sz="4" w:space="0" w:color="EEEEEE" w:themeColor="background2"/>
              <w:bottom w:val="single" w:sz="4" w:space="0" w:color="EEEEEE" w:themeColor="background2"/>
            </w:tcBorders>
          </w:tcPr>
          <w:p w14:paraId="74E9C2C6" w14:textId="5164D060" w:rsidR="00647201" w:rsidRPr="009764EE" w:rsidRDefault="00647201" w:rsidP="00516A83">
            <w:pPr>
              <w:pStyle w:val="TableTextLeft"/>
            </w:pPr>
            <w:r w:rsidRPr="009764EE">
              <w:t>Long</w:t>
            </w:r>
            <w:r w:rsidR="00135DEA">
              <w:noBreakHyphen/>
            </w:r>
            <w:r w:rsidRPr="009764EE">
              <w:t>term unemployment rate</w:t>
            </w:r>
            <w:r w:rsidRPr="00C239AD">
              <w:rPr>
                <w:rStyle w:val="TableFootnoteReference"/>
              </w:rPr>
              <w:t>(b)</w:t>
            </w:r>
          </w:p>
        </w:tc>
        <w:tc>
          <w:tcPr>
            <w:tcW w:w="2409" w:type="dxa"/>
            <w:vMerge/>
            <w:tcBorders>
              <w:top w:val="single" w:sz="4" w:space="0" w:color="EEEEEE" w:themeColor="background2"/>
              <w:bottom w:val="single" w:sz="4" w:space="0" w:color="EEEEEE" w:themeColor="background2"/>
            </w:tcBorders>
          </w:tcPr>
          <w:p w14:paraId="46E21559" w14:textId="77777777" w:rsidR="00647201" w:rsidRPr="009764EE" w:rsidRDefault="00647201" w:rsidP="008A563E">
            <w:pPr>
              <w:spacing w:before="0" w:after="0"/>
              <w:rPr>
                <w:rFonts w:ascii="Calibri" w:hAnsi="Calibri" w:cs="Calibri"/>
                <w:bCs/>
              </w:rPr>
            </w:pPr>
          </w:p>
        </w:tc>
        <w:tc>
          <w:tcPr>
            <w:tcW w:w="1134" w:type="dxa"/>
            <w:vMerge/>
            <w:tcBorders>
              <w:top w:val="single" w:sz="4" w:space="0" w:color="EEEEEE" w:themeColor="background2"/>
              <w:bottom w:val="single" w:sz="4" w:space="0" w:color="EEEEEE" w:themeColor="background2"/>
            </w:tcBorders>
          </w:tcPr>
          <w:p w14:paraId="6A59D511" w14:textId="77777777" w:rsidR="00647201" w:rsidRPr="009764EE" w:rsidRDefault="00647201" w:rsidP="008A563E">
            <w:pPr>
              <w:tabs>
                <w:tab w:val="left" w:pos="813"/>
              </w:tabs>
              <w:spacing w:before="0" w:after="0"/>
              <w:jc w:val="center"/>
              <w:rPr>
                <w:rFonts w:ascii="Calibri" w:hAnsi="Calibri" w:cs="Calibri"/>
                <w:bCs/>
              </w:rPr>
            </w:pPr>
          </w:p>
        </w:tc>
        <w:tc>
          <w:tcPr>
            <w:tcW w:w="1700" w:type="dxa"/>
            <w:tcBorders>
              <w:top w:val="single" w:sz="4" w:space="0" w:color="EEEEEE" w:themeColor="background2"/>
              <w:bottom w:val="single" w:sz="4" w:space="0" w:color="EEEEEE" w:themeColor="background2"/>
            </w:tcBorders>
          </w:tcPr>
          <w:p w14:paraId="134FCFEF" w14:textId="043224A7" w:rsidR="00647201" w:rsidRPr="009764EE" w:rsidRDefault="00647201" w:rsidP="00516A83">
            <w:pPr>
              <w:pStyle w:val="TableTextCentered"/>
            </w:pPr>
            <w:r w:rsidRPr="009764EE">
              <w:t>0.6%</w:t>
            </w:r>
          </w:p>
        </w:tc>
      </w:tr>
      <w:tr w:rsidR="002B4DD9" w:rsidRPr="009764EE" w14:paraId="62B51FE1" w14:textId="77777777" w:rsidTr="00101648">
        <w:trPr>
          <w:trHeight w:val="20"/>
        </w:trPr>
        <w:tc>
          <w:tcPr>
            <w:tcW w:w="1198" w:type="dxa"/>
            <w:vMerge/>
          </w:tcPr>
          <w:p w14:paraId="381CFC01" w14:textId="77777777" w:rsidR="00647201" w:rsidRPr="005667A4" w:rsidRDefault="00647201" w:rsidP="008A563E">
            <w:pPr>
              <w:spacing w:before="0" w:after="0"/>
              <w:rPr>
                <w:rStyle w:val="Strong"/>
                <w:color w:val="082C44"/>
              </w:rPr>
            </w:pPr>
          </w:p>
        </w:tc>
        <w:tc>
          <w:tcPr>
            <w:tcW w:w="2630" w:type="dxa"/>
            <w:tcBorders>
              <w:top w:val="single" w:sz="4" w:space="0" w:color="EEEEEE" w:themeColor="background2"/>
              <w:bottom w:val="single" w:sz="4" w:space="0" w:color="216364"/>
            </w:tcBorders>
          </w:tcPr>
          <w:p w14:paraId="54CC81DF" w14:textId="3621A265" w:rsidR="00647201" w:rsidRPr="009764EE" w:rsidRDefault="00647201" w:rsidP="00516A83">
            <w:pPr>
              <w:pStyle w:val="TableTextLeft"/>
            </w:pPr>
            <w:r w:rsidRPr="009764EE">
              <w:t>Underutilisation rate (hours</w:t>
            </w:r>
            <w:r w:rsidR="00135DEA">
              <w:noBreakHyphen/>
            </w:r>
            <w:r w:rsidRPr="009764EE">
              <w:t>based)</w:t>
            </w:r>
            <w:r w:rsidRPr="00C239AD">
              <w:rPr>
                <w:rStyle w:val="TableFootnoteReference"/>
              </w:rPr>
              <w:t>(c)</w:t>
            </w:r>
          </w:p>
        </w:tc>
        <w:tc>
          <w:tcPr>
            <w:tcW w:w="2409" w:type="dxa"/>
            <w:vMerge/>
            <w:tcBorders>
              <w:top w:val="single" w:sz="4" w:space="0" w:color="EEEEEE" w:themeColor="background2"/>
              <w:bottom w:val="single" w:sz="4" w:space="0" w:color="216364"/>
            </w:tcBorders>
          </w:tcPr>
          <w:p w14:paraId="449F3D93" w14:textId="77777777" w:rsidR="00647201" w:rsidRPr="009764EE" w:rsidRDefault="00647201" w:rsidP="008A563E">
            <w:pPr>
              <w:spacing w:before="0" w:after="0"/>
              <w:rPr>
                <w:rFonts w:ascii="Calibri" w:hAnsi="Calibri" w:cs="Calibri"/>
                <w:bCs/>
              </w:rPr>
            </w:pPr>
          </w:p>
        </w:tc>
        <w:tc>
          <w:tcPr>
            <w:tcW w:w="1134" w:type="dxa"/>
            <w:vMerge/>
            <w:tcBorders>
              <w:top w:val="single" w:sz="4" w:space="0" w:color="EEEEEE" w:themeColor="background2"/>
              <w:bottom w:val="single" w:sz="4" w:space="0" w:color="216364"/>
            </w:tcBorders>
          </w:tcPr>
          <w:p w14:paraId="2C0A0A05" w14:textId="77777777" w:rsidR="00647201" w:rsidRPr="009764EE" w:rsidRDefault="00647201" w:rsidP="008A563E">
            <w:pPr>
              <w:tabs>
                <w:tab w:val="left" w:pos="813"/>
              </w:tabs>
              <w:spacing w:before="0" w:after="0"/>
              <w:jc w:val="center"/>
              <w:rPr>
                <w:rFonts w:ascii="Calibri" w:hAnsi="Calibri" w:cs="Calibri"/>
                <w:bCs/>
              </w:rPr>
            </w:pPr>
          </w:p>
        </w:tc>
        <w:tc>
          <w:tcPr>
            <w:tcW w:w="1700" w:type="dxa"/>
            <w:tcBorders>
              <w:top w:val="single" w:sz="4" w:space="0" w:color="EEEEEE" w:themeColor="background2"/>
              <w:bottom w:val="single" w:sz="4" w:space="0" w:color="216364"/>
            </w:tcBorders>
          </w:tcPr>
          <w:p w14:paraId="182F1E96" w14:textId="5EB9C38B" w:rsidR="00647201" w:rsidRPr="009764EE" w:rsidRDefault="00647201" w:rsidP="00516A83">
            <w:pPr>
              <w:pStyle w:val="TableTextCentered"/>
            </w:pPr>
            <w:r w:rsidRPr="009764EE">
              <w:t>5.3%</w:t>
            </w:r>
          </w:p>
        </w:tc>
      </w:tr>
      <w:tr w:rsidR="002B4DD9" w:rsidRPr="009764EE" w14:paraId="739167B2" w14:textId="77777777" w:rsidTr="00101648">
        <w:trPr>
          <w:trHeight w:val="20"/>
        </w:trPr>
        <w:tc>
          <w:tcPr>
            <w:tcW w:w="1198" w:type="dxa"/>
            <w:vMerge w:val="restart"/>
          </w:tcPr>
          <w:p w14:paraId="5994EE34" w14:textId="1ED563B5" w:rsidR="003F2104" w:rsidRPr="005667A4" w:rsidRDefault="003F2104" w:rsidP="005667A4">
            <w:pPr>
              <w:pStyle w:val="TableTextLeft"/>
              <w:rPr>
                <w:rStyle w:val="Strong"/>
                <w:color w:val="082C44"/>
              </w:rPr>
            </w:pPr>
            <w:r w:rsidRPr="005667A4">
              <w:rPr>
                <w:rStyle w:val="Strong"/>
                <w:color w:val="082C44"/>
              </w:rPr>
              <w:t>Broadening access to work</w:t>
            </w:r>
          </w:p>
        </w:tc>
        <w:tc>
          <w:tcPr>
            <w:tcW w:w="2630" w:type="dxa"/>
            <w:vMerge w:val="restart"/>
            <w:tcBorders>
              <w:top w:val="single" w:sz="4" w:space="0" w:color="216364"/>
              <w:bottom w:val="single" w:sz="4" w:space="0" w:color="EEEEEE" w:themeColor="background2"/>
            </w:tcBorders>
          </w:tcPr>
          <w:p w14:paraId="41831735" w14:textId="77777777" w:rsidR="003F2104" w:rsidRPr="009764EE" w:rsidRDefault="003F2104" w:rsidP="005667A4">
            <w:pPr>
              <w:pStyle w:val="TableTextLeft"/>
            </w:pPr>
            <w:r w:rsidRPr="009764EE">
              <w:t>Employment</w:t>
            </w:r>
            <w:r>
              <w:t xml:space="preserve"> rate</w:t>
            </w:r>
            <w:r w:rsidRPr="009764EE">
              <w:t>, population aged 15</w:t>
            </w:r>
            <w:r w:rsidR="00151999">
              <w:t>–</w:t>
            </w:r>
            <w:r w:rsidRPr="009764EE">
              <w:t>64</w:t>
            </w:r>
            <w:r w:rsidRPr="00C239AD">
              <w:rPr>
                <w:rStyle w:val="TableFootnoteReference"/>
              </w:rPr>
              <w:t>(b)</w:t>
            </w:r>
          </w:p>
        </w:tc>
        <w:tc>
          <w:tcPr>
            <w:tcW w:w="2409" w:type="dxa"/>
            <w:vMerge w:val="restart"/>
            <w:tcBorders>
              <w:top w:val="single" w:sz="4" w:space="0" w:color="216364"/>
              <w:bottom w:val="single" w:sz="4" w:space="0" w:color="EEEEEE" w:themeColor="background2"/>
            </w:tcBorders>
          </w:tcPr>
          <w:p w14:paraId="5D1E2FAF" w14:textId="77777777" w:rsidR="003F2104" w:rsidRPr="009764EE" w:rsidRDefault="003F2104" w:rsidP="005667A4">
            <w:pPr>
              <w:pStyle w:val="TableTextLeft"/>
            </w:pPr>
            <w:r w:rsidRPr="009764EE">
              <w:t xml:space="preserve">Measures access to employment opportunities </w:t>
            </w:r>
          </w:p>
        </w:tc>
        <w:tc>
          <w:tcPr>
            <w:tcW w:w="1134" w:type="dxa"/>
            <w:tcBorders>
              <w:top w:val="single" w:sz="4" w:space="0" w:color="216364"/>
              <w:bottom w:val="single" w:sz="4" w:space="0" w:color="EEEEEE" w:themeColor="background2"/>
            </w:tcBorders>
          </w:tcPr>
          <w:p w14:paraId="58405680" w14:textId="21F01403" w:rsidR="003F2104" w:rsidRDefault="003F2104" w:rsidP="005667A4">
            <w:pPr>
              <w:pStyle w:val="TableTextCentered"/>
            </w:pPr>
            <w:r w:rsidRPr="009764EE">
              <w:t>Improved</w:t>
            </w:r>
          </w:p>
          <w:p w14:paraId="6176D405" w14:textId="47BA89E0" w:rsidR="003F2104" w:rsidRPr="009764EE" w:rsidRDefault="003F2104" w:rsidP="005667A4">
            <w:pPr>
              <w:pStyle w:val="TableTextCentered"/>
            </w:pPr>
            <w:r w:rsidRPr="009764EE">
              <w:t>2003</w:t>
            </w:r>
            <w:r w:rsidR="005667A4">
              <w:t>–</w:t>
            </w:r>
            <w:r>
              <w:t>May</w:t>
            </w:r>
            <w:r w:rsidR="007363C5">
              <w:t> </w:t>
            </w:r>
            <w:r w:rsidRPr="009764EE">
              <w:t>23</w:t>
            </w:r>
          </w:p>
        </w:tc>
        <w:tc>
          <w:tcPr>
            <w:tcW w:w="1700" w:type="dxa"/>
            <w:tcBorders>
              <w:top w:val="single" w:sz="4" w:space="0" w:color="216364"/>
              <w:bottom w:val="single" w:sz="4" w:space="0" w:color="EEEEEE" w:themeColor="background2"/>
            </w:tcBorders>
          </w:tcPr>
          <w:p w14:paraId="65B04D3F" w14:textId="76A4E5CF" w:rsidR="003F2104" w:rsidRPr="009764EE" w:rsidRDefault="003F2104" w:rsidP="00516A83">
            <w:pPr>
              <w:pStyle w:val="TableTextCentered"/>
            </w:pPr>
            <w:r w:rsidRPr="009764EE">
              <w:t>80.8%</w:t>
            </w:r>
            <w:r w:rsidR="001C6E53">
              <w:t xml:space="preserve"> </w:t>
            </w:r>
            <w:r w:rsidRPr="009764EE">
              <w:t>males, May</w:t>
            </w:r>
            <w:r w:rsidR="00151999">
              <w:t>–</w:t>
            </w:r>
            <w:r w:rsidR="006928F1">
              <w:t>‍</w:t>
            </w:r>
            <w:r w:rsidRPr="009764EE">
              <w:t>23</w:t>
            </w:r>
          </w:p>
          <w:p w14:paraId="37012B88" w14:textId="574AF57B" w:rsidR="003F2104" w:rsidRPr="009764EE" w:rsidRDefault="003F2104" w:rsidP="005667A4">
            <w:pPr>
              <w:pStyle w:val="TableTextCentered"/>
            </w:pPr>
            <w:r w:rsidRPr="009764EE">
              <w:t>74.3% females, May</w:t>
            </w:r>
            <w:r w:rsidR="005667A4">
              <w:t>–</w:t>
            </w:r>
            <w:r w:rsidR="00BD44C1">
              <w:softHyphen/>
            </w:r>
            <w:r w:rsidRPr="009764EE">
              <w:t>23</w:t>
            </w:r>
          </w:p>
          <w:p w14:paraId="4AC1456E" w14:textId="2B239D61" w:rsidR="003F2104" w:rsidRPr="009764EE" w:rsidRDefault="003F2104" w:rsidP="005667A4">
            <w:pPr>
              <w:pStyle w:val="TableTextCentered"/>
            </w:pPr>
            <w:r w:rsidRPr="009764EE">
              <w:t>52.2%</w:t>
            </w:r>
            <w:r w:rsidRPr="00C239AD">
              <w:rPr>
                <w:rStyle w:val="TableFootnoteReference"/>
              </w:rPr>
              <w:t>(d)</w:t>
            </w:r>
            <w:r w:rsidR="001C6E53" w:rsidRPr="001C6E53">
              <w:t xml:space="preserve"> </w:t>
            </w:r>
            <w:r w:rsidR="001524A0">
              <w:t>First Nation</w:t>
            </w:r>
            <w:r w:rsidRPr="009764EE">
              <w:t>s, 2021</w:t>
            </w:r>
          </w:p>
        </w:tc>
      </w:tr>
      <w:tr w:rsidR="002B4DD9" w:rsidRPr="009764EE" w14:paraId="388D7B8F" w14:textId="77777777" w:rsidTr="00101648">
        <w:trPr>
          <w:trHeight w:val="20"/>
        </w:trPr>
        <w:tc>
          <w:tcPr>
            <w:tcW w:w="1198" w:type="dxa"/>
            <w:vMerge/>
          </w:tcPr>
          <w:p w14:paraId="1FF022BD" w14:textId="77777777" w:rsidR="003F2104" w:rsidRPr="005667A4" w:rsidRDefault="003F2104" w:rsidP="005667A4">
            <w:pPr>
              <w:pStyle w:val="TableTextLeft"/>
              <w:rPr>
                <w:rStyle w:val="Strong"/>
                <w:color w:val="082C44"/>
              </w:rPr>
            </w:pPr>
          </w:p>
        </w:tc>
        <w:tc>
          <w:tcPr>
            <w:tcW w:w="2630" w:type="dxa"/>
            <w:vMerge/>
            <w:tcBorders>
              <w:top w:val="single" w:sz="4" w:space="0" w:color="EEEEEE" w:themeColor="background2"/>
              <w:bottom w:val="single" w:sz="4" w:space="0" w:color="EEEEEE" w:themeColor="background2"/>
            </w:tcBorders>
          </w:tcPr>
          <w:p w14:paraId="5A7170D8" w14:textId="77777777" w:rsidR="003F2104" w:rsidRPr="009764EE" w:rsidRDefault="003F2104" w:rsidP="007E7A77">
            <w:pPr>
              <w:spacing w:before="0" w:after="0"/>
              <w:rPr>
                <w:rFonts w:ascii="Calibri" w:hAnsi="Calibri" w:cs="Calibri"/>
                <w:bCs/>
              </w:rPr>
            </w:pPr>
          </w:p>
        </w:tc>
        <w:tc>
          <w:tcPr>
            <w:tcW w:w="2409" w:type="dxa"/>
            <w:vMerge/>
            <w:tcBorders>
              <w:top w:val="single" w:sz="4" w:space="0" w:color="EEEEEE" w:themeColor="background2"/>
              <w:bottom w:val="single" w:sz="4" w:space="0" w:color="EEEEEE" w:themeColor="background2"/>
            </w:tcBorders>
          </w:tcPr>
          <w:p w14:paraId="4D02F38C" w14:textId="77777777" w:rsidR="003F2104" w:rsidRPr="009764EE" w:rsidRDefault="003F2104" w:rsidP="005667A4">
            <w:pPr>
              <w:pStyle w:val="TableTextLeft"/>
            </w:pPr>
          </w:p>
        </w:tc>
        <w:tc>
          <w:tcPr>
            <w:tcW w:w="1134" w:type="dxa"/>
            <w:tcBorders>
              <w:top w:val="single" w:sz="4" w:space="0" w:color="EEEEEE" w:themeColor="background2"/>
              <w:bottom w:val="single" w:sz="4" w:space="0" w:color="EEEEEE" w:themeColor="background2"/>
            </w:tcBorders>
          </w:tcPr>
          <w:p w14:paraId="02C370BC" w14:textId="77777777" w:rsidR="001C6E53" w:rsidRDefault="003F2104" w:rsidP="005667A4">
            <w:pPr>
              <w:pStyle w:val="TableTextCentered"/>
            </w:pPr>
            <w:r w:rsidRPr="009764EE">
              <w:t xml:space="preserve">Stable </w:t>
            </w:r>
          </w:p>
          <w:p w14:paraId="05461CFA" w14:textId="6CAFDF60" w:rsidR="003F2104" w:rsidRPr="009764EE" w:rsidRDefault="00EC6D7A" w:rsidP="005667A4">
            <w:pPr>
              <w:pStyle w:val="TableTextCentered"/>
            </w:pPr>
            <w:r>
              <w:t>2009</w:t>
            </w:r>
            <w:r w:rsidR="00BD44C1">
              <w:softHyphen/>
            </w:r>
            <w:r w:rsidR="00151999">
              <w:t>–</w:t>
            </w:r>
            <w:r>
              <w:t>2018</w:t>
            </w:r>
          </w:p>
        </w:tc>
        <w:tc>
          <w:tcPr>
            <w:tcW w:w="1700" w:type="dxa"/>
            <w:tcBorders>
              <w:top w:val="single" w:sz="4" w:space="0" w:color="EEEEEE" w:themeColor="background2"/>
              <w:bottom w:val="single" w:sz="4" w:space="0" w:color="EEEEEE" w:themeColor="background2"/>
            </w:tcBorders>
          </w:tcPr>
          <w:p w14:paraId="6DD25180" w14:textId="4444FDD2" w:rsidR="003F2104" w:rsidRPr="009764EE" w:rsidRDefault="00EC6D7A" w:rsidP="005667A4">
            <w:pPr>
              <w:pStyle w:val="TableTextCentered"/>
            </w:pPr>
            <w:r w:rsidRPr="009764EE">
              <w:t>47.8%</w:t>
            </w:r>
            <w:r w:rsidRPr="00C239AD">
              <w:rPr>
                <w:rStyle w:val="TableFootnoteReference"/>
              </w:rPr>
              <w:t>(e)</w:t>
            </w:r>
            <w:r w:rsidR="001C6E53">
              <w:t xml:space="preserve"> </w:t>
            </w:r>
            <w:r w:rsidR="003F2104" w:rsidRPr="009764EE">
              <w:t>people with disabilit</w:t>
            </w:r>
            <w:r>
              <w:t>y</w:t>
            </w:r>
          </w:p>
        </w:tc>
      </w:tr>
      <w:tr w:rsidR="002B4DD9" w:rsidRPr="009764EE" w14:paraId="185298DB" w14:textId="77777777" w:rsidTr="00101648">
        <w:trPr>
          <w:trHeight w:val="20"/>
        </w:trPr>
        <w:tc>
          <w:tcPr>
            <w:tcW w:w="1198" w:type="dxa"/>
            <w:vMerge/>
          </w:tcPr>
          <w:p w14:paraId="2C441698" w14:textId="77777777" w:rsidR="00417982" w:rsidRPr="005667A4" w:rsidRDefault="00417982" w:rsidP="005667A4">
            <w:pPr>
              <w:pStyle w:val="TableTextLeft"/>
              <w:rPr>
                <w:rStyle w:val="Strong"/>
                <w:color w:val="082C44"/>
              </w:rPr>
            </w:pPr>
          </w:p>
        </w:tc>
        <w:tc>
          <w:tcPr>
            <w:tcW w:w="2630" w:type="dxa"/>
            <w:tcBorders>
              <w:top w:val="single" w:sz="4" w:space="0" w:color="EEEEEE" w:themeColor="background2"/>
              <w:bottom w:val="single" w:sz="4" w:space="0" w:color="EEEEEE" w:themeColor="background2"/>
            </w:tcBorders>
          </w:tcPr>
          <w:p w14:paraId="4B2393AB" w14:textId="11DE50EB" w:rsidR="00417982" w:rsidRPr="009764EE" w:rsidRDefault="00417982" w:rsidP="005667A4">
            <w:pPr>
              <w:pStyle w:val="TableTextLeft"/>
            </w:pPr>
            <w:r w:rsidRPr="009764EE">
              <w:t>Participation rate, population aged 15</w:t>
            </w:r>
            <w:r w:rsidR="00151999">
              <w:t>–</w:t>
            </w:r>
            <w:r w:rsidRPr="009764EE">
              <w:t>64</w:t>
            </w:r>
            <w:r w:rsidRPr="00C239AD">
              <w:rPr>
                <w:rStyle w:val="TableFootnoteReference"/>
              </w:rPr>
              <w:t>(b)</w:t>
            </w:r>
          </w:p>
        </w:tc>
        <w:tc>
          <w:tcPr>
            <w:tcW w:w="2409" w:type="dxa"/>
            <w:tcBorders>
              <w:top w:val="single" w:sz="4" w:space="0" w:color="EEEEEE" w:themeColor="background2"/>
              <w:bottom w:val="single" w:sz="4" w:space="0" w:color="EEEEEE" w:themeColor="background2"/>
            </w:tcBorders>
          </w:tcPr>
          <w:p w14:paraId="2EE4E7C8" w14:textId="77777777" w:rsidR="00417982" w:rsidRPr="009764EE" w:rsidRDefault="00417982" w:rsidP="005667A4">
            <w:pPr>
              <w:pStyle w:val="TableTextLeft"/>
            </w:pPr>
            <w:r w:rsidRPr="009764EE">
              <w:t>Measures the proportion of people working or seeking work</w:t>
            </w:r>
          </w:p>
        </w:tc>
        <w:tc>
          <w:tcPr>
            <w:tcW w:w="1134" w:type="dxa"/>
            <w:tcBorders>
              <w:top w:val="single" w:sz="4" w:space="0" w:color="EEEEEE" w:themeColor="background2"/>
              <w:bottom w:val="single" w:sz="4" w:space="0" w:color="EEEEEE" w:themeColor="background2"/>
            </w:tcBorders>
          </w:tcPr>
          <w:p w14:paraId="7A307012" w14:textId="61E7E7C9" w:rsidR="00417982" w:rsidRPr="009764EE" w:rsidRDefault="00417982" w:rsidP="005667A4">
            <w:pPr>
              <w:pStyle w:val="TableTextCentered"/>
            </w:pPr>
            <w:r w:rsidRPr="009764EE">
              <w:t>Improved</w:t>
            </w:r>
          </w:p>
          <w:p w14:paraId="2F4852DC" w14:textId="106EF6E5" w:rsidR="00417982" w:rsidRPr="009764EE" w:rsidRDefault="00417982" w:rsidP="005667A4">
            <w:pPr>
              <w:pStyle w:val="TableTextCentered"/>
            </w:pPr>
            <w:r w:rsidRPr="009764EE">
              <w:t>2003</w:t>
            </w:r>
            <w:r w:rsidR="00151999">
              <w:t>–</w:t>
            </w:r>
            <w:r w:rsidRPr="009764EE">
              <w:t>May</w:t>
            </w:r>
            <w:r w:rsidR="007363C5">
              <w:t> </w:t>
            </w:r>
            <w:r w:rsidRPr="009764EE">
              <w:t>23</w:t>
            </w:r>
          </w:p>
        </w:tc>
        <w:tc>
          <w:tcPr>
            <w:tcW w:w="1700" w:type="dxa"/>
            <w:tcBorders>
              <w:top w:val="single" w:sz="4" w:space="0" w:color="EEEEEE" w:themeColor="background2"/>
              <w:bottom w:val="single" w:sz="4" w:space="0" w:color="EEEEEE" w:themeColor="background2"/>
            </w:tcBorders>
          </w:tcPr>
          <w:p w14:paraId="4D699837" w14:textId="49742981" w:rsidR="00417982" w:rsidRPr="009764EE" w:rsidRDefault="00417982" w:rsidP="005667A4">
            <w:pPr>
              <w:pStyle w:val="TableTextCentered"/>
            </w:pPr>
            <w:r w:rsidRPr="009764EE">
              <w:t>84.0%</w:t>
            </w:r>
            <w:r w:rsidR="001C6E53">
              <w:t xml:space="preserve"> </w:t>
            </w:r>
            <w:r w:rsidRPr="009764EE">
              <w:t>males</w:t>
            </w:r>
          </w:p>
          <w:p w14:paraId="38FB35FA" w14:textId="3CE0919F" w:rsidR="00417982" w:rsidRPr="009764EE" w:rsidRDefault="00417982" w:rsidP="005667A4">
            <w:pPr>
              <w:pStyle w:val="TableTextCentered"/>
            </w:pPr>
            <w:r w:rsidRPr="009764EE">
              <w:t>77.0%</w:t>
            </w:r>
            <w:r w:rsidR="001C6E53">
              <w:t xml:space="preserve"> </w:t>
            </w:r>
            <w:r w:rsidRPr="009764EE">
              <w:t>females</w:t>
            </w:r>
          </w:p>
        </w:tc>
      </w:tr>
      <w:tr w:rsidR="002B4DD9" w:rsidRPr="009764EE" w14:paraId="5F0A1FE3" w14:textId="77777777" w:rsidTr="00101648">
        <w:trPr>
          <w:trHeight w:val="20"/>
        </w:trPr>
        <w:tc>
          <w:tcPr>
            <w:tcW w:w="1198" w:type="dxa"/>
            <w:vMerge/>
          </w:tcPr>
          <w:p w14:paraId="33BEC5A7" w14:textId="77777777" w:rsidR="00417982" w:rsidRPr="005667A4" w:rsidRDefault="00417982" w:rsidP="005667A4">
            <w:pPr>
              <w:pStyle w:val="TableTextLeft"/>
              <w:rPr>
                <w:rStyle w:val="Strong"/>
                <w:color w:val="082C44"/>
              </w:rPr>
            </w:pPr>
          </w:p>
        </w:tc>
        <w:tc>
          <w:tcPr>
            <w:tcW w:w="2630" w:type="dxa"/>
            <w:tcBorders>
              <w:top w:val="single" w:sz="4" w:space="0" w:color="EEEEEE" w:themeColor="background2"/>
            </w:tcBorders>
          </w:tcPr>
          <w:p w14:paraId="38B16512" w14:textId="633448A5" w:rsidR="00417982" w:rsidRPr="009764EE" w:rsidRDefault="00417982" w:rsidP="005667A4">
            <w:pPr>
              <w:pStyle w:val="TableTextLeft"/>
            </w:pPr>
            <w:r w:rsidRPr="009764EE">
              <w:t>Gender pay gap</w:t>
            </w:r>
            <w:r w:rsidRPr="008726F4">
              <w:rPr>
                <w:rStyle w:val="TableFootnoteReference"/>
              </w:rPr>
              <w:t>(f)</w:t>
            </w:r>
          </w:p>
        </w:tc>
        <w:tc>
          <w:tcPr>
            <w:tcW w:w="2409" w:type="dxa"/>
            <w:tcBorders>
              <w:top w:val="single" w:sz="4" w:space="0" w:color="EEEEEE" w:themeColor="background2"/>
            </w:tcBorders>
          </w:tcPr>
          <w:p w14:paraId="087F2F5F" w14:textId="611D2AF0" w:rsidR="00417982" w:rsidRPr="009764EE" w:rsidRDefault="00417982" w:rsidP="005667A4">
            <w:pPr>
              <w:pStyle w:val="TableTextLeft"/>
            </w:pPr>
            <w:r w:rsidRPr="009764EE">
              <w:t>Measures difference in average pay for men and women working full</w:t>
            </w:r>
            <w:r w:rsidR="00135DEA">
              <w:noBreakHyphen/>
            </w:r>
            <w:r w:rsidRPr="009764EE">
              <w:t>time, as a proportion of men</w:t>
            </w:r>
            <w:r w:rsidR="00135DEA">
              <w:t>’</w:t>
            </w:r>
            <w:r w:rsidRPr="009764EE">
              <w:t>s earnings</w:t>
            </w:r>
          </w:p>
        </w:tc>
        <w:tc>
          <w:tcPr>
            <w:tcW w:w="1134" w:type="dxa"/>
            <w:tcBorders>
              <w:top w:val="single" w:sz="4" w:space="0" w:color="EEEEEE" w:themeColor="background2"/>
            </w:tcBorders>
          </w:tcPr>
          <w:p w14:paraId="1248FC19" w14:textId="600A82E3" w:rsidR="00417982" w:rsidRPr="009764EE" w:rsidRDefault="00417982" w:rsidP="005667A4">
            <w:pPr>
              <w:pStyle w:val="TableTextCentered"/>
            </w:pPr>
            <w:r w:rsidRPr="009764EE">
              <w:t>Improved</w:t>
            </w:r>
          </w:p>
          <w:p w14:paraId="14FC017C" w14:textId="0BE7D187" w:rsidR="00417982" w:rsidRPr="009764EE" w:rsidRDefault="00417982" w:rsidP="005667A4">
            <w:pPr>
              <w:pStyle w:val="TableTextCentered"/>
            </w:pPr>
            <w:r w:rsidRPr="009764EE">
              <w:t>1994</w:t>
            </w:r>
            <w:r w:rsidR="00151999">
              <w:t>–</w:t>
            </w:r>
            <w:r w:rsidRPr="009764EE">
              <w:t>2022</w:t>
            </w:r>
          </w:p>
        </w:tc>
        <w:tc>
          <w:tcPr>
            <w:tcW w:w="1700" w:type="dxa"/>
            <w:tcBorders>
              <w:top w:val="single" w:sz="4" w:space="0" w:color="EEEEEE" w:themeColor="background2"/>
            </w:tcBorders>
          </w:tcPr>
          <w:p w14:paraId="22D1A094" w14:textId="146A4D86" w:rsidR="00417982" w:rsidRPr="009764EE" w:rsidRDefault="00417982" w:rsidP="005667A4">
            <w:pPr>
              <w:pStyle w:val="TableTextCentered"/>
            </w:pPr>
            <w:r w:rsidRPr="009764EE">
              <w:t>13.3%</w:t>
            </w:r>
          </w:p>
        </w:tc>
      </w:tr>
      <w:tr w:rsidR="002B4DD9" w:rsidRPr="009764EE" w14:paraId="05574EEF" w14:textId="77777777" w:rsidTr="00101648">
        <w:trPr>
          <w:trHeight w:val="20"/>
        </w:trPr>
        <w:tc>
          <w:tcPr>
            <w:tcW w:w="1198" w:type="dxa"/>
          </w:tcPr>
          <w:p w14:paraId="0D3BC128" w14:textId="6D462106" w:rsidR="008A563E" w:rsidRPr="005667A4" w:rsidRDefault="008A563E" w:rsidP="005667A4">
            <w:pPr>
              <w:pStyle w:val="TableTextLeft"/>
              <w:rPr>
                <w:rStyle w:val="Strong"/>
                <w:color w:val="082C44"/>
              </w:rPr>
            </w:pPr>
            <w:r w:rsidRPr="005667A4">
              <w:rPr>
                <w:rStyle w:val="Strong"/>
                <w:color w:val="082C44"/>
              </w:rPr>
              <w:t xml:space="preserve">Job satisfaction </w:t>
            </w:r>
          </w:p>
        </w:tc>
        <w:tc>
          <w:tcPr>
            <w:tcW w:w="2630" w:type="dxa"/>
            <w:tcBorders>
              <w:bottom w:val="single" w:sz="4" w:space="0" w:color="216364"/>
            </w:tcBorders>
          </w:tcPr>
          <w:p w14:paraId="486DDEF7" w14:textId="33AC5237" w:rsidR="008A563E" w:rsidRPr="009764EE" w:rsidRDefault="008A563E" w:rsidP="005667A4">
            <w:pPr>
              <w:pStyle w:val="TableTextLeft"/>
              <w:rPr>
                <w:bCs/>
              </w:rPr>
            </w:pPr>
            <w:r w:rsidRPr="009764EE">
              <w:rPr>
                <w:rFonts w:eastAsia="Calibri Light"/>
              </w:rPr>
              <w:t>Self</w:t>
            </w:r>
            <w:r w:rsidR="00135DEA">
              <w:rPr>
                <w:rFonts w:eastAsia="Calibri Light"/>
              </w:rPr>
              <w:noBreakHyphen/>
            </w:r>
            <w:r w:rsidRPr="009764EE">
              <w:rPr>
                <w:rFonts w:eastAsia="Calibri Light"/>
              </w:rPr>
              <w:t>reported measure of how workers perceive their job</w:t>
            </w:r>
            <w:r w:rsidR="00C71F56" w:rsidRPr="008726F4">
              <w:rPr>
                <w:rStyle w:val="TableFootnoteReference"/>
              </w:rPr>
              <w:t>(</w:t>
            </w:r>
            <w:r w:rsidR="00591175" w:rsidRPr="008726F4">
              <w:rPr>
                <w:rStyle w:val="TableFootnoteReference"/>
              </w:rPr>
              <w:t>g</w:t>
            </w:r>
            <w:r w:rsidR="00C71F56" w:rsidRPr="008726F4">
              <w:rPr>
                <w:rStyle w:val="TableFootnoteReference"/>
              </w:rPr>
              <w:t>)</w:t>
            </w:r>
          </w:p>
        </w:tc>
        <w:tc>
          <w:tcPr>
            <w:tcW w:w="2409" w:type="dxa"/>
            <w:tcBorders>
              <w:bottom w:val="single" w:sz="4" w:space="0" w:color="216364"/>
            </w:tcBorders>
          </w:tcPr>
          <w:p w14:paraId="3A0F95DA" w14:textId="3114F436" w:rsidR="008A563E" w:rsidRPr="009764EE" w:rsidRDefault="008A563E" w:rsidP="005667A4">
            <w:pPr>
              <w:pStyle w:val="TableTextLeft"/>
            </w:pPr>
            <w:r w:rsidRPr="009764EE">
              <w:t>Job satisfaction provides a measure of job quality</w:t>
            </w:r>
          </w:p>
        </w:tc>
        <w:tc>
          <w:tcPr>
            <w:tcW w:w="1134" w:type="dxa"/>
            <w:tcBorders>
              <w:bottom w:val="single" w:sz="4" w:space="0" w:color="216364"/>
            </w:tcBorders>
          </w:tcPr>
          <w:p w14:paraId="38B8C380" w14:textId="77777777" w:rsidR="008A563E" w:rsidRPr="009764EE" w:rsidRDefault="008A563E" w:rsidP="005667A4">
            <w:pPr>
              <w:pStyle w:val="TableTextCentered"/>
            </w:pPr>
            <w:r w:rsidRPr="009764EE">
              <w:t>Improved</w:t>
            </w:r>
          </w:p>
          <w:p w14:paraId="02F4AA29" w14:textId="1C53C64A" w:rsidR="008A563E" w:rsidRPr="009764EE" w:rsidRDefault="008A563E" w:rsidP="005667A4">
            <w:pPr>
              <w:pStyle w:val="TableTextCentered"/>
            </w:pPr>
            <w:r w:rsidRPr="009764EE">
              <w:t>2001</w:t>
            </w:r>
            <w:r w:rsidR="005667A4">
              <w:t>–</w:t>
            </w:r>
            <w:r w:rsidR="00BD44C1">
              <w:softHyphen/>
            </w:r>
            <w:r w:rsidR="001C6E53">
              <w:t>2</w:t>
            </w:r>
            <w:r w:rsidRPr="009764EE">
              <w:t>021</w:t>
            </w:r>
          </w:p>
        </w:tc>
        <w:tc>
          <w:tcPr>
            <w:tcW w:w="1700" w:type="dxa"/>
            <w:tcBorders>
              <w:bottom w:val="single" w:sz="4" w:space="0" w:color="216364"/>
            </w:tcBorders>
          </w:tcPr>
          <w:p w14:paraId="7F3091D3" w14:textId="67E81DAB" w:rsidR="008A563E" w:rsidRPr="009764EE" w:rsidRDefault="008A563E" w:rsidP="005667A4">
            <w:pPr>
              <w:pStyle w:val="TableTextCentered"/>
            </w:pPr>
            <w:r w:rsidRPr="009764EE">
              <w:t>7.9</w:t>
            </w:r>
            <w:r w:rsidR="006466CB" w:rsidRPr="009764EE">
              <w:t xml:space="preserve"> out of 10</w:t>
            </w:r>
          </w:p>
        </w:tc>
      </w:tr>
      <w:tr w:rsidR="002B4DD9" w:rsidRPr="009764EE" w14:paraId="462C868C" w14:textId="77777777" w:rsidTr="00101648">
        <w:trPr>
          <w:trHeight w:val="20"/>
        </w:trPr>
        <w:tc>
          <w:tcPr>
            <w:tcW w:w="1198" w:type="dxa"/>
            <w:vMerge w:val="restart"/>
          </w:tcPr>
          <w:p w14:paraId="2276244E" w14:textId="1366FA17" w:rsidR="00DC27B1" w:rsidRPr="005667A4" w:rsidRDefault="00DC27B1" w:rsidP="005667A4">
            <w:pPr>
              <w:pStyle w:val="TableTextLeft"/>
              <w:rPr>
                <w:rStyle w:val="Strong"/>
                <w:color w:val="082C44"/>
              </w:rPr>
            </w:pPr>
            <w:r w:rsidRPr="005667A4">
              <w:rPr>
                <w:rStyle w:val="Strong"/>
                <w:color w:val="082C44"/>
              </w:rPr>
              <w:t>Secure jobs</w:t>
            </w:r>
          </w:p>
        </w:tc>
        <w:tc>
          <w:tcPr>
            <w:tcW w:w="2630" w:type="dxa"/>
            <w:tcBorders>
              <w:top w:val="single" w:sz="4" w:space="0" w:color="216364"/>
              <w:bottom w:val="single" w:sz="4" w:space="0" w:color="EEEEEE" w:themeColor="background2"/>
            </w:tcBorders>
          </w:tcPr>
          <w:p w14:paraId="295B79D6" w14:textId="5C2D1D62" w:rsidR="00DC27B1" w:rsidRPr="009764EE" w:rsidRDefault="00DC27B1" w:rsidP="005667A4">
            <w:pPr>
              <w:pStyle w:val="TableTextLeft"/>
            </w:pPr>
            <w:r w:rsidRPr="009764EE">
              <w:t>The proportion of employed people who expect to not remain in the same job in 12 months</w:t>
            </w:r>
            <w:r w:rsidR="00135DEA">
              <w:t>’</w:t>
            </w:r>
            <w:r w:rsidRPr="009764EE">
              <w:t xml:space="preserve"> time due to involuntary reasons</w:t>
            </w:r>
            <w:r w:rsidRPr="00C239AD">
              <w:rPr>
                <w:rStyle w:val="TableFootnoteReference"/>
              </w:rPr>
              <w:t>(h)</w:t>
            </w:r>
          </w:p>
        </w:tc>
        <w:tc>
          <w:tcPr>
            <w:tcW w:w="2409" w:type="dxa"/>
            <w:vMerge w:val="restart"/>
            <w:tcBorders>
              <w:top w:val="single" w:sz="4" w:space="0" w:color="216364"/>
              <w:bottom w:val="single" w:sz="4" w:space="0" w:color="EEEEEE" w:themeColor="background2"/>
            </w:tcBorders>
          </w:tcPr>
          <w:p w14:paraId="355DD4BE" w14:textId="77777777" w:rsidR="00DC27B1" w:rsidRPr="009764EE" w:rsidRDefault="00DC27B1" w:rsidP="005667A4">
            <w:pPr>
              <w:pStyle w:val="TableTextLeft"/>
            </w:pPr>
            <w:r w:rsidRPr="009764EE">
              <w:t>Captures the central factors that contribute to job security</w:t>
            </w:r>
          </w:p>
        </w:tc>
        <w:tc>
          <w:tcPr>
            <w:tcW w:w="1134" w:type="dxa"/>
            <w:tcBorders>
              <w:top w:val="single" w:sz="4" w:space="0" w:color="216364"/>
              <w:bottom w:val="single" w:sz="4" w:space="0" w:color="EEEEEE" w:themeColor="background2"/>
            </w:tcBorders>
          </w:tcPr>
          <w:p w14:paraId="3A3504F7" w14:textId="77777777" w:rsidR="001C6E53" w:rsidRDefault="00DC27B1" w:rsidP="005667A4">
            <w:pPr>
              <w:pStyle w:val="TableTextCentered"/>
            </w:pPr>
            <w:r w:rsidRPr="009764EE">
              <w:t>Stable</w:t>
            </w:r>
            <w:r w:rsidR="001C6E53">
              <w:t xml:space="preserve"> </w:t>
            </w:r>
          </w:p>
          <w:p w14:paraId="6BB75A3B" w14:textId="4902D4BC" w:rsidR="00DC27B1" w:rsidRPr="009764EE" w:rsidRDefault="00DC27B1" w:rsidP="005667A4">
            <w:pPr>
              <w:pStyle w:val="TableTextCentered"/>
            </w:pPr>
            <w:r w:rsidRPr="009764EE">
              <w:t>2014</w:t>
            </w:r>
            <w:r w:rsidR="00151999">
              <w:t>–</w:t>
            </w:r>
            <w:r w:rsidRPr="009764EE">
              <w:t>2022</w:t>
            </w:r>
          </w:p>
        </w:tc>
        <w:tc>
          <w:tcPr>
            <w:tcW w:w="1700" w:type="dxa"/>
            <w:tcBorders>
              <w:top w:val="single" w:sz="4" w:space="0" w:color="216364"/>
              <w:bottom w:val="single" w:sz="4" w:space="0" w:color="EEEEEE" w:themeColor="background2"/>
            </w:tcBorders>
          </w:tcPr>
          <w:p w14:paraId="740D8822" w14:textId="33CA39AC" w:rsidR="00DC27B1" w:rsidRPr="009764EE" w:rsidRDefault="00DC27B1" w:rsidP="005667A4">
            <w:pPr>
              <w:pStyle w:val="TableTextCentered"/>
            </w:pPr>
            <w:r w:rsidRPr="009764EE">
              <w:t>1.6%</w:t>
            </w:r>
          </w:p>
        </w:tc>
      </w:tr>
      <w:tr w:rsidR="002B4DD9" w:rsidRPr="009764EE" w14:paraId="4F89A542" w14:textId="77777777" w:rsidTr="00101648">
        <w:trPr>
          <w:trHeight w:val="20"/>
        </w:trPr>
        <w:tc>
          <w:tcPr>
            <w:tcW w:w="1198" w:type="dxa"/>
            <w:vMerge/>
          </w:tcPr>
          <w:p w14:paraId="35328EFD" w14:textId="77777777" w:rsidR="00DC27B1" w:rsidRPr="009764EE" w:rsidRDefault="00DC27B1" w:rsidP="008A563E">
            <w:pPr>
              <w:spacing w:before="0" w:after="0"/>
              <w:rPr>
                <w:rFonts w:ascii="Calibri" w:hAnsi="Calibri" w:cs="Calibri"/>
                <w:bCs/>
              </w:rPr>
            </w:pPr>
          </w:p>
        </w:tc>
        <w:tc>
          <w:tcPr>
            <w:tcW w:w="2630" w:type="dxa"/>
            <w:tcBorders>
              <w:top w:val="single" w:sz="4" w:space="0" w:color="EEEEEE" w:themeColor="background2"/>
              <w:bottom w:val="single" w:sz="4" w:space="0" w:color="EEEEEE" w:themeColor="background2"/>
            </w:tcBorders>
          </w:tcPr>
          <w:p w14:paraId="6FA4497D" w14:textId="20F11EB0" w:rsidR="00DC27B1" w:rsidRPr="009764EE" w:rsidRDefault="00DC27B1" w:rsidP="005667A4">
            <w:pPr>
              <w:pStyle w:val="TableTextLeft"/>
            </w:pPr>
            <w:r w:rsidRPr="009764EE">
              <w:t>The proportion of employees that had irregular working arrangements</w:t>
            </w:r>
            <w:r w:rsidRPr="00C239AD">
              <w:rPr>
                <w:rStyle w:val="TableFootnoteReference"/>
              </w:rPr>
              <w:t>(h)</w:t>
            </w:r>
          </w:p>
        </w:tc>
        <w:tc>
          <w:tcPr>
            <w:tcW w:w="2409" w:type="dxa"/>
            <w:vMerge/>
            <w:tcBorders>
              <w:top w:val="single" w:sz="4" w:space="0" w:color="EEEEEE" w:themeColor="background2"/>
              <w:bottom w:val="single" w:sz="4" w:space="0" w:color="EEEEEE" w:themeColor="background2"/>
            </w:tcBorders>
          </w:tcPr>
          <w:p w14:paraId="0CA4287D" w14:textId="77777777" w:rsidR="00DC27B1" w:rsidRPr="009764EE" w:rsidRDefault="00DC27B1" w:rsidP="008A563E">
            <w:pPr>
              <w:spacing w:before="0" w:after="0"/>
              <w:rPr>
                <w:rFonts w:ascii="Calibri" w:hAnsi="Calibri" w:cs="Calibri"/>
                <w:bCs/>
              </w:rPr>
            </w:pPr>
          </w:p>
        </w:tc>
        <w:tc>
          <w:tcPr>
            <w:tcW w:w="1134" w:type="dxa"/>
            <w:tcBorders>
              <w:top w:val="single" w:sz="4" w:space="0" w:color="EEEEEE" w:themeColor="background2"/>
              <w:bottom w:val="single" w:sz="4" w:space="0" w:color="EEEEEE" w:themeColor="background2"/>
            </w:tcBorders>
          </w:tcPr>
          <w:p w14:paraId="10B2026E" w14:textId="6246C544" w:rsidR="00DC27B1" w:rsidRPr="009764EE" w:rsidRDefault="00DC27B1" w:rsidP="005667A4">
            <w:pPr>
              <w:pStyle w:val="TableTextCentered"/>
            </w:pPr>
            <w:r w:rsidRPr="009764EE">
              <w:t>Stable</w:t>
            </w:r>
            <w:r w:rsidR="001C6E53">
              <w:t xml:space="preserve"> </w:t>
            </w:r>
          </w:p>
          <w:p w14:paraId="1813E039" w14:textId="26A5065C" w:rsidR="00DC27B1" w:rsidRPr="009764EE" w:rsidRDefault="00DC27B1" w:rsidP="005667A4">
            <w:pPr>
              <w:pStyle w:val="TableTextCentered"/>
            </w:pPr>
            <w:r w:rsidRPr="009764EE">
              <w:t>2014</w:t>
            </w:r>
            <w:r w:rsidR="00BD44C1">
              <w:softHyphen/>
            </w:r>
            <w:r w:rsidR="00151999">
              <w:t>–</w:t>
            </w:r>
            <w:r w:rsidRPr="009764EE">
              <w:t>2022</w:t>
            </w:r>
          </w:p>
        </w:tc>
        <w:tc>
          <w:tcPr>
            <w:tcW w:w="1700" w:type="dxa"/>
            <w:tcBorders>
              <w:top w:val="single" w:sz="4" w:space="0" w:color="EEEEEE" w:themeColor="background2"/>
              <w:bottom w:val="single" w:sz="4" w:space="0" w:color="EEEEEE" w:themeColor="background2"/>
            </w:tcBorders>
          </w:tcPr>
          <w:p w14:paraId="4D8DAF44" w14:textId="4BF6AF31" w:rsidR="00DC27B1" w:rsidRPr="009764EE" w:rsidRDefault="00DC27B1" w:rsidP="005667A4">
            <w:pPr>
              <w:pStyle w:val="TableTextCentered"/>
            </w:pPr>
            <w:r w:rsidRPr="009764EE">
              <w:t>28.2%</w:t>
            </w:r>
          </w:p>
        </w:tc>
      </w:tr>
      <w:tr w:rsidR="002B4DD9" w:rsidRPr="009764EE" w14:paraId="52178E52" w14:textId="77777777" w:rsidTr="00101648">
        <w:trPr>
          <w:trHeight w:val="20"/>
        </w:trPr>
        <w:tc>
          <w:tcPr>
            <w:tcW w:w="1198" w:type="dxa"/>
            <w:vMerge/>
          </w:tcPr>
          <w:p w14:paraId="6E95C1D8" w14:textId="77777777" w:rsidR="00DC27B1" w:rsidRPr="009764EE" w:rsidRDefault="00DC27B1" w:rsidP="008A563E">
            <w:pPr>
              <w:spacing w:before="0" w:after="0"/>
              <w:rPr>
                <w:rFonts w:ascii="Calibri" w:hAnsi="Calibri" w:cs="Calibri"/>
                <w:bCs/>
              </w:rPr>
            </w:pPr>
          </w:p>
        </w:tc>
        <w:tc>
          <w:tcPr>
            <w:tcW w:w="2630" w:type="dxa"/>
            <w:tcBorders>
              <w:top w:val="single" w:sz="4" w:space="0" w:color="EEEEEE" w:themeColor="background2"/>
            </w:tcBorders>
          </w:tcPr>
          <w:p w14:paraId="023A78C1" w14:textId="4AEE84D3" w:rsidR="00DC27B1" w:rsidRPr="009764EE" w:rsidRDefault="00DC27B1" w:rsidP="005667A4">
            <w:pPr>
              <w:pStyle w:val="TableTextLeft"/>
            </w:pPr>
            <w:r w:rsidRPr="009764EE">
              <w:t>The proportion of employees that did not have access to paid leave entitlements</w:t>
            </w:r>
            <w:r w:rsidRPr="00C239AD">
              <w:rPr>
                <w:rStyle w:val="TableFootnoteReference"/>
              </w:rPr>
              <w:t>(b)</w:t>
            </w:r>
          </w:p>
        </w:tc>
        <w:tc>
          <w:tcPr>
            <w:tcW w:w="2409" w:type="dxa"/>
            <w:vMerge/>
            <w:tcBorders>
              <w:top w:val="single" w:sz="4" w:space="0" w:color="EEEEEE" w:themeColor="background2"/>
            </w:tcBorders>
          </w:tcPr>
          <w:p w14:paraId="18372C34" w14:textId="77777777" w:rsidR="00DC27B1" w:rsidRPr="009764EE" w:rsidRDefault="00DC27B1" w:rsidP="008A563E">
            <w:pPr>
              <w:spacing w:before="0" w:after="0"/>
              <w:rPr>
                <w:rFonts w:ascii="Calibri" w:hAnsi="Calibri" w:cs="Calibri"/>
                <w:bCs/>
              </w:rPr>
            </w:pPr>
          </w:p>
        </w:tc>
        <w:tc>
          <w:tcPr>
            <w:tcW w:w="1134" w:type="dxa"/>
            <w:tcBorders>
              <w:top w:val="single" w:sz="4" w:space="0" w:color="EEEEEE" w:themeColor="background2"/>
            </w:tcBorders>
          </w:tcPr>
          <w:p w14:paraId="17A78131" w14:textId="0780F6AB" w:rsidR="00DC27B1" w:rsidRPr="009764EE" w:rsidRDefault="00DC27B1" w:rsidP="005667A4">
            <w:pPr>
              <w:pStyle w:val="TableTextCentered"/>
            </w:pPr>
            <w:r w:rsidRPr="009764EE">
              <w:t>Stable</w:t>
            </w:r>
          </w:p>
          <w:p w14:paraId="1013E50F" w14:textId="0EF2E925" w:rsidR="00DC27B1" w:rsidRPr="009764EE" w:rsidRDefault="00DC27B1" w:rsidP="005667A4">
            <w:pPr>
              <w:pStyle w:val="TableTextCentered"/>
            </w:pPr>
            <w:r w:rsidRPr="009764EE">
              <w:t>2014</w:t>
            </w:r>
            <w:r w:rsidR="00151999">
              <w:t>–</w:t>
            </w:r>
            <w:r w:rsidRPr="009764EE">
              <w:t>2023</w:t>
            </w:r>
          </w:p>
        </w:tc>
        <w:tc>
          <w:tcPr>
            <w:tcW w:w="1700" w:type="dxa"/>
            <w:tcBorders>
              <w:top w:val="single" w:sz="4" w:space="0" w:color="EEEEEE" w:themeColor="background2"/>
            </w:tcBorders>
          </w:tcPr>
          <w:p w14:paraId="66472306" w14:textId="1A6D8E15" w:rsidR="00DC27B1" w:rsidRPr="009764EE" w:rsidRDefault="00DC27B1" w:rsidP="005667A4">
            <w:pPr>
              <w:pStyle w:val="TableTextCentered"/>
            </w:pPr>
            <w:r w:rsidRPr="009764EE">
              <w:t>22.2%</w:t>
            </w:r>
          </w:p>
        </w:tc>
      </w:tr>
    </w:tbl>
    <w:p w14:paraId="375128B2" w14:textId="77777777" w:rsidR="001C6E53" w:rsidRDefault="00E14E18" w:rsidP="008E15DB">
      <w:pPr>
        <w:pStyle w:val="ChartorTableNote"/>
        <w:keepNext/>
      </w:pPr>
      <w:r w:rsidRPr="009764EE">
        <w:t xml:space="preserve">Source: </w:t>
      </w:r>
      <w:r w:rsidR="001C6E53">
        <w:tab/>
      </w:r>
      <w:r w:rsidRPr="009764EE">
        <w:t>(a)</w:t>
      </w:r>
      <w:r w:rsidR="00F56ED5" w:rsidRPr="009764EE">
        <w:t xml:space="preserve"> </w:t>
      </w:r>
      <w:r w:rsidR="004113A5" w:rsidRPr="009764EE">
        <w:t xml:space="preserve">ABS Consumer </w:t>
      </w:r>
      <w:r w:rsidR="0059561B" w:rsidRPr="009764EE">
        <w:t xml:space="preserve">Price Index, Australia; Wage Price Index, Australia </w:t>
      </w:r>
      <w:r w:rsidR="00962C50" w:rsidRPr="009764EE">
        <w:t>and Treasury</w:t>
      </w:r>
      <w:r w:rsidR="004113A5" w:rsidRPr="009764EE">
        <w:t xml:space="preserve"> </w:t>
      </w:r>
      <w:r w:rsidR="008F0AEE">
        <w:br/>
      </w:r>
      <w:r w:rsidR="00F6599E" w:rsidRPr="009764EE">
        <w:t xml:space="preserve">(b) </w:t>
      </w:r>
      <w:r w:rsidRPr="009764EE">
        <w:t xml:space="preserve">ABS Labour Force Survey </w:t>
      </w:r>
      <w:r w:rsidR="00896108" w:rsidRPr="00896108">
        <w:t>(this is the latest data point available at the time of finalising the report)</w:t>
      </w:r>
      <w:r w:rsidR="008F0AEE">
        <w:br/>
      </w:r>
      <w:r w:rsidR="00F6599E" w:rsidRPr="009764EE">
        <w:t xml:space="preserve">(c) </w:t>
      </w:r>
      <w:r w:rsidRPr="009764EE">
        <w:t xml:space="preserve">ABS Labour </w:t>
      </w:r>
      <w:r w:rsidR="00714378" w:rsidRPr="009764EE">
        <w:t xml:space="preserve">Account </w:t>
      </w:r>
      <w:r w:rsidRPr="009764EE">
        <w:t xml:space="preserve">and Treasury </w:t>
      </w:r>
      <w:r w:rsidR="008F0AEE">
        <w:br/>
      </w:r>
      <w:r w:rsidRPr="009764EE">
        <w:t>(</w:t>
      </w:r>
      <w:r w:rsidR="00F6599E" w:rsidRPr="009764EE">
        <w:t>d</w:t>
      </w:r>
      <w:r w:rsidR="00B67128" w:rsidRPr="009764EE">
        <w:t>) ABS Census of Population and Housing</w:t>
      </w:r>
      <w:r w:rsidRPr="009764EE">
        <w:t xml:space="preserve"> </w:t>
      </w:r>
      <w:r w:rsidR="008F0AEE">
        <w:br/>
      </w:r>
      <w:r w:rsidRPr="004F0DA3">
        <w:t>(</w:t>
      </w:r>
      <w:r w:rsidR="003A42B6" w:rsidRPr="004F0DA3">
        <w:t>e</w:t>
      </w:r>
      <w:r w:rsidRPr="004F0DA3">
        <w:t xml:space="preserve">) </w:t>
      </w:r>
      <w:r w:rsidR="001F168A" w:rsidRPr="004F0DA3">
        <w:t xml:space="preserve">ABS Disability, Ageing and Carers </w:t>
      </w:r>
      <w:r w:rsidR="008F0AEE">
        <w:br/>
      </w:r>
      <w:r w:rsidRPr="009764EE">
        <w:t>(</w:t>
      </w:r>
      <w:r w:rsidR="003A42B6" w:rsidRPr="009764EE">
        <w:t>f</w:t>
      </w:r>
      <w:r w:rsidR="00B52751" w:rsidRPr="009764EE">
        <w:t xml:space="preserve">) </w:t>
      </w:r>
      <w:r w:rsidR="0093440B" w:rsidRPr="009764EE">
        <w:t>ABS Average Weekly Earnings</w:t>
      </w:r>
      <w:r w:rsidR="00B52751" w:rsidRPr="009764EE">
        <w:t xml:space="preserve"> </w:t>
      </w:r>
      <w:r w:rsidR="008F0AEE">
        <w:br/>
      </w:r>
      <w:r w:rsidRPr="009764EE">
        <w:t>(</w:t>
      </w:r>
      <w:r w:rsidR="003A42B6" w:rsidRPr="009764EE">
        <w:t>g</w:t>
      </w:r>
      <w:r w:rsidRPr="009764EE">
        <w:t xml:space="preserve">) Household, Income and Labour Dynamics in Australia. </w:t>
      </w:r>
      <w:r w:rsidR="008F0AEE">
        <w:br/>
      </w:r>
      <w:r w:rsidR="000B5CA3" w:rsidRPr="009764EE">
        <w:t>(</w:t>
      </w:r>
      <w:r w:rsidR="003A42B6" w:rsidRPr="009764EE">
        <w:t>h</w:t>
      </w:r>
      <w:r w:rsidR="000B5CA3" w:rsidRPr="009764EE">
        <w:t>)</w:t>
      </w:r>
      <w:r w:rsidR="00D80105" w:rsidRPr="009764EE">
        <w:t xml:space="preserve"> </w:t>
      </w:r>
      <w:r w:rsidR="00ED015F" w:rsidRPr="009764EE">
        <w:t>ABS Characteristics of Employment</w:t>
      </w:r>
    </w:p>
    <w:p w14:paraId="08BC82DA" w14:textId="45B3F82B" w:rsidR="001C6E53" w:rsidRDefault="00AC74B2" w:rsidP="00430CF7">
      <w:pPr>
        <w:pStyle w:val="ChartorTableNote"/>
        <w:rPr>
          <w:rFonts w:ascii="Calibri" w:hAnsi="Calibri" w:cs="Calibri"/>
        </w:rPr>
      </w:pPr>
      <w:r w:rsidRPr="004F0DA3">
        <w:t>N</w:t>
      </w:r>
      <w:r w:rsidR="00CD612D" w:rsidRPr="004F0DA3">
        <w:t xml:space="preserve">ote: </w:t>
      </w:r>
      <w:r w:rsidR="001C6E53">
        <w:tab/>
      </w:r>
      <w:r w:rsidR="00345047" w:rsidRPr="004F0DA3">
        <w:t xml:space="preserve">(i) </w:t>
      </w:r>
      <w:r w:rsidR="00CD612D" w:rsidRPr="004F0DA3">
        <w:t xml:space="preserve">Unless specified the latest value is the last data point in the </w:t>
      </w:r>
      <w:r w:rsidR="008D2D0A" w:rsidRPr="004F0DA3">
        <w:t>series</w:t>
      </w:r>
      <w:r w:rsidR="00FD3615" w:rsidRPr="009764EE">
        <w:rPr>
          <w:rFonts w:cs="Calibri"/>
        </w:rPr>
        <w:t xml:space="preserve"> </w:t>
      </w:r>
    </w:p>
    <w:p w14:paraId="76C71829" w14:textId="0E0C4B96" w:rsidR="001C6E53" w:rsidRPr="009764EE" w:rsidRDefault="001C6E53" w:rsidP="00473AFE">
      <w:pPr>
        <w:rPr>
          <w:rFonts w:ascii="Calibri" w:hAnsi="Calibri" w:cs="Calibri"/>
        </w:rPr>
        <w:sectPr w:rsidR="001C6E53" w:rsidRPr="009764EE" w:rsidSect="00DA302B">
          <w:endnotePr>
            <w:numFmt w:val="decimal"/>
          </w:endnotePr>
          <w:pgSz w:w="11906" w:h="16838" w:code="9"/>
          <w:pgMar w:top="1843" w:right="1418" w:bottom="1418" w:left="1418" w:header="851" w:footer="851" w:gutter="0"/>
          <w:cols w:space="567"/>
          <w:docGrid w:linePitch="360"/>
        </w:sectPr>
      </w:pPr>
    </w:p>
    <w:p w14:paraId="647F3BE1" w14:textId="4FD278B8" w:rsidR="00DD354B" w:rsidRPr="009764EE" w:rsidRDefault="00A202FC" w:rsidP="008726F4">
      <w:r w:rsidRPr="009764EE">
        <w:lastRenderedPageBreak/>
        <w:t>Well</w:t>
      </w:r>
      <w:r w:rsidR="00135DEA">
        <w:noBreakHyphen/>
      </w:r>
      <w:r w:rsidRPr="009764EE">
        <w:t xml:space="preserve">paid, secure jobs </w:t>
      </w:r>
      <w:r w:rsidR="006E5D59" w:rsidRPr="009764EE">
        <w:t xml:space="preserve">provide much more than a source of income. </w:t>
      </w:r>
      <w:r w:rsidRPr="009764EE">
        <w:t xml:space="preserve">They </w:t>
      </w:r>
      <w:r w:rsidR="006E5D59" w:rsidRPr="009764EE">
        <w:t>open up opportunities to broaden and deepen relationships, are a source of self</w:t>
      </w:r>
      <w:r w:rsidR="00135DEA">
        <w:noBreakHyphen/>
      </w:r>
      <w:r w:rsidR="006E5D59" w:rsidRPr="009764EE">
        <w:t xml:space="preserve">esteem and can underpin a sense of purpose. </w:t>
      </w:r>
    </w:p>
    <w:p w14:paraId="263CACAD" w14:textId="220D9E1C" w:rsidR="006425AC" w:rsidRPr="009764EE" w:rsidRDefault="00731120" w:rsidP="008726F4">
      <w:r w:rsidRPr="009764EE">
        <w:t>W</w:t>
      </w:r>
      <w:r w:rsidR="00DD354B" w:rsidRPr="009764EE">
        <w:t xml:space="preserve">idespread access to employment is </w:t>
      </w:r>
      <w:r w:rsidR="00A663C3" w:rsidRPr="009764EE">
        <w:t xml:space="preserve">the </w:t>
      </w:r>
      <w:r w:rsidR="00DD354B" w:rsidRPr="009764EE">
        <w:t xml:space="preserve">key to a healthy, happy and prosperous society. </w:t>
      </w:r>
    </w:p>
    <w:p w14:paraId="670EC3FB" w14:textId="5B6C3860" w:rsidR="001F6237" w:rsidRPr="009764EE" w:rsidRDefault="001F6237" w:rsidP="008726F4">
      <w:r w:rsidRPr="009764EE">
        <w:t xml:space="preserve">Small businesses play a significant role </w:t>
      </w:r>
      <w:r w:rsidR="005E280F">
        <w:t>here</w:t>
      </w:r>
      <w:r w:rsidRPr="009764EE">
        <w:t xml:space="preserve">, accounting for </w:t>
      </w:r>
      <w:r w:rsidR="00CE44D9" w:rsidRPr="009764EE">
        <w:t>around 40</w:t>
      </w:r>
      <w:r w:rsidR="001524A0">
        <w:t> per c</w:t>
      </w:r>
      <w:r w:rsidR="00CE44D9" w:rsidRPr="009764EE">
        <w:t>ent</w:t>
      </w:r>
      <w:r w:rsidRPr="009764EE">
        <w:t xml:space="preserve"> of employment in the private sector.</w:t>
      </w:r>
      <w:r w:rsidR="00F50170" w:rsidRPr="008726F4">
        <w:rPr>
          <w:rStyle w:val="FootnoteReference"/>
        </w:rPr>
        <w:endnoteReference w:id="74"/>
      </w:r>
    </w:p>
    <w:p w14:paraId="28D9465C" w14:textId="7F7768CB" w:rsidR="000F2B37" w:rsidRPr="009764EE" w:rsidRDefault="006E5D59" w:rsidP="008726F4">
      <w:r w:rsidRPr="009764EE">
        <w:t>In Australia, e</w:t>
      </w:r>
      <w:r w:rsidR="00DD354B" w:rsidRPr="009764EE">
        <w:t xml:space="preserve">mployment is </w:t>
      </w:r>
      <w:r w:rsidR="0067590D" w:rsidRPr="009764EE">
        <w:t>strong across the economy,</w:t>
      </w:r>
      <w:r w:rsidR="00DD354B" w:rsidRPr="009764EE">
        <w:t xml:space="preserve"> but more can be done to </w:t>
      </w:r>
      <w:r w:rsidR="0067590D" w:rsidRPr="009764EE">
        <w:t xml:space="preserve">dismantle barriers </w:t>
      </w:r>
      <w:r w:rsidR="000F2B37" w:rsidRPr="009764EE">
        <w:t xml:space="preserve">to work for particular groups. </w:t>
      </w:r>
    </w:p>
    <w:p w14:paraId="15A81414" w14:textId="5AB99130" w:rsidR="00503056" w:rsidRPr="009764EE" w:rsidRDefault="006425AC" w:rsidP="008726F4">
      <w:r w:rsidRPr="009764EE">
        <w:t>The following metrics are intended to help us analyse how we</w:t>
      </w:r>
      <w:r w:rsidR="00135DEA">
        <w:t>’</w:t>
      </w:r>
      <w:r w:rsidRPr="009764EE">
        <w:t xml:space="preserve">re faring in creating </w:t>
      </w:r>
      <w:r w:rsidR="00C44B32" w:rsidRPr="009764EE">
        <w:t>employment</w:t>
      </w:r>
      <w:r w:rsidRPr="009764EE">
        <w:t xml:space="preserve"> opportunities and an economy where good jobs can be accessed by </w:t>
      </w:r>
      <w:r w:rsidR="00C44B32" w:rsidRPr="009764EE">
        <w:t>as many Australians as possible</w:t>
      </w:r>
      <w:r w:rsidRPr="009764EE">
        <w:t>.</w:t>
      </w:r>
    </w:p>
    <w:p w14:paraId="002917BC" w14:textId="54AA2055" w:rsidR="00DD354B" w:rsidRPr="009764EE" w:rsidRDefault="00A1404F" w:rsidP="008726F4">
      <w:r w:rsidRPr="009764EE">
        <w:t xml:space="preserve">These issues will be explored further in the Employment White Paper, due to be released in September 2023. </w:t>
      </w:r>
    </w:p>
    <w:p w14:paraId="1E53854F" w14:textId="5BBC938C" w:rsidR="00D713F3" w:rsidRPr="009764EE" w:rsidRDefault="00D713F3" w:rsidP="00967140">
      <w:pPr>
        <w:pStyle w:val="Heading3"/>
        <w:rPr>
          <w:rFonts w:cs="Calibri"/>
          <w:szCs w:val="24"/>
        </w:rPr>
      </w:pPr>
      <w:bookmarkStart w:id="103" w:name="_Hlk140134809"/>
      <w:r w:rsidRPr="009764EE">
        <w:rPr>
          <w:rFonts w:cs="Calibri"/>
        </w:rPr>
        <w:t>Wages</w:t>
      </w:r>
      <w:r w:rsidRPr="009764EE">
        <w:rPr>
          <w:rFonts w:cs="Calibri"/>
          <w:szCs w:val="24"/>
        </w:rPr>
        <w:t xml:space="preserve"> </w:t>
      </w:r>
    </w:p>
    <w:p w14:paraId="112D9218" w14:textId="11712B55" w:rsidR="00896DB8" w:rsidRPr="009764EE" w:rsidRDefault="00C45DD7" w:rsidP="008726F4">
      <w:pPr>
        <w:rPr>
          <w:lang w:val="en-GB"/>
        </w:rPr>
      </w:pPr>
      <w:r w:rsidRPr="009764EE">
        <w:rPr>
          <w:lang w:val="en-GB"/>
        </w:rPr>
        <w:t xml:space="preserve">After recording sustained growth </w:t>
      </w:r>
      <w:r w:rsidR="00D713F3" w:rsidRPr="009764EE">
        <w:rPr>
          <w:lang w:val="en-GB"/>
        </w:rPr>
        <w:t xml:space="preserve">since the 1990s, </w:t>
      </w:r>
      <w:r w:rsidRPr="009764EE">
        <w:rPr>
          <w:lang w:val="en-GB"/>
        </w:rPr>
        <w:t>real wages</w:t>
      </w:r>
      <w:r w:rsidR="00D713F3" w:rsidRPr="009764EE">
        <w:rPr>
          <w:lang w:val="en-GB"/>
        </w:rPr>
        <w:t xml:space="preserve"> </w:t>
      </w:r>
      <w:r w:rsidR="002E2186" w:rsidRPr="009764EE">
        <w:rPr>
          <w:lang w:val="en-GB"/>
        </w:rPr>
        <w:t>stagnated</w:t>
      </w:r>
      <w:r w:rsidR="00D713F3" w:rsidRPr="009764EE">
        <w:rPr>
          <w:lang w:val="en-GB"/>
        </w:rPr>
        <w:t xml:space="preserve"> </w:t>
      </w:r>
      <w:r w:rsidRPr="009764EE">
        <w:rPr>
          <w:lang w:val="en-GB"/>
        </w:rPr>
        <w:t>in the years</w:t>
      </w:r>
      <w:r w:rsidR="00D713F3" w:rsidRPr="009764EE">
        <w:rPr>
          <w:lang w:val="en-GB"/>
        </w:rPr>
        <w:t xml:space="preserve"> prior to the </w:t>
      </w:r>
      <w:r w:rsidR="00D713F3" w:rsidRPr="009764EE">
        <w:t>COVID</w:t>
      </w:r>
      <w:r w:rsidR="00135DEA">
        <w:noBreakHyphen/>
      </w:r>
      <w:r w:rsidR="00D713F3" w:rsidRPr="009764EE">
        <w:t xml:space="preserve">19 </w:t>
      </w:r>
      <w:r w:rsidR="00D713F3" w:rsidRPr="009764EE">
        <w:rPr>
          <w:lang w:val="en-GB"/>
        </w:rPr>
        <w:t xml:space="preserve">pandemic. </w:t>
      </w:r>
    </w:p>
    <w:p w14:paraId="20173E72" w14:textId="7926B133" w:rsidR="007C334B" w:rsidRPr="009764EE" w:rsidRDefault="007C334B" w:rsidP="008726F4">
      <w:pPr>
        <w:rPr>
          <w:lang w:val="en-GB"/>
        </w:rPr>
      </w:pPr>
      <w:r w:rsidRPr="009764EE">
        <w:rPr>
          <w:lang w:val="en-GB"/>
        </w:rPr>
        <w:t xml:space="preserve">Declining real wage performance negatively </w:t>
      </w:r>
      <w:r w:rsidR="006A4B43" w:rsidRPr="009764EE">
        <w:rPr>
          <w:lang w:val="en-GB"/>
        </w:rPr>
        <w:t xml:space="preserve">impacts </w:t>
      </w:r>
      <w:r w:rsidRPr="009764EE">
        <w:rPr>
          <w:lang w:val="en-GB"/>
        </w:rPr>
        <w:t xml:space="preserve">the welfare of households as it means </w:t>
      </w:r>
      <w:r w:rsidR="006F4005" w:rsidRPr="009764EE">
        <w:rPr>
          <w:lang w:val="en-GB"/>
        </w:rPr>
        <w:t>pay rises are</w:t>
      </w:r>
      <w:r w:rsidRPr="009764EE">
        <w:rPr>
          <w:lang w:val="en-GB"/>
        </w:rPr>
        <w:t xml:space="preserve"> not keeping up with the price of goods and services. </w:t>
      </w:r>
    </w:p>
    <w:p w14:paraId="49B88216" w14:textId="0DE4959C" w:rsidR="007478CB" w:rsidRPr="009764EE" w:rsidRDefault="008553B6" w:rsidP="008726F4">
      <w:pPr>
        <w:rPr>
          <w:lang w:val="en-GB"/>
        </w:rPr>
      </w:pPr>
      <w:r w:rsidRPr="009764EE">
        <w:rPr>
          <w:lang w:val="en-GB"/>
        </w:rPr>
        <w:t xml:space="preserve">While inflation was low </w:t>
      </w:r>
      <w:r w:rsidR="007C334B" w:rsidRPr="009764EE">
        <w:rPr>
          <w:lang w:val="en-GB"/>
        </w:rPr>
        <w:t>prior to the pandemic</w:t>
      </w:r>
      <w:r w:rsidRPr="009764EE">
        <w:rPr>
          <w:lang w:val="en-GB"/>
        </w:rPr>
        <w:t>, wage growth was subdued</w:t>
      </w:r>
      <w:r w:rsidR="00390DE3" w:rsidRPr="009764EE">
        <w:rPr>
          <w:lang w:val="en-GB"/>
        </w:rPr>
        <w:t xml:space="preserve">, resulting in </w:t>
      </w:r>
      <w:r w:rsidR="002B3886" w:rsidRPr="009764EE">
        <w:rPr>
          <w:lang w:val="en-GB"/>
        </w:rPr>
        <w:t>sluggish</w:t>
      </w:r>
      <w:r w:rsidR="004B5FE0" w:rsidRPr="009764EE">
        <w:rPr>
          <w:lang w:val="en-GB"/>
        </w:rPr>
        <w:t xml:space="preserve"> </w:t>
      </w:r>
      <w:r w:rsidR="00390DE3" w:rsidRPr="009764EE">
        <w:rPr>
          <w:lang w:val="en-GB"/>
        </w:rPr>
        <w:t xml:space="preserve">real wage </w:t>
      </w:r>
      <w:r w:rsidR="00286559" w:rsidRPr="009764EE">
        <w:rPr>
          <w:lang w:val="en-GB"/>
        </w:rPr>
        <w:t>growth</w:t>
      </w:r>
      <w:r w:rsidRPr="009764EE">
        <w:rPr>
          <w:lang w:val="en-GB"/>
        </w:rPr>
        <w:t xml:space="preserve">. </w:t>
      </w:r>
    </w:p>
    <w:p w14:paraId="665F7F9B" w14:textId="0FBC8493" w:rsidR="008553B6" w:rsidRPr="009764EE" w:rsidRDefault="00DD24F8" w:rsidP="008726F4">
      <w:pPr>
        <w:rPr>
          <w:lang w:val="en-GB"/>
        </w:rPr>
      </w:pPr>
      <w:r w:rsidRPr="009764EE">
        <w:rPr>
          <w:lang w:val="en-GB"/>
        </w:rPr>
        <w:t>Nominal wages have picked up and are currently growing at the fastest rate in over a decade. However</w:t>
      </w:r>
      <w:r w:rsidR="008553B6" w:rsidRPr="009764EE">
        <w:rPr>
          <w:lang w:val="en-GB"/>
        </w:rPr>
        <w:t xml:space="preserve">, </w:t>
      </w:r>
      <w:r w:rsidR="0063618C" w:rsidRPr="009764EE">
        <w:rPr>
          <w:lang w:val="en-GB"/>
        </w:rPr>
        <w:t xml:space="preserve">over the most recent years </w:t>
      </w:r>
      <w:r w:rsidR="008553B6" w:rsidRPr="009764EE">
        <w:rPr>
          <w:lang w:val="en-GB"/>
        </w:rPr>
        <w:t xml:space="preserve">real wages have </w:t>
      </w:r>
      <w:r w:rsidR="003D42E7" w:rsidRPr="009764EE">
        <w:rPr>
          <w:lang w:val="en-GB"/>
        </w:rPr>
        <w:t>been impacted by</w:t>
      </w:r>
      <w:r w:rsidR="008553B6" w:rsidRPr="009764EE">
        <w:rPr>
          <w:lang w:val="en-GB"/>
        </w:rPr>
        <w:t xml:space="preserve"> high inflation</w:t>
      </w:r>
      <w:r w:rsidRPr="009764EE">
        <w:rPr>
          <w:lang w:val="en-GB"/>
        </w:rPr>
        <w:t>.</w:t>
      </w:r>
      <w:r w:rsidR="008553B6" w:rsidRPr="009764EE">
        <w:rPr>
          <w:lang w:val="en-GB"/>
        </w:rPr>
        <w:t xml:space="preserve"> </w:t>
      </w:r>
      <w:r w:rsidR="00FE1AC5" w:rsidRPr="009764EE">
        <w:rPr>
          <w:lang w:val="en-GB"/>
        </w:rPr>
        <w:t xml:space="preserve">As inflation moderates over the </w:t>
      </w:r>
      <w:r w:rsidR="00440C9A" w:rsidRPr="009764EE">
        <w:rPr>
          <w:lang w:val="en-GB"/>
        </w:rPr>
        <w:t>period ahead</w:t>
      </w:r>
      <w:r w:rsidR="00FE1AC5" w:rsidRPr="009764EE">
        <w:rPr>
          <w:lang w:val="en-GB"/>
        </w:rPr>
        <w:t>, real wage</w:t>
      </w:r>
      <w:r w:rsidR="00440C9A" w:rsidRPr="009764EE">
        <w:rPr>
          <w:lang w:val="en-GB"/>
        </w:rPr>
        <w:t>s</w:t>
      </w:r>
      <w:r w:rsidR="00FE1AC5" w:rsidRPr="009764EE">
        <w:rPr>
          <w:lang w:val="en-GB"/>
        </w:rPr>
        <w:t xml:space="preserve"> </w:t>
      </w:r>
      <w:r w:rsidR="00926EB6" w:rsidRPr="009764EE">
        <w:rPr>
          <w:lang w:val="en-GB"/>
        </w:rPr>
        <w:t>are</w:t>
      </w:r>
      <w:r w:rsidR="00FE1AC5" w:rsidRPr="009764EE">
        <w:rPr>
          <w:lang w:val="en-GB"/>
        </w:rPr>
        <w:t xml:space="preserve"> expected to return to growth.</w:t>
      </w:r>
    </w:p>
    <w:p w14:paraId="4EB84EE2" w14:textId="77777777" w:rsidR="0063618C" w:rsidRPr="009764EE" w:rsidRDefault="00814BFD" w:rsidP="008726F4">
      <w:r w:rsidRPr="009764EE">
        <w:t xml:space="preserve">There are a range of measures of wage growth available including National Accounts based measures of earnings that include broader drivers of wages growth including increases from productivity improvements and changing jobs. </w:t>
      </w:r>
    </w:p>
    <w:p w14:paraId="1657F1E8" w14:textId="540B4E6D" w:rsidR="00814BFD" w:rsidRPr="009764EE" w:rsidRDefault="00814BFD" w:rsidP="008726F4">
      <w:pPr>
        <w:rPr>
          <w:lang w:val="en-GB"/>
        </w:rPr>
      </w:pPr>
      <w:r w:rsidRPr="009764EE">
        <w:rPr>
          <w:lang w:val="en-GB"/>
        </w:rPr>
        <w:t>Real wages are only one source of income, others that also influence financial security include for example pension incomes. Other aspects of household income and wealth are also discussed further in the Prosperous theme.</w:t>
      </w:r>
    </w:p>
    <w:bookmarkEnd w:id="103"/>
    <w:p w14:paraId="000E8C9A" w14:textId="248D34C4" w:rsidR="008D1D00" w:rsidRPr="009764EE" w:rsidRDefault="008D1D00" w:rsidP="002F6F41">
      <w:pPr>
        <w:pStyle w:val="Heading3"/>
        <w:rPr>
          <w:rFonts w:cs="Calibri"/>
          <w:szCs w:val="24"/>
        </w:rPr>
      </w:pPr>
      <w:r w:rsidRPr="009764EE">
        <w:rPr>
          <w:rFonts w:cs="Calibri"/>
        </w:rPr>
        <w:t xml:space="preserve">Job opportunities </w:t>
      </w:r>
    </w:p>
    <w:p w14:paraId="4934A31F" w14:textId="75C350F3" w:rsidR="008D1D00" w:rsidRPr="009764EE" w:rsidRDefault="008D1D00" w:rsidP="008726F4">
      <w:r w:rsidRPr="009764EE">
        <w:t xml:space="preserve">Unemployment </w:t>
      </w:r>
      <w:r w:rsidR="006425AC" w:rsidRPr="009764EE">
        <w:t>is a measure that captures the extent to which people looking for work, can get it</w:t>
      </w:r>
      <w:r w:rsidR="00AA7A1F" w:rsidRPr="009764EE">
        <w:t xml:space="preserve">. Currently, </w:t>
      </w:r>
      <w:r w:rsidRPr="009764EE">
        <w:t xml:space="preserve">in Australia </w:t>
      </w:r>
      <w:r w:rsidR="00AA7A1F" w:rsidRPr="009764EE">
        <w:t>it</w:t>
      </w:r>
      <w:r w:rsidR="00135DEA">
        <w:t>’</w:t>
      </w:r>
      <w:r w:rsidR="00AA7A1F" w:rsidRPr="009764EE">
        <w:t>s sitting</w:t>
      </w:r>
      <w:r w:rsidRPr="009764EE">
        <w:t xml:space="preserve"> near </w:t>
      </w:r>
      <w:r w:rsidR="00590441" w:rsidRPr="009764EE">
        <w:t>50</w:t>
      </w:r>
      <w:r w:rsidR="00135DEA">
        <w:noBreakHyphen/>
      </w:r>
      <w:r w:rsidR="00590441">
        <w:t>year</w:t>
      </w:r>
      <w:r w:rsidRPr="009764EE">
        <w:t xml:space="preserve"> lows at just 3.6</w:t>
      </w:r>
      <w:r w:rsidR="001524A0">
        <w:t> per c</w:t>
      </w:r>
      <w:r w:rsidRPr="009764EE">
        <w:t>ent.</w:t>
      </w:r>
    </w:p>
    <w:p w14:paraId="0362B86E" w14:textId="62C765A9" w:rsidR="008D1D00" w:rsidRPr="009764EE" w:rsidDel="00064833" w:rsidRDefault="008D1D00" w:rsidP="008726F4">
      <w:r w:rsidRPr="009764EE" w:rsidDel="00064833">
        <w:t xml:space="preserve">The </w:t>
      </w:r>
      <w:r w:rsidRPr="009764EE">
        <w:t>duration</w:t>
      </w:r>
      <w:r w:rsidRPr="009764EE" w:rsidDel="00064833">
        <w:t xml:space="preserve"> of unemployment also matters for wellbeing. The long</w:t>
      </w:r>
      <w:r w:rsidR="00135DEA">
        <w:noBreakHyphen/>
      </w:r>
      <w:r w:rsidRPr="009764EE" w:rsidDel="00064833">
        <w:t xml:space="preserve">term unemployment rate </w:t>
      </w:r>
      <w:r w:rsidRPr="009764EE">
        <w:t xml:space="preserve">(those who have been unemployed for a year or more) is at </w:t>
      </w:r>
      <w:r w:rsidRPr="009764EE" w:rsidDel="00064833">
        <w:t>its lowest level since 2008.</w:t>
      </w:r>
    </w:p>
    <w:p w14:paraId="0348C6A6" w14:textId="33053469" w:rsidR="00010981" w:rsidRPr="009764EE" w:rsidRDefault="008D1D00" w:rsidP="008726F4">
      <w:r w:rsidRPr="009764EE">
        <w:t>Underutilisation</w:t>
      </w:r>
      <w:r w:rsidR="00135030" w:rsidRPr="009764EE">
        <w:t xml:space="preserve"> </w:t>
      </w:r>
      <w:r w:rsidR="004712D2" w:rsidRPr="009764EE">
        <w:t xml:space="preserve">includes those </w:t>
      </w:r>
      <w:r w:rsidR="00135030" w:rsidRPr="009764EE">
        <w:t xml:space="preserve">who </w:t>
      </w:r>
      <w:r w:rsidR="004712D2" w:rsidRPr="009764EE">
        <w:t xml:space="preserve">are currently working but wish to work more hours. </w:t>
      </w:r>
    </w:p>
    <w:p w14:paraId="01304903" w14:textId="2880C64B" w:rsidR="008D1D00" w:rsidRDefault="008D1D00" w:rsidP="008726F4">
      <w:r w:rsidRPr="009764EE">
        <w:t>The hours</w:t>
      </w:r>
      <w:r w:rsidR="00135DEA">
        <w:noBreakHyphen/>
      </w:r>
      <w:r w:rsidRPr="009764EE">
        <w:t>based underutilisation rate</w:t>
      </w:r>
      <w:r w:rsidR="00F812B5" w:rsidRPr="009764EE">
        <w:t xml:space="preserve"> is close to historic lows at 5.3</w:t>
      </w:r>
      <w:r w:rsidR="001524A0">
        <w:t> per c</w:t>
      </w:r>
      <w:r w:rsidR="00F812B5" w:rsidRPr="009764EE">
        <w:t>ent. This rate</w:t>
      </w:r>
      <w:r w:rsidRPr="009764EE">
        <w:t xml:space="preserve"> measures additional hours sought by </w:t>
      </w:r>
      <w:r w:rsidR="00EB4E1F" w:rsidRPr="009764EE">
        <w:t xml:space="preserve">people who are </w:t>
      </w:r>
      <w:r w:rsidRPr="009764EE">
        <w:t>unemployed or underemployed as a share of total hours worked or sought.</w:t>
      </w:r>
    </w:p>
    <w:p w14:paraId="5F4CD917" w14:textId="77777777" w:rsidR="00AB3D35" w:rsidRDefault="00AB3D35" w:rsidP="007E7B0A">
      <w:pPr>
        <w:rPr>
          <w:rFonts w:ascii="Calibri" w:hAnsi="Calibri" w:cs="Calibri"/>
        </w:rPr>
        <w:sectPr w:rsidR="00AB3D35" w:rsidSect="00430CF7">
          <w:endnotePr>
            <w:numFmt w:val="decimal"/>
          </w:endnotePr>
          <w:pgSz w:w="11906" w:h="16838" w:code="9"/>
          <w:pgMar w:top="1843" w:right="1418" w:bottom="1418" w:left="1418" w:header="851" w:footer="851" w:gutter="0"/>
          <w:cols w:num="2" w:space="567"/>
          <w:docGrid w:linePitch="360"/>
        </w:sectPr>
      </w:pPr>
    </w:p>
    <w:p w14:paraId="50C5BB87" w14:textId="53B013AF" w:rsidR="00AB3D35" w:rsidRPr="00F93AF5" w:rsidRDefault="00AB3D35" w:rsidP="00F93AF5">
      <w:pPr>
        <w:pStyle w:val="ChartMainHeading"/>
      </w:pPr>
      <w:r w:rsidRPr="00F93AF5">
        <w:lastRenderedPageBreak/>
        <w:t>Chart 19: Unemployment and long</w:t>
      </w:r>
      <w:r w:rsidR="00135DEA">
        <w:noBreakHyphen/>
      </w:r>
      <w:r w:rsidRPr="00F93AF5">
        <w:t>term unemployment rates</w:t>
      </w:r>
    </w:p>
    <w:p w14:paraId="4CB803F5" w14:textId="77777777" w:rsidR="00AB3D35" w:rsidRPr="009764EE" w:rsidRDefault="00AB3D35" w:rsidP="00F93AF5">
      <w:pPr>
        <w:pStyle w:val="ChartGraphic"/>
      </w:pPr>
      <w:r w:rsidRPr="00396C4A">
        <w:rPr>
          <w:noProof/>
        </w:rPr>
        <w:drawing>
          <wp:inline distT="0" distB="0" distL="0" distR="0" wp14:anchorId="2B11DD36" wp14:editId="4471C98C">
            <wp:extent cx="5400000" cy="2059635"/>
            <wp:effectExtent l="0" t="0" r="0" b="0"/>
            <wp:docPr id="35" name="Picture 35" descr="This line chart shows the unemployment and long-term unemployment rates from June 2003 to May 2023. &#10;The unemployment rate fell from 6.1 per cent in June 2003, to 4.0 per cent in August 2008, before increasing to 5.9 per cent in June 2009. It jumped to 7.5 per cent in July 2020 and then fell again to 3.6 in May 2023. &#10;The long-term unemployment rate was 1.3 per cent in June 2003. It fluctuated between the highest point of 1.8 per cent in April 2021 and the lowest point of 0.6 per cent in August 2008. The May 2023 value was 0.6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line chart shows the unemployment and long-term unemployment rates from June 2003 to May 2023. &#10;The unemployment rate fell from 6.1 per cent in June 2003, to 4.0 per cent in August 2008, before increasing to 5.9 per cent in June 2009. It jumped to 7.5 per cent in July 2020 and then fell again to 3.6 in May 2023. &#10;The long-term unemployment rate was 1.3 per cent in June 2003. It fluctuated between the highest point of 1.8 per cent in April 2021 and the lowest point of 0.6 per cent in August 2008. The May 2023 value was 0.6 per cent.  &#10;"/>
                    <pic:cNvPicPr/>
                  </pic:nvPicPr>
                  <pic:blipFill>
                    <a:blip r:embed="rId60"/>
                    <a:stretch>
                      <a:fillRect/>
                    </a:stretch>
                  </pic:blipFill>
                  <pic:spPr>
                    <a:xfrm>
                      <a:off x="0" y="0"/>
                      <a:ext cx="5400000" cy="2059635"/>
                    </a:xfrm>
                    <a:prstGeom prst="rect">
                      <a:avLst/>
                    </a:prstGeom>
                  </pic:spPr>
                </pic:pic>
              </a:graphicData>
            </a:graphic>
          </wp:inline>
        </w:drawing>
      </w:r>
    </w:p>
    <w:p w14:paraId="4A7CA6A5" w14:textId="77777777" w:rsidR="00AB3D35" w:rsidRDefault="00AB3D35" w:rsidP="00F93AF5">
      <w:pPr>
        <w:pStyle w:val="ChartorTableNote"/>
      </w:pPr>
      <w:r w:rsidRPr="009764EE">
        <w:t xml:space="preserve">Source: ABS Labour Force Survey. </w:t>
      </w:r>
    </w:p>
    <w:p w14:paraId="346DAE1D" w14:textId="27776E63" w:rsidR="008D1D00" w:rsidRPr="00F93AF5" w:rsidRDefault="008D1D00" w:rsidP="00F93AF5">
      <w:pPr>
        <w:pStyle w:val="ChartMainHeading"/>
      </w:pPr>
      <w:r w:rsidRPr="00F93AF5">
        <w:t xml:space="preserve">Chart </w:t>
      </w:r>
      <w:r w:rsidR="00742BF6" w:rsidRPr="00F93AF5">
        <w:t>20</w:t>
      </w:r>
      <w:r w:rsidRPr="00F93AF5">
        <w:t>: Underutilisation rate (hours</w:t>
      </w:r>
      <w:r w:rsidR="00135DEA">
        <w:noBreakHyphen/>
      </w:r>
      <w:r w:rsidRPr="00F93AF5">
        <w:t>based)</w:t>
      </w:r>
    </w:p>
    <w:p w14:paraId="586553CC" w14:textId="3658074F" w:rsidR="007524AE" w:rsidRPr="009764EE" w:rsidRDefault="007524AE" w:rsidP="00F93AF5">
      <w:pPr>
        <w:pStyle w:val="ChartGraphic"/>
      </w:pPr>
      <w:r w:rsidRPr="007524AE">
        <w:rPr>
          <w:noProof/>
        </w:rPr>
        <w:drawing>
          <wp:inline distT="0" distB="0" distL="0" distR="0" wp14:anchorId="6A1D3791" wp14:editId="2F41353F">
            <wp:extent cx="5400000" cy="2007283"/>
            <wp:effectExtent l="0" t="0" r="0" b="0"/>
            <wp:docPr id="36" name="Picture 36" descr="This chart shows the hours-based underutilisation rate from December 2003 to December 2023. The rate was 8 per cent in December 2003, declining to 6.6 per cent in December 2008, before jumping to 8.3 per cent in September 2009. It fluctuated between 8.8 per cent and 7.3 per cent until 2020 when it increased to 10.6 per cent, before declining to 5.2 per cent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chart shows the hours-based underutilisation rate from December 2003 to December 2023. The rate was 8 per cent in December 2003, declining to 6.6 per cent in December 2008, before jumping to 8.3 per cent in September 2009. It fluctuated between 8.8 per cent and 7.3 per cent until 2020 when it increased to 10.6 per cent, before declining to 5.2 per cent in 2023. "/>
                    <pic:cNvPicPr/>
                  </pic:nvPicPr>
                  <pic:blipFill>
                    <a:blip r:embed="rId61"/>
                    <a:stretch>
                      <a:fillRect/>
                    </a:stretch>
                  </pic:blipFill>
                  <pic:spPr>
                    <a:xfrm>
                      <a:off x="0" y="0"/>
                      <a:ext cx="5400000" cy="2007283"/>
                    </a:xfrm>
                    <a:prstGeom prst="rect">
                      <a:avLst/>
                    </a:prstGeom>
                  </pic:spPr>
                </pic:pic>
              </a:graphicData>
            </a:graphic>
          </wp:inline>
        </w:drawing>
      </w:r>
    </w:p>
    <w:p w14:paraId="4B6583EF" w14:textId="77777777" w:rsidR="00AE0245" w:rsidRDefault="00AE0245" w:rsidP="00F93AF5">
      <w:pPr>
        <w:pStyle w:val="ChartorTableNote"/>
      </w:pPr>
      <w:r w:rsidRPr="009764EE">
        <w:t>Source: ABS Labour Account.</w:t>
      </w:r>
    </w:p>
    <w:p w14:paraId="509C5226" w14:textId="77777777" w:rsidR="00AB3D35" w:rsidRDefault="00AB3D35" w:rsidP="00AB3D35"/>
    <w:p w14:paraId="1FC34262" w14:textId="0001656A" w:rsidR="00F93AF5" w:rsidRDefault="00F93AF5" w:rsidP="00AB3D35">
      <w:pPr>
        <w:sectPr w:rsidR="00F93AF5" w:rsidSect="00DA302B">
          <w:endnotePr>
            <w:numFmt w:val="decimal"/>
          </w:endnotePr>
          <w:type w:val="continuous"/>
          <w:pgSz w:w="11906" w:h="16838" w:code="9"/>
          <w:pgMar w:top="1843" w:right="1418" w:bottom="1418" w:left="1418" w:header="851" w:footer="851" w:gutter="0"/>
          <w:cols w:space="567"/>
          <w:docGrid w:linePitch="360"/>
        </w:sectPr>
      </w:pPr>
    </w:p>
    <w:p w14:paraId="1083444A" w14:textId="3F1D4E66" w:rsidR="00AE0245" w:rsidRPr="009764EE" w:rsidRDefault="002B7E68" w:rsidP="00CA2B85">
      <w:pPr>
        <w:pStyle w:val="Heading3"/>
        <w:spacing w:before="0"/>
        <w:rPr>
          <w:rFonts w:cs="Calibri"/>
          <w:szCs w:val="24"/>
        </w:rPr>
      </w:pPr>
      <w:r w:rsidRPr="009764EE">
        <w:rPr>
          <w:rFonts w:cs="Calibri"/>
        </w:rPr>
        <w:t>Broaden</w:t>
      </w:r>
      <w:r w:rsidRPr="009764EE">
        <w:rPr>
          <w:rFonts w:cs="Calibri"/>
          <w:szCs w:val="24"/>
        </w:rPr>
        <w:t>ing access to work</w:t>
      </w:r>
    </w:p>
    <w:p w14:paraId="0B72FE2E" w14:textId="27664606" w:rsidR="006045DA" w:rsidRPr="009764EE" w:rsidRDefault="006045DA" w:rsidP="008726F4">
      <w:r w:rsidRPr="009764EE">
        <w:t>The participation rate, which expresses the labour force as a share of the population, has increased substantially over recent decades and has recently been around record high levels.</w:t>
      </w:r>
    </w:p>
    <w:p w14:paraId="558DEC7F" w14:textId="5F95F24B" w:rsidR="006045DA" w:rsidRPr="009764EE" w:rsidRDefault="006045DA" w:rsidP="008726F4">
      <w:r w:rsidRPr="009764EE">
        <w:t>The rise in overall participation can be largely attributed to increased women</w:t>
      </w:r>
      <w:r w:rsidR="00135DEA">
        <w:t>’</w:t>
      </w:r>
      <w:r w:rsidRPr="009764EE">
        <w:t xml:space="preserve">s workforce participation driven by changes in social attitudes, workplace flexibility, and improved education </w:t>
      </w:r>
      <w:r w:rsidR="004915C7" w:rsidRPr="009764EE">
        <w:t>opportunities and outcomes</w:t>
      </w:r>
      <w:r w:rsidRPr="009764EE">
        <w:t>.</w:t>
      </w:r>
    </w:p>
    <w:p w14:paraId="20ACD430" w14:textId="42560B91" w:rsidR="00F56ED5" w:rsidRPr="009764EE" w:rsidRDefault="006045DA" w:rsidP="008726F4">
      <w:r w:rsidRPr="009764EE">
        <w:t xml:space="preserve">With </w:t>
      </w:r>
      <w:r w:rsidR="00616866" w:rsidRPr="009764EE">
        <w:t>employment rates</w:t>
      </w:r>
      <w:r w:rsidRPr="009764EE">
        <w:t xml:space="preserve"> at record highs, more people than ever before have broadening access to work opportunities</w:t>
      </w:r>
      <w:r w:rsidR="004F273A">
        <w:t>.</w:t>
      </w:r>
      <w:r w:rsidRPr="009764EE">
        <w:t xml:space="preserve"> </w:t>
      </w:r>
    </w:p>
    <w:p w14:paraId="16DF83E8" w14:textId="72F8B7EB" w:rsidR="00AE0245" w:rsidRPr="009764EE" w:rsidRDefault="00AE0245" w:rsidP="008726F4">
      <w:r w:rsidRPr="009764EE">
        <w:t>Despite strong employment outcomes at a whole</w:t>
      </w:r>
      <w:r w:rsidR="00135DEA">
        <w:noBreakHyphen/>
      </w:r>
      <w:r w:rsidRPr="009764EE">
        <w:t>of</w:t>
      </w:r>
      <w:r w:rsidR="00135DEA">
        <w:noBreakHyphen/>
      </w:r>
      <w:r w:rsidRPr="009764EE">
        <w:t>economy level, labour market inequalities persist for many groups.</w:t>
      </w:r>
    </w:p>
    <w:p w14:paraId="5BB3BEE4" w14:textId="391BEF64" w:rsidR="008D1D00" w:rsidRPr="009764EE" w:rsidRDefault="008D1D00" w:rsidP="006F7B26">
      <w:pPr>
        <w:pStyle w:val="Bullet"/>
        <w:rPr>
          <w:lang w:val="en-GB"/>
        </w:rPr>
      </w:pPr>
      <w:r w:rsidRPr="009764EE">
        <w:t xml:space="preserve">Employment rates for people with disability have remained persistently low over the past decade. </w:t>
      </w:r>
    </w:p>
    <w:p w14:paraId="19AF23FF" w14:textId="4F604A4F" w:rsidR="008D1D00" w:rsidRPr="009764EE" w:rsidRDefault="008D1D00" w:rsidP="006F7B26">
      <w:pPr>
        <w:pStyle w:val="Bullet"/>
        <w:rPr>
          <w:lang w:val="en-GB"/>
        </w:rPr>
      </w:pPr>
      <w:r w:rsidRPr="009764EE">
        <w:t xml:space="preserve">While the employment rate for </w:t>
      </w:r>
      <w:r w:rsidR="001524A0">
        <w:t>First Nation</w:t>
      </w:r>
      <w:r w:rsidRPr="009764EE">
        <w:t>s people (aged 15</w:t>
      </w:r>
      <w:r w:rsidR="00BD44C1">
        <w:softHyphen/>
      </w:r>
      <w:r w:rsidR="00151999">
        <w:t>–</w:t>
      </w:r>
      <w:r w:rsidRPr="009764EE">
        <w:t>64) has increased over time, from 4</w:t>
      </w:r>
      <w:r w:rsidR="00722A7E" w:rsidRPr="009764EE">
        <w:t>8</w:t>
      </w:r>
      <w:r w:rsidR="001524A0">
        <w:t> per c</w:t>
      </w:r>
      <w:r w:rsidRPr="009764EE">
        <w:t>ent in 2006 to 5</w:t>
      </w:r>
      <w:r w:rsidR="00722A7E" w:rsidRPr="009764EE">
        <w:t>2</w:t>
      </w:r>
      <w:r w:rsidR="001524A0">
        <w:t> per c</w:t>
      </w:r>
      <w:r w:rsidRPr="009764EE">
        <w:t>ent in 2021</w:t>
      </w:r>
      <w:r w:rsidR="00A73D73" w:rsidRPr="009764EE">
        <w:t xml:space="preserve">, </w:t>
      </w:r>
      <w:r w:rsidR="006C12BF" w:rsidRPr="009764EE">
        <w:t xml:space="preserve">it </w:t>
      </w:r>
      <w:r w:rsidR="00A73D73" w:rsidRPr="009764EE">
        <w:t>is</w:t>
      </w:r>
      <w:r w:rsidRPr="009764EE">
        <w:t xml:space="preserve"> still 2</w:t>
      </w:r>
      <w:r w:rsidR="00722A7E" w:rsidRPr="009764EE">
        <w:t>2</w:t>
      </w:r>
      <w:r w:rsidRPr="009764EE">
        <w:t xml:space="preserve"> percentage points lower than for other Australians in 2021. </w:t>
      </w:r>
    </w:p>
    <w:p w14:paraId="4D25C267" w14:textId="0DC6A5DA" w:rsidR="00AE0245" w:rsidRPr="009764EE" w:rsidRDefault="00AE0245" w:rsidP="006F7B26">
      <w:pPr>
        <w:pStyle w:val="Bullet"/>
        <w:rPr>
          <w:lang w:val="en-GB"/>
        </w:rPr>
      </w:pPr>
      <w:r w:rsidRPr="009764EE">
        <w:t xml:space="preserve">Women have lower </w:t>
      </w:r>
      <w:r w:rsidR="008D1D00" w:rsidRPr="009764EE">
        <w:t>labour force participation, lower</w:t>
      </w:r>
      <w:r w:rsidRPr="009764EE">
        <w:t xml:space="preserve"> average hours worked and experience a persistent gender pay gap. The gender pay </w:t>
      </w:r>
      <w:r w:rsidR="008D1D00" w:rsidRPr="009764EE">
        <w:t xml:space="preserve">gap </w:t>
      </w:r>
      <w:r w:rsidRPr="009764EE">
        <w:t xml:space="preserve">has fallen only </w:t>
      </w:r>
      <w:r w:rsidR="00D311E4" w:rsidRPr="009764EE">
        <w:t xml:space="preserve">2.9 </w:t>
      </w:r>
      <w:r w:rsidRPr="009764EE">
        <w:lastRenderedPageBreak/>
        <w:t>percentage points in 28 years, to 13.3</w:t>
      </w:r>
      <w:r w:rsidR="001524A0">
        <w:t> per c</w:t>
      </w:r>
      <w:r w:rsidRPr="009764EE">
        <w:t>ent in November</w:t>
      </w:r>
      <w:r w:rsidRPr="009764EE" w:rsidDel="00322AAA">
        <w:t xml:space="preserve"> </w:t>
      </w:r>
      <w:r w:rsidRPr="009764EE">
        <w:t xml:space="preserve">2022. </w:t>
      </w:r>
    </w:p>
    <w:p w14:paraId="521FB5AA" w14:textId="5B4B93DE" w:rsidR="000A3970" w:rsidRPr="009764EE" w:rsidRDefault="000A3970" w:rsidP="000A3970">
      <w:pPr>
        <w:pStyle w:val="Heading3"/>
        <w:spacing w:after="120"/>
        <w:rPr>
          <w:rFonts w:cs="Calibri"/>
        </w:rPr>
      </w:pPr>
      <w:r w:rsidRPr="009764EE">
        <w:rPr>
          <w:rFonts w:cs="Calibri"/>
        </w:rPr>
        <w:t>Job satisfaction</w:t>
      </w:r>
    </w:p>
    <w:p w14:paraId="258921DC" w14:textId="11C54815" w:rsidR="000A3970" w:rsidRDefault="000A3970" w:rsidP="008726F4">
      <w:r w:rsidRPr="009764EE">
        <w:t>Most employed Australians report being relatively satisfied with their job. The</w:t>
      </w:r>
      <w:r w:rsidRPr="009764EE" w:rsidDel="00AE4BDD">
        <w:t xml:space="preserve"> </w:t>
      </w:r>
      <w:r w:rsidRPr="009764EE">
        <w:t xml:space="preserve">average job satisfaction rating has been relatively stable </w:t>
      </w:r>
      <w:r w:rsidR="00CA2B85">
        <w:br w:type="column"/>
      </w:r>
      <w:r w:rsidRPr="009764EE">
        <w:t xml:space="preserve">since 2001, although </w:t>
      </w:r>
      <w:r w:rsidR="00E2025D" w:rsidRPr="009764EE">
        <w:t xml:space="preserve">it </w:t>
      </w:r>
      <w:r w:rsidRPr="009764EE">
        <w:t xml:space="preserve">has been increasing since 2017. Since 2001, </w:t>
      </w:r>
      <w:r w:rsidR="00602DF0" w:rsidRPr="009764EE">
        <w:t>women</w:t>
      </w:r>
      <w:r w:rsidRPr="009764EE">
        <w:t xml:space="preserve"> have had higher average job satisfaction ratings than </w:t>
      </w:r>
      <w:r w:rsidR="00602DF0" w:rsidRPr="009764EE">
        <w:t>men</w:t>
      </w:r>
      <w:r w:rsidR="001524A0">
        <w:t xml:space="preserve"> – </w:t>
      </w:r>
      <w:r w:rsidRPr="009764EE">
        <w:t xml:space="preserve">although rates converged around 2020. </w:t>
      </w:r>
    </w:p>
    <w:p w14:paraId="5CED3494" w14:textId="77777777" w:rsidR="00AB3D35" w:rsidRDefault="00AB3D35" w:rsidP="000A3970">
      <w:pPr>
        <w:spacing w:before="0" w:after="160"/>
        <w:rPr>
          <w:rFonts w:ascii="Calibri" w:hAnsi="Calibri" w:cs="Calibri"/>
        </w:rPr>
      </w:pPr>
    </w:p>
    <w:p w14:paraId="0E650B2F" w14:textId="0F87845A" w:rsidR="00F93AF5" w:rsidRDefault="00F93AF5" w:rsidP="000A3970">
      <w:pPr>
        <w:spacing w:before="0" w:after="160"/>
        <w:rPr>
          <w:rFonts w:ascii="Calibri" w:hAnsi="Calibri" w:cs="Calibri"/>
        </w:rPr>
        <w:sectPr w:rsidR="00F93AF5" w:rsidSect="00DA302B">
          <w:endnotePr>
            <w:numFmt w:val="decimal"/>
          </w:endnotePr>
          <w:type w:val="continuous"/>
          <w:pgSz w:w="11906" w:h="16838" w:code="9"/>
          <w:pgMar w:top="1843" w:right="1418" w:bottom="1418" w:left="1418" w:header="851" w:footer="851" w:gutter="0"/>
          <w:cols w:num="2" w:space="567"/>
          <w:docGrid w:linePitch="360"/>
        </w:sectPr>
      </w:pPr>
    </w:p>
    <w:p w14:paraId="18E4CC5E" w14:textId="2C5F0711" w:rsidR="000A3970" w:rsidRPr="00F93AF5" w:rsidRDefault="000A3970" w:rsidP="00F93AF5">
      <w:pPr>
        <w:pStyle w:val="ChartMainHeading"/>
      </w:pPr>
      <w:r w:rsidRPr="00F93AF5">
        <w:t xml:space="preserve">Chart </w:t>
      </w:r>
      <w:r w:rsidR="00742BF6" w:rsidRPr="00F93AF5">
        <w:t>21</w:t>
      </w:r>
      <w:r w:rsidRPr="00F93AF5">
        <w:t>: Average job satisfaction rating, all employed Australians, by sex</w:t>
      </w:r>
    </w:p>
    <w:p w14:paraId="5F341A28" w14:textId="442381F6" w:rsidR="0021523D" w:rsidRPr="009764EE" w:rsidRDefault="00ED6654" w:rsidP="00F93AF5">
      <w:pPr>
        <w:pStyle w:val="ChartGraphic"/>
      </w:pPr>
      <w:r w:rsidRPr="00ED6654">
        <w:rPr>
          <w:noProof/>
        </w:rPr>
        <w:drawing>
          <wp:inline distT="0" distB="0" distL="0" distR="0" wp14:anchorId="213DA092" wp14:editId="6F19BD84">
            <wp:extent cx="5400000" cy="1934499"/>
            <wp:effectExtent l="0" t="0" r="0" b="8890"/>
            <wp:docPr id="38" name="Picture 38" descr="This line chart shows the Household, Income and Labour Dynamics in Australia survey measure of job satisfaction for all employed Australians by sex from 2001 to 2021. Job satisfaction is presented as an average score out of 10, with the higher the score, the more satisfied a person is with their job. &#10;The average score has remained between 7.5 and 7.9 for males, and 7.6 and 7.9 for females. The score has remained relatively stable (with small fluctuations) between 2001 and 2016, and from 2017 there has been an increase in the average score for both males and fem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line chart shows the Household, Income and Labour Dynamics in Australia survey measure of job satisfaction for all employed Australians by sex from 2001 to 2021. Job satisfaction is presented as an average score out of 10, with the higher the score, the more satisfied a person is with their job. &#10;The average score has remained between 7.5 and 7.9 for males, and 7.6 and 7.9 for females. The score has remained relatively stable (with small fluctuations) between 2001 and 2016, and from 2017 there has been an increase in the average score for both males and females. &#10;"/>
                    <pic:cNvPicPr/>
                  </pic:nvPicPr>
                  <pic:blipFill>
                    <a:blip r:embed="rId62"/>
                    <a:stretch>
                      <a:fillRect/>
                    </a:stretch>
                  </pic:blipFill>
                  <pic:spPr>
                    <a:xfrm>
                      <a:off x="0" y="0"/>
                      <a:ext cx="5400000" cy="1934499"/>
                    </a:xfrm>
                    <a:prstGeom prst="rect">
                      <a:avLst/>
                    </a:prstGeom>
                  </pic:spPr>
                </pic:pic>
              </a:graphicData>
            </a:graphic>
          </wp:inline>
        </w:drawing>
      </w:r>
    </w:p>
    <w:p w14:paraId="17D09E7B" w14:textId="4B432CA3" w:rsidR="000A3970" w:rsidRDefault="000A3970" w:rsidP="00F93AF5">
      <w:pPr>
        <w:pStyle w:val="ChartorTableNote"/>
      </w:pPr>
      <w:r w:rsidRPr="009764EE">
        <w:t xml:space="preserve">Source: </w:t>
      </w:r>
      <w:r w:rsidR="00F93AF5">
        <w:tab/>
      </w:r>
      <w:r w:rsidR="006D3966" w:rsidRPr="009764EE">
        <w:t xml:space="preserve">Treasury analysis of </w:t>
      </w:r>
      <w:r w:rsidRPr="009764EE">
        <w:t xml:space="preserve">HILDA </w:t>
      </w:r>
      <w:r w:rsidR="006D3966" w:rsidRPr="009764EE">
        <w:t>Survey</w:t>
      </w:r>
      <w:r w:rsidRPr="009764EE">
        <w:t xml:space="preserve"> </w:t>
      </w:r>
      <w:r w:rsidR="006D3966" w:rsidRPr="009764EE">
        <w:t>R</w:t>
      </w:r>
      <w:r w:rsidRPr="009764EE">
        <w:t>elease 21.0.</w:t>
      </w:r>
    </w:p>
    <w:p w14:paraId="1DDD08BB" w14:textId="77777777" w:rsidR="00AB3D35" w:rsidRDefault="00AB3D35" w:rsidP="00AB3D35"/>
    <w:p w14:paraId="3E1EC283" w14:textId="6ED288F5" w:rsidR="00F93AF5" w:rsidRDefault="00F93AF5" w:rsidP="00AB3D35">
      <w:pPr>
        <w:sectPr w:rsidR="00F93AF5" w:rsidSect="00DA302B">
          <w:endnotePr>
            <w:numFmt w:val="decimal"/>
          </w:endnotePr>
          <w:type w:val="continuous"/>
          <w:pgSz w:w="11906" w:h="16838" w:code="9"/>
          <w:pgMar w:top="1843" w:right="1418" w:bottom="1418" w:left="1418" w:header="851" w:footer="851" w:gutter="0"/>
          <w:cols w:space="567"/>
          <w:docGrid w:linePitch="360"/>
        </w:sectPr>
      </w:pPr>
    </w:p>
    <w:p w14:paraId="79A4EF60" w14:textId="77DF03E0" w:rsidR="00B65B2A" w:rsidRPr="009764EE" w:rsidRDefault="002B3886" w:rsidP="00CA2B85">
      <w:pPr>
        <w:pStyle w:val="Heading3"/>
        <w:spacing w:before="0" w:after="120"/>
        <w:rPr>
          <w:rFonts w:cs="Calibri"/>
        </w:rPr>
      </w:pPr>
      <w:r w:rsidRPr="009764EE">
        <w:rPr>
          <w:rFonts w:cs="Calibri"/>
        </w:rPr>
        <w:t xml:space="preserve">Secure </w:t>
      </w:r>
      <w:r w:rsidR="00C706E7">
        <w:rPr>
          <w:rFonts w:cs="Calibri"/>
        </w:rPr>
        <w:t>j</w:t>
      </w:r>
      <w:r w:rsidR="00B65B2A" w:rsidRPr="009764EE">
        <w:rPr>
          <w:rFonts w:cs="Calibri"/>
        </w:rPr>
        <w:t>ob</w:t>
      </w:r>
      <w:r w:rsidRPr="009764EE">
        <w:rPr>
          <w:rFonts w:cs="Calibri"/>
        </w:rPr>
        <w:t>s</w:t>
      </w:r>
    </w:p>
    <w:p w14:paraId="576E9243" w14:textId="122AB808" w:rsidR="005E4128" w:rsidRPr="009764EE" w:rsidRDefault="00684226" w:rsidP="00F93AF5">
      <w:r w:rsidRPr="009764EE">
        <w:t>Job security is a broad and multi</w:t>
      </w:r>
      <w:r w:rsidR="00135DEA">
        <w:noBreakHyphen/>
      </w:r>
      <w:r w:rsidRPr="009764EE">
        <w:t xml:space="preserve">faceted concept. Elements of a job that contribute to job security include, but are not limited to, the likelihood of a worker keeping their job, access to paid leave entitlements, and regularity of hours or a minimum number of hours. </w:t>
      </w:r>
      <w:r w:rsidR="005E4128" w:rsidRPr="009764EE">
        <w:t xml:space="preserve">The Employment White Paper will discuss job security </w:t>
      </w:r>
      <w:r w:rsidR="00790150" w:rsidRPr="009764EE">
        <w:t>further</w:t>
      </w:r>
      <w:r w:rsidR="002C49D4">
        <w:t xml:space="preserve"> </w:t>
      </w:r>
      <w:r w:rsidR="009C364D" w:rsidRPr="009C364D">
        <w:t>and potential opportunities to measure it better</w:t>
      </w:r>
      <w:r w:rsidR="005E4128" w:rsidRPr="009764EE">
        <w:t>.</w:t>
      </w:r>
    </w:p>
    <w:p w14:paraId="47EDFCF1" w14:textId="4E057612" w:rsidR="005E4128" w:rsidRPr="009764EE" w:rsidRDefault="005E4128" w:rsidP="00F93AF5">
      <w:r w:rsidRPr="009764EE">
        <w:t xml:space="preserve">There are several ways of measuring job security. Looking at a selection of measures suggests </w:t>
      </w:r>
      <w:r w:rsidR="005A511A" w:rsidRPr="009764EE">
        <w:t>some</w:t>
      </w:r>
      <w:r w:rsidR="00CA52C3" w:rsidRPr="009764EE">
        <w:t xml:space="preserve"> workers</w:t>
      </w:r>
      <w:r w:rsidR="008E1139" w:rsidRPr="009764EE">
        <w:t xml:space="preserve"> </w:t>
      </w:r>
      <w:r w:rsidR="005A511A" w:rsidRPr="009764EE">
        <w:t xml:space="preserve">may </w:t>
      </w:r>
      <w:r w:rsidR="00880A88" w:rsidRPr="009764EE">
        <w:t xml:space="preserve">not have adequate job security. Over the past decade, </w:t>
      </w:r>
      <w:r w:rsidR="00DD6E7B" w:rsidRPr="009764EE">
        <w:t xml:space="preserve">most metrics of </w:t>
      </w:r>
      <w:r w:rsidR="00880A88" w:rsidRPr="009764EE">
        <w:t xml:space="preserve">job security </w:t>
      </w:r>
      <w:r w:rsidR="00DD6E7B" w:rsidRPr="009764EE">
        <w:t xml:space="preserve">have </w:t>
      </w:r>
      <w:r w:rsidR="00880A88" w:rsidRPr="009764EE">
        <w:t>remain</w:t>
      </w:r>
      <w:r w:rsidR="00DD6E7B" w:rsidRPr="009764EE">
        <w:t>ed</w:t>
      </w:r>
      <w:r w:rsidR="00880A88" w:rsidRPr="009764EE">
        <w:t xml:space="preserve"> stable</w:t>
      </w:r>
      <w:r w:rsidR="00702001" w:rsidRPr="009764EE">
        <w:t>:</w:t>
      </w:r>
    </w:p>
    <w:p w14:paraId="656265E8" w14:textId="58E3C985" w:rsidR="004879B0" w:rsidRPr="009764EE" w:rsidRDefault="004879B0" w:rsidP="006F7B26">
      <w:pPr>
        <w:pStyle w:val="Bullet"/>
      </w:pPr>
      <w:r w:rsidRPr="009764EE">
        <w:t xml:space="preserve">The proportion of employed people who expect to not remain in the same job in </w:t>
      </w:r>
      <w:r w:rsidRPr="009764EE">
        <w:t>12 months</w:t>
      </w:r>
      <w:r w:rsidR="00135DEA">
        <w:t>’</w:t>
      </w:r>
      <w:r w:rsidRPr="009764EE">
        <w:t xml:space="preserve"> time due to involuntary reasons has been relatively steady since August 2015, ranging from 1.5 per cent to </w:t>
      </w:r>
      <w:r w:rsidR="00BC7061">
        <w:t>2.1</w:t>
      </w:r>
      <w:r w:rsidRPr="009764EE">
        <w:t> per cent.</w:t>
      </w:r>
    </w:p>
    <w:p w14:paraId="100D72E9" w14:textId="7C2EED2F" w:rsidR="005E4128" w:rsidRPr="009764EE" w:rsidRDefault="005E4128" w:rsidP="006F7B26">
      <w:pPr>
        <w:pStyle w:val="Bullet"/>
      </w:pPr>
      <w:r w:rsidRPr="009764EE">
        <w:t>The proportion of employees that had irregular working arrangements has been stable from 2014 to 2022 at around 27</w:t>
      </w:r>
      <w:r w:rsidR="001671C1" w:rsidRPr="009764EE">
        <w:t xml:space="preserve"> to </w:t>
      </w:r>
      <w:r w:rsidRPr="009764EE">
        <w:t>29 per cent.</w:t>
      </w:r>
    </w:p>
    <w:p w14:paraId="218A8A72" w14:textId="2116E186" w:rsidR="005E4128" w:rsidRPr="009764EE" w:rsidRDefault="005E4128" w:rsidP="006F7B26">
      <w:pPr>
        <w:pStyle w:val="Bullet"/>
      </w:pPr>
      <w:r w:rsidRPr="009764EE">
        <w:t>The proportion of employees that did not have access to paid leave entitlements has been relatively stable over the past decade, with between 22 and 26 per cent of all employees not having access to paid leave entitlements.</w:t>
      </w:r>
    </w:p>
    <w:p w14:paraId="4BAB8506" w14:textId="77777777" w:rsidR="00AE0245" w:rsidRPr="009764EE" w:rsidRDefault="00AE0245" w:rsidP="00ED240B">
      <w:pPr>
        <w:rPr>
          <w:rFonts w:ascii="Calibri" w:hAnsi="Calibri" w:cs="Calibri"/>
        </w:rPr>
      </w:pPr>
    </w:p>
    <w:p w14:paraId="4B6BB5A7" w14:textId="0A11771D" w:rsidR="00AE0245" w:rsidRPr="009764EE" w:rsidRDefault="00AE0245" w:rsidP="00ED240B">
      <w:pPr>
        <w:rPr>
          <w:rFonts w:ascii="Calibri" w:hAnsi="Calibri" w:cs="Calibri"/>
        </w:rPr>
        <w:sectPr w:rsidR="00AE0245" w:rsidRPr="009764EE" w:rsidSect="00DA302B">
          <w:endnotePr>
            <w:numFmt w:val="decimal"/>
          </w:endnotePr>
          <w:type w:val="continuous"/>
          <w:pgSz w:w="11906" w:h="16838" w:code="9"/>
          <w:pgMar w:top="1843" w:right="1418" w:bottom="1418" w:left="1418" w:header="851" w:footer="851" w:gutter="0"/>
          <w:cols w:num="2" w:space="567"/>
          <w:docGrid w:linePitch="360"/>
        </w:sectPr>
      </w:pPr>
    </w:p>
    <w:tbl>
      <w:tblPr>
        <w:tblStyle w:val="MWMKey"/>
        <w:tblW w:w="5000" w:type="pct"/>
        <w:tblLook w:val="0620" w:firstRow="1" w:lastRow="0" w:firstColumn="0" w:lastColumn="0" w:noHBand="1" w:noVBand="1"/>
      </w:tblPr>
      <w:tblGrid>
        <w:gridCol w:w="9070"/>
      </w:tblGrid>
      <w:tr w:rsidR="00AE64F0" w:rsidRPr="009764EE" w14:paraId="0D1B2BBE" w14:textId="77777777" w:rsidTr="00AE64F0">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7E16638" w14:textId="255384C9" w:rsidR="00AE64F0" w:rsidRPr="009764EE" w:rsidRDefault="00AE64F0" w:rsidP="00AE64F0">
            <w:pPr>
              <w:pStyle w:val="BoxHeading"/>
              <w:spacing w:after="0"/>
            </w:pPr>
            <w:r w:rsidRPr="009764EE">
              <w:lastRenderedPageBreak/>
              <w:t>Key Government initiatives to broaden opportunities for secure, well</w:t>
            </w:r>
            <w:r>
              <w:noBreakHyphen/>
            </w:r>
            <w:r w:rsidRPr="009764EE">
              <w:t>paid jobs</w:t>
            </w:r>
          </w:p>
        </w:tc>
      </w:tr>
      <w:tr w:rsidR="002F49D6" w:rsidRPr="009764EE" w14:paraId="1D8B596B" w14:textId="77777777" w:rsidTr="00AE64F0">
        <w:trPr>
          <w:trHeight w:val="20"/>
        </w:trPr>
        <w:tc>
          <w:tcPr>
            <w:tcW w:w="5000" w:type="pct"/>
            <w:hideMark/>
          </w:tcPr>
          <w:p w14:paraId="01AD7D48" w14:textId="77777777" w:rsidR="002F49D6" w:rsidRPr="00222646" w:rsidRDefault="002F49D6" w:rsidP="00783A63">
            <w:pPr>
              <w:pStyle w:val="Boxbullet"/>
            </w:pPr>
            <w:r w:rsidRPr="00222646">
              <w:t>Employment White Paper (forthcoming)</w:t>
            </w:r>
          </w:p>
          <w:p w14:paraId="77ABD82B" w14:textId="77777777" w:rsidR="002F49D6" w:rsidRPr="00222646" w:rsidRDefault="002F49D6" w:rsidP="00783A63">
            <w:pPr>
              <w:pStyle w:val="Boxbullet"/>
            </w:pPr>
            <w:r w:rsidRPr="00222646">
              <w:t xml:space="preserve">Cheaper Child Care reforms </w:t>
            </w:r>
          </w:p>
          <w:p w14:paraId="1690DF7D" w14:textId="77777777" w:rsidR="002F49D6" w:rsidRPr="00222646" w:rsidRDefault="002F49D6" w:rsidP="00783A63">
            <w:pPr>
              <w:pStyle w:val="Boxbullet"/>
            </w:pPr>
            <w:r w:rsidRPr="00222646">
              <w:t>Enhanced Paid Parental Leave</w:t>
            </w:r>
          </w:p>
          <w:p w14:paraId="4EDA7E2C" w14:textId="635F6BF7" w:rsidR="002F49D6" w:rsidRPr="00222646" w:rsidRDefault="002F49D6" w:rsidP="00783A63">
            <w:pPr>
              <w:pStyle w:val="Boxbullet"/>
            </w:pPr>
            <w:r w:rsidRPr="00222646">
              <w:t xml:space="preserve">Reform of the workplace relations system including the Secure Jobs package, </w:t>
            </w:r>
            <w:r w:rsidR="00A118BC" w:rsidRPr="00222646">
              <w:t xml:space="preserve">Better Pay Act 2022, the Protecting Worker Entitlements Act 2023, and the forthcoming Closing the Loopholes Bill </w:t>
            </w:r>
          </w:p>
          <w:p w14:paraId="2F274DEE" w14:textId="77777777" w:rsidR="002F49D6" w:rsidRPr="00222646" w:rsidRDefault="002F49D6" w:rsidP="00783A63">
            <w:pPr>
              <w:pStyle w:val="Boxbullet"/>
            </w:pPr>
            <w:r w:rsidRPr="00222646">
              <w:t>National Strategy to Achieve Gender Equality (forthcoming)</w:t>
            </w:r>
          </w:p>
          <w:p w14:paraId="11E5652D" w14:textId="77777777" w:rsidR="002F49D6" w:rsidRPr="00222646" w:rsidRDefault="002F49D6" w:rsidP="00783A63">
            <w:pPr>
              <w:pStyle w:val="Boxbullet"/>
            </w:pPr>
            <w:r w:rsidRPr="00222646">
              <w:t>Inquiry into Workforce Australia Employment Services</w:t>
            </w:r>
          </w:p>
          <w:p w14:paraId="28672E4A" w14:textId="77777777" w:rsidR="002F49D6" w:rsidRPr="00222646" w:rsidRDefault="002F49D6" w:rsidP="00783A63">
            <w:pPr>
              <w:pStyle w:val="Boxbullet"/>
            </w:pPr>
            <w:r w:rsidRPr="00222646">
              <w:t>National Agreement on Closing the Gap</w:t>
            </w:r>
          </w:p>
          <w:p w14:paraId="1967968A" w14:textId="77777777" w:rsidR="002F49D6" w:rsidRPr="00222646" w:rsidRDefault="002F49D6" w:rsidP="00783A63">
            <w:pPr>
              <w:pStyle w:val="Boxbullet"/>
            </w:pPr>
            <w:r w:rsidRPr="00222646">
              <w:t>Reform to Disability Employment Services, including introduction of the Disability Employment Services Quality Framework</w:t>
            </w:r>
          </w:p>
          <w:p w14:paraId="3606F4D0" w14:textId="0D1E14BB" w:rsidR="002F49D6" w:rsidRPr="00222646" w:rsidRDefault="002F49D6" w:rsidP="00783A63">
            <w:pPr>
              <w:pStyle w:val="Boxbullet"/>
            </w:pPr>
            <w:r w:rsidRPr="00222646">
              <w:t>Supporting ABS to improve data</w:t>
            </w:r>
            <w:r w:rsidR="00D00FAB" w:rsidRPr="00222646">
              <w:t xml:space="preserve"> on barriers and incentives to participation </w:t>
            </w:r>
          </w:p>
          <w:p w14:paraId="43EAB0BF" w14:textId="77777777" w:rsidR="002F49D6" w:rsidRPr="009764EE" w:rsidRDefault="002F49D6" w:rsidP="00783A63">
            <w:pPr>
              <w:pStyle w:val="Boxbullet"/>
            </w:pPr>
            <w:r w:rsidRPr="00222646">
              <w:t>Reforms to address migrant worker exploitation</w:t>
            </w:r>
          </w:p>
        </w:tc>
      </w:tr>
    </w:tbl>
    <w:p w14:paraId="3688F1E1" w14:textId="77777777" w:rsidR="008726F4" w:rsidRDefault="008726F4" w:rsidP="00BE76E6">
      <w:pPr>
        <w:rPr>
          <w:rFonts w:ascii="Calibri" w:hAnsi="Calibri" w:cs="Calibri"/>
        </w:rPr>
        <w:sectPr w:rsidR="008726F4" w:rsidSect="00DA302B">
          <w:endnotePr>
            <w:numFmt w:val="decimal"/>
          </w:endnotePr>
          <w:type w:val="continuous"/>
          <w:pgSz w:w="11906" w:h="16838"/>
          <w:pgMar w:top="1843" w:right="1418" w:bottom="1418" w:left="1418" w:header="851" w:footer="851" w:gutter="0"/>
          <w:cols w:space="567"/>
        </w:sectPr>
      </w:pPr>
    </w:p>
    <w:p w14:paraId="6EF82CBD" w14:textId="5DCE5868" w:rsidR="006D7364" w:rsidRPr="009764EE" w:rsidRDefault="006D7364" w:rsidP="00037C32">
      <w:pPr>
        <w:pStyle w:val="Heading1"/>
      </w:pPr>
      <w:bookmarkStart w:id="104" w:name="_Toc147497683"/>
      <w:bookmarkStart w:id="105" w:name="_Toc140164498"/>
      <w:r w:rsidRPr="009764EE">
        <w:lastRenderedPageBreak/>
        <w:t>The early years of a child</w:t>
      </w:r>
      <w:r w:rsidR="00135DEA">
        <w:t>’</w:t>
      </w:r>
      <w:r w:rsidRPr="009764EE">
        <w:t>s life and</w:t>
      </w:r>
      <w:r w:rsidR="00CA2B85">
        <w:t> </w:t>
      </w:r>
      <w:r w:rsidRPr="009764EE">
        <w:t>wellbeing</w:t>
      </w:r>
      <w:bookmarkEnd w:id="104"/>
      <w:r w:rsidRPr="009764EE">
        <w:t xml:space="preserve"> </w:t>
      </w:r>
    </w:p>
    <w:p w14:paraId="774A2B1F" w14:textId="3AA44B40" w:rsidR="006D7364" w:rsidRDefault="006D7364" w:rsidP="00037C32">
      <w:pPr>
        <w:pStyle w:val="IntrotextMWM"/>
      </w:pPr>
      <w:r w:rsidRPr="009764EE">
        <w:t>Every child deserves the opportunity for the best start to life, setting a strong foundation to achieve their goals and dreams, no matter where they are born</w:t>
      </w:r>
      <w:r w:rsidR="00CA2B85">
        <w:t> </w:t>
      </w:r>
      <w:r w:rsidRPr="009764EE">
        <w:t>or</w:t>
      </w:r>
      <w:r w:rsidR="00CA2B85">
        <w:t> </w:t>
      </w:r>
      <w:r w:rsidRPr="009764EE">
        <w:t>raised.</w:t>
      </w:r>
    </w:p>
    <w:bookmarkEnd w:id="105"/>
    <w:p w14:paraId="78F332C2" w14:textId="77777777" w:rsidR="00601189" w:rsidRDefault="00601189" w:rsidP="0069427E">
      <w:pPr>
        <w:rPr>
          <w:rFonts w:ascii="Calibri" w:hAnsi="Calibri"/>
        </w:rPr>
      </w:pPr>
    </w:p>
    <w:p w14:paraId="1818D095" w14:textId="7A3C5E1B" w:rsidR="008152EE" w:rsidRPr="009764EE" w:rsidRDefault="008152EE" w:rsidP="0069427E">
      <w:pPr>
        <w:rPr>
          <w:rFonts w:ascii="Calibri" w:hAnsi="Calibri"/>
        </w:rPr>
        <w:sectPr w:rsidR="008152EE" w:rsidRPr="009764EE" w:rsidSect="00DA302B">
          <w:endnotePr>
            <w:numFmt w:val="decimal"/>
          </w:endnotePr>
          <w:pgSz w:w="11906" w:h="16838"/>
          <w:pgMar w:top="1843" w:right="1418" w:bottom="1418" w:left="1418" w:header="851" w:footer="851" w:gutter="0"/>
          <w:cols w:space="567"/>
        </w:sectPr>
      </w:pPr>
    </w:p>
    <w:p w14:paraId="7B2A63D8" w14:textId="77777777" w:rsidR="008152EE" w:rsidRPr="009764EE" w:rsidRDefault="008152EE" w:rsidP="006D52E5">
      <w:pPr>
        <w:pStyle w:val="Heading2"/>
        <w:spacing w:before="120"/>
        <w:rPr>
          <w:rFonts w:eastAsia="Calibri Light"/>
          <w:lang w:eastAsia="en-US"/>
        </w:rPr>
      </w:pPr>
      <w:bookmarkStart w:id="106" w:name="_Toc147497684"/>
      <w:r w:rsidRPr="009764EE">
        <w:rPr>
          <w:rFonts w:eastAsia="Calibri Light"/>
          <w:lang w:eastAsia="en-US"/>
        </w:rPr>
        <w:t>Child wellbeing</w:t>
      </w:r>
      <w:bookmarkEnd w:id="106"/>
      <w:r w:rsidRPr="009764EE">
        <w:rPr>
          <w:rFonts w:eastAsia="Calibri Light"/>
          <w:lang w:eastAsia="en-US"/>
        </w:rPr>
        <w:t xml:space="preserve"> </w:t>
      </w:r>
    </w:p>
    <w:p w14:paraId="41315289" w14:textId="103A130D" w:rsidR="00035050" w:rsidRPr="009764EE" w:rsidRDefault="00035050" w:rsidP="008726F4">
      <w:r w:rsidRPr="009764EE">
        <w:t>In a one</w:t>
      </w:r>
      <w:r w:rsidR="00135DEA">
        <w:noBreakHyphen/>
      </w:r>
      <w:r w:rsidRPr="009764EE">
        <w:t xml:space="preserve">off spotlight, this </w:t>
      </w:r>
      <w:r w:rsidR="00C6451A" w:rsidRPr="009764EE">
        <w:t>chapter</w:t>
      </w:r>
      <w:r w:rsidRPr="009764EE">
        <w:t xml:space="preserve"> takes a deeper look at what matters to children</w:t>
      </w:r>
      <w:r w:rsidR="00135DEA">
        <w:t>’</w:t>
      </w:r>
      <w:r w:rsidRPr="009764EE">
        <w:t>s wellbeing,</w:t>
      </w:r>
      <w:r w:rsidR="00516276" w:rsidRPr="009764EE">
        <w:t xml:space="preserve"> </w:t>
      </w:r>
      <w:r w:rsidRPr="009764EE">
        <w:t>particularly in the early years</w:t>
      </w:r>
      <w:r w:rsidR="00CA628A" w:rsidRPr="009764EE">
        <w:t>.</w:t>
      </w:r>
      <w:r w:rsidRPr="009764EE">
        <w:t xml:space="preserve"> </w:t>
      </w:r>
    </w:p>
    <w:p w14:paraId="1C381A87" w14:textId="54225939" w:rsidR="00035050" w:rsidRPr="009764EE" w:rsidRDefault="00035050" w:rsidP="008726F4">
      <w:r w:rsidRPr="009764EE">
        <w:t>A child</w:t>
      </w:r>
      <w:r w:rsidR="00135DEA">
        <w:t>’</w:t>
      </w:r>
      <w:r w:rsidRPr="009764EE">
        <w:t>s wellbeing has a variety of different elements. Of those frameworks developed in Australia and internationally, there are common elements such as feeling safe, loved and valued</w:t>
      </w:r>
      <w:r w:rsidR="0073572B" w:rsidRPr="009764EE">
        <w:t>,</w:t>
      </w:r>
      <w:r w:rsidRPr="009764EE">
        <w:t xml:space="preserve"> hav</w:t>
      </w:r>
      <w:r w:rsidR="0040385E" w:rsidRPr="009764EE">
        <w:t>ing</w:t>
      </w:r>
      <w:r w:rsidRPr="009764EE">
        <w:t xml:space="preserve"> what they need to live life</w:t>
      </w:r>
      <w:r w:rsidR="0073572B" w:rsidRPr="009764EE">
        <w:t xml:space="preserve">, </w:t>
      </w:r>
      <w:r w:rsidRPr="009764EE">
        <w:t>being healthy</w:t>
      </w:r>
      <w:r w:rsidR="0073572B" w:rsidRPr="009764EE">
        <w:t>,</w:t>
      </w:r>
      <w:r w:rsidRPr="009764EE">
        <w:t xml:space="preserve"> having the opportunity to learn and develop</w:t>
      </w:r>
      <w:r w:rsidR="0073572B" w:rsidRPr="009764EE">
        <w:t>,</w:t>
      </w:r>
      <w:r w:rsidRPr="009764EE">
        <w:t xml:space="preserve"> and</w:t>
      </w:r>
      <w:r w:rsidR="0040385E" w:rsidRPr="009764EE">
        <w:t xml:space="preserve"> developing</w:t>
      </w:r>
      <w:r w:rsidRPr="009764EE">
        <w:t xml:space="preserve"> a sense of identity and belonging.</w:t>
      </w:r>
      <w:r w:rsidR="006B61DD" w:rsidRPr="009764EE">
        <w:t xml:space="preserve"> </w:t>
      </w:r>
      <w:r w:rsidR="006B61DD" w:rsidRPr="00C239AD">
        <w:rPr>
          <w:rStyle w:val="FootnoteReference"/>
        </w:rPr>
        <w:endnoteReference w:id="75"/>
      </w:r>
      <w:r w:rsidR="00C239AD" w:rsidRPr="00C239AD">
        <w:rPr>
          <w:rStyle w:val="FootnoteReference"/>
        </w:rPr>
        <w:t xml:space="preserve"> </w:t>
      </w:r>
      <w:r w:rsidR="00445342" w:rsidRPr="00C239AD">
        <w:rPr>
          <w:rStyle w:val="FootnoteReference"/>
        </w:rPr>
        <w:endnoteReference w:id="76"/>
      </w:r>
      <w:r w:rsidR="00C239AD" w:rsidRPr="00C239AD">
        <w:rPr>
          <w:rStyle w:val="FootnoteReference"/>
        </w:rPr>
        <w:t xml:space="preserve"> </w:t>
      </w:r>
      <w:r w:rsidR="00FA1413" w:rsidRPr="00C239AD">
        <w:rPr>
          <w:rStyle w:val="FootnoteReference"/>
        </w:rPr>
        <w:endnoteReference w:id="77"/>
      </w:r>
      <w:r w:rsidR="00C239AD" w:rsidRPr="00C239AD">
        <w:rPr>
          <w:rStyle w:val="FootnoteReference"/>
        </w:rPr>
        <w:t xml:space="preserve"> </w:t>
      </w:r>
      <w:r w:rsidR="00FA1413" w:rsidRPr="00C239AD">
        <w:rPr>
          <w:rStyle w:val="FootnoteReference"/>
        </w:rPr>
        <w:endnoteReference w:id="78"/>
      </w:r>
      <w:r w:rsidRPr="005049F1">
        <w:rPr>
          <w:rStyle w:val="FootnoteReference"/>
        </w:rPr>
        <w:t xml:space="preserve"> </w:t>
      </w:r>
    </w:p>
    <w:p w14:paraId="2F5E6ED5" w14:textId="46ED35BB" w:rsidR="00035050" w:rsidRPr="009764EE" w:rsidRDefault="00035050" w:rsidP="008726F4">
      <w:r w:rsidRPr="009764EE">
        <w:t xml:space="preserve">Measuring these aspects for the early years </w:t>
      </w:r>
      <w:r w:rsidR="00151999">
        <w:t>–</w:t>
      </w:r>
      <w:r w:rsidRPr="009764EE">
        <w:t>from pre</w:t>
      </w:r>
      <w:r w:rsidR="00135DEA">
        <w:noBreakHyphen/>
      </w:r>
      <w:r w:rsidRPr="009764EE">
        <w:t>birth to the year before school (0</w:t>
      </w:r>
      <w:r w:rsidR="00151999">
        <w:t>–</w:t>
      </w:r>
      <w:r w:rsidRPr="009764EE">
        <w:t>5)</w:t>
      </w:r>
      <w:r w:rsidR="001524A0">
        <w:t xml:space="preserve"> – </w:t>
      </w:r>
      <w:r w:rsidRPr="009764EE">
        <w:t>is challenging due to conceptual and data limitations. For example, measuring secure, nurturing and stable relationships with caring adults that are essential for a child</w:t>
      </w:r>
      <w:r w:rsidR="00135DEA">
        <w:t>’</w:t>
      </w:r>
      <w:r w:rsidRPr="009764EE">
        <w:t xml:space="preserve">s healthy development and wellbeing </w:t>
      </w:r>
      <w:r w:rsidR="00505393" w:rsidRPr="009764EE">
        <w:t>with one or two metrics</w:t>
      </w:r>
      <w:r w:rsidR="003D1739" w:rsidRPr="009764EE">
        <w:t>,</w:t>
      </w:r>
      <w:r w:rsidR="00505393" w:rsidRPr="009764EE">
        <w:t xml:space="preserve"> </w:t>
      </w:r>
      <w:r w:rsidRPr="009764EE">
        <w:t xml:space="preserve">is not straightforward. </w:t>
      </w:r>
    </w:p>
    <w:p w14:paraId="12B0963A" w14:textId="1CDC39AF" w:rsidR="00035050" w:rsidRPr="009764EE" w:rsidRDefault="00035050" w:rsidP="008152EE">
      <w:pPr>
        <w:pStyle w:val="Heading3"/>
      </w:pPr>
      <w:r w:rsidRPr="009764EE">
        <w:t xml:space="preserve">The early </w:t>
      </w:r>
      <w:r w:rsidRPr="008152EE">
        <w:t>years</w:t>
      </w:r>
      <w:r w:rsidRPr="009764EE">
        <w:t xml:space="preserve"> are profoundly formative</w:t>
      </w:r>
    </w:p>
    <w:p w14:paraId="096A1750" w14:textId="5AE40C95" w:rsidR="00A1063C" w:rsidRPr="009764EE" w:rsidRDefault="005B3A66" w:rsidP="008726F4">
      <w:r w:rsidRPr="009764EE">
        <w:t>The early years are a critical window of opportunity to positively influence a child</w:t>
      </w:r>
      <w:r w:rsidR="00135DEA">
        <w:t>’</w:t>
      </w:r>
      <w:r w:rsidRPr="009764EE">
        <w:t>s development, sense of identity, health, learning, safety and happiness</w:t>
      </w:r>
      <w:r w:rsidRPr="009764EE" w:rsidDel="005B3A66">
        <w:t>.</w:t>
      </w:r>
      <w:r w:rsidRPr="009764EE">
        <w:t xml:space="preserve"> </w:t>
      </w:r>
    </w:p>
    <w:p w14:paraId="4F5FD6EA" w14:textId="60F16FE5" w:rsidR="000C54BE" w:rsidRPr="009764EE" w:rsidRDefault="000C54BE" w:rsidP="008726F4">
      <w:r w:rsidRPr="009764EE">
        <w:t xml:space="preserve">In these first few critical years of life, brain development occurs more quickly than at any other time in </w:t>
      </w:r>
      <w:r w:rsidR="007D7681" w:rsidRPr="009764EE">
        <w:t>a child</w:t>
      </w:r>
      <w:r w:rsidR="00135DEA">
        <w:t>’</w:t>
      </w:r>
      <w:r w:rsidR="007D7681" w:rsidRPr="009764EE">
        <w:t>s life</w:t>
      </w:r>
      <w:r w:rsidRPr="009764EE">
        <w:t>.</w:t>
      </w:r>
      <w:r w:rsidR="00965965" w:rsidRPr="009764EE">
        <w:t xml:space="preserve"> </w:t>
      </w:r>
    </w:p>
    <w:p w14:paraId="371CFA7F" w14:textId="2B738DD3" w:rsidR="00C77F40" w:rsidRPr="009764EE" w:rsidRDefault="00C77F40" w:rsidP="008726F4">
      <w:r w:rsidRPr="009764EE">
        <w:t>Enriching early years experiences will support children to flourish and reach their full potential. This has broader positive implications for our communities, the economy, and the nation across current and future generations.</w:t>
      </w:r>
    </w:p>
    <w:p w14:paraId="50048D4C" w14:textId="31B57F2B" w:rsidR="000C54BE" w:rsidRPr="009764EE" w:rsidRDefault="00302809" w:rsidP="008726F4">
      <w:r w:rsidRPr="009764EE">
        <w:t xml:space="preserve">In contrast, adverse experiences in the early years can have lifelong </w:t>
      </w:r>
      <w:r w:rsidR="005B6394" w:rsidRPr="009764EE">
        <w:t xml:space="preserve">negative </w:t>
      </w:r>
      <w:r w:rsidRPr="009764EE">
        <w:t>impacts</w:t>
      </w:r>
      <w:r w:rsidR="00E972E1" w:rsidRPr="009764EE">
        <w:t>.</w:t>
      </w:r>
    </w:p>
    <w:p w14:paraId="785D84B8" w14:textId="2A913982" w:rsidR="00E97B1A" w:rsidRPr="009764EE" w:rsidRDefault="00E97B1A" w:rsidP="008726F4">
      <w:r w:rsidRPr="009764EE">
        <w:t>A child</w:t>
      </w:r>
      <w:r w:rsidR="00135DEA">
        <w:t>’</w:t>
      </w:r>
      <w:r w:rsidRPr="009764EE">
        <w:t xml:space="preserve">s wellbeing is nurtured by the behaviours of parents, families, carers and kin, and the environmental settings in which they live and play. Their relationships and care actively shape their lifetime health, learning, and identity. Wellbeing metrics for </w:t>
      </w:r>
      <w:r w:rsidR="00C04EBE" w:rsidRPr="009764EE">
        <w:t>younger children</w:t>
      </w:r>
      <w:r w:rsidRPr="009764EE">
        <w:t xml:space="preserve"> are, therefore, often based on the behaviours of people</w:t>
      </w:r>
      <w:r w:rsidR="00D7228A" w:rsidRPr="009764EE">
        <w:t xml:space="preserve">, </w:t>
      </w:r>
      <w:r w:rsidRPr="009764EE">
        <w:t xml:space="preserve">and the </w:t>
      </w:r>
      <w:r w:rsidR="00FE6E3C" w:rsidRPr="009764EE">
        <w:t xml:space="preserve">type of </w:t>
      </w:r>
      <w:r w:rsidRPr="009764EE">
        <w:t>environment in</w:t>
      </w:r>
      <w:r w:rsidR="00822489" w:rsidRPr="009764EE">
        <w:t xml:space="preserve"> </w:t>
      </w:r>
      <w:r w:rsidRPr="009764EE">
        <w:t xml:space="preserve">which </w:t>
      </w:r>
      <w:r w:rsidR="00E2032A" w:rsidRPr="009764EE">
        <w:t>a child</w:t>
      </w:r>
      <w:r w:rsidRPr="009764EE">
        <w:t xml:space="preserve"> live</w:t>
      </w:r>
      <w:r w:rsidR="00E2032A" w:rsidRPr="009764EE">
        <w:t>s</w:t>
      </w:r>
      <w:r w:rsidRPr="009764EE">
        <w:t xml:space="preserve">. </w:t>
      </w:r>
    </w:p>
    <w:p w14:paraId="0AC6AA2F" w14:textId="4D41FE5B" w:rsidR="000C54BE" w:rsidRPr="009764EE" w:rsidRDefault="005505AE" w:rsidP="00ED240B">
      <w:pPr>
        <w:pStyle w:val="Heading3"/>
        <w:rPr>
          <w:rFonts w:cs="Calibri"/>
          <w:szCs w:val="24"/>
        </w:rPr>
      </w:pPr>
      <w:r w:rsidRPr="009764EE">
        <w:rPr>
          <w:rFonts w:cs="Calibri"/>
        </w:rPr>
        <w:t>A</w:t>
      </w:r>
      <w:r w:rsidRPr="009764EE">
        <w:rPr>
          <w:rFonts w:cs="Calibri"/>
          <w:szCs w:val="24"/>
        </w:rPr>
        <w:t xml:space="preserve"> healthy environment</w:t>
      </w:r>
      <w:r w:rsidR="00965965" w:rsidRPr="009764EE">
        <w:rPr>
          <w:rFonts w:cs="Calibri"/>
          <w:szCs w:val="24"/>
        </w:rPr>
        <w:t xml:space="preserve"> for a child</w:t>
      </w:r>
    </w:p>
    <w:p w14:paraId="674324E7" w14:textId="0FE7B043" w:rsidR="009249B3" w:rsidRPr="009764EE" w:rsidRDefault="00923DC5" w:rsidP="008726F4">
      <w:r w:rsidRPr="009764EE">
        <w:t xml:space="preserve">Good health is vital to how children feel </w:t>
      </w:r>
      <w:r w:rsidRPr="009764EE" w:rsidDel="008239A9">
        <w:t xml:space="preserve">and </w:t>
      </w:r>
      <w:r w:rsidR="002230A5" w:rsidRPr="009764EE">
        <w:t xml:space="preserve">can </w:t>
      </w:r>
      <w:r w:rsidR="002B2532" w:rsidRPr="009764EE">
        <w:t xml:space="preserve">determine how </w:t>
      </w:r>
      <w:r w:rsidR="008239A9" w:rsidRPr="009764EE">
        <w:t>they</w:t>
      </w:r>
      <w:r w:rsidR="002B2532" w:rsidRPr="009764EE">
        <w:t xml:space="preserve"> participate in family life, at school</w:t>
      </w:r>
      <w:r w:rsidR="008F2D5A" w:rsidRPr="009764EE">
        <w:t>,</w:t>
      </w:r>
      <w:r w:rsidR="002B2532" w:rsidRPr="009764EE">
        <w:t xml:space="preserve"> and in society. </w:t>
      </w:r>
    </w:p>
    <w:p w14:paraId="01F0BA9C" w14:textId="6E557EB4" w:rsidR="00F124C5" w:rsidRPr="00854D53" w:rsidRDefault="006D6CC9" w:rsidP="008726F4">
      <w:pPr>
        <w:rPr>
          <w:spacing w:val="-2"/>
        </w:rPr>
      </w:pPr>
      <w:r w:rsidRPr="00854D53">
        <w:rPr>
          <w:spacing w:val="-2"/>
        </w:rPr>
        <w:t xml:space="preserve">That begins with immunisation and the antenatal period. </w:t>
      </w:r>
      <w:r w:rsidR="000C54BE" w:rsidRPr="00854D53">
        <w:rPr>
          <w:spacing w:val="-2"/>
        </w:rPr>
        <w:t xml:space="preserve">Immunisation rates are </w:t>
      </w:r>
      <w:r w:rsidR="009F4897" w:rsidRPr="00854D53">
        <w:rPr>
          <w:spacing w:val="-2"/>
        </w:rPr>
        <w:t xml:space="preserve">around </w:t>
      </w:r>
      <w:r w:rsidR="000C54BE" w:rsidRPr="00854D53">
        <w:rPr>
          <w:spacing w:val="-2"/>
        </w:rPr>
        <w:t>94</w:t>
      </w:r>
      <w:r w:rsidR="001524A0" w:rsidRPr="00854D53">
        <w:rPr>
          <w:spacing w:val="-2"/>
        </w:rPr>
        <w:t> per c</w:t>
      </w:r>
      <w:r w:rsidR="000C54BE" w:rsidRPr="00854D53">
        <w:rPr>
          <w:spacing w:val="-2"/>
        </w:rPr>
        <w:t xml:space="preserve">ent for </w:t>
      </w:r>
      <w:r w:rsidR="00AD6ECC" w:rsidRPr="00854D53">
        <w:rPr>
          <w:spacing w:val="-2"/>
        </w:rPr>
        <w:t xml:space="preserve">children aged </w:t>
      </w:r>
      <w:r w:rsidR="000C54BE" w:rsidRPr="00854D53">
        <w:rPr>
          <w:spacing w:val="-2"/>
        </w:rPr>
        <w:t>one</w:t>
      </w:r>
      <w:r w:rsidR="00AD6ECC" w:rsidRPr="00854D53">
        <w:rPr>
          <w:spacing w:val="-2"/>
        </w:rPr>
        <w:t xml:space="preserve"> </w:t>
      </w:r>
      <w:r w:rsidR="000C54BE" w:rsidRPr="00854D53">
        <w:rPr>
          <w:spacing w:val="-2"/>
        </w:rPr>
        <w:t xml:space="preserve">year </w:t>
      </w:r>
      <w:r w:rsidR="000E137A" w:rsidRPr="00854D53">
        <w:rPr>
          <w:spacing w:val="-2"/>
        </w:rPr>
        <w:t>old</w:t>
      </w:r>
      <w:r w:rsidR="009F4897" w:rsidRPr="00854D53">
        <w:rPr>
          <w:spacing w:val="-2"/>
        </w:rPr>
        <w:t xml:space="preserve"> (just below the national target)</w:t>
      </w:r>
      <w:r w:rsidR="000C54BE" w:rsidRPr="00854D53">
        <w:rPr>
          <w:spacing w:val="-2"/>
        </w:rPr>
        <w:t>, and few mothers are smoking during their pregnancy.</w:t>
      </w:r>
      <w:r w:rsidR="00783157" w:rsidRPr="00854D53">
        <w:rPr>
          <w:rStyle w:val="FootnoteReference"/>
          <w:rFonts w:ascii="Calibri Light" w:hAnsi="Calibri Light"/>
          <w:spacing w:val="-2"/>
        </w:rPr>
        <w:endnoteReference w:id="79"/>
      </w:r>
      <w:r w:rsidR="00C239AD" w:rsidRPr="00854D53">
        <w:rPr>
          <w:rStyle w:val="FootnoteReference"/>
          <w:rFonts w:ascii="Calibri Light" w:hAnsi="Calibri Light"/>
          <w:spacing w:val="-2"/>
        </w:rPr>
        <w:t> </w:t>
      </w:r>
      <w:r w:rsidR="00FF1308" w:rsidRPr="00854D53">
        <w:rPr>
          <w:rStyle w:val="FootnoteReference"/>
          <w:rFonts w:ascii="Calibri Light" w:hAnsi="Calibri Light"/>
          <w:spacing w:val="-2"/>
        </w:rPr>
        <w:endnoteReference w:id="80"/>
      </w:r>
    </w:p>
    <w:p w14:paraId="700CB2A1" w14:textId="40862EAA" w:rsidR="004571AE" w:rsidRPr="009764EE" w:rsidRDefault="002C2A22" w:rsidP="008726F4">
      <w:r w:rsidRPr="009764EE">
        <w:t>As they grow older, g</w:t>
      </w:r>
      <w:r w:rsidR="008E7428" w:rsidRPr="009764EE">
        <w:t xml:space="preserve">ood </w:t>
      </w:r>
      <w:r w:rsidR="00CF1F3E" w:rsidRPr="009764EE">
        <w:t xml:space="preserve">dietary habits </w:t>
      </w:r>
      <w:r w:rsidR="008A0C24" w:rsidRPr="009764EE">
        <w:t>increase</w:t>
      </w:r>
      <w:r w:rsidR="00CF1F3E" w:rsidRPr="009764EE">
        <w:t xml:space="preserve"> a child</w:t>
      </w:r>
      <w:r w:rsidR="00135DEA">
        <w:t>’</w:t>
      </w:r>
      <w:r w:rsidR="00CF1F3E" w:rsidRPr="009764EE">
        <w:t xml:space="preserve">s </w:t>
      </w:r>
      <w:r w:rsidR="008E7428" w:rsidRPr="009764EE">
        <w:t xml:space="preserve">chances </w:t>
      </w:r>
      <w:r w:rsidR="00CF1F3E" w:rsidRPr="009764EE">
        <w:t xml:space="preserve">of </w:t>
      </w:r>
      <w:r w:rsidR="0086210C" w:rsidRPr="009764EE">
        <w:t>enjoying</w:t>
      </w:r>
      <w:r w:rsidR="008E7428" w:rsidRPr="009764EE">
        <w:t xml:space="preserve"> </w:t>
      </w:r>
      <w:r w:rsidR="00CF1F3E" w:rsidRPr="009764EE">
        <w:t>physical health</w:t>
      </w:r>
      <w:r w:rsidR="007F730B" w:rsidRPr="009764EE">
        <w:t xml:space="preserve">. </w:t>
      </w:r>
      <w:r w:rsidR="000B44FA" w:rsidRPr="009764EE">
        <w:t xml:space="preserve">In </w:t>
      </w:r>
      <w:r w:rsidR="00A12812" w:rsidRPr="009764EE">
        <w:t>2017</w:t>
      </w:r>
      <w:r w:rsidR="0023635F">
        <w:softHyphen/>
      </w:r>
      <w:r w:rsidR="00151999">
        <w:t>–</w:t>
      </w:r>
      <w:r w:rsidR="00A12812" w:rsidRPr="009764EE">
        <w:t>18, the proportion</w:t>
      </w:r>
      <w:r w:rsidR="001B2EAE" w:rsidRPr="009764EE">
        <w:t xml:space="preserve"> of children 2</w:t>
      </w:r>
      <w:r w:rsidR="001524A0">
        <w:t>‍–‍</w:t>
      </w:r>
      <w:r w:rsidR="001B2EAE" w:rsidRPr="009764EE">
        <w:t>3</w:t>
      </w:r>
      <w:r w:rsidR="00C239AD">
        <w:t> year</w:t>
      </w:r>
      <w:r w:rsidR="001B2EAE" w:rsidRPr="009764EE">
        <w:t>s consuming the recommended daily fruit</w:t>
      </w:r>
      <w:r w:rsidR="008E7428" w:rsidRPr="009764EE">
        <w:t xml:space="preserve"> intake</w:t>
      </w:r>
      <w:r w:rsidR="001B2EAE" w:rsidRPr="009764EE">
        <w:t xml:space="preserve"> </w:t>
      </w:r>
      <w:r w:rsidR="008E7428" w:rsidRPr="009764EE">
        <w:t>was 97</w:t>
      </w:r>
      <w:r w:rsidR="001524A0">
        <w:t> per c</w:t>
      </w:r>
      <w:r w:rsidR="008E7428" w:rsidRPr="009764EE">
        <w:t>ent but only 19</w:t>
      </w:r>
      <w:r w:rsidR="001524A0">
        <w:t> per c</w:t>
      </w:r>
      <w:r w:rsidR="008E7428" w:rsidRPr="009764EE">
        <w:t xml:space="preserve">ent consumed the recommended </w:t>
      </w:r>
      <w:r w:rsidR="001B2EAE" w:rsidRPr="009764EE">
        <w:t xml:space="preserve">vegetable serves </w:t>
      </w:r>
      <w:r w:rsidR="008E7428" w:rsidRPr="009764EE">
        <w:t xml:space="preserve">each day. </w:t>
      </w:r>
      <w:r w:rsidR="001B347D" w:rsidRPr="009764EE">
        <w:t>Most children 2</w:t>
      </w:r>
      <w:r w:rsidR="001524A0">
        <w:t>‍–‍</w:t>
      </w:r>
      <w:r w:rsidR="001B347D" w:rsidRPr="009764EE">
        <w:t>3</w:t>
      </w:r>
      <w:r w:rsidR="00C239AD">
        <w:t> year</w:t>
      </w:r>
      <w:r w:rsidR="001B347D" w:rsidRPr="009764EE">
        <w:t>s do not consume sugar sweetened drinks (82</w:t>
      </w:r>
      <w:r w:rsidR="001524A0">
        <w:t> per c</w:t>
      </w:r>
      <w:r w:rsidR="001B347D" w:rsidRPr="009764EE">
        <w:t xml:space="preserve">ent) but </w:t>
      </w:r>
      <w:r w:rsidR="00B71F38" w:rsidRPr="009764EE">
        <w:t>4</w:t>
      </w:r>
      <w:r w:rsidR="001524A0">
        <w:t> per c</w:t>
      </w:r>
      <w:r w:rsidR="00B71F38" w:rsidRPr="009764EE">
        <w:t>ent consume these drinks daily.</w:t>
      </w:r>
      <w:r w:rsidR="00A83D84" w:rsidRPr="005049F1">
        <w:rPr>
          <w:rStyle w:val="FootnoteReference"/>
        </w:rPr>
        <w:endnoteReference w:id="81"/>
      </w:r>
    </w:p>
    <w:p w14:paraId="28A4DE91" w14:textId="3E4CFDA3" w:rsidR="008B02FC" w:rsidRPr="009764EE" w:rsidRDefault="008B02FC" w:rsidP="00D71EBF">
      <w:pPr>
        <w:pStyle w:val="Heading3"/>
        <w:rPr>
          <w:rFonts w:cs="Calibri"/>
          <w:szCs w:val="24"/>
        </w:rPr>
      </w:pPr>
      <w:r w:rsidRPr="009764EE">
        <w:rPr>
          <w:rFonts w:cs="Calibri"/>
        </w:rPr>
        <w:t xml:space="preserve">Learning </w:t>
      </w:r>
      <w:r w:rsidR="00423701" w:rsidRPr="009764EE">
        <w:rPr>
          <w:rFonts w:cs="Calibri"/>
          <w:szCs w:val="24"/>
        </w:rPr>
        <w:t xml:space="preserve">and development </w:t>
      </w:r>
    </w:p>
    <w:p w14:paraId="274BE48B" w14:textId="65C2D0F6" w:rsidR="00241594" w:rsidRPr="009764EE" w:rsidRDefault="0086210C" w:rsidP="008726F4">
      <w:r w:rsidRPr="009764EE">
        <w:t xml:space="preserve">Another critical </w:t>
      </w:r>
      <w:r w:rsidR="002D7006" w:rsidRPr="009764EE">
        <w:t xml:space="preserve">factor which determines </w:t>
      </w:r>
      <w:r w:rsidRPr="009764EE">
        <w:t>childhood wellbeing is access to a stimulating learning environment</w:t>
      </w:r>
      <w:r w:rsidR="001524A0">
        <w:t xml:space="preserve"> – </w:t>
      </w:r>
      <w:r w:rsidRPr="009764EE">
        <w:t xml:space="preserve">in either informal settings or </w:t>
      </w:r>
      <w:r w:rsidR="002D567D" w:rsidRPr="009764EE">
        <w:t xml:space="preserve">through early childhood education programs. </w:t>
      </w:r>
    </w:p>
    <w:p w14:paraId="301F945F" w14:textId="4980BEBB" w:rsidR="008B02FC" w:rsidRPr="009764EE" w:rsidRDefault="00AE3FAB" w:rsidP="008726F4">
      <w:r w:rsidRPr="009764EE">
        <w:lastRenderedPageBreak/>
        <w:t>In 20</w:t>
      </w:r>
      <w:r w:rsidR="0015045D" w:rsidRPr="009764EE">
        <w:t>17</w:t>
      </w:r>
      <w:r w:rsidRPr="009764EE">
        <w:t xml:space="preserve">, almost </w:t>
      </w:r>
      <w:r w:rsidR="0015045D" w:rsidRPr="009764EE">
        <w:t>4</w:t>
      </w:r>
      <w:r w:rsidRPr="009764EE">
        <w:t xml:space="preserve"> in 5 children aged 0</w:t>
      </w:r>
      <w:r w:rsidR="001524A0">
        <w:t>‍–‍</w:t>
      </w:r>
      <w:r w:rsidRPr="009764EE">
        <w:t xml:space="preserve">2 </w:t>
      </w:r>
      <w:r w:rsidR="00D250E6" w:rsidRPr="009764EE">
        <w:t>w</w:t>
      </w:r>
      <w:r w:rsidR="0012451E" w:rsidRPr="009764EE">
        <w:t>ere</w:t>
      </w:r>
      <w:r w:rsidRPr="009764EE">
        <w:t xml:space="preserve"> regularly read to or told stories by a parent (on 3 or more days in the previous week). In 20</w:t>
      </w:r>
      <w:r w:rsidR="0015045D" w:rsidRPr="009764EE">
        <w:t>17</w:t>
      </w:r>
      <w:r w:rsidRPr="009764EE">
        <w:t xml:space="preserve">, </w:t>
      </w:r>
      <w:r w:rsidR="0015045D" w:rsidRPr="009764EE">
        <w:t>44</w:t>
      </w:r>
      <w:r w:rsidR="001524A0">
        <w:t> per c</w:t>
      </w:r>
      <w:r w:rsidRPr="009764EE">
        <w:t xml:space="preserve">ent of children </w:t>
      </w:r>
      <w:r w:rsidR="002D567D" w:rsidRPr="009764EE">
        <w:t>aged</w:t>
      </w:r>
      <w:r w:rsidRPr="009764EE">
        <w:t xml:space="preserve"> 0</w:t>
      </w:r>
      <w:r w:rsidR="00151999">
        <w:t>–</w:t>
      </w:r>
      <w:r w:rsidRPr="009764EE">
        <w:t>2 had between 25 and under 100 children</w:t>
      </w:r>
      <w:r w:rsidR="00135DEA">
        <w:t>’</w:t>
      </w:r>
      <w:r w:rsidRPr="009764EE">
        <w:t>s books in the home.</w:t>
      </w:r>
      <w:r w:rsidR="00636E1D" w:rsidRPr="005049F1">
        <w:rPr>
          <w:rStyle w:val="FootnoteReference"/>
        </w:rPr>
        <w:endnoteReference w:id="82"/>
      </w:r>
    </w:p>
    <w:p w14:paraId="6935C40F" w14:textId="703B0143" w:rsidR="000C54BE" w:rsidRPr="009764EE" w:rsidRDefault="000C54BE" w:rsidP="008726F4">
      <w:r w:rsidRPr="009764EE">
        <w:t>The quality of early childhood education and care services has consistently risen in recent years, with 89</w:t>
      </w:r>
      <w:r w:rsidR="001524A0">
        <w:t> per c</w:t>
      </w:r>
      <w:r w:rsidRPr="009764EE">
        <w:t>ent of the 17</w:t>
      </w:r>
      <w:r w:rsidR="00701556" w:rsidRPr="009764EE">
        <w:t>,</w:t>
      </w:r>
      <w:r w:rsidRPr="009764EE">
        <w:t xml:space="preserve">000 </w:t>
      </w:r>
      <w:r w:rsidR="00AB5EAE" w:rsidRPr="009764EE">
        <w:t>early childhood education and care</w:t>
      </w:r>
      <w:r w:rsidRPr="009764EE">
        <w:t xml:space="preserve"> services in Australia meeting or exceeding the National Quality Standards.</w:t>
      </w:r>
      <w:r w:rsidR="000C29BD" w:rsidRPr="005049F1">
        <w:rPr>
          <w:rStyle w:val="FootnoteReference"/>
        </w:rPr>
        <w:endnoteReference w:id="83"/>
      </w:r>
    </w:p>
    <w:p w14:paraId="406D7F96" w14:textId="07212399" w:rsidR="002E4C36" w:rsidRPr="009764EE" w:rsidRDefault="000C54BE" w:rsidP="008726F4">
      <w:pPr>
        <w:rPr>
          <w:sz w:val="18"/>
          <w:szCs w:val="16"/>
        </w:rPr>
      </w:pPr>
      <w:r w:rsidRPr="009764EE">
        <w:t xml:space="preserve">The Australian Early Development Census measures how well </w:t>
      </w:r>
      <w:r w:rsidR="00776DF2" w:rsidRPr="009764EE">
        <w:t xml:space="preserve">a </w:t>
      </w:r>
      <w:r w:rsidRPr="009764EE">
        <w:t>child ha</w:t>
      </w:r>
      <w:r w:rsidR="00776DF2" w:rsidRPr="009764EE">
        <w:t>s</w:t>
      </w:r>
      <w:r w:rsidRPr="009764EE">
        <w:t xml:space="preserve"> developed</w:t>
      </w:r>
      <w:r w:rsidR="00A27ABF" w:rsidRPr="009764EE">
        <w:t>,</w:t>
      </w:r>
      <w:r w:rsidRPr="009764EE">
        <w:t xml:space="preserve"> as assessed by </w:t>
      </w:r>
      <w:r w:rsidR="00776DF2" w:rsidRPr="009764EE">
        <w:t xml:space="preserve">their </w:t>
      </w:r>
      <w:r w:rsidRPr="009764EE">
        <w:t xml:space="preserve">teacher upon entry to school. It </w:t>
      </w:r>
      <w:r w:rsidR="00776DF2" w:rsidRPr="009764EE">
        <w:t xml:space="preserve">evaluates </w:t>
      </w:r>
      <w:r w:rsidR="00480FFA" w:rsidRPr="009764EE">
        <w:t xml:space="preserve">a </w:t>
      </w:r>
      <w:r w:rsidRPr="009764EE">
        <w:t>child</w:t>
      </w:r>
      <w:r w:rsidR="00135DEA">
        <w:t>’</w:t>
      </w:r>
      <w:r w:rsidR="00480FFA" w:rsidRPr="009764EE">
        <w:t>s</w:t>
      </w:r>
      <w:r w:rsidRPr="009764EE">
        <w:t xml:space="preserve"> development </w:t>
      </w:r>
      <w:r w:rsidR="00C1685D" w:rsidRPr="009764EE">
        <w:t xml:space="preserve">as being </w:t>
      </w:r>
      <w:r w:rsidR="00135DEA">
        <w:t>‘</w:t>
      </w:r>
      <w:r w:rsidR="00BC7884" w:rsidRPr="009764EE">
        <w:t>on track</w:t>
      </w:r>
      <w:r w:rsidR="00135DEA">
        <w:t>’</w:t>
      </w:r>
      <w:r w:rsidR="00BC7884" w:rsidRPr="009764EE">
        <w:t xml:space="preserve">, </w:t>
      </w:r>
      <w:r w:rsidR="00135DEA">
        <w:t>‘</w:t>
      </w:r>
      <w:r w:rsidR="00BC7884" w:rsidRPr="009764EE">
        <w:t>at risk</w:t>
      </w:r>
      <w:r w:rsidR="00135DEA">
        <w:t>’</w:t>
      </w:r>
      <w:r w:rsidR="00102F18" w:rsidRPr="009764EE">
        <w:t xml:space="preserve"> or</w:t>
      </w:r>
      <w:r w:rsidR="00BC7884" w:rsidRPr="009764EE">
        <w:t xml:space="preserve"> </w:t>
      </w:r>
      <w:r w:rsidR="00135DEA">
        <w:t>‘</w:t>
      </w:r>
      <w:r w:rsidR="00BC7884" w:rsidRPr="009764EE">
        <w:t>vulnerable</w:t>
      </w:r>
      <w:r w:rsidR="00135DEA">
        <w:t>’</w:t>
      </w:r>
      <w:r w:rsidR="00BC7884" w:rsidRPr="009764EE">
        <w:t xml:space="preserve"> </w:t>
      </w:r>
      <w:r w:rsidRPr="009764EE">
        <w:t>across five domains: physical health</w:t>
      </w:r>
      <w:r w:rsidR="00CA42BB" w:rsidRPr="009764EE">
        <w:t xml:space="preserve"> and wellbeing</w:t>
      </w:r>
      <w:r w:rsidRPr="009764EE">
        <w:t xml:space="preserve">, social </w:t>
      </w:r>
      <w:r w:rsidR="00CA42BB" w:rsidRPr="009764EE">
        <w:t>competence</w:t>
      </w:r>
      <w:r w:rsidRPr="009764EE">
        <w:t xml:space="preserve">, </w:t>
      </w:r>
      <w:r w:rsidR="009C004E" w:rsidRPr="009764EE">
        <w:t>emotional maturity, language</w:t>
      </w:r>
      <w:r w:rsidR="0002775B" w:rsidRPr="009764EE">
        <w:t xml:space="preserve"> and cognitive skills</w:t>
      </w:r>
      <w:r w:rsidRPr="009764EE">
        <w:t xml:space="preserve">, and their communication and general knowledge. </w:t>
      </w:r>
    </w:p>
    <w:p w14:paraId="20AECCB8" w14:textId="004681B3" w:rsidR="00091001" w:rsidRPr="009764EE" w:rsidRDefault="00091001" w:rsidP="008726F4">
      <w:r w:rsidRPr="009764EE">
        <w:t xml:space="preserve">As outlined </w:t>
      </w:r>
      <w:r w:rsidR="00F80471" w:rsidRPr="009764EE">
        <w:t>above</w:t>
      </w:r>
      <w:r w:rsidRPr="009764EE">
        <w:t>, the proportion of children developmentally on track in all five domains steadily increased from between 2009 and 2018, growing from 50.7</w:t>
      </w:r>
      <w:r w:rsidR="001524A0">
        <w:t> per c</w:t>
      </w:r>
      <w:r w:rsidRPr="009764EE">
        <w:t>ent to 55.4</w:t>
      </w:r>
      <w:r w:rsidR="001524A0">
        <w:t> per c</w:t>
      </w:r>
      <w:r w:rsidRPr="009764EE">
        <w:t>ent. However, there was a slight decline in this figure in 2021, for the first time since 2009, to 54.8</w:t>
      </w:r>
      <w:r w:rsidR="001524A0">
        <w:t> per c</w:t>
      </w:r>
      <w:r w:rsidRPr="009764EE">
        <w:t>ent, revealing the impact of COVID</w:t>
      </w:r>
      <w:r w:rsidR="00135DEA">
        <w:noBreakHyphen/>
      </w:r>
      <w:r w:rsidRPr="009764EE">
        <w:t>19</w:t>
      </w:r>
      <w:r w:rsidR="00007EA3" w:rsidRPr="009764EE">
        <w:t xml:space="preserve"> </w:t>
      </w:r>
      <w:r w:rsidRPr="009764EE">
        <w:t>related disruptions on early childhood development.</w:t>
      </w:r>
      <w:r w:rsidR="00D05A71" w:rsidRPr="005049F1">
        <w:rPr>
          <w:rStyle w:val="FootnoteReference"/>
        </w:rPr>
        <w:endnoteReference w:id="84"/>
      </w:r>
      <w:r w:rsidRPr="009764EE">
        <w:t xml:space="preserve"> This decline was more pronounced for groups already experiencing disadvantage, demonstrating how experiences of entrenched disadvantage may have been exacerbated or compounded by COVID</w:t>
      </w:r>
      <w:r w:rsidR="00135DEA">
        <w:noBreakHyphen/>
      </w:r>
      <w:r w:rsidRPr="009764EE">
        <w:t>19 disruptions.</w:t>
      </w:r>
    </w:p>
    <w:p w14:paraId="1E33774D" w14:textId="2B2C34C8" w:rsidR="00592657" w:rsidRPr="009764EE" w:rsidRDefault="00592657" w:rsidP="00D71EBF">
      <w:pPr>
        <w:pStyle w:val="Heading3"/>
        <w:rPr>
          <w:rFonts w:cs="Calibri"/>
          <w:szCs w:val="24"/>
        </w:rPr>
      </w:pPr>
      <w:r w:rsidRPr="009764EE">
        <w:rPr>
          <w:rFonts w:cs="Calibri"/>
        </w:rPr>
        <w:t>Safety of chil</w:t>
      </w:r>
      <w:r w:rsidRPr="009764EE">
        <w:rPr>
          <w:rFonts w:cs="Calibri"/>
          <w:szCs w:val="24"/>
        </w:rPr>
        <w:t xml:space="preserve">dren </w:t>
      </w:r>
    </w:p>
    <w:p w14:paraId="6A27417E" w14:textId="6C1A4EDA" w:rsidR="000C54BE" w:rsidRPr="009764EE" w:rsidRDefault="00810EDF" w:rsidP="008726F4">
      <w:r w:rsidRPr="009764EE">
        <w:t>While m</w:t>
      </w:r>
      <w:r w:rsidR="000C54BE" w:rsidRPr="009764EE">
        <w:t>ost children in Australia grow up in families that provide them with environments where they are safe, happy</w:t>
      </w:r>
      <w:r w:rsidR="00AD657E" w:rsidRPr="009764EE">
        <w:t>,</w:t>
      </w:r>
      <w:r w:rsidR="000C54BE" w:rsidRPr="009764EE">
        <w:t xml:space="preserve"> and healthy</w:t>
      </w:r>
      <w:r w:rsidRPr="009764EE">
        <w:t xml:space="preserve">, </w:t>
      </w:r>
      <w:r w:rsidR="000C54BE" w:rsidRPr="009764EE">
        <w:t xml:space="preserve">some children are the subject of abuse and/or neglect. </w:t>
      </w:r>
    </w:p>
    <w:p w14:paraId="56C8662E" w14:textId="7E6BD607" w:rsidR="00BD6CD1" w:rsidRPr="009764EE" w:rsidRDefault="00BD6CD1" w:rsidP="008726F4">
      <w:r w:rsidRPr="009764EE">
        <w:rPr>
          <w:lang w:val="en-GB"/>
        </w:rPr>
        <w:t>The ABS Personal Safety Survey in 2021</w:t>
      </w:r>
      <w:r w:rsidR="001524A0">
        <w:t>‍–‍</w:t>
      </w:r>
      <w:r w:rsidRPr="009764EE">
        <w:rPr>
          <w:lang w:val="en-GB"/>
        </w:rPr>
        <w:t>22 found</w:t>
      </w:r>
      <w:r w:rsidR="00AD657E" w:rsidRPr="009764EE">
        <w:rPr>
          <w:lang w:val="en-GB"/>
        </w:rPr>
        <w:t>,</w:t>
      </w:r>
      <w:r w:rsidRPr="009764EE">
        <w:rPr>
          <w:lang w:val="en-GB"/>
        </w:rPr>
        <w:t xml:space="preserve"> of people aged 18</w:t>
      </w:r>
      <w:r w:rsidR="00C239AD">
        <w:rPr>
          <w:lang w:val="en-GB"/>
        </w:rPr>
        <w:t> year</w:t>
      </w:r>
      <w:r w:rsidRPr="009764EE">
        <w:rPr>
          <w:lang w:val="en-GB"/>
        </w:rPr>
        <w:t>s and over</w:t>
      </w:r>
      <w:r w:rsidR="00B81F54" w:rsidRPr="009764EE">
        <w:rPr>
          <w:lang w:val="en-GB"/>
        </w:rPr>
        <w:t>, 14.</w:t>
      </w:r>
      <w:r w:rsidR="00964AA7">
        <w:rPr>
          <w:lang w:val="en-GB"/>
        </w:rPr>
        <w:t>1</w:t>
      </w:r>
      <w:r w:rsidR="001524A0">
        <w:rPr>
          <w:lang w:val="en-GB"/>
        </w:rPr>
        <w:t> per c</w:t>
      </w:r>
      <w:r w:rsidR="00B81F54" w:rsidRPr="009764EE">
        <w:rPr>
          <w:lang w:val="en-GB"/>
        </w:rPr>
        <w:t>ent</w:t>
      </w:r>
      <w:r w:rsidRPr="009764EE">
        <w:rPr>
          <w:lang w:val="en-GB"/>
        </w:rPr>
        <w:t xml:space="preserve"> experienc</w:t>
      </w:r>
      <w:r w:rsidR="00744A24" w:rsidRPr="009764EE">
        <w:rPr>
          <w:lang w:val="en-GB"/>
        </w:rPr>
        <w:t>ed</w:t>
      </w:r>
      <w:r w:rsidRPr="009764EE">
        <w:rPr>
          <w:lang w:val="en-GB"/>
        </w:rPr>
        <w:t xml:space="preserve"> abuse</w:t>
      </w:r>
      <w:r w:rsidR="005C36D7" w:rsidRPr="009764EE">
        <w:rPr>
          <w:lang w:val="en-GB"/>
        </w:rPr>
        <w:t xml:space="preserve"> and</w:t>
      </w:r>
      <w:r w:rsidR="00D566B1" w:rsidRPr="009764EE">
        <w:rPr>
          <w:lang w:val="en-GB"/>
        </w:rPr>
        <w:t xml:space="preserve"> </w:t>
      </w:r>
      <w:r w:rsidR="005C36D7" w:rsidRPr="009764EE">
        <w:rPr>
          <w:lang w:val="en-GB"/>
        </w:rPr>
        <w:t>13</w:t>
      </w:r>
      <w:r w:rsidR="00964AA7">
        <w:rPr>
          <w:lang w:val="en-GB"/>
        </w:rPr>
        <w:t>.3</w:t>
      </w:r>
      <w:r w:rsidR="001524A0">
        <w:rPr>
          <w:lang w:val="en-GB"/>
        </w:rPr>
        <w:t> per c</w:t>
      </w:r>
      <w:r w:rsidR="005C36D7" w:rsidRPr="009764EE">
        <w:rPr>
          <w:lang w:val="en-GB"/>
        </w:rPr>
        <w:t>ent</w:t>
      </w:r>
      <w:r w:rsidRPr="009764EE">
        <w:rPr>
          <w:lang w:val="en-GB"/>
        </w:rPr>
        <w:t xml:space="preserve"> witness</w:t>
      </w:r>
      <w:r w:rsidR="00E1359F" w:rsidRPr="009764EE">
        <w:rPr>
          <w:lang w:val="en-GB"/>
        </w:rPr>
        <w:t>ed</w:t>
      </w:r>
      <w:r w:rsidRPr="009764EE">
        <w:rPr>
          <w:lang w:val="en-GB"/>
        </w:rPr>
        <w:t xml:space="preserve"> violence towards a parent during their childhood</w:t>
      </w:r>
      <w:r w:rsidR="003369AD">
        <w:rPr>
          <w:lang w:val="en-GB"/>
        </w:rPr>
        <w:t xml:space="preserve"> (before the age</w:t>
      </w:r>
      <w:r w:rsidR="00854D53">
        <w:rPr>
          <w:lang w:val="en-GB"/>
        </w:rPr>
        <w:t> </w:t>
      </w:r>
      <w:r w:rsidR="003369AD">
        <w:rPr>
          <w:lang w:val="en-GB"/>
        </w:rPr>
        <w:t>of</w:t>
      </w:r>
      <w:r w:rsidR="00854D53">
        <w:rPr>
          <w:lang w:val="en-GB"/>
        </w:rPr>
        <w:t> </w:t>
      </w:r>
      <w:r w:rsidR="003369AD">
        <w:rPr>
          <w:lang w:val="en-GB"/>
        </w:rPr>
        <w:t>15)</w:t>
      </w:r>
      <w:r w:rsidR="005C20CD" w:rsidRPr="009764EE">
        <w:rPr>
          <w:lang w:val="en-GB"/>
        </w:rPr>
        <w:t xml:space="preserve">. </w:t>
      </w:r>
    </w:p>
    <w:p w14:paraId="6EE89303" w14:textId="6E5A6244" w:rsidR="00731953" w:rsidRPr="008152EE" w:rsidRDefault="00553CAD" w:rsidP="008726F4">
      <w:r w:rsidRPr="009764EE">
        <w:t>Unfortunately, c</w:t>
      </w:r>
      <w:r w:rsidR="00EA6FBE" w:rsidRPr="009764EE">
        <w:t>hild abuse and neglect can have a wide range of significant adverse impacts on a child</w:t>
      </w:r>
      <w:r w:rsidR="00135DEA">
        <w:t>’</w:t>
      </w:r>
      <w:r w:rsidR="00EA6FBE" w:rsidRPr="009764EE">
        <w:t xml:space="preserve">s </w:t>
      </w:r>
      <w:r w:rsidR="00C716AF" w:rsidRPr="009764EE">
        <w:t>wellbeing</w:t>
      </w:r>
      <w:r w:rsidR="00EA6FBE" w:rsidRPr="009764EE">
        <w:t xml:space="preserve"> and later outcomes, including impaired language ability, reduced social skills, poor school performance, negative physical health outcomes, mental health issues, and a higher likelihood of criminal offending. </w:t>
      </w:r>
    </w:p>
    <w:p w14:paraId="682C4815" w14:textId="1F6D3175" w:rsidR="005864A7" w:rsidRPr="009764EE" w:rsidRDefault="00F754B1" w:rsidP="008152EE">
      <w:pPr>
        <w:pStyle w:val="Heading2"/>
        <w:rPr>
          <w:rFonts w:eastAsia="Calibri Light"/>
        </w:rPr>
      </w:pPr>
      <w:bookmarkStart w:id="119" w:name="_Toc147497685"/>
      <w:r w:rsidRPr="009764EE">
        <w:rPr>
          <w:rFonts w:eastAsia="Calibri Light"/>
          <w:lang w:eastAsia="en-US"/>
        </w:rPr>
        <w:t>Government support for children in the earl</w:t>
      </w:r>
      <w:r w:rsidRPr="009764EE">
        <w:rPr>
          <w:rFonts w:eastAsia="Calibri Light"/>
        </w:rPr>
        <w:t>y years and their families</w:t>
      </w:r>
      <w:bookmarkEnd w:id="119"/>
    </w:p>
    <w:p w14:paraId="01B757FD" w14:textId="76C9828D" w:rsidR="00F754B1" w:rsidRPr="009764EE" w:rsidRDefault="00F754B1" w:rsidP="008726F4">
      <w:r w:rsidRPr="009764EE">
        <w:t xml:space="preserve">The </w:t>
      </w:r>
      <w:r w:rsidR="00B060C2" w:rsidRPr="009764EE">
        <w:t>Government</w:t>
      </w:r>
      <w:r w:rsidRPr="009764EE">
        <w:t xml:space="preserve"> funds health, maternal and child health and wellbeing programs</w:t>
      </w:r>
      <w:r w:rsidR="00191014" w:rsidRPr="009764EE">
        <w:t>,</w:t>
      </w:r>
      <w:r w:rsidRPr="009764EE">
        <w:t xml:space="preserve"> and early intervention health services. It supports the family law system and </w:t>
      </w:r>
      <w:r w:rsidR="004B00C8" w:rsidRPr="009764EE">
        <w:t xml:space="preserve">coordinates national policy frameworks for </w:t>
      </w:r>
      <w:r w:rsidRPr="009764EE">
        <w:t>prevent</w:t>
      </w:r>
      <w:r w:rsidR="00FC653F" w:rsidRPr="009764EE">
        <w:t>ing</w:t>
      </w:r>
      <w:r w:rsidRPr="009764EE">
        <w:t xml:space="preserve"> and respond</w:t>
      </w:r>
      <w:r w:rsidR="00FC653F" w:rsidRPr="009764EE">
        <w:t>ing</w:t>
      </w:r>
      <w:r w:rsidRPr="009764EE">
        <w:t xml:space="preserve"> to child sexual abuse</w:t>
      </w:r>
      <w:r w:rsidR="00FC653F" w:rsidRPr="009764EE">
        <w:t>, child maltreatment</w:t>
      </w:r>
      <w:r w:rsidRPr="009764EE">
        <w:t xml:space="preserve"> and domestic family and sexual violence. It offers direct financial support to families, including paid parental leave</w:t>
      </w:r>
      <w:r w:rsidR="00017A51" w:rsidRPr="009764EE">
        <w:t>, as well as funding programs</w:t>
      </w:r>
      <w:r w:rsidRPr="009764EE">
        <w:t xml:space="preserve"> supporting </w:t>
      </w:r>
      <w:r w:rsidR="00017A51" w:rsidRPr="009764EE">
        <w:t>the capacity of</w:t>
      </w:r>
      <w:r w:rsidRPr="009764EE">
        <w:t xml:space="preserve"> families and carers with young children across diverse societies and cultures in Australia. </w:t>
      </w:r>
    </w:p>
    <w:p w14:paraId="561B9490" w14:textId="304A2B30" w:rsidR="005568CB" w:rsidRPr="009764EE" w:rsidRDefault="00F754B1" w:rsidP="008726F4">
      <w:r w:rsidRPr="009764EE">
        <w:t xml:space="preserve">Through a mix of direct and indirect funding mechanisms, the </w:t>
      </w:r>
      <w:r w:rsidR="002A5258" w:rsidRPr="009764EE">
        <w:t xml:space="preserve">Government </w:t>
      </w:r>
      <w:r w:rsidRPr="009764EE">
        <w:t xml:space="preserve">aims to provide all young children with access to affordable quality </w:t>
      </w:r>
      <w:r w:rsidR="00E4482C" w:rsidRPr="009764EE">
        <w:t xml:space="preserve">early childhood education and care </w:t>
      </w:r>
      <w:r w:rsidRPr="009764EE">
        <w:t>and enrich home</w:t>
      </w:r>
      <w:r w:rsidR="00135DEA">
        <w:noBreakHyphen/>
      </w:r>
      <w:r w:rsidRPr="009764EE">
        <w:t>based learning environments through programs such as play</w:t>
      </w:r>
      <w:r w:rsidR="00B559E4" w:rsidRPr="009764EE">
        <w:t xml:space="preserve"> </w:t>
      </w:r>
      <w:r w:rsidRPr="009764EE">
        <w:t>grou</w:t>
      </w:r>
      <w:r w:rsidR="00B559E4" w:rsidRPr="009764EE">
        <w:t>p</w:t>
      </w:r>
      <w:r w:rsidRPr="009764EE">
        <w:t>s and toy libraries.</w:t>
      </w:r>
      <w:r w:rsidR="005568CB" w:rsidRPr="009764EE">
        <w:t xml:space="preserve"> The Productivity Commission is currently undertaking an inquiry into the early childhood education and care sector and will consider options to improve and support developmental and educational outcomes for children. </w:t>
      </w:r>
    </w:p>
    <w:p w14:paraId="1CB602BF" w14:textId="3FC9D36C" w:rsidR="00F754B1" w:rsidRPr="009764EE" w:rsidRDefault="00F754B1" w:rsidP="008726F4">
      <w:r w:rsidRPr="009764EE">
        <w:t xml:space="preserve">In addition, the </w:t>
      </w:r>
      <w:r w:rsidR="000D146E" w:rsidRPr="009764EE">
        <w:t>Government</w:t>
      </w:r>
      <w:r w:rsidR="002A5258" w:rsidRPr="009764EE">
        <w:t xml:space="preserve"> </w:t>
      </w:r>
      <w:r w:rsidRPr="009764EE">
        <w:t>invests in measures to improve the health, development</w:t>
      </w:r>
      <w:r w:rsidR="00D430FF" w:rsidRPr="009764EE">
        <w:t>,</w:t>
      </w:r>
      <w:r w:rsidRPr="009764EE">
        <w:t xml:space="preserve"> and education of </w:t>
      </w:r>
      <w:r w:rsidR="001524A0">
        <w:t>First Nation</w:t>
      </w:r>
      <w:r w:rsidRPr="009764EE">
        <w:t>s children to reduce systemic and multi</w:t>
      </w:r>
      <w:r w:rsidR="00135DEA">
        <w:noBreakHyphen/>
      </w:r>
      <w:r w:rsidRPr="009764EE">
        <w:t>generational disadvantage. There are also programs of support for children with developmental delays or disability, as well as those at risk of disadvantage due to displacement, poverty</w:t>
      </w:r>
      <w:r w:rsidR="00D430FF" w:rsidRPr="009764EE">
        <w:t>,</w:t>
      </w:r>
      <w:r w:rsidRPr="009764EE">
        <w:t xml:space="preserve"> or traumatic experiences.</w:t>
      </w:r>
    </w:p>
    <w:p w14:paraId="07896E19" w14:textId="147F8B7E" w:rsidR="005568CB" w:rsidRPr="009764EE" w:rsidRDefault="005568CB" w:rsidP="008152EE">
      <w:pPr>
        <w:pStyle w:val="Heading3"/>
        <w:rPr>
          <w:szCs w:val="24"/>
        </w:rPr>
      </w:pPr>
      <w:r w:rsidRPr="009764EE">
        <w:lastRenderedPageBreak/>
        <w:t>Place</w:t>
      </w:r>
      <w:r w:rsidR="00135DEA">
        <w:noBreakHyphen/>
      </w:r>
      <w:r w:rsidRPr="009764EE">
        <w:t xml:space="preserve">based </w:t>
      </w:r>
      <w:r w:rsidRPr="008152EE">
        <w:t>approaches</w:t>
      </w:r>
      <w:r w:rsidRPr="009764EE">
        <w:t xml:space="preserve"> can support improved outcomes</w:t>
      </w:r>
      <w:r w:rsidRPr="009764EE">
        <w:rPr>
          <w:szCs w:val="24"/>
        </w:rPr>
        <w:t xml:space="preserve"> for children and</w:t>
      </w:r>
      <w:r w:rsidR="00854D53">
        <w:rPr>
          <w:szCs w:val="24"/>
        </w:rPr>
        <w:t> </w:t>
      </w:r>
      <w:r w:rsidRPr="009764EE">
        <w:rPr>
          <w:szCs w:val="24"/>
        </w:rPr>
        <w:t xml:space="preserve">families </w:t>
      </w:r>
    </w:p>
    <w:p w14:paraId="3E517CF0" w14:textId="1C1D32F1" w:rsidR="005568CB" w:rsidRPr="009764EE" w:rsidRDefault="005568CB" w:rsidP="008726F4">
      <w:r w:rsidRPr="009764EE">
        <w:t>Place</w:t>
      </w:r>
      <w:r w:rsidR="00135DEA">
        <w:noBreakHyphen/>
      </w:r>
      <w:r w:rsidRPr="009764EE">
        <w:t>based approaches can help improve outcomes by recognising the unique needs of individual communities and galvanising efforts around a long</w:t>
      </w:r>
      <w:r w:rsidR="00135DEA">
        <w:noBreakHyphen/>
      </w:r>
      <w:r w:rsidRPr="009764EE">
        <w:t>term vision for community change. Place</w:t>
      </w:r>
      <w:r w:rsidR="00135DEA">
        <w:noBreakHyphen/>
      </w:r>
      <w:r w:rsidRPr="009764EE">
        <w:t xml:space="preserve">based approaches typically focus on breaking down silos and integrating services within a community, building community capability to implement reforms at the local level, and </w:t>
      </w:r>
      <w:r w:rsidR="006F48AD" w:rsidRPr="009764EE">
        <w:t xml:space="preserve">supporting </w:t>
      </w:r>
      <w:r w:rsidRPr="009764EE">
        <w:t>communit</w:t>
      </w:r>
      <w:r w:rsidR="006F48AD" w:rsidRPr="009764EE">
        <w:t>y</w:t>
      </w:r>
      <w:r w:rsidR="00135DEA">
        <w:noBreakHyphen/>
      </w:r>
      <w:r w:rsidR="00AD5747" w:rsidRPr="009764EE">
        <w:t>led</w:t>
      </w:r>
      <w:r w:rsidRPr="009764EE">
        <w:t xml:space="preserve"> decision</w:t>
      </w:r>
      <w:r w:rsidR="00135DEA">
        <w:noBreakHyphen/>
      </w:r>
      <w:r w:rsidRPr="009764EE">
        <w:t xml:space="preserve">making. </w:t>
      </w:r>
    </w:p>
    <w:p w14:paraId="32BC273C" w14:textId="5CFF46CA" w:rsidR="00134256" w:rsidRDefault="00134256" w:rsidP="008726F4">
      <w:r w:rsidRPr="00134256">
        <w:t>The Australian Government, along with states and territories, currently works in partnership with communities through initiatives such as Stronger Places, Stronger People, Connected Beginnings, and Empowered Communities. Many of these partnerships have a focus on improving child and family wellbeing, including through maternal and child health supports, efforts to reduce domestic, family and sexual violence, and supporting families</w:t>
      </w:r>
      <w:r w:rsidR="00135DEA">
        <w:t>’</w:t>
      </w:r>
      <w:r w:rsidRPr="00134256">
        <w:t xml:space="preserve"> engagement with early childhood education and care. </w:t>
      </w:r>
    </w:p>
    <w:p w14:paraId="2DD9FD18" w14:textId="16362CB8" w:rsidR="00E90833" w:rsidRDefault="00E90833" w:rsidP="008726F4">
      <w:r w:rsidRPr="00E90833">
        <w:t>Place</w:t>
      </w:r>
      <w:r w:rsidR="00135DEA">
        <w:noBreakHyphen/>
      </w:r>
      <w:r w:rsidRPr="00E90833">
        <w:t>based approaches can also complement nationally coordinated policy frameworks that aim to protect children, by supporting communities to implement solutions to complex policy problems in their local context. Relevant policy frameworks for the early years include the National Plan to End Violence Against Women and Children 2022</w:t>
      </w:r>
      <w:r w:rsidR="00151999">
        <w:t>–</w:t>
      </w:r>
      <w:r w:rsidR="00F2742F">
        <w:softHyphen/>
      </w:r>
      <w:r w:rsidRPr="00E90833">
        <w:t>23, Safe and Supported: National Framework to Protect Australia</w:t>
      </w:r>
      <w:r w:rsidR="00135DEA">
        <w:t>’</w:t>
      </w:r>
      <w:r w:rsidRPr="00E90833">
        <w:t>s Children 2021</w:t>
      </w:r>
      <w:r w:rsidR="00F2742F">
        <w:softHyphen/>
      </w:r>
      <w:r w:rsidR="00151999">
        <w:t>–</w:t>
      </w:r>
      <w:r w:rsidRPr="00E90833">
        <w:t>31 and the National Strategy to Prevent and Respond to Child Sexual Abuse 2021</w:t>
      </w:r>
      <w:r w:rsidR="00151999">
        <w:t>–</w:t>
      </w:r>
      <w:r w:rsidR="00F2742F">
        <w:softHyphen/>
      </w:r>
      <w:r w:rsidRPr="00E90833">
        <w:t xml:space="preserve">2030. </w:t>
      </w:r>
    </w:p>
    <w:p w14:paraId="245BDBF2" w14:textId="690BAC00" w:rsidR="005568CB" w:rsidRPr="009764EE" w:rsidRDefault="00854D53" w:rsidP="008726F4">
      <w:r>
        <w:br w:type="column"/>
      </w:r>
      <w:r w:rsidR="005568CB" w:rsidRPr="009764EE">
        <w:t>In the 2023</w:t>
      </w:r>
      <w:r w:rsidR="00151999">
        <w:t>–</w:t>
      </w:r>
      <w:r w:rsidR="00F2742F">
        <w:softHyphen/>
      </w:r>
      <w:r w:rsidR="005568CB" w:rsidRPr="009764EE">
        <w:t xml:space="preserve">24 Budget, the Government committed to </w:t>
      </w:r>
      <w:r w:rsidR="00A30203" w:rsidRPr="009764EE">
        <w:t xml:space="preserve">delivering </w:t>
      </w:r>
      <w:r w:rsidR="005568CB" w:rsidRPr="009764EE">
        <w:t xml:space="preserve">a whole of government </w:t>
      </w:r>
      <w:r w:rsidR="00A30203" w:rsidRPr="009764EE">
        <w:t>F</w:t>
      </w:r>
      <w:r w:rsidR="005568CB" w:rsidRPr="009764EE">
        <w:t xml:space="preserve">ramework to Address Community Disadvantage that will identify strategic objectives and key principles to guide how the </w:t>
      </w:r>
      <w:r w:rsidR="00F002DC" w:rsidRPr="009764EE">
        <w:t xml:space="preserve">Government </w:t>
      </w:r>
      <w:r w:rsidR="005568CB" w:rsidRPr="009764EE">
        <w:t>will work in partnership with communities. The Framework will have a focus on maximising the impact of government investment, including through better alignment of existing policies and programs, enabling greater use of tailored, place</w:t>
      </w:r>
      <w:r w:rsidR="00135DEA">
        <w:noBreakHyphen/>
      </w:r>
      <w:r w:rsidR="005568CB" w:rsidRPr="009764EE">
        <w:t>based approaches, and supporting greater community access to data and opportunities for community</w:t>
      </w:r>
      <w:r w:rsidR="00135DEA">
        <w:noBreakHyphen/>
      </w:r>
      <w:r w:rsidR="005568CB" w:rsidRPr="009764EE">
        <w:t xml:space="preserve">led </w:t>
      </w:r>
      <w:r w:rsidR="00D039FE" w:rsidRPr="009764EE">
        <w:t>decision</w:t>
      </w:r>
      <w:r w:rsidR="00135DEA">
        <w:noBreakHyphen/>
      </w:r>
      <w:r w:rsidR="00D039FE" w:rsidRPr="009764EE">
        <w:t>making</w:t>
      </w:r>
      <w:r w:rsidR="005568CB" w:rsidRPr="009764EE">
        <w:t xml:space="preserve">. </w:t>
      </w:r>
    </w:p>
    <w:p w14:paraId="73119838" w14:textId="34EF834D" w:rsidR="005568CB" w:rsidRPr="009764EE" w:rsidRDefault="005568CB" w:rsidP="008726F4">
      <w:r w:rsidRPr="009764EE">
        <w:t xml:space="preserve">The Government has also committed to partner </w:t>
      </w:r>
      <w:r w:rsidR="00BC0CC2" w:rsidRPr="009764EE">
        <w:t xml:space="preserve">with </w:t>
      </w:r>
      <w:r w:rsidRPr="009764EE">
        <w:t>philanthropy through the Investment Dialogue for Australia</w:t>
      </w:r>
      <w:r w:rsidR="00135DEA">
        <w:t>’</w:t>
      </w:r>
      <w:r w:rsidRPr="009764EE">
        <w:t>s Children, with the goal of improving the wellbeing of children, young people and their families, including through place</w:t>
      </w:r>
      <w:r w:rsidR="00135DEA">
        <w:noBreakHyphen/>
      </w:r>
      <w:r w:rsidRPr="009764EE">
        <w:t xml:space="preserve">based approaches. The partnership will support a more coordinated, </w:t>
      </w:r>
      <w:r w:rsidR="0000217D" w:rsidRPr="009764EE">
        <w:t>and targeted</w:t>
      </w:r>
      <w:r w:rsidRPr="009764EE">
        <w:t xml:space="preserve"> </w:t>
      </w:r>
      <w:r w:rsidR="0000217D" w:rsidRPr="009764EE">
        <w:t>approach to</w:t>
      </w:r>
      <w:r w:rsidRPr="009764EE">
        <w:t xml:space="preserve"> intergenerational disadvantage in Australia. </w:t>
      </w:r>
    </w:p>
    <w:p w14:paraId="19766ED3" w14:textId="2F851182" w:rsidR="00A73567" w:rsidRDefault="00A73567" w:rsidP="008726F4">
      <w:r w:rsidRPr="009764EE">
        <w:t>The Government is also developing an Early Years Strategy that will be a road map to guide policies and programs for the next decade, providing a vision of what Australia wants to achieve for children and families in the early years. The forthcoming strategy will seek to foster a more holistic approach to early childhood development that is focused on opportunities for coordination, collaboration, and partnership to provide the best possible start for Australia</w:t>
      </w:r>
      <w:r w:rsidR="00135DEA">
        <w:t>’</w:t>
      </w:r>
      <w:r w:rsidRPr="009764EE">
        <w:t>s children. It will be informed by community perspectives and experiences and will reflect the diverse needs of families and children across Australia.</w:t>
      </w:r>
    </w:p>
    <w:p w14:paraId="7AC20D6D" w14:textId="77777777" w:rsidR="008152EE" w:rsidRDefault="008152EE" w:rsidP="00A73567">
      <w:pPr>
        <w:rPr>
          <w:rFonts w:ascii="Calibri" w:hAnsi="Calibri" w:cs="Calibri"/>
        </w:rPr>
      </w:pPr>
    </w:p>
    <w:p w14:paraId="5E5FB629" w14:textId="29E6150B" w:rsidR="008152EE" w:rsidRPr="00A73567" w:rsidRDefault="008152EE" w:rsidP="00A73567">
      <w:pPr>
        <w:rPr>
          <w:rFonts w:ascii="Calibri" w:hAnsi="Calibri" w:cs="Calibri"/>
        </w:rPr>
        <w:sectPr w:rsidR="008152EE" w:rsidRPr="00A73567" w:rsidSect="00DA302B">
          <w:endnotePr>
            <w:numFmt w:val="decimal"/>
          </w:endnotePr>
          <w:type w:val="continuous"/>
          <w:pgSz w:w="11906" w:h="16838" w:code="9"/>
          <w:pgMar w:top="1843" w:right="1418" w:bottom="1418" w:left="1418" w:header="851" w:footer="851" w:gutter="0"/>
          <w:cols w:num="2" w:space="567"/>
          <w:docGrid w:linePitch="360"/>
        </w:sectPr>
      </w:pPr>
    </w:p>
    <w:p w14:paraId="488F818C" w14:textId="795D38AF" w:rsidR="006D7364" w:rsidRPr="009764EE" w:rsidRDefault="006D7364" w:rsidP="00037C32">
      <w:pPr>
        <w:pStyle w:val="Heading1"/>
      </w:pPr>
      <w:bookmarkStart w:id="120" w:name="_Toc138629877"/>
      <w:bookmarkStart w:id="121" w:name="_Toc147497686"/>
      <w:bookmarkStart w:id="122" w:name="_Toc140164499"/>
      <w:bookmarkEnd w:id="120"/>
      <w:r w:rsidRPr="009764EE">
        <w:lastRenderedPageBreak/>
        <w:t>The way ahead</w:t>
      </w:r>
      <w:bookmarkEnd w:id="121"/>
    </w:p>
    <w:p w14:paraId="0DE026EA" w14:textId="77777777" w:rsidR="006D7364" w:rsidRPr="009764EE" w:rsidRDefault="006D7364" w:rsidP="00037C32">
      <w:pPr>
        <w:pStyle w:val="IntrotextMWM"/>
      </w:pPr>
      <w:r w:rsidRPr="00FB6842">
        <w:rPr>
          <w:rStyle w:val="Emphasis"/>
        </w:rPr>
        <w:t>Measuring What Matters</w:t>
      </w:r>
      <w:r w:rsidRPr="009764EE">
        <w:t xml:space="preserve"> is a living Framework that will continue to evolve and improve over time to reflect ongoing feedback from the community, new research, improved data availability, and changing community views. </w:t>
      </w:r>
    </w:p>
    <w:bookmarkEnd w:id="122"/>
    <w:p w14:paraId="6AD0DCC5" w14:textId="77777777" w:rsidR="00AE6898" w:rsidRPr="009764EE" w:rsidRDefault="00AE6898" w:rsidP="00087384">
      <w:pPr>
        <w:rPr>
          <w:rFonts w:ascii="Calibri" w:hAnsi="Calibri" w:cs="Calibri"/>
        </w:rPr>
      </w:pPr>
    </w:p>
    <w:p w14:paraId="228DAF9D" w14:textId="77777777" w:rsidR="00601189" w:rsidRPr="009764EE" w:rsidRDefault="00601189" w:rsidP="008152EE">
      <w:pPr>
        <w:sectPr w:rsidR="00601189" w:rsidRPr="009764EE" w:rsidSect="00DA302B">
          <w:endnotePr>
            <w:numFmt w:val="decimal"/>
          </w:endnotePr>
          <w:pgSz w:w="11906" w:h="16838" w:code="9"/>
          <w:pgMar w:top="1843" w:right="1418" w:bottom="1418" w:left="1418" w:header="851" w:footer="851" w:gutter="0"/>
          <w:cols w:space="567"/>
          <w:docGrid w:linePitch="360"/>
        </w:sectPr>
      </w:pPr>
    </w:p>
    <w:p w14:paraId="28D9602C" w14:textId="2B55A82B" w:rsidR="00B016F7" w:rsidRPr="009764EE" w:rsidRDefault="00B016F7" w:rsidP="008726F4">
      <w:r w:rsidRPr="009764EE">
        <w:t xml:space="preserve">This Framework will help us to track progress </w:t>
      </w:r>
      <w:r w:rsidR="003C6CE7" w:rsidRPr="009764EE">
        <w:t xml:space="preserve">in the wellbeing </w:t>
      </w:r>
      <w:r w:rsidR="00772F70" w:rsidRPr="009764EE">
        <w:t>the</w:t>
      </w:r>
      <w:r w:rsidR="003C6CE7" w:rsidRPr="009764EE">
        <w:t>mes</w:t>
      </w:r>
      <w:r w:rsidR="00C7013C" w:rsidRPr="009764EE">
        <w:t>:</w:t>
      </w:r>
      <w:r w:rsidR="00772F70" w:rsidRPr="009764EE">
        <w:t xml:space="preserve"> healthy, secure, sustainable, </w:t>
      </w:r>
      <w:r w:rsidR="001A629A" w:rsidRPr="009764EE">
        <w:t>cohesive,</w:t>
      </w:r>
      <w:r w:rsidR="00772F70" w:rsidRPr="009764EE">
        <w:t xml:space="preserve"> and prosperous. </w:t>
      </w:r>
    </w:p>
    <w:p w14:paraId="11E47170" w14:textId="0E3F08F2" w:rsidR="009F6B74" w:rsidRPr="005F2884" w:rsidRDefault="003A7154" w:rsidP="008152EE">
      <w:pPr>
        <w:pStyle w:val="Heading2"/>
      </w:pPr>
      <w:bookmarkStart w:id="123" w:name="_Toc147497687"/>
      <w:r w:rsidRPr="005F2884">
        <w:t xml:space="preserve">Next </w:t>
      </w:r>
      <w:r w:rsidR="006670F8" w:rsidRPr="005F2884">
        <w:t>s</w:t>
      </w:r>
      <w:r w:rsidRPr="005F2884">
        <w:t>teps</w:t>
      </w:r>
      <w:bookmarkEnd w:id="123"/>
    </w:p>
    <w:p w14:paraId="03E0862C" w14:textId="77777777" w:rsidR="009F6B74" w:rsidRPr="009F6B74" w:rsidRDefault="009F6B74" w:rsidP="008726F4">
      <w:r w:rsidRPr="009F6B74">
        <w:t>The Government will be looking to continuously improve the Framework and welcomes comments on what is presented in this statement and the online dashboard.</w:t>
      </w:r>
    </w:p>
    <w:p w14:paraId="5787E71A" w14:textId="47749778" w:rsidR="009F6B74" w:rsidRPr="009F6B74" w:rsidRDefault="009F6B74" w:rsidP="008726F4">
      <w:r w:rsidRPr="009F6B74">
        <w:t xml:space="preserve">As part of this process of refinement, ongoing engagement with community, business, experts, and groups such as </w:t>
      </w:r>
      <w:r w:rsidR="001524A0">
        <w:t>First Nation</w:t>
      </w:r>
      <w:r w:rsidRPr="009F6B74">
        <w:t xml:space="preserve">s people, will help us to consider whether wellbeing is improving. </w:t>
      </w:r>
    </w:p>
    <w:p w14:paraId="13B9B53A" w14:textId="77777777" w:rsidR="009F6B74" w:rsidRPr="009F6B74" w:rsidRDefault="009F6B74" w:rsidP="008726F4">
      <w:r w:rsidRPr="009F6B74">
        <w:t xml:space="preserve">The dashboard will be updated regularly to take stock of progress and identify priorities for future action. A key focus will be on exploring greater disaggregation, to better reflect the experience of different groups. Some of the possible opportunities here are discussed at Appendix A. </w:t>
      </w:r>
    </w:p>
    <w:p w14:paraId="566A314F" w14:textId="77777777" w:rsidR="009F6B74" w:rsidRPr="009F6B74" w:rsidRDefault="009F6B74" w:rsidP="008726F4">
      <w:r w:rsidRPr="009F6B74">
        <w:t>Consistent with our international counterparts, we will be looking for opportunities to embed the Framework into government decision making. This will involve guidance for agencies to inform policy development and evaluation. The Framework could also be used in areas of policy that require different levels of government to work together.</w:t>
      </w:r>
    </w:p>
    <w:p w14:paraId="42F2893A" w14:textId="7B2B12C2" w:rsidR="009F6B74" w:rsidRPr="009F6B74" w:rsidRDefault="00A821C4" w:rsidP="008726F4">
      <w:r>
        <w:br w:type="column"/>
      </w:r>
      <w:r w:rsidR="009F6B74" w:rsidRPr="009F6B74">
        <w:t>This will complement existing initiatives the Government has in train. A new Australian Centre for Evaluation is currently being established to better understand the economic, environmental and social impacts of Government policies. Additionally, policies in the 2023</w:t>
      </w:r>
      <w:r w:rsidR="00151999">
        <w:t>–</w:t>
      </w:r>
      <w:r w:rsidR="00F2742F">
        <w:softHyphen/>
      </w:r>
      <w:r w:rsidR="009F6B74" w:rsidRPr="009F6B74">
        <w:t xml:space="preserve">24 Budget included gender analysis and analysis of impacts on groups such as </w:t>
      </w:r>
      <w:r w:rsidR="001524A0">
        <w:t>First Nation</w:t>
      </w:r>
      <w:r w:rsidR="009F6B74" w:rsidRPr="009F6B74">
        <w:t>s Australians and Australians in regional areas. From the 2023</w:t>
      </w:r>
      <w:r w:rsidR="00151999">
        <w:t>–</w:t>
      </w:r>
      <w:r w:rsidR="00F2742F">
        <w:softHyphen/>
      </w:r>
      <w:r w:rsidR="009F6B74" w:rsidRPr="009F6B74">
        <w:t>24 MYEFO, the Government will extend gender responsive budgeting across the budget processes.</w:t>
      </w:r>
    </w:p>
    <w:p w14:paraId="6D8754A1" w14:textId="7B519BED" w:rsidR="009F6B74" w:rsidRPr="009F6B74" w:rsidRDefault="009F6B74" w:rsidP="008726F4">
      <w:r w:rsidRPr="009F6B74">
        <w:t>But the Framework</w:t>
      </w:r>
      <w:r w:rsidR="00135DEA">
        <w:t>’</w:t>
      </w:r>
      <w:r w:rsidRPr="009F6B74">
        <w:t xml:space="preserve">s usefulness will extend beyond government. It has been specifically designed to be drawn upon by business, academia, and the community, to support their efforts to create better lives for all Australians. </w:t>
      </w:r>
    </w:p>
    <w:p w14:paraId="36C22CC9" w14:textId="1474D73C" w:rsidR="00267EA5" w:rsidRPr="009764EE" w:rsidRDefault="009F6B74" w:rsidP="008726F4">
      <w:r w:rsidRPr="009F6B74">
        <w:t>With the introduction of the first iteration of the Framework, the Government has delivered an important foundation on which we can build</w:t>
      </w:r>
      <w:r w:rsidR="001524A0">
        <w:t xml:space="preserve"> – </w:t>
      </w:r>
      <w:r w:rsidRPr="009F6B74">
        <w:t>to understand, measure, and improve on the things that matter to Australians.</w:t>
      </w:r>
    </w:p>
    <w:p w14:paraId="214DC0A4" w14:textId="77777777" w:rsidR="008152EE" w:rsidRDefault="008152EE" w:rsidP="008152EE"/>
    <w:p w14:paraId="668DEE69" w14:textId="3E641A32" w:rsidR="008152EE" w:rsidRPr="008152EE" w:rsidRDefault="008152EE" w:rsidP="008152EE">
      <w:pPr>
        <w:sectPr w:rsidR="008152EE" w:rsidRPr="008152EE" w:rsidSect="00DA302B">
          <w:endnotePr>
            <w:numFmt w:val="decimal"/>
          </w:endnotePr>
          <w:type w:val="continuous"/>
          <w:pgSz w:w="11906" w:h="16838" w:code="9"/>
          <w:pgMar w:top="1843" w:right="1418" w:bottom="1418" w:left="1418" w:header="851" w:footer="851" w:gutter="0"/>
          <w:cols w:num="2" w:space="567"/>
          <w:docGrid w:linePitch="360"/>
        </w:sectPr>
      </w:pPr>
    </w:p>
    <w:p w14:paraId="3C39FC1F" w14:textId="600FAA03" w:rsidR="00E34C3D" w:rsidRPr="008726F4" w:rsidRDefault="006932E1" w:rsidP="00037C32">
      <w:pPr>
        <w:pStyle w:val="Heading1"/>
      </w:pPr>
      <w:bookmarkStart w:id="124" w:name="_Toc147497688"/>
      <w:r w:rsidRPr="009764EE">
        <w:rPr>
          <w:rFonts w:cs="Calibri"/>
        </w:rPr>
        <w:lastRenderedPageBreak/>
        <w:t>Appendix</w:t>
      </w:r>
      <w:r w:rsidR="008152EE">
        <w:rPr>
          <w:rFonts w:cs="Calibri"/>
        </w:rPr>
        <w:t xml:space="preserve"> A</w:t>
      </w:r>
      <w:bookmarkStart w:id="125" w:name="_Toc140164500"/>
      <w:r w:rsidR="008152EE">
        <w:rPr>
          <w:rFonts w:cs="Calibri"/>
        </w:rPr>
        <w:t>:</w:t>
      </w:r>
      <w:r w:rsidR="008726F4">
        <w:rPr>
          <w:rFonts w:cs="Calibri"/>
        </w:rPr>
        <w:t xml:space="preserve"> </w:t>
      </w:r>
      <w:r w:rsidR="008726F4">
        <w:rPr>
          <w:rFonts w:cs="Calibri"/>
        </w:rPr>
        <w:br/>
      </w:r>
      <w:r w:rsidR="00996BB1" w:rsidRPr="006932E1">
        <w:t xml:space="preserve">Strengthening the </w:t>
      </w:r>
      <w:r w:rsidR="0014646B" w:rsidRPr="006932E1">
        <w:t>i</w:t>
      </w:r>
      <w:r w:rsidR="004D5860" w:rsidRPr="006932E1">
        <w:t>ndicators</w:t>
      </w:r>
      <w:bookmarkEnd w:id="124"/>
      <w:bookmarkEnd w:id="125"/>
    </w:p>
    <w:p w14:paraId="235A0F2D" w14:textId="77777777" w:rsidR="00822393" w:rsidRDefault="00822393" w:rsidP="0069427E">
      <w:pPr>
        <w:rPr>
          <w:rFonts w:ascii="Calibri" w:hAnsi="Calibri" w:cs="Calibri"/>
        </w:rPr>
      </w:pPr>
    </w:p>
    <w:p w14:paraId="6D085F37" w14:textId="374669EA" w:rsidR="008152EE" w:rsidRPr="009764EE" w:rsidRDefault="008152EE" w:rsidP="0069427E">
      <w:pPr>
        <w:rPr>
          <w:rFonts w:ascii="Calibri" w:hAnsi="Calibri" w:cs="Calibri"/>
        </w:rPr>
        <w:sectPr w:rsidR="008152EE" w:rsidRPr="009764EE" w:rsidSect="00DA302B">
          <w:endnotePr>
            <w:numFmt w:val="decimal"/>
          </w:endnotePr>
          <w:pgSz w:w="11906" w:h="16838" w:code="9"/>
          <w:pgMar w:top="1843" w:right="1418" w:bottom="1418" w:left="1418" w:header="851" w:footer="851" w:gutter="0"/>
          <w:cols w:space="567"/>
          <w:docGrid w:linePitch="360"/>
        </w:sectPr>
      </w:pPr>
    </w:p>
    <w:p w14:paraId="32B2029B" w14:textId="33B888D9" w:rsidR="00942E97" w:rsidRPr="009764EE" w:rsidRDefault="00942E97" w:rsidP="008726F4">
      <w:r w:rsidRPr="009764EE">
        <w:t>This Framework focuses on measurements of things that matter. However, there are many things that matter which are not measured, or not fully measured. In many cases this relates to data limitations and the technical difficulties of measuring some aspects of wellbeing outcomes.</w:t>
      </w:r>
    </w:p>
    <w:p w14:paraId="75FD4795" w14:textId="668D3059" w:rsidR="008D693A" w:rsidRPr="007D4AEF" w:rsidRDefault="008D693A" w:rsidP="00F52017">
      <w:r w:rsidRPr="007D4AEF">
        <w:t xml:space="preserve">While the ABS produces monthly labour market indicators and quarterly economic indicators such as </w:t>
      </w:r>
      <w:r w:rsidR="00136356" w:rsidRPr="007D4AEF">
        <w:t>GDP</w:t>
      </w:r>
      <w:r w:rsidRPr="007D4AEF">
        <w:t xml:space="preserve">, many social indicators of wellbeing are only available every few years. Many indicators for </w:t>
      </w:r>
      <w:r w:rsidR="001524A0">
        <w:t>First Nation</w:t>
      </w:r>
      <w:r w:rsidRPr="007D4AEF">
        <w:t xml:space="preserve">s </w:t>
      </w:r>
      <w:r w:rsidR="00B9426F" w:rsidRPr="007D4AEF">
        <w:t xml:space="preserve">people </w:t>
      </w:r>
      <w:r w:rsidRPr="007D4AEF">
        <w:t xml:space="preserve">are only produced every five years, and data for cohorts such as for </w:t>
      </w:r>
      <w:r w:rsidR="007A571A" w:rsidRPr="007D4AEF">
        <w:t xml:space="preserve">culturally and linguistically diverse </w:t>
      </w:r>
      <w:r w:rsidRPr="007D4AEF">
        <w:t xml:space="preserve">people and </w:t>
      </w:r>
      <w:r w:rsidR="00634C05" w:rsidRPr="007D4AEF">
        <w:t>LGBTIQA</w:t>
      </w:r>
      <w:r w:rsidRPr="007D4AEF">
        <w:t xml:space="preserve">+ people vary by data source. </w:t>
      </w:r>
    </w:p>
    <w:p w14:paraId="10B0113F" w14:textId="6695A582" w:rsidR="008D693A" w:rsidRPr="007D4AEF" w:rsidRDefault="008D693A" w:rsidP="00F52017">
      <w:r w:rsidRPr="007D4AEF">
        <w:t>More frequent data can improve the Government</w:t>
      </w:r>
      <w:r w:rsidR="00135DEA">
        <w:t>’</w:t>
      </w:r>
      <w:r w:rsidRPr="007D4AEF">
        <w:t xml:space="preserve">s ability to monitor current conditions </w:t>
      </w:r>
      <w:r w:rsidR="00F20F4B" w:rsidRPr="007D4AEF">
        <w:t xml:space="preserve">and </w:t>
      </w:r>
      <w:r w:rsidRPr="007D4AEF">
        <w:t xml:space="preserve">barriers </w:t>
      </w:r>
      <w:r w:rsidR="0085374C" w:rsidRPr="007D4AEF">
        <w:t xml:space="preserve">that </w:t>
      </w:r>
      <w:r w:rsidRPr="007D4AEF">
        <w:t>some cohorts face to improving wellbeing</w:t>
      </w:r>
      <w:r w:rsidR="009944AA" w:rsidRPr="007D4AEF">
        <w:t>,</w:t>
      </w:r>
      <w:r w:rsidRPr="007D4AEF">
        <w:t xml:space="preserve"> as well as monitor the impacts of policy changes. Improving the coverage of statistical products and longitudinal datasets will enable better monitoring of wellbeing outcomes over time and is an opportunity to enrich the indicators and the distributional analysis that could be monitored in this Framework. </w:t>
      </w:r>
    </w:p>
    <w:p w14:paraId="4D9269F0" w14:textId="6A0CB21E" w:rsidR="008D693A" w:rsidRPr="007D4AEF" w:rsidRDefault="008D693A" w:rsidP="00F52017">
      <w:r w:rsidRPr="007D4AEF">
        <w:t xml:space="preserve">To this end, the Government provided funding </w:t>
      </w:r>
      <w:r w:rsidR="004D31EE" w:rsidRPr="007D4AEF">
        <w:t xml:space="preserve">in the </w:t>
      </w:r>
      <w:r w:rsidR="0095720D" w:rsidRPr="007D4AEF">
        <w:t>2022</w:t>
      </w:r>
      <w:r w:rsidR="00151999">
        <w:t>–</w:t>
      </w:r>
      <w:r w:rsidR="00F2742F">
        <w:softHyphen/>
      </w:r>
      <w:r w:rsidR="0095720D" w:rsidRPr="007D4AEF">
        <w:t xml:space="preserve">23 </w:t>
      </w:r>
      <w:r w:rsidR="004D31EE" w:rsidRPr="007D4AEF">
        <w:t xml:space="preserve">October </w:t>
      </w:r>
      <w:r w:rsidR="0095720D" w:rsidRPr="007D4AEF">
        <w:t>Budget</w:t>
      </w:r>
      <w:r w:rsidRPr="007D4AEF">
        <w:t xml:space="preserve"> to the ABS to publish more frequent information on barriers and incentives to labour force participation. This work also aims to provide information on barriers for women, unpaid carers, people with disability, older people, </w:t>
      </w:r>
      <w:r w:rsidR="001524A0">
        <w:t>First Nation</w:t>
      </w:r>
      <w:r w:rsidRPr="007D4AEF">
        <w:t xml:space="preserve">s people, </w:t>
      </w:r>
      <w:r w:rsidR="007A571A" w:rsidRPr="007D4AEF">
        <w:t xml:space="preserve">culturally and linguistically diverse </w:t>
      </w:r>
      <w:r w:rsidRPr="007D4AEF">
        <w:t>people</w:t>
      </w:r>
      <w:r w:rsidR="001D2909" w:rsidRPr="007D4AEF">
        <w:t>,</w:t>
      </w:r>
      <w:r w:rsidRPr="007D4AEF">
        <w:t xml:space="preserve"> and those living in remote areas.</w:t>
      </w:r>
    </w:p>
    <w:p w14:paraId="0FEAAB79" w14:textId="1141468E" w:rsidR="008D693A" w:rsidRPr="009764EE" w:rsidRDefault="008D693A" w:rsidP="00F52017">
      <w:r w:rsidRPr="009764EE">
        <w:t>Further, the Australian</w:t>
      </w:r>
      <w:r w:rsidR="001D2909" w:rsidRPr="009764EE">
        <w:t xml:space="preserve"> state </w:t>
      </w:r>
      <w:r w:rsidRPr="009764EE">
        <w:t xml:space="preserve">and </w:t>
      </w:r>
      <w:r w:rsidR="001D2909" w:rsidRPr="009764EE">
        <w:t>territory governments</w:t>
      </w:r>
      <w:r w:rsidRPr="009764EE">
        <w:t xml:space="preserve"> are working together to develop the National Disability Data Asset, a single source of information combining data from all levels of government which will aim to give a more complete picture of the life experiences of </w:t>
      </w:r>
      <w:r w:rsidRPr="009764EE">
        <w:t>people with disability</w:t>
      </w:r>
      <w:r w:rsidR="001524A0">
        <w:t xml:space="preserve"> – </w:t>
      </w:r>
      <w:r w:rsidRPr="009764EE">
        <w:t>to see, hear and understand people with disability as a diverse community with specific needs and goals. This will help us to improve research, policy development and service delivery to ensure investment is best targeted to achieve outcomes for people with disability, their carers</w:t>
      </w:r>
      <w:r w:rsidR="001F2C3F" w:rsidRPr="009764EE">
        <w:t>,</w:t>
      </w:r>
      <w:r w:rsidRPr="009764EE">
        <w:t xml:space="preserve"> and </w:t>
      </w:r>
      <w:r w:rsidR="002337CC" w:rsidRPr="009764EE">
        <w:t xml:space="preserve">the </w:t>
      </w:r>
      <w:r w:rsidRPr="009764EE">
        <w:t>community.</w:t>
      </w:r>
    </w:p>
    <w:p w14:paraId="6DC76298" w14:textId="1A049C27" w:rsidR="00B864A5" w:rsidRPr="009764EE" w:rsidRDefault="0012003C" w:rsidP="00F90ECA">
      <w:r w:rsidRPr="009764EE">
        <w:t>The c</w:t>
      </w:r>
      <w:r w:rsidR="005713ED" w:rsidRPr="009764EE">
        <w:t>onsultations</w:t>
      </w:r>
      <w:r w:rsidRPr="009764EE">
        <w:t xml:space="preserve"> undertaken </w:t>
      </w:r>
      <w:r w:rsidR="00FE31E1" w:rsidRPr="009764EE">
        <w:t xml:space="preserve">to develop this Framework </w:t>
      </w:r>
      <w:r w:rsidR="005713ED" w:rsidRPr="009764EE">
        <w:t>identified areas a</w:t>
      </w:r>
      <w:r w:rsidR="00B864A5" w:rsidRPr="009764EE">
        <w:t xml:space="preserve">cross </w:t>
      </w:r>
      <w:r w:rsidR="00496D17" w:rsidRPr="009764EE">
        <w:t xml:space="preserve">all the themes </w:t>
      </w:r>
      <w:r w:rsidR="003207D4" w:rsidRPr="009764EE">
        <w:t xml:space="preserve">of wellbeing where there may be opportunities to </w:t>
      </w:r>
      <w:r w:rsidR="00FC2E15" w:rsidRPr="009764EE">
        <w:t xml:space="preserve">deepen the </w:t>
      </w:r>
      <w:r w:rsidR="005713ED" w:rsidRPr="009764EE">
        <w:t>measuremen</w:t>
      </w:r>
      <w:r w:rsidR="003207D4" w:rsidRPr="009764EE">
        <w:t>t</w:t>
      </w:r>
      <w:r w:rsidR="00FC2E15" w:rsidRPr="009764EE">
        <w:t xml:space="preserve"> of things that matter</w:t>
      </w:r>
      <w:r w:rsidR="003207D4" w:rsidRPr="009764EE">
        <w:t>.</w:t>
      </w:r>
      <w:r w:rsidR="00730625" w:rsidRPr="009764EE">
        <w:t xml:space="preserve"> Some of the potential improvements </w:t>
      </w:r>
      <w:r w:rsidR="004C524C" w:rsidRPr="009764EE">
        <w:t xml:space="preserve">that have been </w:t>
      </w:r>
      <w:r w:rsidR="007A2C57" w:rsidRPr="009764EE">
        <w:t xml:space="preserve">suggested </w:t>
      </w:r>
      <w:r w:rsidR="004C524C" w:rsidRPr="009764EE">
        <w:t>are</w:t>
      </w:r>
      <w:r w:rsidR="00822BE6" w:rsidRPr="009764EE">
        <w:t>:</w:t>
      </w:r>
    </w:p>
    <w:p w14:paraId="27108211" w14:textId="61EFE2A2" w:rsidR="002147AB" w:rsidRPr="00361859" w:rsidRDefault="00287A56" w:rsidP="001A57B0">
      <w:r w:rsidRPr="00361859">
        <w:t xml:space="preserve">Considerations </w:t>
      </w:r>
      <w:r w:rsidR="005D049F" w:rsidRPr="00361859">
        <w:t>of</w:t>
      </w:r>
      <w:r w:rsidRPr="00361859">
        <w:t xml:space="preserve"> the </w:t>
      </w:r>
      <w:r w:rsidR="002147AB" w:rsidRPr="00361859">
        <w:t>averaging effect of national statistics</w:t>
      </w:r>
      <w:r w:rsidRPr="00361859">
        <w:t xml:space="preserve"> and their ability to </w:t>
      </w:r>
      <w:r w:rsidR="002147AB" w:rsidRPr="00361859">
        <w:t>hide the true magnitude and nature of issue</w:t>
      </w:r>
      <w:r w:rsidR="00623FC2" w:rsidRPr="00361859">
        <w:t>s</w:t>
      </w:r>
      <w:r w:rsidR="002147AB" w:rsidRPr="00361859">
        <w:t xml:space="preserve"> at a regional or cohort level.</w:t>
      </w:r>
    </w:p>
    <w:p w14:paraId="5735A3CE" w14:textId="776BC15C" w:rsidR="00D428F9" w:rsidRPr="009764EE" w:rsidRDefault="00D428F9" w:rsidP="0095296B">
      <w:r w:rsidRPr="009764EE">
        <w:t xml:space="preserve">Overall wellbeing indicators could benefit from better coverage of cohorts, such as people with disability, </w:t>
      </w:r>
      <w:r w:rsidR="005737FD" w:rsidRPr="009764EE">
        <w:t xml:space="preserve">unpaid carers, </w:t>
      </w:r>
      <w:r w:rsidR="001524A0">
        <w:t>First Nation</w:t>
      </w:r>
      <w:r w:rsidRPr="009764EE">
        <w:t>s people, children</w:t>
      </w:r>
      <w:r w:rsidR="00A66205" w:rsidRPr="009764EE">
        <w:t xml:space="preserve"> and youth</w:t>
      </w:r>
      <w:r w:rsidRPr="009764EE">
        <w:t xml:space="preserve"> outcomes, culturally and linguistically diverse people </w:t>
      </w:r>
      <w:r w:rsidR="008D4A3F" w:rsidRPr="009764EE">
        <w:t>(</w:t>
      </w:r>
      <w:r w:rsidR="00786C1A" w:rsidRPr="009764EE">
        <w:t>including refugees</w:t>
      </w:r>
      <w:r w:rsidR="008D4A3F" w:rsidRPr="009764EE">
        <w:t>)</w:t>
      </w:r>
      <w:r w:rsidR="002F547B" w:rsidRPr="009764EE">
        <w:t>,</w:t>
      </w:r>
      <w:r w:rsidRPr="009764EE">
        <w:t xml:space="preserve"> and </w:t>
      </w:r>
      <w:r w:rsidR="00634C05" w:rsidRPr="009764EE">
        <w:t>LGBTIQA</w:t>
      </w:r>
      <w:r w:rsidRPr="009764EE">
        <w:t>+ people.</w:t>
      </w:r>
      <w:r w:rsidR="008A078D" w:rsidRPr="009764EE">
        <w:t xml:space="preserve"> </w:t>
      </w:r>
      <w:r w:rsidR="001B253C" w:rsidRPr="009764EE">
        <w:t>Additionally, more spatial and geographic analysis</w:t>
      </w:r>
      <w:r w:rsidR="00B26EE0" w:rsidRPr="009764EE">
        <w:t xml:space="preserve"> may assist in variances </w:t>
      </w:r>
      <w:r w:rsidR="003F0FC4" w:rsidRPr="009764EE">
        <w:t>from region to region</w:t>
      </w:r>
      <w:r w:rsidR="00135DEA">
        <w:t xml:space="preserve">. </w:t>
      </w:r>
    </w:p>
    <w:p w14:paraId="772FC66B" w14:textId="6739C3A0" w:rsidR="00A27CD6" w:rsidRPr="009764EE" w:rsidRDefault="00A27CD6" w:rsidP="00093B61">
      <w:r w:rsidRPr="004F0DA3">
        <w:rPr>
          <w:b/>
        </w:rPr>
        <w:t>Healthy indicators</w:t>
      </w:r>
      <w:r w:rsidRPr="009764EE">
        <w:t xml:space="preserve"> </w:t>
      </w:r>
      <w:r w:rsidR="00584565" w:rsidRPr="009764EE">
        <w:t xml:space="preserve">could benefit from </w:t>
      </w:r>
      <w:r w:rsidR="00E64257" w:rsidRPr="009764EE">
        <w:t xml:space="preserve">improved coverage of </w:t>
      </w:r>
      <w:r w:rsidR="00BD7D55" w:rsidRPr="009764EE">
        <w:t>access to green and blue spaces</w:t>
      </w:r>
      <w:r w:rsidR="00B739BD" w:rsidRPr="009764EE">
        <w:t xml:space="preserve"> for </w:t>
      </w:r>
      <w:r w:rsidR="007A53CD" w:rsidRPr="009764EE">
        <w:t xml:space="preserve">promoting </w:t>
      </w:r>
      <w:r w:rsidR="00B739BD" w:rsidRPr="009764EE">
        <w:t xml:space="preserve">health </w:t>
      </w:r>
      <w:r w:rsidR="007A53CD" w:rsidRPr="009764EE">
        <w:t xml:space="preserve">and </w:t>
      </w:r>
      <w:r w:rsidR="00B739BD" w:rsidRPr="009764EE">
        <w:t>recreation activity</w:t>
      </w:r>
      <w:r w:rsidR="00565C34" w:rsidRPr="009764EE">
        <w:t xml:space="preserve"> when the data </w:t>
      </w:r>
      <w:r w:rsidR="007A53CD" w:rsidRPr="009764EE">
        <w:t>limitations are addressed and improve</w:t>
      </w:r>
      <w:r w:rsidR="00BB7EB2" w:rsidRPr="009764EE">
        <w:t xml:space="preserve">d measures </w:t>
      </w:r>
      <w:r w:rsidR="00565C34" w:rsidRPr="009764EE">
        <w:t xml:space="preserve">become </w:t>
      </w:r>
      <w:r w:rsidR="00614244" w:rsidRPr="009764EE">
        <w:t>available</w:t>
      </w:r>
      <w:r w:rsidR="00D04811" w:rsidRPr="009764EE">
        <w:t>.</w:t>
      </w:r>
      <w:r w:rsidR="00F647FC" w:rsidRPr="009764EE">
        <w:t xml:space="preserve"> </w:t>
      </w:r>
      <w:r w:rsidR="00C3593A" w:rsidRPr="009764EE">
        <w:t xml:space="preserve">Access to </w:t>
      </w:r>
      <w:r w:rsidR="002F547B" w:rsidRPr="009764EE">
        <w:t>blue</w:t>
      </w:r>
      <w:r w:rsidR="00BD7D55" w:rsidRPr="009764EE">
        <w:t xml:space="preserve"> </w:t>
      </w:r>
      <w:r w:rsidR="00B739BD" w:rsidRPr="009764EE">
        <w:t xml:space="preserve">and </w:t>
      </w:r>
      <w:r w:rsidR="002F547B" w:rsidRPr="009764EE">
        <w:t xml:space="preserve">green spaces </w:t>
      </w:r>
      <w:r w:rsidR="00C3593A" w:rsidRPr="009764EE">
        <w:t>is also vital to mental</w:t>
      </w:r>
      <w:r w:rsidR="00BD7D55" w:rsidRPr="009764EE">
        <w:t xml:space="preserve"> and </w:t>
      </w:r>
      <w:r w:rsidR="00C3593A" w:rsidRPr="009764EE">
        <w:t xml:space="preserve">physical health. </w:t>
      </w:r>
      <w:r w:rsidR="001517D7" w:rsidRPr="009764EE">
        <w:t>Health and financial literacy, or actions to improve Australian</w:t>
      </w:r>
      <w:r w:rsidR="7FA6DD94" w:rsidRPr="009764EE">
        <w:t>s</w:t>
      </w:r>
      <w:r w:rsidR="00135DEA">
        <w:t>’</w:t>
      </w:r>
      <w:r w:rsidR="7FA6DD94" w:rsidRPr="009764EE">
        <w:t xml:space="preserve"> </w:t>
      </w:r>
      <w:r w:rsidR="001517D7" w:rsidRPr="009764EE">
        <w:t>literacy in these areas may add value to future updates.</w:t>
      </w:r>
    </w:p>
    <w:p w14:paraId="3514573A" w14:textId="3D601EC9" w:rsidR="00D04811" w:rsidRPr="009764EE" w:rsidRDefault="002855E6" w:rsidP="0095296B">
      <w:r w:rsidRPr="004F0DA3">
        <w:rPr>
          <w:b/>
        </w:rPr>
        <w:t>Prosperous indicators</w:t>
      </w:r>
      <w:r w:rsidRPr="009764EE">
        <w:t xml:space="preserve"> could be improved by </w:t>
      </w:r>
      <w:r w:rsidR="002B131E" w:rsidRPr="009764EE">
        <w:t>further developing holistic concepts of full employment</w:t>
      </w:r>
      <w:r w:rsidR="00CB4AA8" w:rsidRPr="009764EE">
        <w:t xml:space="preserve">, measures of the quality of skill formation, </w:t>
      </w:r>
      <w:r w:rsidR="00730697" w:rsidRPr="009764EE">
        <w:t xml:space="preserve">investing in ways to better measure employment and economic participation of </w:t>
      </w:r>
      <w:r w:rsidR="00AA09EF" w:rsidRPr="009764EE">
        <w:t>particular</w:t>
      </w:r>
      <w:r w:rsidR="006B484A" w:rsidRPr="009764EE">
        <w:t xml:space="preserve"> cohorts</w:t>
      </w:r>
      <w:r w:rsidR="00730697" w:rsidRPr="009764EE">
        <w:t xml:space="preserve"> such as </w:t>
      </w:r>
      <w:r w:rsidR="001524A0">
        <w:t>First Nation</w:t>
      </w:r>
      <w:r w:rsidR="0034714C">
        <w:t>s</w:t>
      </w:r>
      <w:r w:rsidR="00730697" w:rsidRPr="009764EE">
        <w:t xml:space="preserve"> people</w:t>
      </w:r>
      <w:r w:rsidR="004D58B6" w:rsidRPr="009764EE">
        <w:t>,</w:t>
      </w:r>
      <w:r w:rsidR="00961379" w:rsidRPr="009764EE">
        <w:t xml:space="preserve"> </w:t>
      </w:r>
      <w:r w:rsidR="002B131E" w:rsidRPr="009764EE">
        <w:t xml:space="preserve">and improved </w:t>
      </w:r>
      <w:r w:rsidR="003D7689" w:rsidRPr="009764EE">
        <w:t xml:space="preserve">coverage of risk taking and </w:t>
      </w:r>
      <w:r w:rsidR="003D7689" w:rsidRPr="009764EE">
        <w:lastRenderedPageBreak/>
        <w:t>insolvency.</w:t>
      </w:r>
      <w:r w:rsidR="008F15CE" w:rsidRPr="009764EE">
        <w:t xml:space="preserve"> </w:t>
      </w:r>
      <w:r w:rsidR="00FB309E" w:rsidRPr="009764EE">
        <w:t xml:space="preserve">A new </w:t>
      </w:r>
      <w:r w:rsidR="00DA37E9" w:rsidRPr="009764EE">
        <w:t xml:space="preserve">National School Reform Agreement </w:t>
      </w:r>
      <w:r w:rsidR="00FF09E4" w:rsidRPr="009764EE">
        <w:t xml:space="preserve">is likely to </w:t>
      </w:r>
      <w:r w:rsidR="00CF6F5C" w:rsidRPr="009764EE">
        <w:t>include measures that reflect the experience of children and young people during their time at school</w:t>
      </w:r>
      <w:r w:rsidR="00A71FAE" w:rsidRPr="009764EE">
        <w:t xml:space="preserve">, </w:t>
      </w:r>
      <w:r w:rsidR="00600852" w:rsidRPr="009764EE">
        <w:t xml:space="preserve">and </w:t>
      </w:r>
      <w:r w:rsidR="0014252E" w:rsidRPr="009764EE">
        <w:t xml:space="preserve">the work currently underway will inform </w:t>
      </w:r>
      <w:r w:rsidR="00600852" w:rsidRPr="009764EE">
        <w:t xml:space="preserve">future iterations of </w:t>
      </w:r>
      <w:r w:rsidR="00852D50" w:rsidRPr="009764EE">
        <w:t>th</w:t>
      </w:r>
      <w:r w:rsidR="00852D50">
        <w:t>is</w:t>
      </w:r>
      <w:r w:rsidR="00852D50" w:rsidRPr="009764EE">
        <w:t xml:space="preserve"> </w:t>
      </w:r>
      <w:r w:rsidR="001E5500" w:rsidRPr="009764EE">
        <w:t>Framework</w:t>
      </w:r>
      <w:r w:rsidR="006061B0" w:rsidRPr="009764EE">
        <w:t xml:space="preserve">. </w:t>
      </w:r>
      <w:r w:rsidR="00BF31DC" w:rsidRPr="009764EE">
        <w:t xml:space="preserve">A new national study on adult literacy, numeracy, and digital skills led by Jobs and Skills </w:t>
      </w:r>
      <w:r w:rsidR="005E0BB1" w:rsidRPr="009764EE">
        <w:t xml:space="preserve">Australia could be included in </w:t>
      </w:r>
      <w:r w:rsidR="0022253F" w:rsidRPr="009764EE">
        <w:t xml:space="preserve">the </w:t>
      </w:r>
      <w:r w:rsidR="005E0BB1" w:rsidRPr="009764EE">
        <w:t xml:space="preserve">future. </w:t>
      </w:r>
      <w:r w:rsidR="009841C7" w:rsidRPr="009764EE">
        <w:t>Additionally,</w:t>
      </w:r>
      <w:r w:rsidR="008F15CE" w:rsidRPr="009764EE">
        <w:t xml:space="preserve"> </w:t>
      </w:r>
      <w:r w:rsidR="0070235D" w:rsidRPr="009764EE">
        <w:t xml:space="preserve">broad consideration for access to public transport </w:t>
      </w:r>
      <w:r w:rsidR="00A746D8" w:rsidRPr="009764EE">
        <w:t>in</w:t>
      </w:r>
      <w:r w:rsidR="0070235D" w:rsidRPr="009764EE">
        <w:t xml:space="preserve"> the </w:t>
      </w:r>
      <w:r w:rsidR="00A746D8" w:rsidRPr="009764EE">
        <w:t>context</w:t>
      </w:r>
      <w:r w:rsidR="0070235D" w:rsidRPr="009764EE">
        <w:t xml:space="preserve"> of </w:t>
      </w:r>
      <w:r w:rsidR="00BA42F7" w:rsidRPr="009764EE">
        <w:t xml:space="preserve">employment, the economy, </w:t>
      </w:r>
      <w:r w:rsidR="00D453D0" w:rsidRPr="009764EE">
        <w:t>health, equity</w:t>
      </w:r>
      <w:r w:rsidR="004A418F" w:rsidRPr="009764EE">
        <w:t>,</w:t>
      </w:r>
      <w:r w:rsidR="00D453D0" w:rsidRPr="009764EE">
        <w:t xml:space="preserve"> and inclusiveness</w:t>
      </w:r>
      <w:r w:rsidR="009841C7" w:rsidRPr="009764EE">
        <w:t>.</w:t>
      </w:r>
      <w:r w:rsidR="00AA17E2" w:rsidRPr="009764EE">
        <w:t xml:space="preserve"> </w:t>
      </w:r>
      <w:r w:rsidR="007209A0" w:rsidRPr="009764EE">
        <w:t xml:space="preserve">More consistent measures of access to digital service and connection may also provide foundational visibility for a </w:t>
      </w:r>
      <w:r w:rsidR="005D049F">
        <w:t>prosperous</w:t>
      </w:r>
      <w:r w:rsidR="007209A0" w:rsidRPr="009764EE">
        <w:t xml:space="preserve"> society.</w:t>
      </w:r>
    </w:p>
    <w:p w14:paraId="053E959A" w14:textId="1DBFD4BC" w:rsidR="003D7689" w:rsidRPr="009764EE" w:rsidRDefault="00AF16DF" w:rsidP="0095296B">
      <w:r w:rsidRPr="004F0DA3">
        <w:rPr>
          <w:b/>
        </w:rPr>
        <w:t>Sustainable indicators</w:t>
      </w:r>
      <w:r w:rsidRPr="009764EE">
        <w:t xml:space="preserve"> could be improved through better coverage of material footprint</w:t>
      </w:r>
      <w:r w:rsidR="00BD43A9" w:rsidRPr="009764EE">
        <w:t xml:space="preserve">, </w:t>
      </w:r>
      <w:r w:rsidR="00DA2136" w:rsidRPr="009764EE">
        <w:t>domestic material consumption</w:t>
      </w:r>
      <w:r w:rsidR="00990F9C" w:rsidRPr="009764EE">
        <w:t>,</w:t>
      </w:r>
      <w:r w:rsidR="00BD43A9" w:rsidRPr="009764EE">
        <w:t xml:space="preserve"> </w:t>
      </w:r>
      <w:r w:rsidR="0016395F" w:rsidRPr="009764EE">
        <w:t>and</w:t>
      </w:r>
      <w:r w:rsidR="00BD43A9" w:rsidRPr="009764EE">
        <w:t xml:space="preserve"> resource productivity</w:t>
      </w:r>
      <w:r w:rsidR="00885AC9" w:rsidRPr="009764EE">
        <w:t xml:space="preserve"> </w:t>
      </w:r>
      <w:r w:rsidR="001D26B2" w:rsidRPr="009764EE">
        <w:t xml:space="preserve">(including </w:t>
      </w:r>
      <w:r w:rsidR="00BD43A9" w:rsidRPr="009764EE">
        <w:t>the resources used in production and consumption</w:t>
      </w:r>
      <w:r w:rsidR="001D26B2" w:rsidRPr="009764EE">
        <w:t>)</w:t>
      </w:r>
      <w:r w:rsidR="00C50F69" w:rsidRPr="009764EE">
        <w:t xml:space="preserve">. </w:t>
      </w:r>
      <w:r w:rsidR="00C509B4" w:rsidRPr="009764EE">
        <w:t>E</w:t>
      </w:r>
      <w:r w:rsidR="006C49ED" w:rsidRPr="009764EE">
        <w:t>nvironmental resilien</w:t>
      </w:r>
      <w:r w:rsidR="0016395F" w:rsidRPr="009764EE">
        <w:t>ce</w:t>
      </w:r>
      <w:r w:rsidR="001D26B2" w:rsidRPr="009764EE">
        <w:t xml:space="preserve"> (</w:t>
      </w:r>
      <w:r w:rsidR="006C49ED" w:rsidRPr="009764EE">
        <w:t xml:space="preserve">including to natural </w:t>
      </w:r>
      <w:r w:rsidR="000B0B48" w:rsidRPr="009764EE">
        <w:t>disasters</w:t>
      </w:r>
      <w:r w:rsidR="00DE7F3B" w:rsidRPr="009764EE">
        <w:t xml:space="preserve"> and impacts on green and blue space</w:t>
      </w:r>
      <w:r w:rsidR="006A7AE5" w:rsidRPr="009764EE">
        <w:t>s</w:t>
      </w:r>
      <w:r w:rsidR="00DE7F3B" w:rsidRPr="009764EE">
        <w:t>)</w:t>
      </w:r>
      <w:r w:rsidR="00C509B4" w:rsidRPr="009764EE">
        <w:t xml:space="preserve"> </w:t>
      </w:r>
      <w:r w:rsidR="00C35DDF" w:rsidRPr="009764EE">
        <w:t xml:space="preserve">should also be </w:t>
      </w:r>
      <w:r w:rsidR="005D049F">
        <w:t>a priority</w:t>
      </w:r>
      <w:r w:rsidR="00C35DDF" w:rsidRPr="009764EE">
        <w:t xml:space="preserve"> as well as the condition </w:t>
      </w:r>
      <w:r w:rsidR="002C2A10" w:rsidRPr="009764EE">
        <w:t xml:space="preserve">and value </w:t>
      </w:r>
      <w:r w:rsidR="00C35DDF" w:rsidRPr="009764EE">
        <w:t xml:space="preserve">of </w:t>
      </w:r>
      <w:r w:rsidR="00894C17" w:rsidRPr="009764EE">
        <w:t>ecosystem asset</w:t>
      </w:r>
      <w:r w:rsidR="00C35DDF" w:rsidRPr="009764EE">
        <w:t>s</w:t>
      </w:r>
      <w:r w:rsidR="00894C17" w:rsidRPr="009764EE" w:rsidDel="00C35DDF">
        <w:t xml:space="preserve"> </w:t>
      </w:r>
      <w:r w:rsidR="00894C17" w:rsidRPr="009764EE">
        <w:t>consistent with the UN System of Environmental Economic Account</w:t>
      </w:r>
      <w:r w:rsidR="000B0B48" w:rsidRPr="009764EE">
        <w:t>.</w:t>
      </w:r>
      <w:r w:rsidR="00350327" w:rsidRPr="009764EE">
        <w:t xml:space="preserve"> </w:t>
      </w:r>
    </w:p>
    <w:p w14:paraId="5071736A" w14:textId="0281B942" w:rsidR="000B14FF" w:rsidRPr="009764EE" w:rsidRDefault="00A821C4" w:rsidP="0021138F">
      <w:r>
        <w:rPr>
          <w:b/>
        </w:rPr>
        <w:br w:type="column"/>
      </w:r>
      <w:r w:rsidR="000B14FF" w:rsidRPr="004F0DA3">
        <w:rPr>
          <w:b/>
        </w:rPr>
        <w:t>Cohesive indicators</w:t>
      </w:r>
      <w:r w:rsidR="000B14FF" w:rsidRPr="009764EE">
        <w:t xml:space="preserve"> could be improved by considering barriers to participation and engagement alongside the levels of participation.</w:t>
      </w:r>
      <w:r w:rsidR="00C03027" w:rsidRPr="009764EE">
        <w:t xml:space="preserve"> Greater consistency in </w:t>
      </w:r>
      <w:r w:rsidR="004E7B6A" w:rsidRPr="009764EE">
        <w:t>data capture would also benefit the ability for improved distributional analysis.</w:t>
      </w:r>
      <w:r w:rsidR="000B14FF" w:rsidRPr="009764EE">
        <w:t xml:space="preserve"> </w:t>
      </w:r>
    </w:p>
    <w:p w14:paraId="2B658107" w14:textId="4700A1D0" w:rsidR="000B14FF" w:rsidRPr="009764EE" w:rsidRDefault="000B14FF" w:rsidP="0095296B">
      <w:r w:rsidRPr="004F0DA3">
        <w:rPr>
          <w:b/>
        </w:rPr>
        <w:t>Secure indicators</w:t>
      </w:r>
      <w:r w:rsidRPr="009764EE">
        <w:t xml:space="preserve"> could be improved through new indicators of the level of national security and greater coverage of democratic resilience. Additionally, the safety of more groups in Australia could be considered through indicators on experience of violence for Australians</w:t>
      </w:r>
      <w:r w:rsidR="0012139F" w:rsidRPr="009764EE">
        <w:t xml:space="preserve"> aged 70</w:t>
      </w:r>
      <w:r w:rsidR="00C239AD">
        <w:t> year</w:t>
      </w:r>
      <w:r w:rsidR="0012139F" w:rsidRPr="009764EE">
        <w:t>s and over</w:t>
      </w:r>
      <w:r w:rsidRPr="009764EE">
        <w:t xml:space="preserve">, and indicators on child safety. </w:t>
      </w:r>
    </w:p>
    <w:p w14:paraId="0DB52840" w14:textId="208B50FF" w:rsidR="00CE4717" w:rsidRPr="009764EE" w:rsidRDefault="00CE4717" w:rsidP="00A600EB">
      <w:r w:rsidRPr="009764EE">
        <w:t>The Government</w:t>
      </w:r>
      <w:r w:rsidR="00C17768" w:rsidRPr="009764EE">
        <w:t xml:space="preserve"> will </w:t>
      </w:r>
      <w:r w:rsidR="00CF5C0A" w:rsidRPr="009764EE">
        <w:t xml:space="preserve">consider these suggestions, along with other </w:t>
      </w:r>
      <w:r w:rsidR="00715DE9" w:rsidRPr="009764EE">
        <w:t xml:space="preserve">consultation </w:t>
      </w:r>
      <w:r w:rsidR="00CF5C0A" w:rsidRPr="009764EE">
        <w:t xml:space="preserve">responses to this Framework, as it looks at how to ensure </w:t>
      </w:r>
      <w:r w:rsidR="005520F1" w:rsidRPr="009764EE">
        <w:t>Australia</w:t>
      </w:r>
      <w:r w:rsidR="00135DEA">
        <w:t>’</w:t>
      </w:r>
      <w:r w:rsidR="00CF5C0A" w:rsidRPr="009764EE">
        <w:t xml:space="preserve">s data system </w:t>
      </w:r>
      <w:r w:rsidR="00F1618C" w:rsidRPr="009764EE">
        <w:t>provides the most valuable</w:t>
      </w:r>
      <w:r w:rsidR="00C11C49" w:rsidRPr="009764EE">
        <w:t xml:space="preserve"> means to measure </w:t>
      </w:r>
      <w:r w:rsidR="00F1618C" w:rsidRPr="009764EE">
        <w:t xml:space="preserve">indicators </w:t>
      </w:r>
      <w:r w:rsidR="00C11C49" w:rsidRPr="009764EE">
        <w:t xml:space="preserve">across this and other </w:t>
      </w:r>
      <w:r w:rsidR="00852D50">
        <w:t>f</w:t>
      </w:r>
      <w:r w:rsidR="00852D50" w:rsidRPr="009764EE">
        <w:t>rameworks</w:t>
      </w:r>
      <w:r w:rsidR="005473B5" w:rsidRPr="009764EE">
        <w:t xml:space="preserve">. </w:t>
      </w:r>
    </w:p>
    <w:p w14:paraId="2A8EBD93" w14:textId="77777777" w:rsidR="008152EE" w:rsidRDefault="008152EE" w:rsidP="0069427E">
      <w:pPr>
        <w:rPr>
          <w:rFonts w:ascii="Calibri" w:hAnsi="Calibri" w:cs="Calibri"/>
        </w:rPr>
        <w:sectPr w:rsidR="008152EE" w:rsidSect="00DA302B">
          <w:endnotePr>
            <w:numFmt w:val="decimal"/>
          </w:endnotePr>
          <w:type w:val="continuous"/>
          <w:pgSz w:w="11906" w:h="16838" w:code="9"/>
          <w:pgMar w:top="1843" w:right="1418" w:bottom="1418" w:left="1418" w:header="851" w:footer="851" w:gutter="0"/>
          <w:cols w:num="2" w:space="567"/>
          <w:docGrid w:linePitch="360"/>
        </w:sectPr>
      </w:pPr>
    </w:p>
    <w:p w14:paraId="447C1433" w14:textId="0D13441F" w:rsidR="00F63735" w:rsidRPr="006932E1" w:rsidRDefault="00F63735" w:rsidP="00037C32">
      <w:pPr>
        <w:pStyle w:val="Heading1"/>
      </w:pPr>
      <w:bookmarkStart w:id="126" w:name="_Toc140164501"/>
      <w:bookmarkStart w:id="127" w:name="_Toc147497689"/>
      <w:r w:rsidRPr="006932E1">
        <w:lastRenderedPageBreak/>
        <w:t>Appendix B: International approaches</w:t>
      </w:r>
      <w:bookmarkEnd w:id="126"/>
      <w:bookmarkEnd w:id="127"/>
      <w:r w:rsidRPr="006932E1">
        <w:t xml:space="preserve"> </w:t>
      </w:r>
    </w:p>
    <w:p w14:paraId="6466A107" w14:textId="77777777" w:rsidR="00F63735" w:rsidRDefault="00F63735" w:rsidP="00F63735">
      <w:pPr>
        <w:rPr>
          <w:rFonts w:ascii="Calibri" w:hAnsi="Calibri" w:cs="Calibri"/>
        </w:rPr>
      </w:pPr>
    </w:p>
    <w:p w14:paraId="671FBC85" w14:textId="28F1EEE5" w:rsidR="008152EE" w:rsidRPr="009764EE" w:rsidRDefault="008152EE" w:rsidP="00F63735">
      <w:pPr>
        <w:rPr>
          <w:rFonts w:ascii="Calibri" w:hAnsi="Calibri" w:cs="Calibri"/>
        </w:rPr>
        <w:sectPr w:rsidR="008152EE" w:rsidRPr="009764EE" w:rsidSect="00DA302B">
          <w:endnotePr>
            <w:numFmt w:val="decimal"/>
          </w:endnotePr>
          <w:pgSz w:w="11906" w:h="16838" w:code="9"/>
          <w:pgMar w:top="1843" w:right="1418" w:bottom="1418" w:left="1418" w:header="851" w:footer="851" w:gutter="0"/>
          <w:cols w:space="567"/>
          <w:docGrid w:linePitch="360"/>
        </w:sectPr>
      </w:pPr>
    </w:p>
    <w:p w14:paraId="47902BE8" w14:textId="45AB7D46" w:rsidR="00F63735" w:rsidRPr="009764EE" w:rsidRDefault="00F63735" w:rsidP="00F52017">
      <w:r w:rsidRPr="009764EE">
        <w:t>Many countries have introduced wellbeing or progress frameworks. Some are relatively recent, and others have been in place for several years. While many are based on the OECD wellbeing framework and the United Nations Sustainable Development Goals, they have different policy wellbeing themes or domains and indicators.</w:t>
      </w:r>
      <w:r w:rsidRPr="009764EE" w:rsidDel="00F531FF">
        <w:t xml:space="preserve"> </w:t>
      </w:r>
      <w:r w:rsidRPr="009764EE">
        <w:t xml:space="preserve">Also, the frameworks are used differently to influence policy settings. </w:t>
      </w:r>
    </w:p>
    <w:p w14:paraId="00F14B36" w14:textId="7E1E1B97" w:rsidR="00F63735" w:rsidRPr="009764EE" w:rsidRDefault="001524A0" w:rsidP="00F52017">
      <w:r>
        <w:t>New Zealand</w:t>
      </w:r>
      <w:r w:rsidR="00F63735" w:rsidRPr="009764EE">
        <w:t xml:space="preserve"> has a Living Standards Framework comprised of 12 domains of individual and collective wellbeing, six domains of wellbeing related to institutions and governance and four capitals of wealth. The </w:t>
      </w:r>
      <w:r w:rsidR="00354C07">
        <w:t>NZ</w:t>
      </w:r>
      <w:r w:rsidR="00F63735" w:rsidRPr="009764EE">
        <w:t xml:space="preserve"> framework is applied to inform budget priorities and analyse budget bids for funding. In addition, they publish an independent wellbeing report every four years to track progress, with the first released in 2022. The</w:t>
      </w:r>
      <w:r w:rsidR="00032DFF">
        <w:t xml:space="preserve"> NZ</w:t>
      </w:r>
      <w:r w:rsidR="00F63735" w:rsidRPr="009764EE">
        <w:t xml:space="preserve"> </w:t>
      </w:r>
      <w:r w:rsidR="00032DFF">
        <w:t>f</w:t>
      </w:r>
      <w:r w:rsidR="00F63735" w:rsidRPr="009764EE">
        <w:t>ramework sits alongside the He</w:t>
      </w:r>
      <w:r w:rsidR="00FB2F56">
        <w:t> </w:t>
      </w:r>
      <w:r w:rsidR="00F63735" w:rsidRPr="009764EE">
        <w:t xml:space="preserve">Ara Waiora, which provides a Māori perspective on wellbeing. </w:t>
      </w:r>
    </w:p>
    <w:p w14:paraId="43DF079F" w14:textId="4AFB94BC" w:rsidR="00F63735" w:rsidRPr="009764EE" w:rsidRDefault="00F63735" w:rsidP="00F52017">
      <w:r w:rsidRPr="009764EE">
        <w:t>Wales has taken a whole</w:t>
      </w:r>
      <w:r w:rsidR="00135DEA">
        <w:noBreakHyphen/>
      </w:r>
      <w:r w:rsidRPr="009764EE">
        <w:t>of</w:t>
      </w:r>
      <w:r w:rsidR="00135DEA">
        <w:noBreakHyphen/>
      </w:r>
      <w:r w:rsidRPr="009764EE">
        <w:t xml:space="preserve">government approach to wellbeing, legislated through </w:t>
      </w:r>
      <w:r w:rsidR="00173F36" w:rsidRPr="009764EE">
        <w:t>t</w:t>
      </w:r>
      <w:r w:rsidRPr="009764EE">
        <w:t>he Wellbeing of Future Generations Act 2015. The Act aims to promote structural changes by integrating wellbeing goals into the pre</w:t>
      </w:r>
      <w:r w:rsidR="00135DEA">
        <w:noBreakHyphen/>
      </w:r>
      <w:r w:rsidRPr="009764EE">
        <w:t>existing policies, practices</w:t>
      </w:r>
      <w:r w:rsidR="00173F36" w:rsidRPr="009764EE">
        <w:t>,</w:t>
      </w:r>
      <w:r w:rsidRPr="009764EE">
        <w:t xml:space="preserve"> and decision</w:t>
      </w:r>
      <w:r w:rsidR="00135DEA">
        <w:noBreakHyphen/>
      </w:r>
      <w:r w:rsidRPr="009764EE">
        <w:t>making processes of government. Progress is monitored by indicators (currently 50) and milestones published annually. Every five years, the Future Generations Commissioner releases the Future Generations Report, which assesses the improvements public bodies have made against the wellbeing objectives. </w:t>
      </w:r>
    </w:p>
    <w:p w14:paraId="5E3430A8" w14:textId="0FCCAF94" w:rsidR="00F63735" w:rsidRPr="009764EE" w:rsidRDefault="00A821C4" w:rsidP="00F52017">
      <w:r>
        <w:br w:type="column"/>
      </w:r>
      <w:r w:rsidR="00F63735" w:rsidRPr="009764EE">
        <w:t>The United Kingdom produces Measures of National Well</w:t>
      </w:r>
      <w:r w:rsidR="00135DEA">
        <w:noBreakHyphen/>
      </w:r>
      <w:r w:rsidR="00F63735" w:rsidRPr="009764EE">
        <w:t xml:space="preserve">being, an online set of statistics to help monitor national wellbeing. It has 10 domains and 52 indicators. Wellbeing guidance has been added to the </w:t>
      </w:r>
      <w:r w:rsidR="00135DEA">
        <w:t>‘</w:t>
      </w:r>
      <w:r w:rsidR="00F63735" w:rsidRPr="009764EE">
        <w:t>Green Book</w:t>
      </w:r>
      <w:r w:rsidR="00135DEA">
        <w:t>’</w:t>
      </w:r>
      <w:r w:rsidR="00F63735" w:rsidRPr="009764EE">
        <w:t xml:space="preserve">, which provides information on how to appraise policies, spending proposals and programs, and the </w:t>
      </w:r>
      <w:r w:rsidR="00135DEA">
        <w:t>‘</w:t>
      </w:r>
      <w:r w:rsidR="00F63735" w:rsidRPr="009764EE">
        <w:t>Levelling Up</w:t>
      </w:r>
      <w:r w:rsidR="00135DEA">
        <w:t>’</w:t>
      </w:r>
      <w:r w:rsidR="00F63735" w:rsidRPr="009764EE">
        <w:t xml:space="preserve"> policy initiative, which seeks to reduce geographic disparities across various policy areas. </w:t>
      </w:r>
    </w:p>
    <w:p w14:paraId="133B96CB" w14:textId="7A9015A3" w:rsidR="00F63735" w:rsidRPr="009764EE" w:rsidRDefault="00F63735" w:rsidP="00F52017">
      <w:r w:rsidRPr="009764EE">
        <w:t>India uses the Transforming India Performance dashboard to monitor progress on a range of government schemes, such as toilets constructed, and villages electrified. It highlights well</w:t>
      </w:r>
      <w:r w:rsidR="00135DEA">
        <w:noBreakHyphen/>
      </w:r>
      <w:r w:rsidRPr="009764EE">
        <w:t>performing jurisdictions allowing the sharing of best practice strategies.</w:t>
      </w:r>
      <w:r w:rsidR="008259FE" w:rsidRPr="009764EE">
        <w:t xml:space="preserve"> </w:t>
      </w:r>
    </w:p>
    <w:p w14:paraId="7014A397" w14:textId="64AD1EC8" w:rsidR="00F63735" w:rsidRPr="009764EE" w:rsidRDefault="00F63735" w:rsidP="00F52017">
      <w:r w:rsidRPr="009764EE">
        <w:t>Canada</w:t>
      </w:r>
      <w:r w:rsidR="00135DEA">
        <w:t>’</w:t>
      </w:r>
      <w:r w:rsidRPr="009764EE">
        <w:t xml:space="preserve">s Quality of Life Framework is relatively new, being established in 2021. It has 84 indicators organised into five domains. It uses wellbeing evidence and impact reporting in its budget process. Canada is working with its </w:t>
      </w:r>
      <w:r w:rsidR="001524A0">
        <w:t>First Nation</w:t>
      </w:r>
      <w:r w:rsidRPr="009764EE">
        <w:t>s people to bring their perspectives to the</w:t>
      </w:r>
      <w:r w:rsidR="00B348DA">
        <w:t>ir</w:t>
      </w:r>
      <w:r w:rsidRPr="009764EE">
        <w:t xml:space="preserve"> </w:t>
      </w:r>
      <w:r w:rsidR="00B348DA">
        <w:t>f</w:t>
      </w:r>
      <w:r w:rsidRPr="009764EE">
        <w:t>ramework.</w:t>
      </w:r>
    </w:p>
    <w:p w14:paraId="62D4BA62" w14:textId="05D309F7" w:rsidR="00F63735" w:rsidRPr="009764EE" w:rsidRDefault="00F63735" w:rsidP="00F52017">
      <w:r w:rsidRPr="009764EE">
        <w:t xml:space="preserve">The United Nations is also progressing a Beyond GDP framework, to better </w:t>
      </w:r>
      <w:r w:rsidR="00135DEA">
        <w:t>‘</w:t>
      </w:r>
      <w:r w:rsidRPr="009764EE">
        <w:t>value what counts</w:t>
      </w:r>
      <w:r w:rsidR="00135DEA">
        <w:t>’</w:t>
      </w:r>
      <w:r w:rsidRPr="009764EE">
        <w:t xml:space="preserve"> including people</w:t>
      </w:r>
      <w:r w:rsidR="00135DEA">
        <w:t>’</w:t>
      </w:r>
      <w:r w:rsidRPr="009764EE">
        <w:t>s wellbeing, the environment and inequality.</w:t>
      </w:r>
    </w:p>
    <w:p w14:paraId="3E59FAEA" w14:textId="77777777" w:rsidR="00F63735" w:rsidRDefault="00F63735" w:rsidP="00F63735">
      <w:pPr>
        <w:rPr>
          <w:rFonts w:ascii="Calibri" w:hAnsi="Calibri" w:cs="Calibri"/>
        </w:rPr>
      </w:pPr>
    </w:p>
    <w:p w14:paraId="15FF3C69" w14:textId="1BAFB25B" w:rsidR="008152EE" w:rsidRPr="009764EE" w:rsidRDefault="008152EE" w:rsidP="00F63735">
      <w:pPr>
        <w:rPr>
          <w:rFonts w:ascii="Calibri" w:hAnsi="Calibri" w:cs="Calibri"/>
        </w:rPr>
        <w:sectPr w:rsidR="008152EE" w:rsidRPr="009764EE" w:rsidSect="00DA302B">
          <w:endnotePr>
            <w:numFmt w:val="decimal"/>
          </w:endnotePr>
          <w:type w:val="continuous"/>
          <w:pgSz w:w="11906" w:h="16838" w:code="9"/>
          <w:pgMar w:top="1843" w:right="1418" w:bottom="1418" w:left="1418" w:header="851" w:footer="851" w:gutter="0"/>
          <w:cols w:num="2" w:space="567"/>
          <w:docGrid w:linePitch="360"/>
        </w:sectPr>
      </w:pPr>
    </w:p>
    <w:p w14:paraId="0D75D5B3" w14:textId="7DA7205F" w:rsidR="0020103A" w:rsidRPr="006932E1" w:rsidRDefault="00704920" w:rsidP="00037C32">
      <w:pPr>
        <w:pStyle w:val="Heading1"/>
      </w:pPr>
      <w:bookmarkStart w:id="128" w:name="_Toc140164502"/>
      <w:bookmarkStart w:id="129" w:name="_Toc147497690"/>
      <w:r w:rsidRPr="006932E1">
        <w:lastRenderedPageBreak/>
        <w:t>Appendix C: Consultation</w:t>
      </w:r>
      <w:bookmarkEnd w:id="128"/>
      <w:bookmarkEnd w:id="129"/>
    </w:p>
    <w:p w14:paraId="46F09850" w14:textId="17BF1862" w:rsidR="008E081E" w:rsidRDefault="002902E5" w:rsidP="008E081E">
      <w:pPr>
        <w:pStyle w:val="ChartGraphic"/>
        <w:rPr>
          <w:rFonts w:ascii="Calibri" w:hAnsi="Calibri" w:cs="Calibri"/>
        </w:rPr>
      </w:pPr>
      <w:r>
        <w:rPr>
          <w:noProof/>
        </w:rPr>
        <w:drawing>
          <wp:inline distT="0" distB="0" distL="0" distR="0" wp14:anchorId="7687957E" wp14:editId="18620D82">
            <wp:extent cx="8497912" cy="5283711"/>
            <wp:effectExtent l="0" t="0" r="0" b="0"/>
            <wp:docPr id="47" name="Picture 47" descr="This infographic shows the consultation process that was undertaken to inform Measuring What Matters. It commenced with the 2022-23 October Budget and continued until July 2023. There were two phases. The first phase explored community views on what matters and received 165 public submissions. The second phase included community conversations and feedback sessions on emerging themes and received around 120 public sub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nfographic shows the consultation process that was undertaken to inform Measuring What Matters. It commenced with the 2022-23 October Budget and continued until July 2023. There were two phases. The first phase explored community views on what matters and received 165 public submissions. The second phase included community conversations and feedback sessions on emerging themes and received around 120 public submissions.&#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28473" cy="5302713"/>
                    </a:xfrm>
                    <a:prstGeom prst="rect">
                      <a:avLst/>
                    </a:prstGeom>
                    <a:noFill/>
                    <a:ln>
                      <a:noFill/>
                    </a:ln>
                  </pic:spPr>
                </pic:pic>
              </a:graphicData>
            </a:graphic>
          </wp:inline>
        </w:drawing>
      </w:r>
      <w:bookmarkStart w:id="130" w:name="_Toc136964840"/>
    </w:p>
    <w:p w14:paraId="7145EA1F" w14:textId="6A0B19FB" w:rsidR="008E081E" w:rsidRDefault="008E081E" w:rsidP="00A821C4">
      <w:pPr>
        <w:spacing w:before="0" w:after="0"/>
        <w:rPr>
          <w:rFonts w:ascii="Calibri" w:hAnsi="Calibri" w:cs="Calibri"/>
        </w:rPr>
        <w:sectPr w:rsidR="008E081E" w:rsidSect="00A821C4">
          <w:endnotePr>
            <w:numFmt w:val="decimal"/>
          </w:endnotePr>
          <w:pgSz w:w="16838" w:h="11906" w:orient="landscape" w:code="9"/>
          <w:pgMar w:top="1418" w:right="1843" w:bottom="1418" w:left="1418" w:header="851" w:footer="851" w:gutter="0"/>
          <w:cols w:space="567"/>
          <w:docGrid w:linePitch="360"/>
        </w:sectPr>
      </w:pPr>
    </w:p>
    <w:p w14:paraId="54AD31C2" w14:textId="58DE1288" w:rsidR="00536BBF" w:rsidRPr="00123CC9" w:rsidRDefault="00536BBF" w:rsidP="00123CC9">
      <w:pPr>
        <w:pStyle w:val="Heading2"/>
      </w:pPr>
      <w:bookmarkStart w:id="131" w:name="_Toc147497691"/>
      <w:r w:rsidRPr="00123CC9">
        <w:lastRenderedPageBreak/>
        <w:t>Public Submissions on</w:t>
      </w:r>
      <w:r w:rsidR="00B16E92" w:rsidRPr="00123CC9">
        <w:t xml:space="preserve"> Measuring What Matters</w:t>
      </w:r>
      <w:bookmarkEnd w:id="130"/>
      <w:bookmarkEnd w:id="131"/>
    </w:p>
    <w:p w14:paraId="71108813" w14:textId="77777777" w:rsidR="001614A8" w:rsidRPr="001614A8" w:rsidRDefault="001614A8" w:rsidP="00F52017">
      <w:r w:rsidRPr="001614A8">
        <w:t xml:space="preserve">Thank you to the hundreds of people and organisations that made submissions to the </w:t>
      </w:r>
      <w:r w:rsidRPr="001A322C">
        <w:rPr>
          <w:rStyle w:val="Emphasis"/>
        </w:rPr>
        <w:t>Measuring What Matters</w:t>
      </w:r>
      <w:r w:rsidRPr="001614A8">
        <w:t xml:space="preserve"> public consultation rounds. A list of Phase 1 submissions is available below (except for those that requested anonymity or made private submissions). </w:t>
      </w:r>
    </w:p>
    <w:p w14:paraId="41E4A8CF" w14:textId="673FE5BF" w:rsidR="00405C9C" w:rsidRDefault="001614A8" w:rsidP="00F52017">
      <w:r w:rsidRPr="001614A8">
        <w:t>While around 120 submissions were received in Phase 2 of the public consultation, we do not have permission to publish the names of people and organisations who participated in meetings, townhalls or provided feedback through email or the feedback survey form at this time. We acknowledge the effort of these groups and recognise the value of their contribution to the development of this Framework.</w:t>
      </w:r>
      <w:r>
        <w:t xml:space="preserve"> </w:t>
      </w:r>
    </w:p>
    <w:p w14:paraId="698C90E4" w14:textId="77777777" w:rsidR="00FD1B9B" w:rsidRDefault="00123CC9" w:rsidP="00FD1B9B">
      <w:pPr>
        <w:pStyle w:val="Heading3"/>
        <w:sectPr w:rsidR="00FD1B9B" w:rsidSect="00DA302B">
          <w:endnotePr>
            <w:numFmt w:val="decimal"/>
          </w:endnotePr>
          <w:pgSz w:w="11906" w:h="16838" w:code="9"/>
          <w:pgMar w:top="1843" w:right="1418" w:bottom="1418" w:left="1418" w:header="851" w:footer="851" w:gutter="0"/>
          <w:cols w:space="567"/>
          <w:docGrid w:linePitch="360"/>
        </w:sectPr>
      </w:pPr>
      <w:r>
        <w:t>Organisations</w:t>
      </w:r>
    </w:p>
    <w:p w14:paraId="18C51B5D" w14:textId="77777777" w:rsidR="00CD2F5E" w:rsidRPr="009764EE" w:rsidRDefault="00CD2F5E" w:rsidP="00F52017">
      <w:r w:rsidRPr="009764EE">
        <w:t xml:space="preserve">4 Day Week Australia </w:t>
      </w:r>
    </w:p>
    <w:p w14:paraId="5CB78BF6" w14:textId="77777777" w:rsidR="00CD2F5E" w:rsidRPr="009764EE" w:rsidRDefault="00CD2F5E" w:rsidP="00CD2F5E">
      <w:r w:rsidRPr="009764EE">
        <w:t>A New Approach</w:t>
      </w:r>
    </w:p>
    <w:p w14:paraId="088139A8" w14:textId="77777777" w:rsidR="00CD2F5E" w:rsidRDefault="00CD2F5E" w:rsidP="00CD2F5E">
      <w:r w:rsidRPr="009764EE">
        <w:t>Academy of the Social Sciences in Australia</w:t>
      </w:r>
    </w:p>
    <w:p w14:paraId="608D9AFA" w14:textId="77777777" w:rsidR="00CD2F5E" w:rsidRPr="009764EE" w:rsidRDefault="00CD2F5E" w:rsidP="00CD2F5E">
      <w:r>
        <w:t xml:space="preserve">Actuaries Institute </w:t>
      </w:r>
    </w:p>
    <w:p w14:paraId="337F4475" w14:textId="77777777" w:rsidR="00CD2F5E" w:rsidRPr="009764EE" w:rsidRDefault="00CD2F5E" w:rsidP="00CD2F5E">
      <w:r w:rsidRPr="009764EE">
        <w:t>AIA Australia Limited</w:t>
      </w:r>
    </w:p>
    <w:p w14:paraId="34721BF7" w14:textId="77777777" w:rsidR="00CD2F5E" w:rsidRPr="009764EE" w:rsidRDefault="00CD2F5E" w:rsidP="00CD2F5E">
      <w:r w:rsidRPr="009764EE">
        <w:t xml:space="preserve">Alliance Social Enterprises </w:t>
      </w:r>
    </w:p>
    <w:p w14:paraId="18A795F2" w14:textId="77777777" w:rsidR="00CD2F5E" w:rsidRPr="009764EE" w:rsidRDefault="00CD2F5E" w:rsidP="00CD2F5E">
      <w:r w:rsidRPr="009764EE">
        <w:t>Anglicare Australia</w:t>
      </w:r>
    </w:p>
    <w:p w14:paraId="703015C4" w14:textId="4823B79F" w:rsidR="00CD2F5E" w:rsidRPr="009764EE" w:rsidRDefault="00CD2F5E" w:rsidP="00CD2F5E">
      <w:r w:rsidRPr="009764EE">
        <w:t>Anti</w:t>
      </w:r>
      <w:r w:rsidR="00135DEA">
        <w:noBreakHyphen/>
      </w:r>
      <w:r w:rsidRPr="009764EE">
        <w:t>Poverty Week</w:t>
      </w:r>
    </w:p>
    <w:p w14:paraId="7FBFEA86" w14:textId="77777777" w:rsidR="00CD2F5E" w:rsidRPr="009764EE" w:rsidRDefault="00CD2F5E" w:rsidP="00CD2F5E">
      <w:r w:rsidRPr="009764EE">
        <w:t>Australian Academy of Health and Medical Sciences</w:t>
      </w:r>
    </w:p>
    <w:p w14:paraId="00950D4C" w14:textId="77777777" w:rsidR="00CD2F5E" w:rsidRPr="009764EE" w:rsidRDefault="00CD2F5E" w:rsidP="00CD2F5E">
      <w:r w:rsidRPr="009764EE">
        <w:t>Australia Council for the Arts</w:t>
      </w:r>
    </w:p>
    <w:p w14:paraId="712BBE66" w14:textId="77777777" w:rsidR="00CD2F5E" w:rsidRPr="009764EE" w:rsidRDefault="00CD2F5E" w:rsidP="00CD2F5E">
      <w:r w:rsidRPr="009764EE">
        <w:t xml:space="preserve">Australia reMADE </w:t>
      </w:r>
    </w:p>
    <w:p w14:paraId="36344C30" w14:textId="77777777" w:rsidR="00CD2F5E" w:rsidRPr="009764EE" w:rsidRDefault="00CD2F5E" w:rsidP="00CD2F5E">
      <w:r w:rsidRPr="009764EE">
        <w:t>Australian Association of Social Workers</w:t>
      </w:r>
    </w:p>
    <w:p w14:paraId="0F5B997E" w14:textId="77777777" w:rsidR="00CD2F5E" w:rsidRPr="009764EE" w:rsidRDefault="00CD2F5E" w:rsidP="00CD2F5E">
      <w:r w:rsidRPr="009764EE">
        <w:t>Australian Centre on Quality of Life</w:t>
      </w:r>
    </w:p>
    <w:p w14:paraId="481C3843" w14:textId="77777777" w:rsidR="00CD2F5E" w:rsidRPr="009764EE" w:rsidRDefault="00CD2F5E" w:rsidP="00CD2F5E">
      <w:r w:rsidRPr="009764EE">
        <w:t>Australian Community Futures Planning</w:t>
      </w:r>
    </w:p>
    <w:p w14:paraId="7DA732BC" w14:textId="77777777" w:rsidR="00CD2F5E" w:rsidRPr="009764EE" w:rsidRDefault="00CD2F5E" w:rsidP="00CD2F5E">
      <w:r w:rsidRPr="009764EE">
        <w:t>Australian Council of Social Service</w:t>
      </w:r>
    </w:p>
    <w:p w14:paraId="125252AE" w14:textId="77777777" w:rsidR="00CD2F5E" w:rsidRPr="009764EE" w:rsidRDefault="00CD2F5E" w:rsidP="00CD2F5E">
      <w:r w:rsidRPr="009764EE">
        <w:t xml:space="preserve">Australian Death Studies Society </w:t>
      </w:r>
    </w:p>
    <w:p w14:paraId="7B3AA4C4" w14:textId="77777777" w:rsidR="00CD2F5E" w:rsidRPr="009764EE" w:rsidRDefault="00CD2F5E" w:rsidP="00CD2F5E">
      <w:r w:rsidRPr="009764EE">
        <w:t xml:space="preserve">Australian Dental Association </w:t>
      </w:r>
    </w:p>
    <w:p w14:paraId="13CFDEF4" w14:textId="77777777" w:rsidR="00CD2F5E" w:rsidRPr="009764EE" w:rsidRDefault="00CD2F5E" w:rsidP="00CD2F5E">
      <w:r w:rsidRPr="009764EE">
        <w:t>Australian Digital Inclusion Alliance</w:t>
      </w:r>
    </w:p>
    <w:p w14:paraId="28A8F1E9" w14:textId="77777777" w:rsidR="00CD2F5E" w:rsidRPr="009764EE" w:rsidRDefault="00CD2F5E" w:rsidP="00CD2F5E">
      <w:r w:rsidRPr="009764EE">
        <w:t>Australian Health Promotion Association</w:t>
      </w:r>
    </w:p>
    <w:p w14:paraId="7455451E" w14:textId="77777777" w:rsidR="00CD2F5E" w:rsidRPr="009764EE" w:rsidRDefault="00CD2F5E" w:rsidP="00CD2F5E">
      <w:r w:rsidRPr="009764EE">
        <w:t xml:space="preserve">Australian Healthcare and Hospital Association </w:t>
      </w:r>
    </w:p>
    <w:p w14:paraId="06498910" w14:textId="77777777" w:rsidR="00CD2F5E" w:rsidRPr="009764EE" w:rsidRDefault="00CD2F5E" w:rsidP="00CD2F5E">
      <w:r w:rsidRPr="009764EE">
        <w:t xml:space="preserve">Australian Human Rights Commission </w:t>
      </w:r>
    </w:p>
    <w:p w14:paraId="4E1BD359" w14:textId="77777777" w:rsidR="00CD2F5E" w:rsidRPr="009764EE" w:rsidRDefault="00CD2F5E" w:rsidP="00CD2F5E">
      <w:r w:rsidRPr="009764EE">
        <w:t>Australian Institute of Family Studies</w:t>
      </w:r>
    </w:p>
    <w:p w14:paraId="1C87E170" w14:textId="77777777" w:rsidR="00CD2F5E" w:rsidRPr="009764EE" w:rsidRDefault="00CD2F5E" w:rsidP="00CD2F5E">
      <w:r w:rsidRPr="009764EE">
        <w:t>Australian Institute of Superannuation Trustees</w:t>
      </w:r>
    </w:p>
    <w:p w14:paraId="23E052F1" w14:textId="77777777" w:rsidR="00CD2F5E" w:rsidRPr="009764EE" w:rsidRDefault="00CD2F5E" w:rsidP="00CD2F5E">
      <w:r w:rsidRPr="009764EE">
        <w:t>Australian Land Conservation Alliance</w:t>
      </w:r>
    </w:p>
    <w:p w14:paraId="6FDAA570" w14:textId="751849C0" w:rsidR="00CD2F5E" w:rsidRPr="009764EE" w:rsidRDefault="00CD2F5E" w:rsidP="00CD2F5E">
      <w:r w:rsidRPr="009764EE">
        <w:t>Australian Manufacturing Workers</w:t>
      </w:r>
      <w:r w:rsidR="00135DEA">
        <w:t>’</w:t>
      </w:r>
      <w:r w:rsidRPr="009764EE">
        <w:t xml:space="preserve"> Union</w:t>
      </w:r>
    </w:p>
    <w:p w14:paraId="3209BB3D" w14:textId="7FCC18D1" w:rsidR="00CD2F5E" w:rsidRPr="009764EE" w:rsidRDefault="00CD2F5E" w:rsidP="00B91D70">
      <w:pPr>
        <w:spacing w:before="240"/>
      </w:pPr>
      <w:r w:rsidRPr="009764EE">
        <w:t>Australian Men</w:t>
      </w:r>
      <w:r w:rsidR="00135DEA">
        <w:t>’</w:t>
      </w:r>
      <w:r w:rsidRPr="009764EE">
        <w:t>s Health Forum</w:t>
      </w:r>
    </w:p>
    <w:p w14:paraId="3A60EF3F" w14:textId="77777777" w:rsidR="00CD2F5E" w:rsidRPr="009764EE" w:rsidRDefault="00CD2F5E" w:rsidP="00CD2F5E">
      <w:r w:rsidRPr="009764EE">
        <w:t>Australian National Development Index</w:t>
      </w:r>
    </w:p>
    <w:p w14:paraId="33C726CB" w14:textId="77777777" w:rsidR="00CD2F5E" w:rsidRPr="009764EE" w:rsidRDefault="00CD2F5E" w:rsidP="00CD2F5E">
      <w:r w:rsidRPr="009764EE">
        <w:t>Australian Nursing and Midwifery Federation</w:t>
      </w:r>
    </w:p>
    <w:p w14:paraId="7A280A97" w14:textId="77777777" w:rsidR="00CD2F5E" w:rsidRPr="009764EE" w:rsidRDefault="00CD2F5E" w:rsidP="00CD2F5E">
      <w:r w:rsidRPr="009764EE">
        <w:t>Australian Psychological Society</w:t>
      </w:r>
    </w:p>
    <w:p w14:paraId="6D2B42AE" w14:textId="77777777" w:rsidR="00CD2F5E" w:rsidRPr="009764EE" w:rsidRDefault="00CD2F5E" w:rsidP="00CD2F5E">
      <w:r w:rsidRPr="009764EE">
        <w:t xml:space="preserve">Australian Red Cross </w:t>
      </w:r>
    </w:p>
    <w:p w14:paraId="2FAA08EB" w14:textId="77777777" w:rsidR="00CD2F5E" w:rsidRPr="009764EE" w:rsidRDefault="00CD2F5E" w:rsidP="00CD2F5E">
      <w:r w:rsidRPr="009764EE">
        <w:t>Australian Research Alliance for Children and Youth</w:t>
      </w:r>
    </w:p>
    <w:p w14:paraId="2924F504" w14:textId="77777777" w:rsidR="00CD2F5E" w:rsidRPr="009764EE" w:rsidRDefault="00CD2F5E" w:rsidP="00CD2F5E">
      <w:r w:rsidRPr="009764EE">
        <w:t>Australian Small Business and Family Enterprise Ombudsman</w:t>
      </w:r>
    </w:p>
    <w:p w14:paraId="09D86589" w14:textId="77777777" w:rsidR="00CD2F5E" w:rsidRPr="009764EE" w:rsidRDefault="00CD2F5E" w:rsidP="00CD2F5E">
      <w:r w:rsidRPr="009764EE">
        <w:t xml:space="preserve">Australian Unity </w:t>
      </w:r>
    </w:p>
    <w:p w14:paraId="4DBBEC65" w14:textId="77777777" w:rsidR="00CD2F5E" w:rsidRPr="009764EE" w:rsidRDefault="00CD2F5E" w:rsidP="00CD2F5E">
      <w:r w:rsidRPr="009764EE">
        <w:t>Auswakeup Media</w:t>
      </w:r>
    </w:p>
    <w:p w14:paraId="3D68BE4D" w14:textId="079E9536" w:rsidR="00CD2F5E" w:rsidRPr="009764EE" w:rsidRDefault="00CD2F5E" w:rsidP="00CD2F5E">
      <w:r w:rsidRPr="009764EE">
        <w:t xml:space="preserve">B Lab Australia and Aotearoa </w:t>
      </w:r>
      <w:r w:rsidR="001524A0">
        <w:t>New Zealand</w:t>
      </w:r>
    </w:p>
    <w:p w14:paraId="7659611E" w14:textId="77777777" w:rsidR="00CD2F5E" w:rsidRPr="009764EE" w:rsidRDefault="00CD2F5E" w:rsidP="00CD2F5E">
      <w:r w:rsidRPr="009764EE">
        <w:t xml:space="preserve">Beyond Blue </w:t>
      </w:r>
    </w:p>
    <w:p w14:paraId="5DEFB13C" w14:textId="77777777" w:rsidR="00CD2F5E" w:rsidRPr="009764EE" w:rsidRDefault="00CD2F5E" w:rsidP="00CD2F5E">
      <w:r w:rsidRPr="009764EE">
        <w:t xml:space="preserve">Black Dog Institute </w:t>
      </w:r>
    </w:p>
    <w:p w14:paraId="4F6F3605" w14:textId="77777777" w:rsidR="00CD2F5E" w:rsidRPr="009764EE" w:rsidRDefault="00CD2F5E" w:rsidP="00CD2F5E">
      <w:r w:rsidRPr="009764EE">
        <w:t xml:space="preserve">Brotherhood of St. Laurence </w:t>
      </w:r>
    </w:p>
    <w:p w14:paraId="787834E1" w14:textId="77777777" w:rsidR="00CD2F5E" w:rsidRPr="009764EE" w:rsidRDefault="00CD2F5E" w:rsidP="00CD2F5E">
      <w:r w:rsidRPr="009764EE">
        <w:t xml:space="preserve">Centre for Excellence in Child and Family Welfare, Centre for Mental Health, Melbourne School of Population and Global Health, University of Melbourne </w:t>
      </w:r>
    </w:p>
    <w:p w14:paraId="36919E7D" w14:textId="77777777" w:rsidR="00CD2F5E" w:rsidRPr="009764EE" w:rsidRDefault="00CD2F5E" w:rsidP="00CD2F5E">
      <w:r w:rsidRPr="009764EE">
        <w:t>The Centre for Optimism</w:t>
      </w:r>
    </w:p>
    <w:p w14:paraId="0B79F9E7" w14:textId="77777777" w:rsidR="00CD2F5E" w:rsidRPr="009764EE" w:rsidRDefault="00CD2F5E" w:rsidP="00CD2F5E">
      <w:r w:rsidRPr="009764EE">
        <w:t>Centre for Policy Development</w:t>
      </w:r>
    </w:p>
    <w:p w14:paraId="6174DA3F" w14:textId="77777777" w:rsidR="00CD2F5E" w:rsidRPr="009764EE" w:rsidRDefault="00CD2F5E" w:rsidP="00CD2F5E">
      <w:r w:rsidRPr="009764EE">
        <w:t>Centre for Social Impact, University of New South Wales</w:t>
      </w:r>
    </w:p>
    <w:p w14:paraId="5AE5A017" w14:textId="77777777" w:rsidR="00CD2F5E" w:rsidRPr="009764EE" w:rsidRDefault="00CD2F5E" w:rsidP="00CD2F5E">
      <w:r w:rsidRPr="009764EE">
        <w:t>Centre for Urban Research, RMIT University</w:t>
      </w:r>
    </w:p>
    <w:p w14:paraId="363B8034" w14:textId="77777777" w:rsidR="00CD2F5E" w:rsidRPr="009764EE" w:rsidRDefault="00CD2F5E" w:rsidP="00CD2F5E">
      <w:r w:rsidRPr="009764EE">
        <w:t>Centre for Urban Transitions, Swinburne University of Technology</w:t>
      </w:r>
    </w:p>
    <w:p w14:paraId="23B2094F" w14:textId="41838F0E" w:rsidR="00CD2F5E" w:rsidRPr="009764EE" w:rsidRDefault="00CD2F5E" w:rsidP="00CD2F5E">
      <w:r w:rsidRPr="009764EE">
        <w:lastRenderedPageBreak/>
        <w:t xml:space="preserve">Chartered Accountants Australia and </w:t>
      </w:r>
      <w:r w:rsidR="001524A0">
        <w:t>New Zealand</w:t>
      </w:r>
      <w:r w:rsidRPr="009764EE">
        <w:t xml:space="preserve"> </w:t>
      </w:r>
    </w:p>
    <w:p w14:paraId="001BDAF1" w14:textId="7C203C37" w:rsidR="00CD2F5E" w:rsidRPr="009764EE" w:rsidRDefault="00CD2F5E" w:rsidP="00CD2F5E">
      <w:r w:rsidRPr="009764EE">
        <w:t>Children</w:t>
      </w:r>
      <w:r w:rsidR="00135DEA">
        <w:t>’</w:t>
      </w:r>
      <w:r w:rsidRPr="009764EE">
        <w:t>s Policy Centre, Australian National University</w:t>
      </w:r>
    </w:p>
    <w:p w14:paraId="47AB0EB7" w14:textId="77777777" w:rsidR="00CD2F5E" w:rsidRPr="009764EE" w:rsidRDefault="00CD2F5E" w:rsidP="00CD2F5E">
      <w:r w:rsidRPr="009764EE">
        <w:t>City of Onkaparinga Administration</w:t>
      </w:r>
    </w:p>
    <w:p w14:paraId="0860610C" w14:textId="77777777" w:rsidR="00CD2F5E" w:rsidRPr="009764EE" w:rsidRDefault="00CD2F5E" w:rsidP="00CD2F5E">
      <w:r w:rsidRPr="009764EE">
        <w:t xml:space="preserve">Climate and Health Alliance </w:t>
      </w:r>
    </w:p>
    <w:p w14:paraId="7477ADB2" w14:textId="77777777" w:rsidR="00CD2F5E" w:rsidRPr="009764EE" w:rsidRDefault="00CD2F5E" w:rsidP="00CD2F5E">
      <w:r w:rsidRPr="009764EE">
        <w:t>Climateworks Centre</w:t>
      </w:r>
    </w:p>
    <w:p w14:paraId="2E4F898A" w14:textId="77777777" w:rsidR="00CD2F5E" w:rsidRPr="009764EE" w:rsidRDefault="00CD2F5E" w:rsidP="00CD2F5E">
      <w:r>
        <w:t>C</w:t>
      </w:r>
      <w:r w:rsidRPr="009764EE">
        <w:t>ohealth</w:t>
      </w:r>
    </w:p>
    <w:p w14:paraId="3C5C40FC" w14:textId="77777777" w:rsidR="00CD2F5E" w:rsidRPr="009764EE" w:rsidRDefault="00CD2F5E" w:rsidP="00CD2F5E">
      <w:r w:rsidRPr="009764EE">
        <w:t>Commissioner for Children and Young People, South Australia</w:t>
      </w:r>
    </w:p>
    <w:p w14:paraId="3A35D2D2" w14:textId="77777777" w:rsidR="00CD2F5E" w:rsidRPr="009764EE" w:rsidRDefault="00CD2F5E" w:rsidP="00CD2F5E">
      <w:r w:rsidRPr="009764EE">
        <w:t xml:space="preserve">Community Broadcasting Association of Australia </w:t>
      </w:r>
    </w:p>
    <w:p w14:paraId="3DE5A2DF" w14:textId="77777777" w:rsidR="00CD2F5E" w:rsidRPr="009764EE" w:rsidRDefault="00CD2F5E" w:rsidP="00CD2F5E">
      <w:r w:rsidRPr="009764EE">
        <w:t xml:space="preserve">Community Housing Industry Association </w:t>
      </w:r>
    </w:p>
    <w:p w14:paraId="2DA62406" w14:textId="77777777" w:rsidR="00CD2F5E" w:rsidRPr="009764EE" w:rsidRDefault="00CD2F5E" w:rsidP="00CD2F5E">
      <w:r w:rsidRPr="009764EE">
        <w:t>Community Mental Health Australia</w:t>
      </w:r>
    </w:p>
    <w:p w14:paraId="59C0B9F1" w14:textId="77777777" w:rsidR="00CD2F5E" w:rsidRPr="009764EE" w:rsidRDefault="00CD2F5E" w:rsidP="00CD2F5E">
      <w:r w:rsidRPr="009764EE">
        <w:t>Consumer Policy Research Centre</w:t>
      </w:r>
    </w:p>
    <w:p w14:paraId="51AA427E" w14:textId="77777777" w:rsidR="00CD2F5E" w:rsidRDefault="00CD2F5E" w:rsidP="00CD2F5E">
      <w:r w:rsidRPr="00AA19E1">
        <w:t>Council on the Ageing</w:t>
      </w:r>
      <w:r>
        <w:t xml:space="preserve"> </w:t>
      </w:r>
    </w:p>
    <w:p w14:paraId="0BC5C3DA" w14:textId="77777777" w:rsidR="00CD2F5E" w:rsidRDefault="00CD2F5E" w:rsidP="00CD2F5E">
      <w:r w:rsidRPr="002F3255">
        <w:t>CSIRO: Commonwealth Scientific and Industrial Research Organisation</w:t>
      </w:r>
      <w:r>
        <w:t xml:space="preserve"> </w:t>
      </w:r>
    </w:p>
    <w:p w14:paraId="3CF74123" w14:textId="77777777" w:rsidR="00CD2F5E" w:rsidRPr="009764EE" w:rsidRDefault="00CD2F5E" w:rsidP="00CD2F5E">
      <w:r w:rsidRPr="009764EE">
        <w:t xml:space="preserve">Dietitians Australia </w:t>
      </w:r>
    </w:p>
    <w:p w14:paraId="748AA55E" w14:textId="77777777" w:rsidR="00CD2F5E" w:rsidRPr="009764EE" w:rsidRDefault="00CD2F5E" w:rsidP="00CD2F5E">
      <w:r w:rsidRPr="009764EE">
        <w:t>eHealthier</w:t>
      </w:r>
    </w:p>
    <w:p w14:paraId="05F6F632" w14:textId="77777777" w:rsidR="00CD2F5E" w:rsidRPr="009764EE" w:rsidRDefault="00CD2F5E" w:rsidP="00CD2F5E">
      <w:r w:rsidRPr="009764EE">
        <w:t xml:space="preserve">Ending Loneliness Together </w:t>
      </w:r>
    </w:p>
    <w:p w14:paraId="6E4F9721" w14:textId="77777777" w:rsidR="00CD2F5E" w:rsidRPr="009764EE" w:rsidRDefault="00CD2F5E" w:rsidP="00CD2F5E">
      <w:r w:rsidRPr="009764EE">
        <w:t>Equity Economics</w:t>
      </w:r>
    </w:p>
    <w:p w14:paraId="7E65CB50" w14:textId="1F721533" w:rsidR="00CD2F5E" w:rsidRPr="009764EE" w:rsidRDefault="00CD2F5E" w:rsidP="00CD2F5E">
      <w:r w:rsidRPr="009764EE">
        <w:t>Everybody</w:t>
      </w:r>
      <w:r w:rsidR="00135DEA">
        <w:t>’</w:t>
      </w:r>
      <w:r w:rsidRPr="009764EE">
        <w:t xml:space="preserve">s Home </w:t>
      </w:r>
      <w:r>
        <w:t xml:space="preserve">Campaign </w:t>
      </w:r>
    </w:p>
    <w:p w14:paraId="2235C5DC" w14:textId="0D495962" w:rsidR="00CD2F5E" w:rsidRPr="009764EE" w:rsidRDefault="00CD2F5E" w:rsidP="00CD2F5E">
      <w:r w:rsidRPr="009764EE">
        <w:t>Federation of Ethnic Communities</w:t>
      </w:r>
      <w:r w:rsidR="00135DEA">
        <w:t>’</w:t>
      </w:r>
      <w:r w:rsidRPr="009764EE">
        <w:t xml:space="preserve"> Councils of Australia</w:t>
      </w:r>
    </w:p>
    <w:p w14:paraId="03F43DE6" w14:textId="77777777" w:rsidR="00CD2F5E" w:rsidRPr="009764EE" w:rsidRDefault="00CD2F5E" w:rsidP="00CD2F5E">
      <w:r w:rsidRPr="009764EE">
        <w:t xml:space="preserve">Fenner School of Environment and Society, Australian National University </w:t>
      </w:r>
    </w:p>
    <w:p w14:paraId="4BF76424" w14:textId="77777777" w:rsidR="00CD2F5E" w:rsidRPr="009764EE" w:rsidRDefault="00CD2F5E" w:rsidP="00CD2F5E">
      <w:r w:rsidRPr="009764EE">
        <w:t>Flinders Institute for Mental Health and Wellbeing</w:t>
      </w:r>
    </w:p>
    <w:p w14:paraId="6CC98CC5" w14:textId="77777777" w:rsidR="00CD2F5E" w:rsidRPr="009764EE" w:rsidRDefault="00CD2F5E" w:rsidP="00CD2F5E">
      <w:r w:rsidRPr="009764EE">
        <w:t>Foundation for Rural and Regional Renewal</w:t>
      </w:r>
    </w:p>
    <w:p w14:paraId="0B2A5DA7" w14:textId="77777777" w:rsidR="00CD2F5E" w:rsidRPr="009764EE" w:rsidRDefault="00CD2F5E" w:rsidP="00CD2F5E">
      <w:r w:rsidRPr="009764EE">
        <w:t>George Institute for Global Health, University of New South Wales</w:t>
      </w:r>
    </w:p>
    <w:p w14:paraId="73577B59" w14:textId="77777777" w:rsidR="00CD2F5E" w:rsidRPr="009764EE" w:rsidRDefault="00CD2F5E" w:rsidP="00CD2F5E">
      <w:r w:rsidRPr="009764EE">
        <w:t>Griffith Criminology Institute, Griffith University</w:t>
      </w:r>
    </w:p>
    <w:p w14:paraId="7E24018F" w14:textId="77777777" w:rsidR="00CD2F5E" w:rsidRPr="009764EE" w:rsidRDefault="00CD2F5E" w:rsidP="00CD2F5E">
      <w:r w:rsidRPr="009764EE">
        <w:t>Health and Wellbeing Queensland</w:t>
      </w:r>
    </w:p>
    <w:p w14:paraId="465CD172" w14:textId="77777777" w:rsidR="00CD2F5E" w:rsidRPr="009764EE" w:rsidRDefault="00CD2F5E" w:rsidP="00CD2F5E">
      <w:r w:rsidRPr="009764EE">
        <w:t>Health Justice Australia</w:t>
      </w:r>
    </w:p>
    <w:p w14:paraId="71DBDE0C" w14:textId="77777777" w:rsidR="00CD2F5E" w:rsidRPr="009764EE" w:rsidRDefault="00CD2F5E" w:rsidP="00CD2F5E">
      <w:r w:rsidRPr="009764EE">
        <w:t>Health Research Institute and Centre for Environmental Governance, University of Canberra</w:t>
      </w:r>
    </w:p>
    <w:p w14:paraId="1AE2782F" w14:textId="77777777" w:rsidR="00CD2F5E" w:rsidRPr="009764EE" w:rsidRDefault="00CD2F5E" w:rsidP="00CD2F5E">
      <w:r w:rsidRPr="009764EE">
        <w:t>Healthy Male</w:t>
      </w:r>
    </w:p>
    <w:p w14:paraId="7D29666E" w14:textId="77777777" w:rsidR="00CD2F5E" w:rsidRPr="009764EE" w:rsidRDefault="00CD2F5E" w:rsidP="00CD2F5E">
      <w:r w:rsidRPr="009764EE">
        <w:t>Huber Social</w:t>
      </w:r>
    </w:p>
    <w:p w14:paraId="384B957A" w14:textId="77777777" w:rsidR="00CD2F5E" w:rsidRPr="009764EE" w:rsidRDefault="00CD2F5E" w:rsidP="00CD2F5E">
      <w:r w:rsidRPr="009764EE">
        <w:t>Humane Society International</w:t>
      </w:r>
    </w:p>
    <w:p w14:paraId="46B24B8D" w14:textId="77777777" w:rsidR="00CD2F5E" w:rsidRPr="009764EE" w:rsidRDefault="00CD2F5E" w:rsidP="00CD2F5E">
      <w:r w:rsidRPr="009764EE">
        <w:t xml:space="preserve">Institute for Sustainable Futures, University of Technology Sydney </w:t>
      </w:r>
    </w:p>
    <w:p w14:paraId="41093F15" w14:textId="77777777" w:rsidR="00CD2F5E" w:rsidRPr="009764EE" w:rsidRDefault="00CD2F5E" w:rsidP="00CD2F5E">
      <w:r w:rsidRPr="009764EE">
        <w:t>Kimberley Aboriginal Law &amp; Cultural Centre</w:t>
      </w:r>
    </w:p>
    <w:p w14:paraId="1AC5E0D2" w14:textId="77777777" w:rsidR="00CD2F5E" w:rsidRPr="009764EE" w:rsidRDefault="00CD2F5E" w:rsidP="00CD2F5E">
      <w:r w:rsidRPr="009764EE">
        <w:t>Korus Connect</w:t>
      </w:r>
    </w:p>
    <w:p w14:paraId="344EAA1D" w14:textId="77777777" w:rsidR="00CD2F5E" w:rsidRPr="009764EE" w:rsidRDefault="00CD2F5E" w:rsidP="00CD2F5E">
      <w:r w:rsidRPr="009764EE">
        <w:t>KPMG</w:t>
      </w:r>
    </w:p>
    <w:p w14:paraId="48E0DB7F" w14:textId="77777777" w:rsidR="00CD2F5E" w:rsidRPr="009764EE" w:rsidRDefault="00CD2F5E" w:rsidP="00CD2F5E">
      <w:r w:rsidRPr="009764EE">
        <w:t>Medtronic Australasia</w:t>
      </w:r>
    </w:p>
    <w:p w14:paraId="7551837B" w14:textId="77777777" w:rsidR="00CD2F5E" w:rsidRPr="009764EE" w:rsidRDefault="00CD2F5E" w:rsidP="00CD2F5E">
      <w:r w:rsidRPr="009764EE">
        <w:t xml:space="preserve">Melbourne Climate Futures and the Melbourne School of Population and Global Health </w:t>
      </w:r>
    </w:p>
    <w:p w14:paraId="532DF88C" w14:textId="77777777" w:rsidR="00CD2F5E" w:rsidRPr="009764EE" w:rsidRDefault="00CD2F5E" w:rsidP="00CD2F5E">
      <w:r w:rsidRPr="009764EE">
        <w:t xml:space="preserve">Mental Health Australia </w:t>
      </w:r>
    </w:p>
    <w:p w14:paraId="25A4FE3C" w14:textId="77777777" w:rsidR="00CD2F5E" w:rsidRPr="009764EE" w:rsidRDefault="00CD2F5E" w:rsidP="00CD2F5E">
      <w:r w:rsidRPr="009764EE">
        <w:t xml:space="preserve">Mental Wealth Initiative, The University of Sydney </w:t>
      </w:r>
    </w:p>
    <w:p w14:paraId="45BA0270" w14:textId="77777777" w:rsidR="00CD2F5E" w:rsidRPr="009764EE" w:rsidRDefault="00CD2F5E" w:rsidP="00CD2F5E">
      <w:r w:rsidRPr="009764EE">
        <w:t>Menzies Centre for Health Governance, Australian National University</w:t>
      </w:r>
    </w:p>
    <w:p w14:paraId="0BFC56D6" w14:textId="77777777" w:rsidR="00CD2F5E" w:rsidRPr="009764EE" w:rsidRDefault="00CD2F5E" w:rsidP="00CD2F5E">
      <w:r w:rsidRPr="009764EE">
        <w:t>Menzies Institute for Medical Research, University of Tasmania</w:t>
      </w:r>
    </w:p>
    <w:p w14:paraId="6A9C028B" w14:textId="77777777" w:rsidR="00CD2F5E" w:rsidRPr="009764EE" w:rsidRDefault="00CD2F5E" w:rsidP="00CD2F5E">
      <w:r w:rsidRPr="009764EE">
        <w:t>Minderoo Foundation</w:t>
      </w:r>
    </w:p>
    <w:p w14:paraId="7E1A6E2D" w14:textId="77777777" w:rsidR="00CD2F5E" w:rsidRPr="009764EE" w:rsidRDefault="00CD2F5E" w:rsidP="00CD2F5E">
      <w:r w:rsidRPr="009764EE">
        <w:t>National Aboriginal Community Controlled Health Organisation</w:t>
      </w:r>
    </w:p>
    <w:p w14:paraId="5701B2D3" w14:textId="77777777" w:rsidR="00CD2F5E" w:rsidRPr="009764EE" w:rsidRDefault="00CD2F5E" w:rsidP="00CD2F5E">
      <w:r w:rsidRPr="009764EE">
        <w:t xml:space="preserve">National Legal Aid </w:t>
      </w:r>
    </w:p>
    <w:p w14:paraId="773639DE" w14:textId="77777777" w:rsidR="00CD2F5E" w:rsidRPr="009764EE" w:rsidRDefault="00CD2F5E" w:rsidP="00CD2F5E">
      <w:r w:rsidRPr="009764EE">
        <w:t>National Mental Health Commission</w:t>
      </w:r>
    </w:p>
    <w:p w14:paraId="7656E518" w14:textId="77777777" w:rsidR="00CD2F5E" w:rsidRPr="009764EE" w:rsidRDefault="00CD2F5E" w:rsidP="00CD2F5E">
      <w:r w:rsidRPr="009764EE">
        <w:t>National School Chaplaincy Association</w:t>
      </w:r>
    </w:p>
    <w:p w14:paraId="7E9FB5D6" w14:textId="77777777" w:rsidR="00CD2F5E" w:rsidRPr="009764EE" w:rsidRDefault="00CD2F5E" w:rsidP="00CD2F5E">
      <w:r w:rsidRPr="009764EE">
        <w:t xml:space="preserve">National Shelters </w:t>
      </w:r>
    </w:p>
    <w:p w14:paraId="500FD724" w14:textId="77777777" w:rsidR="00CD2F5E" w:rsidRPr="009764EE" w:rsidRDefault="00CD2F5E" w:rsidP="00CD2F5E">
      <w:r w:rsidRPr="009764EE">
        <w:t>Neami National</w:t>
      </w:r>
    </w:p>
    <w:p w14:paraId="0ABD586C" w14:textId="77777777" w:rsidR="00CD2F5E" w:rsidRPr="009764EE" w:rsidRDefault="00CD2F5E" w:rsidP="00CD2F5E">
      <w:r w:rsidRPr="009764EE">
        <w:t>Northern Beaches Council</w:t>
      </w:r>
    </w:p>
    <w:p w14:paraId="1CF5E0A2" w14:textId="6E914112" w:rsidR="00CD2F5E" w:rsidRPr="009764EE" w:rsidRDefault="00CD2F5E" w:rsidP="00CD2F5E">
      <w:r w:rsidRPr="009764EE">
        <w:t>Northern Sydney Local Health District</w:t>
      </w:r>
      <w:r w:rsidR="001524A0">
        <w:t xml:space="preserve"> – </w:t>
      </w:r>
      <w:r w:rsidRPr="009764EE">
        <w:t xml:space="preserve">Population Health Promotion </w:t>
      </w:r>
    </w:p>
    <w:p w14:paraId="1FB75F93" w14:textId="77777777" w:rsidR="00CD2F5E" w:rsidRPr="009764EE" w:rsidRDefault="00CD2F5E" w:rsidP="00CD2F5E">
      <w:r w:rsidRPr="009764EE">
        <w:t>Obesity Policy Coalition</w:t>
      </w:r>
    </w:p>
    <w:p w14:paraId="58DA5122" w14:textId="77777777" w:rsidR="00CD2F5E" w:rsidRPr="009764EE" w:rsidRDefault="00CD2F5E" w:rsidP="00CD2F5E">
      <w:r w:rsidRPr="009764EE">
        <w:t>Orygen</w:t>
      </w:r>
    </w:p>
    <w:p w14:paraId="4A67712C" w14:textId="77777777" w:rsidR="00CD2F5E" w:rsidRPr="009764EE" w:rsidRDefault="00CD2F5E" w:rsidP="00CD2F5E">
      <w:r w:rsidRPr="009764EE">
        <w:t xml:space="preserve">PHN Cooperative </w:t>
      </w:r>
    </w:p>
    <w:p w14:paraId="7D6D8D6E" w14:textId="77777777" w:rsidR="00CD2F5E" w:rsidRPr="009764EE" w:rsidRDefault="00CD2F5E" w:rsidP="00CD2F5E">
      <w:r w:rsidRPr="009764EE">
        <w:t>Public Health Association of Australia</w:t>
      </w:r>
    </w:p>
    <w:p w14:paraId="6ED7BD1A" w14:textId="77777777" w:rsidR="00CD2F5E" w:rsidRPr="009764EE" w:rsidRDefault="00CD2F5E" w:rsidP="00CD2F5E">
      <w:r w:rsidRPr="009764EE">
        <w:t xml:space="preserve">Public Service Association of SA Inc </w:t>
      </w:r>
    </w:p>
    <w:p w14:paraId="657E904B" w14:textId="77777777" w:rsidR="00CD2F5E" w:rsidRPr="009764EE" w:rsidRDefault="00CD2F5E" w:rsidP="00CD2F5E">
      <w:r w:rsidRPr="009764EE">
        <w:t xml:space="preserve">Queensland Alliance for Mental Health </w:t>
      </w:r>
    </w:p>
    <w:p w14:paraId="43728535" w14:textId="7F123F2E" w:rsidR="00CD2F5E" w:rsidRPr="009764EE" w:rsidRDefault="00CD2F5E" w:rsidP="00CD2F5E">
      <w:r w:rsidRPr="009764EE">
        <w:t>Queensland Nurses and Midwives</w:t>
      </w:r>
      <w:r w:rsidR="00135DEA">
        <w:t>’</w:t>
      </w:r>
      <w:r w:rsidRPr="009764EE">
        <w:t xml:space="preserve"> Union</w:t>
      </w:r>
    </w:p>
    <w:p w14:paraId="1B6D14AD" w14:textId="77777777" w:rsidR="00CD2F5E" w:rsidRPr="009764EE" w:rsidRDefault="00CD2F5E" w:rsidP="00CD2F5E">
      <w:r w:rsidRPr="009764EE">
        <w:t xml:space="preserve">Regional Australia Institute </w:t>
      </w:r>
    </w:p>
    <w:p w14:paraId="42BF0332" w14:textId="77777777" w:rsidR="00CD2F5E" w:rsidRPr="009764EE" w:rsidRDefault="00CD2F5E" w:rsidP="00CD2F5E">
      <w:r w:rsidRPr="009764EE">
        <w:lastRenderedPageBreak/>
        <w:t>Relationships Australia</w:t>
      </w:r>
    </w:p>
    <w:p w14:paraId="34EA608B" w14:textId="77777777" w:rsidR="00CD2F5E" w:rsidRPr="009764EE" w:rsidRDefault="00CD2F5E" w:rsidP="00CD2F5E">
      <w:r w:rsidRPr="009764EE">
        <w:t>Reshaping Wellbeing</w:t>
      </w:r>
    </w:p>
    <w:p w14:paraId="1E8683FF" w14:textId="6A799A7B" w:rsidR="00CD2F5E" w:rsidRPr="009764EE" w:rsidRDefault="00CD2F5E" w:rsidP="00CD2F5E">
      <w:r w:rsidRPr="009764EE">
        <w:t xml:space="preserve">Royal Australian and </w:t>
      </w:r>
      <w:r w:rsidR="001524A0">
        <w:t>New Zealand</w:t>
      </w:r>
      <w:r w:rsidRPr="009764EE">
        <w:t xml:space="preserve"> College of Psychiatrists </w:t>
      </w:r>
    </w:p>
    <w:p w14:paraId="29829CC3" w14:textId="77777777" w:rsidR="00CD2F5E" w:rsidRPr="009764EE" w:rsidRDefault="00CD2F5E" w:rsidP="00CD2F5E">
      <w:r w:rsidRPr="009764EE">
        <w:t>Safe Work Australia</w:t>
      </w:r>
    </w:p>
    <w:p w14:paraId="12C4B77D" w14:textId="77777777" w:rsidR="00CD2F5E" w:rsidRPr="009764EE" w:rsidRDefault="00CD2F5E" w:rsidP="00CD2F5E">
      <w:r w:rsidRPr="009764EE">
        <w:t>Salvation Army</w:t>
      </w:r>
    </w:p>
    <w:p w14:paraId="1FBFF74D" w14:textId="77777777" w:rsidR="00CD2F5E" w:rsidRPr="009764EE" w:rsidRDefault="00CD2F5E" w:rsidP="00CD2F5E">
      <w:r w:rsidRPr="009764EE">
        <w:t>Sanofi</w:t>
      </w:r>
    </w:p>
    <w:p w14:paraId="227F03FD" w14:textId="77777777" w:rsidR="00CD2F5E" w:rsidRPr="009764EE" w:rsidRDefault="00CD2F5E" w:rsidP="00CD2F5E">
      <w:r w:rsidRPr="009764EE">
        <w:t xml:space="preserve">School Efficiency Metrics Australasia </w:t>
      </w:r>
    </w:p>
    <w:p w14:paraId="7DC8D188" w14:textId="77777777" w:rsidR="00CD2F5E" w:rsidRPr="009764EE" w:rsidRDefault="00CD2F5E" w:rsidP="00CD2F5E">
      <w:r w:rsidRPr="009764EE">
        <w:t>School of Public Health, Faculty of Medicine and Health, ARC Centre of Excellence in Population Ageing Research, The University of Sydney</w:t>
      </w:r>
    </w:p>
    <w:p w14:paraId="1C1B3955" w14:textId="77777777" w:rsidR="00CD2F5E" w:rsidRPr="009764EE" w:rsidRDefault="00CD2F5E" w:rsidP="00CD2F5E">
      <w:r w:rsidRPr="009764EE">
        <w:t>Shared Value Project</w:t>
      </w:r>
    </w:p>
    <w:p w14:paraId="5B732D25" w14:textId="77777777" w:rsidR="00CD2F5E" w:rsidRPr="009764EE" w:rsidRDefault="00CD2F5E" w:rsidP="00CD2F5E">
      <w:r w:rsidRPr="009764EE">
        <w:t>Social Enterprise Australia</w:t>
      </w:r>
    </w:p>
    <w:p w14:paraId="6C97D847" w14:textId="77777777" w:rsidR="00CD2F5E" w:rsidRPr="009764EE" w:rsidRDefault="00CD2F5E" w:rsidP="00CD2F5E">
      <w:r w:rsidRPr="009764EE">
        <w:t>Social Impact Measurement Network of Australia</w:t>
      </w:r>
    </w:p>
    <w:p w14:paraId="185114F4" w14:textId="77777777" w:rsidR="00CD2F5E" w:rsidRPr="009764EE" w:rsidRDefault="00CD2F5E" w:rsidP="00CD2F5E">
      <w:r w:rsidRPr="009764EE">
        <w:t xml:space="preserve">Spiritual Health Association </w:t>
      </w:r>
    </w:p>
    <w:p w14:paraId="799DA389" w14:textId="77777777" w:rsidR="00CD2F5E" w:rsidRPr="009764EE" w:rsidRDefault="00CD2F5E" w:rsidP="00CD2F5E">
      <w:r w:rsidRPr="009764EE">
        <w:t>Spur</w:t>
      </w:r>
    </w:p>
    <w:p w14:paraId="2F97C93D" w14:textId="77777777" w:rsidR="00CD2F5E" w:rsidRPr="009764EE" w:rsidRDefault="00CD2F5E" w:rsidP="00CD2F5E">
      <w:r w:rsidRPr="009764EE">
        <w:t>Steady State ACT</w:t>
      </w:r>
    </w:p>
    <w:p w14:paraId="6D0FF669" w14:textId="77777777" w:rsidR="00CD2F5E" w:rsidRPr="009764EE" w:rsidRDefault="00CD2F5E" w:rsidP="00CD2F5E">
      <w:r w:rsidRPr="009764EE">
        <w:t>Suicide Prevention Australia</w:t>
      </w:r>
    </w:p>
    <w:p w14:paraId="186CFE67" w14:textId="77777777" w:rsidR="00CD2F5E" w:rsidRPr="009764EE" w:rsidRDefault="00CD2F5E" w:rsidP="00CD2F5E">
      <w:r w:rsidRPr="009764EE">
        <w:t>SwitchDin</w:t>
      </w:r>
    </w:p>
    <w:p w14:paraId="28686A65" w14:textId="77777777" w:rsidR="00CD2F5E" w:rsidRPr="009764EE" w:rsidRDefault="00CD2F5E" w:rsidP="00CD2F5E">
      <w:r w:rsidRPr="009764EE">
        <w:t>Systems science in Public Health and Health Economics Research, University of Glasgow</w:t>
      </w:r>
    </w:p>
    <w:p w14:paraId="48C66847" w14:textId="77777777" w:rsidR="00CD2F5E" w:rsidRPr="009764EE" w:rsidRDefault="00CD2F5E" w:rsidP="00CD2F5E">
      <w:r w:rsidRPr="009764EE">
        <w:t>TaskForce Community Agency</w:t>
      </w:r>
    </w:p>
    <w:p w14:paraId="7E9B3F7C" w14:textId="77777777" w:rsidR="00CD2F5E" w:rsidRPr="009764EE" w:rsidRDefault="00CD2F5E" w:rsidP="00CD2F5E">
      <w:r w:rsidRPr="009764EE">
        <w:t xml:space="preserve">Tasmanian Council of Social Service Inc </w:t>
      </w:r>
    </w:p>
    <w:p w14:paraId="24DF7421" w14:textId="77777777" w:rsidR="00CD2F5E" w:rsidRPr="009764EE" w:rsidRDefault="00CD2F5E" w:rsidP="00CD2F5E">
      <w:r w:rsidRPr="009764EE">
        <w:t>The Culture Advantage</w:t>
      </w:r>
    </w:p>
    <w:p w14:paraId="2B76E809" w14:textId="21049131" w:rsidR="00CD2F5E" w:rsidRPr="009764EE" w:rsidRDefault="00CD2F5E" w:rsidP="00CD2F5E">
      <w:r w:rsidRPr="009764EE">
        <w:t>The Office of the Children</w:t>
      </w:r>
      <w:r w:rsidR="00135DEA">
        <w:t>’</w:t>
      </w:r>
      <w:r w:rsidRPr="009764EE">
        <w:t xml:space="preserve">s Commissioner Northern Territory </w:t>
      </w:r>
    </w:p>
    <w:p w14:paraId="0BB07724" w14:textId="77777777" w:rsidR="00CD2F5E" w:rsidRPr="009764EE" w:rsidRDefault="00CD2F5E" w:rsidP="00CD2F5E">
      <w:r w:rsidRPr="009764EE">
        <w:t xml:space="preserve">The Royal Australasian College of Physicians </w:t>
      </w:r>
    </w:p>
    <w:p w14:paraId="0BD759B4" w14:textId="77777777" w:rsidR="00CD2F5E" w:rsidRPr="009764EE" w:rsidRDefault="00CD2F5E" w:rsidP="00CD2F5E">
      <w:r w:rsidRPr="009764EE">
        <w:t xml:space="preserve">The Wilderness Society </w:t>
      </w:r>
    </w:p>
    <w:p w14:paraId="5F98F5A7" w14:textId="77777777" w:rsidR="00CD2F5E" w:rsidRPr="009764EE" w:rsidRDefault="00CD2F5E" w:rsidP="00CD2F5E">
      <w:r w:rsidRPr="009764EE">
        <w:t>Think Impact</w:t>
      </w:r>
    </w:p>
    <w:p w14:paraId="0A14E867" w14:textId="77777777" w:rsidR="00CD2F5E" w:rsidRPr="009764EE" w:rsidRDefault="00CD2F5E" w:rsidP="00CD2F5E">
      <w:r w:rsidRPr="009764EE">
        <w:t>UNICEF Australia</w:t>
      </w:r>
    </w:p>
    <w:p w14:paraId="5F247E00" w14:textId="77777777" w:rsidR="00CD2F5E" w:rsidRPr="009764EE" w:rsidRDefault="00CD2F5E" w:rsidP="00CD2F5E">
      <w:r w:rsidRPr="009764EE">
        <w:t>UnitingCare Australia</w:t>
      </w:r>
    </w:p>
    <w:p w14:paraId="1602A3E3" w14:textId="77777777" w:rsidR="00CD2F5E" w:rsidRPr="009764EE" w:rsidRDefault="00CD2F5E" w:rsidP="00CD2F5E">
      <w:r w:rsidRPr="009764EE">
        <w:t>Vic Health</w:t>
      </w:r>
    </w:p>
    <w:p w14:paraId="7E5605CA" w14:textId="77777777" w:rsidR="00CD2F5E" w:rsidRPr="009764EE" w:rsidRDefault="00CD2F5E" w:rsidP="00CD2F5E">
      <w:r w:rsidRPr="009764EE">
        <w:t>Victorian Council of Social Service</w:t>
      </w:r>
    </w:p>
    <w:p w14:paraId="45291DC7" w14:textId="77777777" w:rsidR="00CD2F5E" w:rsidRPr="009764EE" w:rsidRDefault="00CD2F5E" w:rsidP="00CD2F5E">
      <w:r w:rsidRPr="009764EE">
        <w:t>Volunteering ACT</w:t>
      </w:r>
    </w:p>
    <w:p w14:paraId="55683DD3" w14:textId="77777777" w:rsidR="00CD2F5E" w:rsidRPr="009764EE" w:rsidRDefault="00CD2F5E" w:rsidP="00CD2F5E">
      <w:r w:rsidRPr="009764EE">
        <w:t>Volunteering Australia</w:t>
      </w:r>
    </w:p>
    <w:p w14:paraId="1B189C06" w14:textId="77777777" w:rsidR="00CD2F5E" w:rsidRPr="009764EE" w:rsidRDefault="00CD2F5E" w:rsidP="00CD2F5E">
      <w:r w:rsidRPr="009764EE">
        <w:t>Volunteering Tasmania</w:t>
      </w:r>
    </w:p>
    <w:p w14:paraId="2E693AA9" w14:textId="77777777" w:rsidR="00FD1B9B" w:rsidRDefault="00CD2F5E" w:rsidP="00CD2F5E">
      <w:pPr>
        <w:sectPr w:rsidR="00FD1B9B" w:rsidSect="00DA302B">
          <w:endnotePr>
            <w:numFmt w:val="decimal"/>
          </w:endnotePr>
          <w:type w:val="continuous"/>
          <w:pgSz w:w="11906" w:h="16838" w:code="9"/>
          <w:pgMar w:top="1843" w:right="1418" w:bottom="1418" w:left="1418" w:header="851" w:footer="851" w:gutter="0"/>
          <w:cols w:num="2" w:space="567"/>
          <w:docGrid w:linePitch="360"/>
        </w:sectPr>
      </w:pPr>
      <w:r w:rsidRPr="009764EE">
        <w:t>Wellbeing and Prevention Coalition</w:t>
      </w:r>
    </w:p>
    <w:p w14:paraId="623A28B7" w14:textId="77777777" w:rsidR="00FD1B9B" w:rsidRDefault="001D1AA8" w:rsidP="001A322C">
      <w:pPr>
        <w:pStyle w:val="Heading3"/>
        <w:spacing w:after="120"/>
        <w:sectPr w:rsidR="00FD1B9B" w:rsidSect="00DA302B">
          <w:endnotePr>
            <w:numFmt w:val="decimal"/>
          </w:endnotePr>
          <w:type w:val="continuous"/>
          <w:pgSz w:w="11906" w:h="16838" w:code="9"/>
          <w:pgMar w:top="1843" w:right="1418" w:bottom="1418" w:left="1418" w:header="851" w:footer="851" w:gutter="0"/>
          <w:cols w:space="567"/>
          <w:docGrid w:linePitch="360"/>
        </w:sectPr>
      </w:pPr>
      <w:r w:rsidRPr="009764EE">
        <w:t>People who made</w:t>
      </w:r>
      <w:r w:rsidR="00CA643E" w:rsidRPr="009764EE">
        <w:t xml:space="preserve"> submissions</w:t>
      </w:r>
    </w:p>
    <w:p w14:paraId="65AAE78E" w14:textId="77777777" w:rsidR="005C66AB" w:rsidRPr="005C66AB" w:rsidRDefault="005C66AB" w:rsidP="00F52017">
      <w:r w:rsidRPr="005C66AB">
        <w:t>Aden Date</w:t>
      </w:r>
    </w:p>
    <w:p w14:paraId="68820E85" w14:textId="77777777" w:rsidR="005C66AB" w:rsidRPr="005C66AB" w:rsidRDefault="005C66AB" w:rsidP="00F52017">
      <w:r w:rsidRPr="005C66AB">
        <w:t>Aiden Parisi</w:t>
      </w:r>
    </w:p>
    <w:p w14:paraId="6073FFA6" w14:textId="77777777" w:rsidR="005C66AB" w:rsidRPr="005C66AB" w:rsidRDefault="005C66AB" w:rsidP="00F52017">
      <w:r w:rsidRPr="005C66AB">
        <w:t>Andrew Barr MLA Chief Minister of the Australian Capital Territory</w:t>
      </w:r>
    </w:p>
    <w:p w14:paraId="5D235C65" w14:textId="77777777" w:rsidR="005C66AB" w:rsidRPr="005C66AB" w:rsidRDefault="005C66AB" w:rsidP="00F52017">
      <w:r w:rsidRPr="005C66AB">
        <w:t>Brenton White</w:t>
      </w:r>
    </w:p>
    <w:p w14:paraId="309C6768" w14:textId="77777777" w:rsidR="005C66AB" w:rsidRPr="005C66AB" w:rsidRDefault="005C66AB" w:rsidP="00F52017">
      <w:r w:rsidRPr="005C66AB">
        <w:t>David Banham</w:t>
      </w:r>
    </w:p>
    <w:p w14:paraId="7B37DD04" w14:textId="77777777" w:rsidR="005C66AB" w:rsidRPr="005C66AB" w:rsidRDefault="005C66AB" w:rsidP="00F52017">
      <w:r w:rsidRPr="005C66AB">
        <w:t>David Hall</w:t>
      </w:r>
    </w:p>
    <w:p w14:paraId="2926D34C" w14:textId="77777777" w:rsidR="005C66AB" w:rsidRPr="005C66AB" w:rsidRDefault="005C66AB" w:rsidP="00F52017">
      <w:r w:rsidRPr="005C66AB">
        <w:t>David Kalisch</w:t>
      </w:r>
    </w:p>
    <w:p w14:paraId="5184D35D" w14:textId="77777777" w:rsidR="005C66AB" w:rsidRPr="005C66AB" w:rsidRDefault="005C66AB" w:rsidP="00F52017">
      <w:r w:rsidRPr="005C66AB">
        <w:t>David McEwen</w:t>
      </w:r>
    </w:p>
    <w:p w14:paraId="6FAD7EEF" w14:textId="77777777" w:rsidR="005C66AB" w:rsidRPr="005C66AB" w:rsidRDefault="005C66AB" w:rsidP="00F52017">
      <w:r w:rsidRPr="005C66AB">
        <w:t>David Spicer</w:t>
      </w:r>
    </w:p>
    <w:p w14:paraId="6DEB8318" w14:textId="77777777" w:rsidR="005C66AB" w:rsidRPr="005C66AB" w:rsidRDefault="005C66AB" w:rsidP="00F52017">
      <w:r w:rsidRPr="005C66AB">
        <w:t>Erin Remblance</w:t>
      </w:r>
    </w:p>
    <w:p w14:paraId="7F111BB0" w14:textId="77777777" w:rsidR="005C66AB" w:rsidRPr="005C66AB" w:rsidRDefault="005C66AB" w:rsidP="00F52017">
      <w:r w:rsidRPr="005C66AB">
        <w:t>Evan Hadkins</w:t>
      </w:r>
    </w:p>
    <w:p w14:paraId="4E602566" w14:textId="77777777" w:rsidR="005C66AB" w:rsidRPr="005C66AB" w:rsidRDefault="005C66AB" w:rsidP="00F52017">
      <w:r w:rsidRPr="005C66AB">
        <w:t>F. Simpson</w:t>
      </w:r>
    </w:p>
    <w:p w14:paraId="59879AA3" w14:textId="77777777" w:rsidR="005C66AB" w:rsidRPr="005C66AB" w:rsidRDefault="005C66AB" w:rsidP="00F52017">
      <w:r w:rsidRPr="005C66AB">
        <w:t>Ian McAuley and James Guthrie</w:t>
      </w:r>
    </w:p>
    <w:p w14:paraId="42443E39" w14:textId="77777777" w:rsidR="005C66AB" w:rsidRPr="005C66AB" w:rsidRDefault="005C66AB" w:rsidP="00F52017">
      <w:r w:rsidRPr="005C66AB">
        <w:t>Jackie Ohlin</w:t>
      </w:r>
    </w:p>
    <w:p w14:paraId="4F13F6D5" w14:textId="77777777" w:rsidR="005C66AB" w:rsidRPr="005C66AB" w:rsidRDefault="005C66AB" w:rsidP="00F52017">
      <w:r w:rsidRPr="005C66AB">
        <w:t>James Jackson</w:t>
      </w:r>
    </w:p>
    <w:p w14:paraId="4BF13952" w14:textId="77777777" w:rsidR="005C66AB" w:rsidRPr="005C66AB" w:rsidRDefault="005C66AB" w:rsidP="00F52017">
      <w:r w:rsidRPr="005C66AB">
        <w:t>Jennifer Lanham</w:t>
      </w:r>
    </w:p>
    <w:p w14:paraId="0030E6DE" w14:textId="77777777" w:rsidR="005C66AB" w:rsidRPr="005C66AB" w:rsidRDefault="005C66AB" w:rsidP="00B91D70">
      <w:pPr>
        <w:spacing w:before="240"/>
      </w:pPr>
      <w:r w:rsidRPr="005C66AB">
        <w:t>Kate Chaney MP Federal Member for Curtin</w:t>
      </w:r>
    </w:p>
    <w:p w14:paraId="6F159196" w14:textId="77777777" w:rsidR="005C66AB" w:rsidRPr="005C66AB" w:rsidRDefault="005C66AB" w:rsidP="00F52017">
      <w:r w:rsidRPr="005C66AB">
        <w:t>Kate Sollis</w:t>
      </w:r>
    </w:p>
    <w:p w14:paraId="297F1783" w14:textId="727BA270" w:rsidR="005C66AB" w:rsidRPr="005C66AB" w:rsidRDefault="005C66AB" w:rsidP="00F52017">
      <w:r w:rsidRPr="005C66AB">
        <w:t>Martha Knox</w:t>
      </w:r>
      <w:r w:rsidR="00135DEA">
        <w:noBreakHyphen/>
      </w:r>
      <w:r w:rsidRPr="005C66AB">
        <w:t>Haly</w:t>
      </w:r>
    </w:p>
    <w:p w14:paraId="0BB5D3BC" w14:textId="77777777" w:rsidR="005C66AB" w:rsidRPr="005C66AB" w:rsidRDefault="005C66AB" w:rsidP="00F52017">
      <w:r w:rsidRPr="005C66AB">
        <w:t>Neil Halliday</w:t>
      </w:r>
    </w:p>
    <w:p w14:paraId="5988904A" w14:textId="77777777" w:rsidR="005C66AB" w:rsidRPr="005C66AB" w:rsidRDefault="005C66AB" w:rsidP="00F52017">
      <w:r w:rsidRPr="005C66AB">
        <w:t>Norm de Plumette</w:t>
      </w:r>
    </w:p>
    <w:p w14:paraId="67143B2D" w14:textId="77777777" w:rsidR="005C66AB" w:rsidRPr="005C66AB" w:rsidRDefault="005C66AB" w:rsidP="00F52017">
      <w:r w:rsidRPr="005C66AB">
        <w:t>Peta Murphy MP Federal Member for Dunkley</w:t>
      </w:r>
    </w:p>
    <w:p w14:paraId="0E2F1474" w14:textId="77777777" w:rsidR="005C66AB" w:rsidRPr="005C66AB" w:rsidRDefault="005C66AB" w:rsidP="00F52017">
      <w:r w:rsidRPr="005C66AB">
        <w:t>Penelope Fox</w:t>
      </w:r>
    </w:p>
    <w:p w14:paraId="3F305738" w14:textId="77777777" w:rsidR="005C66AB" w:rsidRPr="005C66AB" w:rsidRDefault="005C66AB" w:rsidP="00F52017">
      <w:r w:rsidRPr="005C66AB">
        <w:t>Peter Heywood and John Watson</w:t>
      </w:r>
    </w:p>
    <w:p w14:paraId="3C8ED836" w14:textId="77777777" w:rsidR="005C66AB" w:rsidRPr="005C66AB" w:rsidRDefault="005C66AB" w:rsidP="00F52017">
      <w:r w:rsidRPr="005C66AB">
        <w:t>Ray Johnson</w:t>
      </w:r>
    </w:p>
    <w:p w14:paraId="4F09536D" w14:textId="77777777" w:rsidR="005C66AB" w:rsidRPr="005C66AB" w:rsidRDefault="005C66AB" w:rsidP="00F52017">
      <w:r w:rsidRPr="005C66AB">
        <w:t>Rhonda Kerr</w:t>
      </w:r>
    </w:p>
    <w:p w14:paraId="33D26533" w14:textId="77777777" w:rsidR="005C66AB" w:rsidRPr="005C66AB" w:rsidRDefault="005C66AB" w:rsidP="00F52017">
      <w:r w:rsidRPr="005C66AB">
        <w:t>Russel Cooper</w:t>
      </w:r>
    </w:p>
    <w:p w14:paraId="29811EE2" w14:textId="691F655F" w:rsidR="005C66AB" w:rsidRPr="005C66AB" w:rsidRDefault="005C66AB" w:rsidP="00F52017">
      <w:r w:rsidRPr="005C66AB">
        <w:t>Siobhain O</w:t>
      </w:r>
      <w:r w:rsidR="00135DEA">
        <w:t>’</w:t>
      </w:r>
      <w:r w:rsidRPr="005C66AB">
        <w:t>Leary</w:t>
      </w:r>
    </w:p>
    <w:p w14:paraId="60865996" w14:textId="77777777" w:rsidR="00822393" w:rsidRPr="009764EE" w:rsidRDefault="00822393" w:rsidP="004E4E24">
      <w:pPr>
        <w:rPr>
          <w:rFonts w:ascii="Calibri" w:hAnsi="Calibri" w:cs="Calibri"/>
        </w:rPr>
        <w:sectPr w:rsidR="00822393" w:rsidRPr="009764EE" w:rsidSect="00DA302B">
          <w:endnotePr>
            <w:numFmt w:val="decimal"/>
          </w:endnotePr>
          <w:type w:val="continuous"/>
          <w:pgSz w:w="11906" w:h="16838" w:code="9"/>
          <w:pgMar w:top="1843" w:right="1418" w:bottom="1418" w:left="1418" w:header="851" w:footer="851" w:gutter="0"/>
          <w:cols w:num="2" w:space="567"/>
          <w:docGrid w:linePitch="360"/>
        </w:sectPr>
      </w:pPr>
    </w:p>
    <w:p w14:paraId="0B822E2A" w14:textId="77777777" w:rsidR="000C53CF" w:rsidRDefault="00F63735" w:rsidP="00037C32">
      <w:pPr>
        <w:pStyle w:val="Heading1"/>
      </w:pPr>
      <w:bookmarkStart w:id="132" w:name="_Toc140164503"/>
      <w:bookmarkStart w:id="133" w:name="_Toc147497692"/>
      <w:r w:rsidRPr="006932E1">
        <w:lastRenderedPageBreak/>
        <w:t>Appendix D: Selection of indicators</w:t>
      </w:r>
      <w:bookmarkEnd w:id="132"/>
      <w:bookmarkEnd w:id="133"/>
      <w:r w:rsidRPr="006932E1">
        <w:t xml:space="preserve"> </w:t>
      </w:r>
    </w:p>
    <w:p w14:paraId="6BE1FF25" w14:textId="77777777" w:rsidR="003917BC" w:rsidRDefault="003917BC" w:rsidP="003917BC"/>
    <w:p w14:paraId="2CD062A7" w14:textId="3AAF2317" w:rsidR="003917BC" w:rsidRPr="003917BC" w:rsidRDefault="003917BC" w:rsidP="003917BC">
      <w:pPr>
        <w:sectPr w:rsidR="003917BC" w:rsidRPr="003917BC" w:rsidSect="00DA302B">
          <w:endnotePr>
            <w:numFmt w:val="decimal"/>
          </w:endnotePr>
          <w:pgSz w:w="11906" w:h="16838" w:code="9"/>
          <w:pgMar w:top="1843" w:right="1418" w:bottom="1418" w:left="1418" w:header="851" w:footer="851" w:gutter="0"/>
          <w:cols w:space="567"/>
          <w:docGrid w:linePitch="360"/>
        </w:sectPr>
      </w:pPr>
    </w:p>
    <w:p w14:paraId="2943C25C" w14:textId="0F606BD9" w:rsidR="00F63735" w:rsidRPr="009764EE" w:rsidRDefault="00F63735" w:rsidP="007D6204">
      <w:pPr>
        <w:spacing w:line="228" w:lineRule="auto"/>
      </w:pPr>
      <w:r w:rsidRPr="009764EE">
        <w:t xml:space="preserve">The </w:t>
      </w:r>
      <w:r w:rsidR="00552EC2" w:rsidRPr="00FB6842">
        <w:rPr>
          <w:rStyle w:val="Emphasis"/>
        </w:rPr>
        <w:t>Measuring What Matters</w:t>
      </w:r>
      <w:r w:rsidRPr="009764EE">
        <w:t xml:space="preserve"> Framework includes </w:t>
      </w:r>
      <w:r w:rsidR="00D043B9" w:rsidRPr="009764EE">
        <w:t>50</w:t>
      </w:r>
      <w:r w:rsidRPr="009764EE">
        <w:t xml:space="preserve"> indicators of the current status and long</w:t>
      </w:r>
      <w:r w:rsidR="00135DEA">
        <w:noBreakHyphen/>
      </w:r>
      <w:r w:rsidRPr="009764EE">
        <w:t>term trends in Australians</w:t>
      </w:r>
      <w:r w:rsidR="00135DEA">
        <w:t>’</w:t>
      </w:r>
      <w:r w:rsidRPr="009764EE">
        <w:t xml:space="preserve"> wellbeing. </w:t>
      </w:r>
    </w:p>
    <w:p w14:paraId="278400CA" w14:textId="77777777" w:rsidR="00F63735" w:rsidRPr="003917BC" w:rsidRDefault="00F63735" w:rsidP="007D6204">
      <w:pPr>
        <w:spacing w:line="228" w:lineRule="auto"/>
      </w:pPr>
      <w:r w:rsidRPr="003917BC">
        <w:t xml:space="preserve">The indicators have been selected for having consistent, comparable and reliable data, including logical alignment with indicators already captured through existing strategies and plans. Where possible and where supporting input is available, indicators have been chosen to provide information that captures the different experiences and outcomes of people across Australia. </w:t>
      </w:r>
    </w:p>
    <w:p w14:paraId="0E1F1629" w14:textId="77F25A09" w:rsidR="00F63735" w:rsidRPr="009764EE" w:rsidRDefault="00F63735" w:rsidP="007D6204">
      <w:pPr>
        <w:spacing w:line="228" w:lineRule="auto"/>
      </w:pPr>
      <w:r w:rsidRPr="009764EE">
        <w:t xml:space="preserve">The indicators have been selected to focus on wellbeing outcomes of people. In cases where there are not ideal indicators for an outcome, indicators have been selected that focus on factors that influence, or are a proxy for, that outcome. The </w:t>
      </w:r>
      <w:r w:rsidRPr="009764EE">
        <w:rPr>
          <w:szCs w:val="22"/>
        </w:rPr>
        <w:t xml:space="preserve">indicators and metrics will continue to evolve in future iterations of </w:t>
      </w:r>
      <w:r w:rsidR="00707791" w:rsidRPr="009764EE">
        <w:rPr>
          <w:szCs w:val="22"/>
        </w:rPr>
        <w:t>th</w:t>
      </w:r>
      <w:r w:rsidR="00707791">
        <w:rPr>
          <w:szCs w:val="22"/>
        </w:rPr>
        <w:t>is</w:t>
      </w:r>
      <w:r w:rsidR="00707791" w:rsidRPr="009764EE">
        <w:rPr>
          <w:szCs w:val="22"/>
        </w:rPr>
        <w:t xml:space="preserve"> </w:t>
      </w:r>
      <w:r w:rsidRPr="009764EE">
        <w:rPr>
          <w:szCs w:val="22"/>
        </w:rPr>
        <w:t xml:space="preserve">Framework. Appendix </w:t>
      </w:r>
      <w:r w:rsidR="00426667" w:rsidRPr="009764EE">
        <w:rPr>
          <w:szCs w:val="22"/>
        </w:rPr>
        <w:t>A</w:t>
      </w:r>
      <w:r w:rsidRPr="009764EE">
        <w:rPr>
          <w:szCs w:val="22"/>
        </w:rPr>
        <w:t xml:space="preserve"> discusses steps that have been taken to strengthen measurement and </w:t>
      </w:r>
      <w:r w:rsidRPr="009764EE">
        <w:t>opportunities that may exist to further strengthen wellbeing indicators.</w:t>
      </w:r>
    </w:p>
    <w:p w14:paraId="59A1CF07" w14:textId="7E1A92F6" w:rsidR="00F63735" w:rsidRPr="003917BC" w:rsidRDefault="00F63735" w:rsidP="007D6204">
      <w:pPr>
        <w:spacing w:line="228" w:lineRule="auto"/>
        <w:rPr>
          <w:spacing w:val="-2"/>
          <w:lang w:eastAsia="en-US"/>
        </w:rPr>
      </w:pPr>
      <w:r w:rsidRPr="003917BC">
        <w:rPr>
          <w:spacing w:val="-2"/>
          <w:lang w:eastAsia="en-US"/>
        </w:rPr>
        <w:t xml:space="preserve">Indicators were selected according to the OECD and the internationally accepted Civitas initiative guidelines, that is, indicators should be: </w:t>
      </w:r>
    </w:p>
    <w:p w14:paraId="2F9018DC" w14:textId="77777777" w:rsidR="00F63735" w:rsidRPr="009764EE" w:rsidRDefault="00F63735" w:rsidP="007D6204">
      <w:pPr>
        <w:pStyle w:val="Bullet"/>
        <w:spacing w:line="228" w:lineRule="auto"/>
        <w:rPr>
          <w:lang w:eastAsia="en-US"/>
        </w:rPr>
      </w:pPr>
      <w:r w:rsidRPr="009764EE">
        <w:rPr>
          <w:b/>
          <w:lang w:eastAsia="en-US"/>
        </w:rPr>
        <w:t>Relevant:</w:t>
      </w:r>
      <w:r w:rsidRPr="009764EE">
        <w:rPr>
          <w:lang w:eastAsia="en-US"/>
        </w:rPr>
        <w:t xml:space="preserve"> indicators should be relevant to policy priorities. </w:t>
      </w:r>
    </w:p>
    <w:p w14:paraId="4616772E" w14:textId="77777777" w:rsidR="00F63735" w:rsidRPr="009764EE" w:rsidRDefault="00F63735" w:rsidP="007D6204">
      <w:pPr>
        <w:pStyle w:val="Bullet"/>
        <w:spacing w:line="228" w:lineRule="auto"/>
        <w:rPr>
          <w:lang w:eastAsia="en-US"/>
        </w:rPr>
      </w:pPr>
      <w:r w:rsidRPr="009764EE">
        <w:rPr>
          <w:b/>
          <w:lang w:eastAsia="en-US"/>
        </w:rPr>
        <w:t>Complete:</w:t>
      </w:r>
      <w:r w:rsidRPr="009764EE">
        <w:rPr>
          <w:lang w:eastAsia="en-US"/>
        </w:rPr>
        <w:t xml:space="preserve"> indicators should adequately cover all policy priorities. </w:t>
      </w:r>
    </w:p>
    <w:p w14:paraId="66E6EF95" w14:textId="77777777" w:rsidR="00F63735" w:rsidRPr="009764EE" w:rsidRDefault="00F63735" w:rsidP="007D6204">
      <w:pPr>
        <w:pStyle w:val="Bullet"/>
        <w:spacing w:line="228" w:lineRule="auto"/>
        <w:rPr>
          <w:lang w:eastAsia="en-US"/>
        </w:rPr>
      </w:pPr>
      <w:r w:rsidRPr="009764EE">
        <w:rPr>
          <w:b/>
          <w:lang w:eastAsia="en-US"/>
        </w:rPr>
        <w:t>Measurable:</w:t>
      </w:r>
      <w:r w:rsidRPr="009764EE">
        <w:rPr>
          <w:lang w:eastAsia="en-US"/>
        </w:rPr>
        <w:t xml:space="preserve"> indicators should have the potential for objective measurement. </w:t>
      </w:r>
    </w:p>
    <w:p w14:paraId="44821918" w14:textId="77777777" w:rsidR="00F63735" w:rsidRPr="009764EE" w:rsidRDefault="00F63735" w:rsidP="007D6204">
      <w:pPr>
        <w:pStyle w:val="Bullet"/>
        <w:spacing w:line="228" w:lineRule="auto"/>
        <w:rPr>
          <w:lang w:eastAsia="en-US"/>
        </w:rPr>
      </w:pPr>
      <w:r w:rsidRPr="009764EE">
        <w:rPr>
          <w:b/>
          <w:lang w:eastAsia="en-US"/>
        </w:rPr>
        <w:t>Comparable:</w:t>
      </w:r>
      <w:r w:rsidRPr="009764EE">
        <w:rPr>
          <w:lang w:eastAsia="en-US"/>
        </w:rPr>
        <w:t xml:space="preserve"> indicators should be defined and measured consistently to enable comparisons within a country and internationally. </w:t>
      </w:r>
    </w:p>
    <w:p w14:paraId="4E09921F" w14:textId="77777777" w:rsidR="00F63735" w:rsidRPr="009764EE" w:rsidRDefault="00F63735" w:rsidP="007D6204">
      <w:pPr>
        <w:pStyle w:val="Bullet"/>
        <w:spacing w:line="228" w:lineRule="auto"/>
        <w:rPr>
          <w:lang w:eastAsia="en-US"/>
        </w:rPr>
      </w:pPr>
      <w:r w:rsidRPr="009764EE">
        <w:rPr>
          <w:b/>
          <w:lang w:eastAsia="en-US"/>
        </w:rPr>
        <w:t>Reliable:</w:t>
      </w:r>
      <w:r w:rsidRPr="009764EE">
        <w:rPr>
          <w:lang w:eastAsia="en-US"/>
        </w:rPr>
        <w:t xml:space="preserve"> preference should be given to indicators underpinned by objective and accurate data, which is not subject to different interpretations. </w:t>
      </w:r>
    </w:p>
    <w:p w14:paraId="60379862" w14:textId="21568FA4" w:rsidR="00F63735" w:rsidRPr="009764EE" w:rsidRDefault="00F63735" w:rsidP="007D6204">
      <w:pPr>
        <w:pStyle w:val="Bullet"/>
        <w:spacing w:line="228" w:lineRule="auto"/>
        <w:rPr>
          <w:lang w:eastAsia="en-US"/>
        </w:rPr>
      </w:pPr>
      <w:r w:rsidRPr="009764EE">
        <w:rPr>
          <w:b/>
          <w:lang w:eastAsia="en-US"/>
        </w:rPr>
        <w:t>Understandable:</w:t>
      </w:r>
      <w:r w:rsidRPr="009764EE">
        <w:rPr>
          <w:lang w:eastAsia="en-US"/>
        </w:rPr>
        <w:t xml:space="preserve"> indicators should be unambiguous, easy to understand by decision</w:t>
      </w:r>
      <w:r w:rsidR="00135DEA">
        <w:rPr>
          <w:lang w:eastAsia="en-US"/>
        </w:rPr>
        <w:noBreakHyphen/>
      </w:r>
      <w:r w:rsidRPr="009764EE">
        <w:rPr>
          <w:lang w:eastAsia="en-US"/>
        </w:rPr>
        <w:t>makers and key stakeholders and be standardised where possible.</w:t>
      </w:r>
      <w:r w:rsidRPr="00B91D70">
        <w:rPr>
          <w:rStyle w:val="FootnoteReference"/>
        </w:rPr>
        <w:endnoteReference w:id="85"/>
      </w:r>
      <w:r w:rsidR="00916B9B" w:rsidRPr="00B91D70">
        <w:rPr>
          <w:rStyle w:val="FootnoteReference"/>
        </w:rPr>
        <w:endnoteReference w:id="86"/>
      </w:r>
    </w:p>
    <w:p w14:paraId="4FDDE1BC" w14:textId="4787476B" w:rsidR="00F63735" w:rsidRPr="009764EE" w:rsidRDefault="00F63735" w:rsidP="007D6204">
      <w:pPr>
        <w:spacing w:line="228" w:lineRule="auto"/>
        <w:rPr>
          <w:lang w:eastAsia="en-US"/>
        </w:rPr>
      </w:pPr>
      <w:r w:rsidRPr="009764EE">
        <w:rPr>
          <w:lang w:eastAsia="en-US"/>
        </w:rPr>
        <w:t>In addition, an effective wellbeing framework will minimise the number of core indicators to support decision</w:t>
      </w:r>
      <w:r w:rsidR="00135DEA">
        <w:rPr>
          <w:lang w:eastAsia="en-US"/>
        </w:rPr>
        <w:noBreakHyphen/>
      </w:r>
      <w:r w:rsidRPr="009764EE">
        <w:rPr>
          <w:lang w:eastAsia="en-US"/>
        </w:rPr>
        <w:t xml:space="preserve">making by avoiding unnecessary complexity. </w:t>
      </w:r>
    </w:p>
    <w:p w14:paraId="0E29C5FD" w14:textId="6B74E1CE" w:rsidR="00F63735" w:rsidRPr="009764EE" w:rsidRDefault="00F63735" w:rsidP="007D6204">
      <w:pPr>
        <w:spacing w:line="228" w:lineRule="auto"/>
        <w:rPr>
          <w:lang w:eastAsia="en-US"/>
        </w:rPr>
      </w:pPr>
      <w:r w:rsidRPr="009764EE">
        <w:t xml:space="preserve">The </w:t>
      </w:r>
      <w:r w:rsidR="00D354C7" w:rsidRPr="009764EE">
        <w:t>50</w:t>
      </w:r>
      <w:r w:rsidRPr="009764EE">
        <w:t xml:space="preserve"> indicators in </w:t>
      </w:r>
      <w:r w:rsidR="0020010B" w:rsidRPr="009764EE">
        <w:t>th</w:t>
      </w:r>
      <w:r w:rsidR="0020010B">
        <w:t>is</w:t>
      </w:r>
      <w:r w:rsidR="0020010B" w:rsidRPr="009764EE">
        <w:t xml:space="preserve"> </w:t>
      </w:r>
      <w:r w:rsidRPr="009764EE">
        <w:t>Framework, balance the breadth of outcomes that matter most to Australians</w:t>
      </w:r>
      <w:r w:rsidR="00135DEA">
        <w:t>’</w:t>
      </w:r>
      <w:r w:rsidRPr="009764EE">
        <w:t xml:space="preserve"> wellbeing while also minimising complexity and providing completeness. The number of indicators included in similar </w:t>
      </w:r>
      <w:r w:rsidR="008F74E8">
        <w:t>f</w:t>
      </w:r>
      <w:r w:rsidR="008F74E8" w:rsidRPr="009764EE">
        <w:t xml:space="preserve">rameworks </w:t>
      </w:r>
      <w:r w:rsidRPr="009764EE">
        <w:t>developed around the world varies significantly. For example the UK</w:t>
      </w:r>
      <w:r w:rsidR="00135DEA">
        <w:t>’</w:t>
      </w:r>
      <w:r w:rsidRPr="009764EE">
        <w:t>s framework has 38 indicators and Italy</w:t>
      </w:r>
      <w:r w:rsidR="00135DEA">
        <w:t>’</w:t>
      </w:r>
      <w:r w:rsidRPr="009764EE">
        <w:t>s has 153. Similar to most other national frameworks, our Framework has more metrics than the 36 headline indicators included in the OECD Framework for Measuring Well</w:t>
      </w:r>
      <w:r w:rsidR="00135DEA">
        <w:noBreakHyphen/>
      </w:r>
      <w:r w:rsidRPr="009764EE">
        <w:t>being and Progress. This</w:t>
      </w:r>
      <w:r w:rsidRPr="009764EE" w:rsidDel="00B846B4">
        <w:t xml:space="preserve"> </w:t>
      </w:r>
      <w:r w:rsidRPr="009764EE">
        <w:t xml:space="preserve">allows </w:t>
      </w:r>
      <w:r w:rsidR="00DB0E56">
        <w:t>our</w:t>
      </w:r>
      <w:r w:rsidRPr="009764EE">
        <w:t xml:space="preserve"> Framework to reflect a more extensive set of outcomes that matter in an Australian context.</w:t>
      </w:r>
    </w:p>
    <w:p w14:paraId="739D2278" w14:textId="0034546C" w:rsidR="00F63735" w:rsidRPr="00B91D70" w:rsidRDefault="00F63735" w:rsidP="007D6204">
      <w:pPr>
        <w:spacing w:line="228" w:lineRule="auto"/>
      </w:pPr>
      <w:r w:rsidRPr="009764EE">
        <w:rPr>
          <w:lang w:eastAsia="en-US"/>
        </w:rPr>
        <w:t>Most of the Framework</w:t>
      </w:r>
      <w:r w:rsidR="00135DEA">
        <w:rPr>
          <w:lang w:eastAsia="en-US"/>
        </w:rPr>
        <w:t>’</w:t>
      </w:r>
      <w:r w:rsidRPr="009764EE">
        <w:rPr>
          <w:lang w:eastAsia="en-US"/>
        </w:rPr>
        <w:t xml:space="preserve">s indicators focus on how well we achieve our </w:t>
      </w:r>
      <w:r w:rsidRPr="009764EE">
        <w:rPr>
          <w:b/>
          <w:lang w:eastAsia="en-US"/>
        </w:rPr>
        <w:t xml:space="preserve">goals or outcomes </w:t>
      </w:r>
      <w:r w:rsidRPr="009764EE">
        <w:rPr>
          <w:lang w:eastAsia="en-US"/>
        </w:rPr>
        <w:t xml:space="preserve">(such as living a long life as measured by life expectancy). </w:t>
      </w:r>
      <w:r w:rsidRPr="009764EE">
        <w:t>However, data limitations mean this was only sometimes possible.</w:t>
      </w:r>
    </w:p>
    <w:p w14:paraId="6E405232" w14:textId="77777777" w:rsidR="00F63735" w:rsidRPr="009764EE" w:rsidRDefault="00F63735" w:rsidP="007D6204">
      <w:pPr>
        <w:spacing w:line="228" w:lineRule="auto"/>
        <w:rPr>
          <w:lang w:eastAsia="en-US"/>
        </w:rPr>
      </w:pPr>
      <w:r w:rsidRPr="009764EE">
        <w:rPr>
          <w:lang w:eastAsia="en-US"/>
        </w:rPr>
        <w:t>In cases where</w:t>
      </w:r>
      <w:r w:rsidRPr="009764EE" w:rsidDel="0068384E">
        <w:rPr>
          <w:lang w:eastAsia="en-US"/>
        </w:rPr>
        <w:t xml:space="preserve"> </w:t>
      </w:r>
      <w:r w:rsidRPr="009764EE">
        <w:rPr>
          <w:lang w:eastAsia="en-US"/>
        </w:rPr>
        <w:t xml:space="preserve">outcomes are more challenging to measure and may be slow to change, indicators have been identified that </w:t>
      </w:r>
      <w:r w:rsidRPr="009764EE">
        <w:rPr>
          <w:b/>
          <w:lang w:eastAsia="en-US"/>
        </w:rPr>
        <w:t>influence outcomes</w:t>
      </w:r>
      <w:r w:rsidRPr="009764EE">
        <w:rPr>
          <w:lang w:eastAsia="en-US"/>
        </w:rPr>
        <w:t>, such as contributing, protective or risk factors. For example, access barriers to health care, such as the cost of attending a General Practitioner, is a relevant factor in broader health outcome measures. These types of indicators can provide early warnings and assist in timely intervention.</w:t>
      </w:r>
    </w:p>
    <w:p w14:paraId="6F373607" w14:textId="2F43E3C0" w:rsidR="000672FD" w:rsidRDefault="00F63735" w:rsidP="007D6204">
      <w:pPr>
        <w:spacing w:line="228" w:lineRule="auto"/>
        <w:rPr>
          <w:rFonts w:ascii="Calibri" w:hAnsi="Calibri" w:cs="Calibri"/>
        </w:rPr>
      </w:pPr>
      <w:r w:rsidRPr="009764EE">
        <w:rPr>
          <w:lang w:eastAsia="en-US"/>
        </w:rPr>
        <w:t xml:space="preserve">In other cases, proxy indicators have been used due to the absence of data on the primary issue of interest. For example, data on whether people have sufficient time to build connections is not available; instead, </w:t>
      </w:r>
      <w:r w:rsidR="00EE70C9" w:rsidRPr="009764EE">
        <w:rPr>
          <w:lang w:eastAsia="en-US"/>
        </w:rPr>
        <w:t>th</w:t>
      </w:r>
      <w:r w:rsidR="00EE70C9">
        <w:rPr>
          <w:lang w:eastAsia="en-US"/>
        </w:rPr>
        <w:t>i</w:t>
      </w:r>
      <w:r w:rsidR="00E45F4E">
        <w:rPr>
          <w:lang w:eastAsia="en-US"/>
        </w:rPr>
        <w:t>s</w:t>
      </w:r>
      <w:r w:rsidR="00EE70C9" w:rsidRPr="009764EE">
        <w:rPr>
          <w:lang w:eastAsia="en-US"/>
        </w:rPr>
        <w:t xml:space="preserve"> </w:t>
      </w:r>
      <w:r w:rsidRPr="009764EE">
        <w:rPr>
          <w:lang w:eastAsia="en-US"/>
        </w:rPr>
        <w:t>Framework uses an indicator measuring the average time spent on recreation, leisure, and social and community interaction. Data is not always available on a regular basis, for example, indicators based on Australian Census data is available only every 5 years.</w:t>
      </w:r>
    </w:p>
    <w:p w14:paraId="28F6094A" w14:textId="0F84A83F" w:rsidR="00B91D70" w:rsidRDefault="00B91D70" w:rsidP="00F63735">
      <w:pPr>
        <w:rPr>
          <w:rFonts w:ascii="Calibri" w:hAnsi="Calibri" w:cs="Calibri"/>
        </w:rPr>
        <w:sectPr w:rsidR="00B91D70" w:rsidSect="00DA302B">
          <w:endnotePr>
            <w:numFmt w:val="decimal"/>
          </w:endnotePr>
          <w:type w:val="continuous"/>
          <w:pgSz w:w="11906" w:h="16838" w:code="9"/>
          <w:pgMar w:top="1843" w:right="1418" w:bottom="1418" w:left="1418" w:header="851" w:footer="851" w:gutter="0"/>
          <w:cols w:num="2" w:space="567"/>
          <w:docGrid w:linePitch="360"/>
        </w:sectPr>
      </w:pPr>
    </w:p>
    <w:p w14:paraId="65BAD945" w14:textId="3108A075" w:rsidR="00296D40" w:rsidRDefault="00296D40" w:rsidP="00037C32">
      <w:pPr>
        <w:pStyle w:val="Heading1"/>
      </w:pPr>
      <w:bookmarkStart w:id="137" w:name="_Toc147497693"/>
      <w:bookmarkStart w:id="138" w:name="_Toc138630005"/>
      <w:bookmarkStart w:id="139" w:name="_Toc138856449"/>
      <w:bookmarkStart w:id="140" w:name="_Toc138864312"/>
      <w:bookmarkStart w:id="141" w:name="_Toc140164504"/>
      <w:r w:rsidRPr="009764EE">
        <w:lastRenderedPageBreak/>
        <w:t>Glossary</w:t>
      </w:r>
      <w:bookmarkEnd w:id="137"/>
    </w:p>
    <w:tbl>
      <w:tblPr>
        <w:tblStyle w:val="MWMTables"/>
        <w:tblW w:w="5000" w:type="pct"/>
        <w:tblLook w:val="0680" w:firstRow="0" w:lastRow="0" w:firstColumn="1" w:lastColumn="0" w:noHBand="1" w:noVBand="1"/>
      </w:tblPr>
      <w:tblGrid>
        <w:gridCol w:w="2721"/>
        <w:gridCol w:w="6349"/>
      </w:tblGrid>
      <w:tr w:rsidR="00DC65A3" w:rsidRPr="009764EE" w14:paraId="715A7653" w14:textId="77777777" w:rsidTr="007D6204">
        <w:trPr>
          <w:trHeight w:val="20"/>
        </w:trPr>
        <w:tc>
          <w:tcPr>
            <w:tcW w:w="1500" w:type="pct"/>
            <w:tcBorders>
              <w:top w:val="single" w:sz="4" w:space="0" w:color="216364"/>
            </w:tcBorders>
          </w:tcPr>
          <w:bookmarkEnd w:id="138"/>
          <w:bookmarkEnd w:id="139"/>
          <w:bookmarkEnd w:id="140"/>
          <w:bookmarkEnd w:id="141"/>
          <w:p w14:paraId="451F91C1" w14:textId="1C6453B6" w:rsidR="00DC65A3" w:rsidRPr="009764EE" w:rsidRDefault="00DC65A3" w:rsidP="00275B11">
            <w:pPr>
              <w:pStyle w:val="TableColumnHeadingLeft"/>
            </w:pPr>
            <w:r w:rsidRPr="009764EE">
              <w:t xml:space="preserve">ABS </w:t>
            </w:r>
          </w:p>
        </w:tc>
        <w:tc>
          <w:tcPr>
            <w:tcW w:w="3500" w:type="pct"/>
            <w:tcBorders>
              <w:top w:val="single" w:sz="4" w:space="0" w:color="216364"/>
            </w:tcBorders>
          </w:tcPr>
          <w:p w14:paraId="67277FB0" w14:textId="6C7E82DA" w:rsidR="00DC65A3" w:rsidRPr="009764EE" w:rsidRDefault="00DC65A3" w:rsidP="00275B11">
            <w:pPr>
              <w:pStyle w:val="TableTextLeft"/>
            </w:pPr>
            <w:r w:rsidRPr="009764EE">
              <w:t>Australian Bu</w:t>
            </w:r>
            <w:r w:rsidR="00FE3876" w:rsidRPr="009764EE">
              <w:t>reau of Statistic</w:t>
            </w:r>
            <w:r w:rsidR="00876369">
              <w:t>s</w:t>
            </w:r>
            <w:r w:rsidR="00FE3876" w:rsidRPr="009764EE">
              <w:t xml:space="preserve"> </w:t>
            </w:r>
          </w:p>
        </w:tc>
      </w:tr>
      <w:tr w:rsidR="00FE3876" w:rsidRPr="009764EE" w14:paraId="62583998" w14:textId="77777777" w:rsidTr="00C56206">
        <w:trPr>
          <w:trHeight w:val="20"/>
        </w:trPr>
        <w:tc>
          <w:tcPr>
            <w:tcW w:w="1500" w:type="pct"/>
          </w:tcPr>
          <w:p w14:paraId="45B2F998" w14:textId="69017193" w:rsidR="00FE3876" w:rsidRPr="009764EE" w:rsidRDefault="00FE3876" w:rsidP="00275B11">
            <w:pPr>
              <w:pStyle w:val="TableColumnHeadingLeft"/>
            </w:pPr>
            <w:r w:rsidRPr="009764EE">
              <w:t>AIHW</w:t>
            </w:r>
          </w:p>
        </w:tc>
        <w:tc>
          <w:tcPr>
            <w:tcW w:w="3500" w:type="pct"/>
          </w:tcPr>
          <w:p w14:paraId="7E1E0FFC" w14:textId="3F6E3ADF" w:rsidR="00FE3876" w:rsidRPr="009764EE" w:rsidRDefault="00FE3876" w:rsidP="00275B11">
            <w:pPr>
              <w:pStyle w:val="TableTextLeft"/>
            </w:pPr>
            <w:r w:rsidRPr="009764EE">
              <w:t xml:space="preserve">Australian Institute of Health and Welfare </w:t>
            </w:r>
          </w:p>
        </w:tc>
      </w:tr>
      <w:tr w:rsidR="0061606C" w:rsidRPr="009764EE" w14:paraId="52D03D93" w14:textId="77777777" w:rsidTr="00C56206">
        <w:trPr>
          <w:trHeight w:val="20"/>
        </w:trPr>
        <w:tc>
          <w:tcPr>
            <w:tcW w:w="1500" w:type="pct"/>
          </w:tcPr>
          <w:p w14:paraId="25ECAF6B" w14:textId="6C25A379" w:rsidR="0061606C" w:rsidRPr="009764EE" w:rsidRDefault="0061606C" w:rsidP="00275B11">
            <w:pPr>
              <w:pStyle w:val="TableColumnHeadingLeft"/>
            </w:pPr>
            <w:r w:rsidRPr="009764EE">
              <w:t>Australian Early Development Census</w:t>
            </w:r>
          </w:p>
        </w:tc>
        <w:tc>
          <w:tcPr>
            <w:tcW w:w="3500" w:type="pct"/>
          </w:tcPr>
          <w:p w14:paraId="041272F1" w14:textId="79279EE7" w:rsidR="0061606C" w:rsidRPr="009764EE" w:rsidRDefault="0061606C" w:rsidP="00275B11">
            <w:pPr>
              <w:pStyle w:val="TableTextLeft"/>
            </w:pPr>
            <w:r w:rsidRPr="009764EE">
              <w:t>The Australian Early Development Census measures how well a child has developed, as assessed by their teacher upon entry to school. It evaluates a child</w:t>
            </w:r>
            <w:r w:rsidR="00135DEA">
              <w:t>’</w:t>
            </w:r>
            <w:r w:rsidRPr="009764EE">
              <w:t xml:space="preserve">s development as being </w:t>
            </w:r>
            <w:r w:rsidR="00135DEA">
              <w:t>‘</w:t>
            </w:r>
            <w:r w:rsidRPr="009764EE">
              <w:t>on track</w:t>
            </w:r>
            <w:r w:rsidR="00135DEA">
              <w:t>’</w:t>
            </w:r>
            <w:r w:rsidRPr="009764EE">
              <w:t xml:space="preserve">, </w:t>
            </w:r>
            <w:r w:rsidR="00135DEA">
              <w:t>‘</w:t>
            </w:r>
            <w:r w:rsidRPr="009764EE">
              <w:t>at risk</w:t>
            </w:r>
            <w:r w:rsidR="00135DEA">
              <w:t>’</w:t>
            </w:r>
            <w:r w:rsidRPr="009764EE">
              <w:t xml:space="preserve"> or </w:t>
            </w:r>
            <w:r w:rsidR="00135DEA">
              <w:t>‘</w:t>
            </w:r>
            <w:r w:rsidRPr="009764EE">
              <w:t>vulnerable</w:t>
            </w:r>
            <w:r w:rsidR="00135DEA">
              <w:t>’</w:t>
            </w:r>
            <w:r w:rsidRPr="009764EE">
              <w:t xml:space="preserve"> across five domains: physical health and wellbeing, social competence, emotional maturity, language and cognitive skills, and their communication and general knowledge. </w:t>
            </w:r>
          </w:p>
        </w:tc>
      </w:tr>
      <w:tr w:rsidR="0061606C" w:rsidRPr="009764EE" w14:paraId="0D4381A2" w14:textId="77777777" w:rsidTr="00C56206">
        <w:trPr>
          <w:trHeight w:val="20"/>
        </w:trPr>
        <w:tc>
          <w:tcPr>
            <w:tcW w:w="1500" w:type="pct"/>
          </w:tcPr>
          <w:p w14:paraId="19D708D2" w14:textId="431E1B87" w:rsidR="0061606C" w:rsidRPr="009764EE" w:rsidRDefault="0061606C" w:rsidP="00275B11">
            <w:pPr>
              <w:pStyle w:val="TableColumnHeadingLeft"/>
            </w:pPr>
            <w:r w:rsidRPr="009764EE">
              <w:t>Cross</w:t>
            </w:r>
            <w:r w:rsidR="00135DEA">
              <w:noBreakHyphen/>
            </w:r>
            <w:r w:rsidRPr="009764EE">
              <w:t>cutting dimension</w:t>
            </w:r>
          </w:p>
        </w:tc>
        <w:tc>
          <w:tcPr>
            <w:tcW w:w="3500" w:type="pct"/>
          </w:tcPr>
          <w:p w14:paraId="697A20A6" w14:textId="721EB6DD" w:rsidR="0061606C" w:rsidRPr="009764EE" w:rsidRDefault="0061606C" w:rsidP="00275B11">
            <w:pPr>
              <w:pStyle w:val="TableTextLeft"/>
            </w:pPr>
            <w:r w:rsidRPr="009764EE">
              <w:t>The cross</w:t>
            </w:r>
            <w:r w:rsidR="00135DEA">
              <w:noBreakHyphen/>
            </w:r>
            <w:r w:rsidRPr="009764EE">
              <w:t xml:space="preserve">cutting dimension acknowledges that areas of inclusion, equity and fairness are relevant to </w:t>
            </w:r>
            <w:r w:rsidR="00CF1879" w:rsidRPr="009764EE">
              <w:t xml:space="preserve">all of </w:t>
            </w:r>
            <w:r w:rsidR="00E36276" w:rsidRPr="009764EE">
              <w:t xml:space="preserve">the </w:t>
            </w:r>
            <w:r w:rsidRPr="009764EE">
              <w:t>wellbeing themes.</w:t>
            </w:r>
          </w:p>
        </w:tc>
      </w:tr>
      <w:tr w:rsidR="0061606C" w:rsidRPr="009764EE" w14:paraId="0983012F" w14:textId="77777777" w:rsidTr="00C56206">
        <w:trPr>
          <w:trHeight w:val="20"/>
        </w:trPr>
        <w:tc>
          <w:tcPr>
            <w:tcW w:w="1500" w:type="pct"/>
          </w:tcPr>
          <w:p w14:paraId="71D0EAF5" w14:textId="77777777" w:rsidR="0061606C" w:rsidRPr="009764EE" w:rsidRDefault="0061606C" w:rsidP="00275B11">
            <w:pPr>
              <w:pStyle w:val="TableColumnHeadingLeft"/>
            </w:pPr>
            <w:r w:rsidRPr="009764EE">
              <w:t>Care and support economy</w:t>
            </w:r>
          </w:p>
        </w:tc>
        <w:tc>
          <w:tcPr>
            <w:tcW w:w="3500" w:type="pct"/>
          </w:tcPr>
          <w:p w14:paraId="76D2A14D" w14:textId="08CC633D" w:rsidR="0061606C" w:rsidRPr="009764EE" w:rsidRDefault="0061606C" w:rsidP="00275B11">
            <w:pPr>
              <w:pStyle w:val="TableTextLeft"/>
            </w:pPr>
            <w:r w:rsidRPr="009764EE">
              <w:t>The care and support economy is the provision of paid care and support in the aged care, disability support, early childhood education and care and veteran care sectors.</w:t>
            </w:r>
          </w:p>
        </w:tc>
      </w:tr>
      <w:tr w:rsidR="0061606C" w:rsidRPr="009764EE" w14:paraId="4FDBE126" w14:textId="77777777" w:rsidTr="00C56206">
        <w:trPr>
          <w:trHeight w:val="20"/>
        </w:trPr>
        <w:tc>
          <w:tcPr>
            <w:tcW w:w="1500" w:type="pct"/>
          </w:tcPr>
          <w:p w14:paraId="01D12572" w14:textId="7FBDE6F0" w:rsidR="0061606C" w:rsidRPr="009764EE" w:rsidRDefault="0061606C" w:rsidP="00275B11">
            <w:pPr>
              <w:pStyle w:val="TableColumnHeadingLeft"/>
            </w:pPr>
            <w:r w:rsidRPr="009764EE">
              <w:t>Chronic conditions</w:t>
            </w:r>
          </w:p>
        </w:tc>
        <w:tc>
          <w:tcPr>
            <w:tcW w:w="3500" w:type="pct"/>
          </w:tcPr>
          <w:p w14:paraId="4F9630D3" w14:textId="6287A7E6" w:rsidR="0061606C" w:rsidRPr="009764EE" w:rsidRDefault="0061606C" w:rsidP="00275B11">
            <w:pPr>
              <w:pStyle w:val="TableTextLeft"/>
            </w:pPr>
            <w:r w:rsidRPr="009764EE">
              <w:t>Chronic conditions generally have long</w:t>
            </w:r>
            <w:r w:rsidR="00135DEA">
              <w:noBreakHyphen/>
            </w:r>
            <w:r w:rsidRPr="009764EE">
              <w:t>lasting and persistent effects</w:t>
            </w:r>
            <w:r w:rsidR="00B2182A">
              <w:t>, for example,</w:t>
            </w:r>
            <w:r w:rsidRPr="009764EE">
              <w:t xml:space="preserve"> </w:t>
            </w:r>
            <w:r w:rsidR="005E5C02" w:rsidRPr="009764EE">
              <w:t>a</w:t>
            </w:r>
            <w:r w:rsidR="00DF10DF" w:rsidRPr="009764EE">
              <w:t xml:space="preserve">rthritis, </w:t>
            </w:r>
            <w:r w:rsidR="005E5C02" w:rsidRPr="009764EE">
              <w:t>a</w:t>
            </w:r>
            <w:r w:rsidR="00DF10DF" w:rsidRPr="009764EE">
              <w:t xml:space="preserve">sthma, </w:t>
            </w:r>
            <w:r w:rsidR="005E5C02" w:rsidRPr="009764EE">
              <w:t>b</w:t>
            </w:r>
            <w:r w:rsidR="00DF10DF" w:rsidRPr="009764EE">
              <w:t xml:space="preserve">ack pain, </w:t>
            </w:r>
            <w:r w:rsidR="005E5C02" w:rsidRPr="009764EE">
              <w:t>c</w:t>
            </w:r>
            <w:r w:rsidR="00DF10DF" w:rsidRPr="009764EE">
              <w:t xml:space="preserve">ancer, </w:t>
            </w:r>
            <w:r w:rsidR="005E5C02" w:rsidRPr="009764EE">
              <w:t>c</w:t>
            </w:r>
            <w:r w:rsidR="00DF10DF" w:rsidRPr="009764EE">
              <w:t xml:space="preserve">ardiovascular disease, </w:t>
            </w:r>
            <w:r w:rsidR="006852E6" w:rsidRPr="009764EE">
              <w:t>c</w:t>
            </w:r>
            <w:r w:rsidR="00DF10DF" w:rsidRPr="009764EE">
              <w:t xml:space="preserve">hronic </w:t>
            </w:r>
            <w:r w:rsidR="006852E6" w:rsidRPr="009764EE">
              <w:t>o</w:t>
            </w:r>
            <w:r w:rsidR="00DF10DF" w:rsidRPr="009764EE">
              <w:t xml:space="preserve">bstructive </w:t>
            </w:r>
            <w:r w:rsidR="006852E6" w:rsidRPr="009764EE">
              <w:t>p</w:t>
            </w:r>
            <w:r w:rsidR="00DF10DF" w:rsidRPr="009764EE">
              <w:t xml:space="preserve">ulmonary disease, </w:t>
            </w:r>
            <w:r w:rsidR="006852E6" w:rsidRPr="009764EE">
              <w:t>d</w:t>
            </w:r>
            <w:r w:rsidR="00DF10DF" w:rsidRPr="009764EE">
              <w:t xml:space="preserve">iabetes, </w:t>
            </w:r>
            <w:r w:rsidR="006852E6" w:rsidRPr="009764EE">
              <w:t>k</w:t>
            </w:r>
            <w:r w:rsidR="00DF10DF" w:rsidRPr="009764EE">
              <w:t xml:space="preserve">idney disease, </w:t>
            </w:r>
            <w:r w:rsidR="006852E6" w:rsidRPr="009764EE">
              <w:t>m</w:t>
            </w:r>
            <w:r w:rsidR="00DF10DF" w:rsidRPr="009764EE">
              <w:t xml:space="preserve">ental health conditions, and </w:t>
            </w:r>
            <w:r w:rsidR="006852E6" w:rsidRPr="009764EE">
              <w:t>o</w:t>
            </w:r>
            <w:r w:rsidR="00DF10DF" w:rsidRPr="009764EE">
              <w:t>steoporosis.</w:t>
            </w:r>
          </w:p>
        </w:tc>
      </w:tr>
      <w:tr w:rsidR="004F4B33" w:rsidRPr="009764EE" w14:paraId="72B0EC4C" w14:textId="77777777" w:rsidTr="00C56206">
        <w:trPr>
          <w:trHeight w:val="20"/>
        </w:trPr>
        <w:tc>
          <w:tcPr>
            <w:tcW w:w="1500" w:type="pct"/>
          </w:tcPr>
          <w:p w14:paraId="096BBBFD" w14:textId="15D61AF8" w:rsidR="004F4B33" w:rsidRPr="009764EE" w:rsidRDefault="004F4B33" w:rsidP="00275B11">
            <w:pPr>
              <w:pStyle w:val="TableColumnHeadingLeft"/>
            </w:pPr>
            <w:r w:rsidRPr="009764EE">
              <w:t xml:space="preserve">Culturally </w:t>
            </w:r>
            <w:r w:rsidR="00D60CD6" w:rsidRPr="009764EE">
              <w:t>and</w:t>
            </w:r>
            <w:r w:rsidRPr="009764EE">
              <w:t xml:space="preserve"> Linguistically Diverse (CALD) </w:t>
            </w:r>
          </w:p>
        </w:tc>
        <w:tc>
          <w:tcPr>
            <w:tcW w:w="3500" w:type="pct"/>
          </w:tcPr>
          <w:p w14:paraId="0517875F" w14:textId="0BD07DD9" w:rsidR="004F4B33" w:rsidRPr="009764EE" w:rsidRDefault="004F4B33" w:rsidP="00275B11">
            <w:pPr>
              <w:pStyle w:val="TableTextLeft"/>
            </w:pPr>
            <w:r w:rsidRPr="009764EE">
              <w:t xml:space="preserve">The phrase </w:t>
            </w:r>
            <w:r w:rsidR="00135DEA">
              <w:t>‘</w:t>
            </w:r>
            <w:r w:rsidRPr="009764EE">
              <w:t>culturally and linguistically diverse</w:t>
            </w:r>
            <w:r w:rsidR="00135DEA">
              <w:t>’</w:t>
            </w:r>
            <w:r w:rsidRPr="009764EE">
              <w:t xml:space="preserve"> is a broad term used to describe communities with diverse languages, ethnic backgrounds, nationalities, traditions, societal structures and religions.</w:t>
            </w:r>
          </w:p>
        </w:tc>
      </w:tr>
      <w:tr w:rsidR="00D23502" w:rsidRPr="009764EE" w14:paraId="4C4624AA" w14:textId="77777777" w:rsidTr="00C56206">
        <w:trPr>
          <w:trHeight w:val="20"/>
        </w:trPr>
        <w:tc>
          <w:tcPr>
            <w:tcW w:w="1500" w:type="pct"/>
          </w:tcPr>
          <w:p w14:paraId="38F757BC" w14:textId="2B66E311" w:rsidR="00D23502" w:rsidRPr="009764EE" w:rsidRDefault="00532CD2" w:rsidP="00275B11">
            <w:pPr>
              <w:pStyle w:val="TableColumnHeadingLeft"/>
            </w:pPr>
            <w:r w:rsidRPr="009764EE">
              <w:t>DCCEEW</w:t>
            </w:r>
          </w:p>
        </w:tc>
        <w:tc>
          <w:tcPr>
            <w:tcW w:w="3500" w:type="pct"/>
          </w:tcPr>
          <w:p w14:paraId="03ED93A7" w14:textId="312ECC59" w:rsidR="00D23502" w:rsidRPr="009764EE" w:rsidRDefault="00532CD2" w:rsidP="00275B11">
            <w:pPr>
              <w:pStyle w:val="TableTextLeft"/>
            </w:pPr>
            <w:r w:rsidRPr="009764EE">
              <w:t xml:space="preserve">Department of </w:t>
            </w:r>
            <w:r w:rsidR="00FC1885" w:rsidRPr="009764EE">
              <w:t>Climate Change, Energy, the Environment and Water</w:t>
            </w:r>
          </w:p>
        </w:tc>
      </w:tr>
      <w:tr w:rsidR="001D4BD0" w:rsidRPr="009764EE" w14:paraId="362F7EA0" w14:textId="77777777" w:rsidTr="00C56206">
        <w:trPr>
          <w:trHeight w:val="20"/>
        </w:trPr>
        <w:tc>
          <w:tcPr>
            <w:tcW w:w="1500" w:type="pct"/>
          </w:tcPr>
          <w:p w14:paraId="41595F1F" w14:textId="6F4C06A0" w:rsidR="001D4BD0" w:rsidRPr="009764EE" w:rsidRDefault="001D4BD0" w:rsidP="00275B11">
            <w:pPr>
              <w:pStyle w:val="TableColumnHeadingLeft"/>
            </w:pPr>
            <w:r w:rsidRPr="009764EE">
              <w:t xml:space="preserve">Dimensions </w:t>
            </w:r>
          </w:p>
        </w:tc>
        <w:tc>
          <w:tcPr>
            <w:tcW w:w="3500" w:type="pct"/>
          </w:tcPr>
          <w:p w14:paraId="1CA30CD1" w14:textId="52A71A8A" w:rsidR="001D4BD0" w:rsidRPr="009764EE" w:rsidRDefault="001D4BD0" w:rsidP="00275B11">
            <w:pPr>
              <w:pStyle w:val="TableTextLeft"/>
            </w:pPr>
            <w:r w:rsidRPr="009764EE">
              <w:t xml:space="preserve">The </w:t>
            </w:r>
            <w:r w:rsidRPr="00FB6842">
              <w:rPr>
                <w:rStyle w:val="Emphasis"/>
              </w:rPr>
              <w:t>Measuring What Matters</w:t>
            </w:r>
            <w:r w:rsidRPr="009764EE">
              <w:t xml:space="preserve"> wellbeing themes are supported by 12 elements which describe further aspects of wellbeing. </w:t>
            </w:r>
          </w:p>
        </w:tc>
      </w:tr>
      <w:tr w:rsidR="001D4BD0" w:rsidRPr="009764EE" w14:paraId="0B59C9B2" w14:textId="77777777" w:rsidTr="00C56206">
        <w:trPr>
          <w:trHeight w:val="20"/>
        </w:trPr>
        <w:tc>
          <w:tcPr>
            <w:tcW w:w="1500" w:type="pct"/>
          </w:tcPr>
          <w:p w14:paraId="57198BA7" w14:textId="408C703F" w:rsidR="001D4BD0" w:rsidRPr="009764EE" w:rsidRDefault="001D4BD0" w:rsidP="00275B11">
            <w:pPr>
              <w:pStyle w:val="TableColumnHeadingLeft"/>
            </w:pPr>
            <w:r w:rsidRPr="009764EE">
              <w:t>Early Years Strategy (forthcoming)</w:t>
            </w:r>
          </w:p>
        </w:tc>
        <w:tc>
          <w:tcPr>
            <w:tcW w:w="3500" w:type="pct"/>
          </w:tcPr>
          <w:p w14:paraId="0A0F631B" w14:textId="287A923C" w:rsidR="001D4BD0" w:rsidRPr="009764EE" w:rsidRDefault="001D4BD0" w:rsidP="00275B11">
            <w:pPr>
              <w:pStyle w:val="TableTextLeft"/>
            </w:pPr>
            <w:r w:rsidRPr="009764EE">
              <w:t>The Australian Government is developing an Early Years Strategy to shape its vision for the future of Australia</w:t>
            </w:r>
            <w:r w:rsidR="00135DEA">
              <w:t>’</w:t>
            </w:r>
            <w:r w:rsidRPr="009764EE">
              <w:t xml:space="preserve">s children and their families. </w:t>
            </w:r>
          </w:p>
        </w:tc>
      </w:tr>
      <w:tr w:rsidR="001D4BD0" w:rsidRPr="009764EE" w14:paraId="1F22D4E1" w14:textId="77777777" w:rsidTr="00C56206">
        <w:trPr>
          <w:trHeight w:val="20"/>
        </w:trPr>
        <w:tc>
          <w:tcPr>
            <w:tcW w:w="1500" w:type="pct"/>
          </w:tcPr>
          <w:p w14:paraId="02BA8D86" w14:textId="74EBF469" w:rsidR="001D4BD0" w:rsidRPr="009764EE" w:rsidRDefault="001D4BD0" w:rsidP="00275B11">
            <w:pPr>
              <w:pStyle w:val="TableColumnHeadingLeft"/>
            </w:pPr>
            <w:r w:rsidRPr="009764EE">
              <w:t>Employed</w:t>
            </w:r>
          </w:p>
        </w:tc>
        <w:tc>
          <w:tcPr>
            <w:tcW w:w="3500" w:type="pct"/>
          </w:tcPr>
          <w:p w14:paraId="49D3FB16" w14:textId="60F17F59" w:rsidR="001D4BD0" w:rsidRPr="009764EE" w:rsidRDefault="001D4BD0" w:rsidP="00275B11">
            <w:pPr>
              <w:pStyle w:val="TableTextLeft"/>
            </w:pPr>
            <w:r w:rsidRPr="009764EE">
              <w:t>Employment is the state of having paid work. The ABS considers a person be in employment if they have worked at least 1 hour in the reference week.</w:t>
            </w:r>
          </w:p>
        </w:tc>
      </w:tr>
      <w:tr w:rsidR="001D4BD0" w:rsidRPr="009764EE" w14:paraId="25B6F78B" w14:textId="77777777" w:rsidTr="00C56206">
        <w:trPr>
          <w:trHeight w:val="20"/>
        </w:trPr>
        <w:tc>
          <w:tcPr>
            <w:tcW w:w="1500" w:type="pct"/>
          </w:tcPr>
          <w:p w14:paraId="0E9B5EB3" w14:textId="316117EE" w:rsidR="001D4BD0" w:rsidRPr="009764EE" w:rsidRDefault="001D4BD0" w:rsidP="00275B11">
            <w:pPr>
              <w:pStyle w:val="TableColumnHeadingLeft"/>
            </w:pPr>
            <w:r w:rsidRPr="009764EE">
              <w:t>Employment rate</w:t>
            </w:r>
          </w:p>
        </w:tc>
        <w:tc>
          <w:tcPr>
            <w:tcW w:w="3500" w:type="pct"/>
          </w:tcPr>
          <w:p w14:paraId="798CB2DE" w14:textId="1EF05359" w:rsidR="001D4BD0" w:rsidRPr="009764EE" w:rsidRDefault="001D4BD0" w:rsidP="00275B11">
            <w:pPr>
              <w:pStyle w:val="TableTextLeft"/>
            </w:pPr>
            <w:r w:rsidRPr="009764EE">
              <w:t>The employment rate (also known as the employment to population ratio) is the number of employed persons to number of persons in the population.</w:t>
            </w:r>
          </w:p>
        </w:tc>
      </w:tr>
      <w:tr w:rsidR="001D4BD0" w:rsidRPr="009764EE" w14:paraId="7FE2F76A" w14:textId="77777777" w:rsidTr="00C56206">
        <w:trPr>
          <w:trHeight w:val="20"/>
        </w:trPr>
        <w:tc>
          <w:tcPr>
            <w:tcW w:w="1500" w:type="pct"/>
          </w:tcPr>
          <w:p w14:paraId="774363F0" w14:textId="77777777" w:rsidR="001D4BD0" w:rsidRPr="009764EE" w:rsidRDefault="001D4BD0" w:rsidP="00275B11">
            <w:pPr>
              <w:pStyle w:val="TableColumnHeadingLeft"/>
            </w:pPr>
            <w:r w:rsidRPr="009764EE">
              <w:t>Employment White Paper (forthcoming)</w:t>
            </w:r>
          </w:p>
        </w:tc>
        <w:tc>
          <w:tcPr>
            <w:tcW w:w="3500" w:type="pct"/>
          </w:tcPr>
          <w:p w14:paraId="6F5DE339" w14:textId="5EC97827" w:rsidR="001D4BD0" w:rsidRPr="009764EE" w:rsidRDefault="001D4BD0" w:rsidP="00275B11">
            <w:pPr>
              <w:pStyle w:val="TableTextLeft"/>
            </w:pPr>
            <w:r w:rsidRPr="009764EE">
              <w:t>The Government</w:t>
            </w:r>
            <w:r w:rsidR="00135DEA">
              <w:t>’</w:t>
            </w:r>
            <w:r w:rsidRPr="009764EE">
              <w:t>s Employment White Paper will provide a labour market roadmap for Australia, focusing on achieving full employment and productivity growth for the benefit of all Australians. This will be published later in 2023.</w:t>
            </w:r>
          </w:p>
        </w:tc>
      </w:tr>
      <w:tr w:rsidR="001D4BD0" w:rsidRPr="009764EE" w14:paraId="4EB2BA86" w14:textId="77777777" w:rsidTr="00C56206">
        <w:trPr>
          <w:trHeight w:val="20"/>
        </w:trPr>
        <w:tc>
          <w:tcPr>
            <w:tcW w:w="1500" w:type="pct"/>
          </w:tcPr>
          <w:p w14:paraId="413AAB7F" w14:textId="69AA9D18" w:rsidR="001D4BD0" w:rsidRPr="009764EE" w:rsidRDefault="001D4BD0" w:rsidP="00275B11">
            <w:pPr>
              <w:pStyle w:val="TableColumnHeadingLeft"/>
            </w:pPr>
            <w:r w:rsidRPr="009764EE">
              <w:t>Equivalised disposable household income</w:t>
            </w:r>
          </w:p>
        </w:tc>
        <w:tc>
          <w:tcPr>
            <w:tcW w:w="3500" w:type="pct"/>
          </w:tcPr>
          <w:p w14:paraId="02D20912" w14:textId="340C8C81" w:rsidR="001D4BD0" w:rsidRPr="009764EE" w:rsidRDefault="001D4BD0" w:rsidP="00275B11">
            <w:pPr>
              <w:pStyle w:val="TableTextLeft"/>
            </w:pPr>
            <w:r w:rsidRPr="009764EE">
              <w:t xml:space="preserve">Disposable household income is the income available to a household after income tax, Medicare levy and Medicare levy surcharge (if applicable) have been deducted. Equivalised disposable household income is disposable household income adjusted by the application of an equivalence scale to facilitate comparison of income levels between households of differing size and composition, reflecting that a larger household would normally need more income than a smaller household to achieve the same standard of living. </w:t>
            </w:r>
          </w:p>
        </w:tc>
      </w:tr>
      <w:tr w:rsidR="001D4BD0" w:rsidRPr="009764EE" w14:paraId="07F6A1E5" w14:textId="77777777" w:rsidTr="00C56206">
        <w:trPr>
          <w:trHeight w:val="20"/>
        </w:trPr>
        <w:tc>
          <w:tcPr>
            <w:tcW w:w="1500" w:type="pct"/>
          </w:tcPr>
          <w:p w14:paraId="1FFFAAC8" w14:textId="77777777" w:rsidR="001D4BD0" w:rsidRPr="009764EE" w:rsidRDefault="001D4BD0" w:rsidP="00275B11">
            <w:pPr>
              <w:pStyle w:val="TableColumnHeadingLeft"/>
            </w:pPr>
            <w:r w:rsidRPr="009764EE">
              <w:t>Formal study</w:t>
            </w:r>
          </w:p>
        </w:tc>
        <w:tc>
          <w:tcPr>
            <w:tcW w:w="3500" w:type="pct"/>
          </w:tcPr>
          <w:p w14:paraId="2E477F97" w14:textId="51598BBE" w:rsidR="001D4BD0" w:rsidRPr="009764EE" w:rsidRDefault="001D4BD0" w:rsidP="00275B11">
            <w:pPr>
              <w:pStyle w:val="TableTextLeft"/>
            </w:pPr>
            <w:r w:rsidRPr="009764EE">
              <w:t xml:space="preserve">Formal study leads to a qualification recognised by the Australian Qualifications Framework such as a degree, diploma or certificate and also includes study at school. </w:t>
            </w:r>
          </w:p>
        </w:tc>
      </w:tr>
      <w:tr w:rsidR="001D4BD0" w:rsidRPr="009764EE" w14:paraId="28692B1A" w14:textId="77777777" w:rsidTr="00C56206">
        <w:trPr>
          <w:trHeight w:val="20"/>
        </w:trPr>
        <w:tc>
          <w:tcPr>
            <w:tcW w:w="1500" w:type="pct"/>
          </w:tcPr>
          <w:p w14:paraId="0C8CC7AF" w14:textId="77777777" w:rsidR="001D4BD0" w:rsidRPr="009764EE" w:rsidRDefault="001D4BD0" w:rsidP="00275B11">
            <w:pPr>
              <w:pStyle w:val="TableColumnHeadingLeft"/>
            </w:pPr>
            <w:r w:rsidRPr="009764EE">
              <w:t>Gini coefficient</w:t>
            </w:r>
          </w:p>
        </w:tc>
        <w:tc>
          <w:tcPr>
            <w:tcW w:w="3500" w:type="pct"/>
          </w:tcPr>
          <w:p w14:paraId="0FD54D8F" w14:textId="695008C2" w:rsidR="001D4BD0" w:rsidRPr="009764EE" w:rsidRDefault="001D4BD0" w:rsidP="00275B11">
            <w:pPr>
              <w:pStyle w:val="TableTextLeft"/>
            </w:pPr>
            <w:r w:rsidRPr="009764EE">
              <w:t>An indicator designed to measure inequality of income and wealth. It ranges from zero, which indicates perfect equality, with every household earning or owning exactly the same, to one, which implies absolute inequality, with a single household earning a country</w:t>
            </w:r>
            <w:r w:rsidR="00135DEA">
              <w:t>’</w:t>
            </w:r>
            <w:r w:rsidRPr="009764EE">
              <w:t>s entire income or owning all its wealth.</w:t>
            </w:r>
          </w:p>
        </w:tc>
      </w:tr>
      <w:tr w:rsidR="001D4BD0" w:rsidRPr="009764EE" w14:paraId="0565BF37" w14:textId="77777777" w:rsidTr="00C56206">
        <w:trPr>
          <w:trHeight w:val="20"/>
        </w:trPr>
        <w:tc>
          <w:tcPr>
            <w:tcW w:w="1500" w:type="pct"/>
          </w:tcPr>
          <w:p w14:paraId="6242DEB3" w14:textId="77777777" w:rsidR="001D4BD0" w:rsidRPr="009764EE" w:rsidRDefault="001D4BD0" w:rsidP="00275B11">
            <w:pPr>
              <w:pStyle w:val="TableColumnHeadingLeft"/>
            </w:pPr>
            <w:r w:rsidRPr="009764EE">
              <w:t>Gross domestic product (GDP)</w:t>
            </w:r>
          </w:p>
        </w:tc>
        <w:tc>
          <w:tcPr>
            <w:tcW w:w="3500" w:type="pct"/>
          </w:tcPr>
          <w:p w14:paraId="3A66660C" w14:textId="4B697B89" w:rsidR="001D4BD0" w:rsidRPr="009764EE" w:rsidRDefault="001D4BD0" w:rsidP="00275B11">
            <w:pPr>
              <w:pStyle w:val="TableTextLeft"/>
            </w:pPr>
            <w:r w:rsidRPr="009764EE">
              <w:t>A measure of the amount of economic activity that occurs within a given time period and often reported in terms of the growth of economic activity over a year.</w:t>
            </w:r>
          </w:p>
        </w:tc>
      </w:tr>
    </w:tbl>
    <w:p w14:paraId="3D960857" w14:textId="77777777" w:rsidR="007D6204" w:rsidRPr="007D6204" w:rsidRDefault="007D6204" w:rsidP="007D6204">
      <w:pPr>
        <w:pStyle w:val="SingleParagraph"/>
        <w:rPr>
          <w:sz w:val="14"/>
          <w:szCs w:val="12"/>
        </w:rPr>
      </w:pPr>
    </w:p>
    <w:tbl>
      <w:tblPr>
        <w:tblStyle w:val="MWMTables"/>
        <w:tblW w:w="5000" w:type="pct"/>
        <w:tblLook w:val="0680" w:firstRow="0" w:lastRow="0" w:firstColumn="1" w:lastColumn="0" w:noHBand="1" w:noVBand="1"/>
      </w:tblPr>
      <w:tblGrid>
        <w:gridCol w:w="2721"/>
        <w:gridCol w:w="6349"/>
      </w:tblGrid>
      <w:tr w:rsidR="001D4BD0" w:rsidRPr="009764EE" w14:paraId="34CCA667" w14:textId="77777777" w:rsidTr="007D6204">
        <w:trPr>
          <w:trHeight w:val="20"/>
        </w:trPr>
        <w:tc>
          <w:tcPr>
            <w:tcW w:w="1500" w:type="pct"/>
            <w:tcBorders>
              <w:top w:val="single" w:sz="4" w:space="0" w:color="216364"/>
            </w:tcBorders>
          </w:tcPr>
          <w:p w14:paraId="2B656731" w14:textId="77777777" w:rsidR="001D4BD0" w:rsidRPr="009764EE" w:rsidRDefault="001D4BD0" w:rsidP="00275B11">
            <w:pPr>
              <w:pStyle w:val="TableColumnHeadingLeft"/>
            </w:pPr>
            <w:r w:rsidRPr="009764EE">
              <w:lastRenderedPageBreak/>
              <w:t xml:space="preserve">Health services </w:t>
            </w:r>
          </w:p>
        </w:tc>
        <w:tc>
          <w:tcPr>
            <w:tcW w:w="3500" w:type="pct"/>
            <w:tcBorders>
              <w:top w:val="single" w:sz="4" w:space="0" w:color="216364"/>
            </w:tcBorders>
          </w:tcPr>
          <w:p w14:paraId="6C347DD8" w14:textId="7144EBA5" w:rsidR="001D4BD0" w:rsidRPr="009764EE" w:rsidRDefault="001D4BD0" w:rsidP="00275B11">
            <w:pPr>
              <w:pStyle w:val="TableTextLeft"/>
            </w:pPr>
            <w:r w:rsidRPr="009764EE">
              <w:t>Health services support people</w:t>
            </w:r>
            <w:r w:rsidR="00135DEA">
              <w:t>’</w:t>
            </w:r>
            <w:r w:rsidRPr="009764EE">
              <w:t>s wellbeing by</w:t>
            </w:r>
            <w:r w:rsidRPr="009764EE" w:rsidDel="003140AA">
              <w:t xml:space="preserve"> </w:t>
            </w:r>
            <w:r w:rsidRPr="009764EE">
              <w:t>preventing, treating, and managing health conditions.</w:t>
            </w:r>
          </w:p>
        </w:tc>
      </w:tr>
      <w:tr w:rsidR="001D4BD0" w:rsidRPr="009764EE" w14:paraId="32DAD1D3" w14:textId="77777777" w:rsidTr="00C56206">
        <w:trPr>
          <w:trHeight w:val="20"/>
        </w:trPr>
        <w:tc>
          <w:tcPr>
            <w:tcW w:w="1500" w:type="pct"/>
          </w:tcPr>
          <w:p w14:paraId="2A189CA7" w14:textId="77777777" w:rsidR="001D4BD0" w:rsidRPr="009764EE" w:rsidRDefault="001D4BD0" w:rsidP="00275B11">
            <w:pPr>
              <w:pStyle w:val="TableColumnHeadingLeft"/>
            </w:pPr>
            <w:r w:rsidRPr="009764EE">
              <w:t>Indicators</w:t>
            </w:r>
          </w:p>
        </w:tc>
        <w:tc>
          <w:tcPr>
            <w:tcW w:w="3500" w:type="pct"/>
          </w:tcPr>
          <w:p w14:paraId="0D3E8757" w14:textId="2C4911E8" w:rsidR="001D4BD0" w:rsidRPr="009764EE" w:rsidRDefault="001D4BD0" w:rsidP="00275B11">
            <w:pPr>
              <w:pStyle w:val="TableTextLeft"/>
            </w:pPr>
            <w:r w:rsidRPr="009764EE">
              <w:t xml:space="preserve">Indicators track the aspects of what Australians have described as fundamental to their wellbeing. </w:t>
            </w:r>
          </w:p>
        </w:tc>
      </w:tr>
      <w:tr w:rsidR="001D4BD0" w:rsidRPr="009764EE" w14:paraId="52D3465E" w14:textId="77777777" w:rsidTr="00C56206">
        <w:trPr>
          <w:trHeight w:val="20"/>
        </w:trPr>
        <w:tc>
          <w:tcPr>
            <w:tcW w:w="1500" w:type="pct"/>
          </w:tcPr>
          <w:p w14:paraId="0FB04E7E" w14:textId="77777777" w:rsidR="001D4BD0" w:rsidRPr="009764EE" w:rsidRDefault="001D4BD0" w:rsidP="00275B11">
            <w:pPr>
              <w:pStyle w:val="TableColumnHeadingLeft"/>
            </w:pPr>
            <w:r w:rsidRPr="009764EE">
              <w:t>Inflation</w:t>
            </w:r>
          </w:p>
        </w:tc>
        <w:tc>
          <w:tcPr>
            <w:tcW w:w="3500" w:type="pct"/>
          </w:tcPr>
          <w:p w14:paraId="79BFEC25" w14:textId="188AF90C" w:rsidR="001D4BD0" w:rsidRPr="009764EE" w:rsidRDefault="001D4BD0" w:rsidP="00275B11">
            <w:pPr>
              <w:pStyle w:val="TableTextLeft"/>
            </w:pPr>
            <w:r w:rsidRPr="009764EE">
              <w:t>The change in the price of goods and services that households buy. It is often reported as the change in prices over a year.</w:t>
            </w:r>
          </w:p>
        </w:tc>
      </w:tr>
      <w:tr w:rsidR="001D4BD0" w:rsidRPr="009764EE" w14:paraId="71C10A28" w14:textId="77777777" w:rsidTr="00C56206">
        <w:trPr>
          <w:trHeight w:val="20"/>
        </w:trPr>
        <w:tc>
          <w:tcPr>
            <w:tcW w:w="1500" w:type="pct"/>
          </w:tcPr>
          <w:p w14:paraId="0E3F78F7" w14:textId="2680FECE" w:rsidR="001D4BD0" w:rsidRPr="009764EE" w:rsidRDefault="001D4BD0" w:rsidP="00275B11">
            <w:pPr>
              <w:pStyle w:val="TableColumnHeadingLeft"/>
            </w:pPr>
            <w:r w:rsidRPr="009764EE">
              <w:t>Intergenerational Report (forthcoming)</w:t>
            </w:r>
          </w:p>
        </w:tc>
        <w:tc>
          <w:tcPr>
            <w:tcW w:w="3500" w:type="pct"/>
          </w:tcPr>
          <w:p w14:paraId="34105607" w14:textId="1AD670FC" w:rsidR="001D4BD0" w:rsidRPr="009764EE" w:rsidRDefault="001D4BD0" w:rsidP="00275B11">
            <w:pPr>
              <w:pStyle w:val="TableTextLeft"/>
            </w:pPr>
            <w:r w:rsidRPr="009764EE">
              <w:t>The Australian Government produces intergenerational reports. These reports project outlooks for the economy and the Australian Government</w:t>
            </w:r>
            <w:r w:rsidR="00135DEA">
              <w:t>’</w:t>
            </w:r>
            <w:r w:rsidRPr="009764EE">
              <w:t>s budget over the next 40</w:t>
            </w:r>
            <w:r w:rsidR="00C239AD">
              <w:t> year</w:t>
            </w:r>
            <w:r w:rsidRPr="009764EE">
              <w:t xml:space="preserve">s. The next report is expected to be released in 2023. </w:t>
            </w:r>
          </w:p>
        </w:tc>
      </w:tr>
      <w:tr w:rsidR="001D4BD0" w:rsidRPr="009764EE" w14:paraId="05CFDA8D" w14:textId="77777777" w:rsidTr="00C56206">
        <w:trPr>
          <w:trHeight w:val="20"/>
        </w:trPr>
        <w:tc>
          <w:tcPr>
            <w:tcW w:w="1500" w:type="pct"/>
          </w:tcPr>
          <w:p w14:paraId="15AF828A" w14:textId="7FA42B1E" w:rsidR="001D4BD0" w:rsidRPr="009764EE" w:rsidRDefault="001D4BD0" w:rsidP="00275B11">
            <w:pPr>
              <w:pStyle w:val="TableColumnHeadingLeft"/>
            </w:pPr>
            <w:r w:rsidRPr="009764EE">
              <w:t xml:space="preserve">Initial phase of public consultation </w:t>
            </w:r>
          </w:p>
        </w:tc>
        <w:tc>
          <w:tcPr>
            <w:tcW w:w="3500" w:type="pct"/>
          </w:tcPr>
          <w:p w14:paraId="092FB217" w14:textId="3D952850" w:rsidR="001D4BD0" w:rsidRPr="009764EE" w:rsidRDefault="001D4BD0" w:rsidP="00275B11">
            <w:pPr>
              <w:pStyle w:val="TableTextLeft"/>
            </w:pPr>
            <w:r w:rsidRPr="009764EE">
              <w:t xml:space="preserve">The initial phase of public consultation refers to the call for submissions for the development of the </w:t>
            </w:r>
            <w:r w:rsidRPr="00FB6842">
              <w:rPr>
                <w:rStyle w:val="Emphasis"/>
              </w:rPr>
              <w:t>Measuring What Matters</w:t>
            </w:r>
            <w:r w:rsidRPr="009764EE">
              <w:t xml:space="preserve"> Framework. The initial phase commenced with the October Budget </w:t>
            </w:r>
            <w:r w:rsidR="00E810BB" w:rsidRPr="009764EE">
              <w:t>2022</w:t>
            </w:r>
            <w:r w:rsidR="00151999">
              <w:t>–</w:t>
            </w:r>
            <w:r w:rsidR="00E810BB" w:rsidRPr="009764EE">
              <w:t xml:space="preserve">23 </w:t>
            </w:r>
            <w:r w:rsidRPr="009764EE">
              <w:t>and ran from 25 October 2022 to 31</w:t>
            </w:r>
            <w:r w:rsidR="00983FFC">
              <w:t> </w:t>
            </w:r>
            <w:r w:rsidRPr="009764EE">
              <w:t>January 2023.</w:t>
            </w:r>
          </w:p>
        </w:tc>
      </w:tr>
      <w:tr w:rsidR="001D4BD0" w:rsidRPr="009764EE" w14:paraId="563DE28B" w14:textId="77777777" w:rsidTr="00C56206">
        <w:trPr>
          <w:trHeight w:val="20"/>
        </w:trPr>
        <w:tc>
          <w:tcPr>
            <w:tcW w:w="1500" w:type="pct"/>
          </w:tcPr>
          <w:p w14:paraId="521E0B4F" w14:textId="1AE91F02" w:rsidR="001D4BD0" w:rsidRPr="009764EE" w:rsidRDefault="001D4BD0" w:rsidP="00275B11">
            <w:pPr>
              <w:pStyle w:val="TableColumnHeadingLeft"/>
            </w:pPr>
            <w:r w:rsidRPr="009764EE">
              <w:t xml:space="preserve">Labour force </w:t>
            </w:r>
          </w:p>
        </w:tc>
        <w:tc>
          <w:tcPr>
            <w:tcW w:w="3500" w:type="pct"/>
          </w:tcPr>
          <w:p w14:paraId="65A4C21E" w14:textId="6D502586" w:rsidR="001D4BD0" w:rsidRPr="009764EE" w:rsidRDefault="001D4BD0" w:rsidP="00275B11">
            <w:pPr>
              <w:pStyle w:val="TableTextLeft"/>
            </w:pPr>
            <w:r w:rsidRPr="009764EE">
              <w:t xml:space="preserve">For any group, persons who were employed or unemployed. </w:t>
            </w:r>
          </w:p>
        </w:tc>
      </w:tr>
      <w:tr w:rsidR="001D4BD0" w:rsidRPr="009764EE" w14:paraId="3EAF3054" w14:textId="77777777" w:rsidTr="00C56206">
        <w:trPr>
          <w:trHeight w:val="20"/>
        </w:trPr>
        <w:tc>
          <w:tcPr>
            <w:tcW w:w="1500" w:type="pct"/>
          </w:tcPr>
          <w:p w14:paraId="2EA2E534" w14:textId="020D9A07" w:rsidR="001D4BD0" w:rsidRPr="009764EE" w:rsidRDefault="001D4BD0" w:rsidP="00275B11">
            <w:pPr>
              <w:pStyle w:val="TableColumnHeadingLeft"/>
            </w:pPr>
            <w:r w:rsidRPr="009764EE">
              <w:t>LGBTIQA+</w:t>
            </w:r>
          </w:p>
        </w:tc>
        <w:tc>
          <w:tcPr>
            <w:tcW w:w="3500" w:type="pct"/>
          </w:tcPr>
          <w:p w14:paraId="3A3FDA87" w14:textId="5EDAB949" w:rsidR="001D4BD0" w:rsidRPr="009764EE" w:rsidRDefault="001D4BD0" w:rsidP="00275B11">
            <w:pPr>
              <w:pStyle w:val="TableTextLeft"/>
            </w:pPr>
            <w:r w:rsidRPr="009764EE">
              <w:t xml:space="preserve">LGBTIQA+ is an acronym that stands for lesbian, gay, bisexual, transgender, intersex, queer/questioning, asexual and other sexually or gender diverse people. </w:t>
            </w:r>
          </w:p>
        </w:tc>
      </w:tr>
      <w:tr w:rsidR="001D4BD0" w:rsidRPr="009764EE" w14:paraId="7ADF823D" w14:textId="77777777" w:rsidTr="00C56206">
        <w:trPr>
          <w:trHeight w:val="20"/>
        </w:trPr>
        <w:tc>
          <w:tcPr>
            <w:tcW w:w="1500" w:type="pct"/>
          </w:tcPr>
          <w:p w14:paraId="6569C83D" w14:textId="4EF1D93D" w:rsidR="001D4BD0" w:rsidRPr="009764EE" w:rsidRDefault="001D4BD0" w:rsidP="00275B11">
            <w:pPr>
              <w:pStyle w:val="TableColumnHeadingLeft"/>
            </w:pPr>
            <w:r w:rsidRPr="009764EE">
              <w:t xml:space="preserve">Measuring What Matters Framework </w:t>
            </w:r>
          </w:p>
        </w:tc>
        <w:tc>
          <w:tcPr>
            <w:tcW w:w="3500" w:type="pct"/>
          </w:tcPr>
          <w:p w14:paraId="28C724E7" w14:textId="457BEB63" w:rsidR="001D4BD0" w:rsidRPr="009764EE" w:rsidRDefault="001D4BD0" w:rsidP="00275B11">
            <w:pPr>
              <w:pStyle w:val="TableTextLeft"/>
            </w:pPr>
            <w:r w:rsidRPr="009764EE">
              <w:t>The framework developed by the Australian Government</w:t>
            </w:r>
            <w:r w:rsidR="001524A0">
              <w:t xml:space="preserve"> – </w:t>
            </w:r>
            <w:r w:rsidRPr="009764EE">
              <w:t>informed by feedback from the Australian community</w:t>
            </w:r>
            <w:r w:rsidR="001524A0">
              <w:t xml:space="preserve"> – </w:t>
            </w:r>
            <w:r w:rsidRPr="009764EE">
              <w:t>outlines the outcomes and factors that influence the wellbeing of Australian people. Progress is measured through monitoring changes in economic, social and environmental statistics.</w:t>
            </w:r>
          </w:p>
        </w:tc>
      </w:tr>
      <w:tr w:rsidR="001D4BD0" w:rsidRPr="009764EE" w14:paraId="06EACDE7" w14:textId="77777777" w:rsidTr="00C56206">
        <w:trPr>
          <w:trHeight w:val="20"/>
        </w:trPr>
        <w:tc>
          <w:tcPr>
            <w:tcW w:w="1500" w:type="pct"/>
          </w:tcPr>
          <w:p w14:paraId="23669091" w14:textId="4C49F669" w:rsidR="001D4BD0" w:rsidRPr="009764EE" w:rsidRDefault="001D4BD0" w:rsidP="00275B11">
            <w:pPr>
              <w:pStyle w:val="TableColumnHeadingLeft"/>
            </w:pPr>
            <w:r w:rsidRPr="009764EE">
              <w:t>National Agreement on Closing the Gap</w:t>
            </w:r>
          </w:p>
        </w:tc>
        <w:tc>
          <w:tcPr>
            <w:tcW w:w="3500" w:type="pct"/>
          </w:tcPr>
          <w:p w14:paraId="30C4BF47" w14:textId="28A39F76" w:rsidR="001D4BD0" w:rsidRPr="009764EE" w:rsidRDefault="001D4BD0" w:rsidP="00275B11">
            <w:pPr>
              <w:pStyle w:val="TableTextLeft"/>
            </w:pPr>
            <w:r w:rsidRPr="009764EE">
              <w:t xml:space="preserve">The National Agreement on Closing the Gap sets out ambitious outcomes and new priority reforms that will change the way governments work to improve life outcomes for Aboriginal and </w:t>
            </w:r>
            <w:r w:rsidR="001524A0">
              <w:t>Torres Strait</w:t>
            </w:r>
            <w:r w:rsidRPr="009764EE">
              <w:t xml:space="preserve"> Islander</w:t>
            </w:r>
            <w:r>
              <w:t xml:space="preserve"> people</w:t>
            </w:r>
            <w:r w:rsidRPr="009764EE">
              <w:t>.</w:t>
            </w:r>
          </w:p>
        </w:tc>
      </w:tr>
      <w:tr w:rsidR="00052431" w:rsidRPr="009764EE" w14:paraId="0C4179E1" w14:textId="77777777" w:rsidTr="00C56206">
        <w:trPr>
          <w:trHeight w:val="20"/>
        </w:trPr>
        <w:tc>
          <w:tcPr>
            <w:tcW w:w="1500" w:type="pct"/>
          </w:tcPr>
          <w:p w14:paraId="0C93FC5D" w14:textId="17005E3C" w:rsidR="00052431" w:rsidRPr="009764EE" w:rsidRDefault="000A7220" w:rsidP="00275B11">
            <w:pPr>
              <w:pStyle w:val="TableColumnHeadingLeft"/>
            </w:pPr>
            <w:r w:rsidRPr="000A7220">
              <w:t>National Strategy to Achieve Gender Equality (forthcoming)</w:t>
            </w:r>
            <w:r>
              <w:t xml:space="preserve"> </w:t>
            </w:r>
          </w:p>
        </w:tc>
        <w:tc>
          <w:tcPr>
            <w:tcW w:w="3500" w:type="pct"/>
          </w:tcPr>
          <w:p w14:paraId="244528F8" w14:textId="169B7595" w:rsidR="00052431" w:rsidRPr="009764EE" w:rsidRDefault="00AD2772" w:rsidP="00275B11">
            <w:pPr>
              <w:pStyle w:val="TableTextLeft"/>
            </w:pPr>
            <w:r w:rsidRPr="00AD2772">
              <w:t>The National Strategy to Achieve Gender Equality will guide whole</w:t>
            </w:r>
            <w:r w:rsidR="00135DEA">
              <w:noBreakHyphen/>
            </w:r>
            <w:r w:rsidRPr="00AD2772">
              <w:t>of</w:t>
            </w:r>
            <w:r w:rsidR="00135DEA">
              <w:noBreakHyphen/>
            </w:r>
            <w:r w:rsidRPr="00AD2772">
              <w:t>community action to make Australia one of the best countries in the world for a gender</w:t>
            </w:r>
            <w:r w:rsidR="00135DEA">
              <w:noBreakHyphen/>
            </w:r>
            <w:r w:rsidRPr="00AD2772">
              <w:t>equal society. It will be an important mechanism to elevate and prioritise actions that will achieve gender equality</w:t>
            </w:r>
            <w:r>
              <w:t xml:space="preserve">. </w:t>
            </w:r>
          </w:p>
        </w:tc>
      </w:tr>
      <w:tr w:rsidR="00052431" w:rsidRPr="009764EE" w14:paraId="37ED2E67" w14:textId="77777777" w:rsidTr="00C56206">
        <w:trPr>
          <w:trHeight w:val="20"/>
        </w:trPr>
        <w:tc>
          <w:tcPr>
            <w:tcW w:w="1500" w:type="pct"/>
          </w:tcPr>
          <w:p w14:paraId="46ED60AA" w14:textId="7DB2ED4F" w:rsidR="00052431" w:rsidRPr="009764EE" w:rsidRDefault="00052431" w:rsidP="00275B11">
            <w:pPr>
              <w:pStyle w:val="TableColumnHeadingLeft"/>
            </w:pPr>
            <w:r w:rsidRPr="009764EE">
              <w:t>Non</w:t>
            </w:r>
            <w:r w:rsidR="00135DEA">
              <w:noBreakHyphen/>
            </w:r>
            <w:r w:rsidRPr="009764EE">
              <w:t>formal learning</w:t>
            </w:r>
          </w:p>
        </w:tc>
        <w:tc>
          <w:tcPr>
            <w:tcW w:w="3500" w:type="pct"/>
          </w:tcPr>
          <w:p w14:paraId="1BA22EE1" w14:textId="3FADAB41" w:rsidR="00052431" w:rsidRPr="009764EE" w:rsidRDefault="00052431" w:rsidP="00275B11">
            <w:pPr>
              <w:pStyle w:val="TableTextLeft"/>
            </w:pPr>
            <w:r w:rsidRPr="009764EE">
              <w:t>Non</w:t>
            </w:r>
            <w:r w:rsidR="00135DEA">
              <w:noBreakHyphen/>
            </w:r>
            <w:r w:rsidRPr="009764EE">
              <w:t>formal learning activities are structured training or courses that do not form part of an award or qualification (such as a degree or certificate) recognised by the Australian Qualification Framework.</w:t>
            </w:r>
          </w:p>
        </w:tc>
      </w:tr>
      <w:tr w:rsidR="00052431" w:rsidRPr="009764EE" w14:paraId="688DFD5C" w14:textId="77777777" w:rsidTr="00C56206">
        <w:trPr>
          <w:trHeight w:val="20"/>
        </w:trPr>
        <w:tc>
          <w:tcPr>
            <w:tcW w:w="1500" w:type="pct"/>
          </w:tcPr>
          <w:p w14:paraId="2119F5E5" w14:textId="19686587" w:rsidR="00052431" w:rsidRPr="009764EE" w:rsidRDefault="00052431" w:rsidP="00275B11">
            <w:pPr>
              <w:pStyle w:val="TableColumnHeadingLeft"/>
            </w:pPr>
            <w:r w:rsidRPr="009764EE">
              <w:t>Non</w:t>
            </w:r>
            <w:r w:rsidR="00135DEA">
              <w:noBreakHyphen/>
            </w:r>
            <w:r w:rsidRPr="009764EE">
              <w:t>market transactions</w:t>
            </w:r>
          </w:p>
        </w:tc>
        <w:tc>
          <w:tcPr>
            <w:tcW w:w="3500" w:type="pct"/>
          </w:tcPr>
          <w:p w14:paraId="7BFB08D0" w14:textId="3E742F21" w:rsidR="00052431" w:rsidRPr="009764EE" w:rsidRDefault="00052431" w:rsidP="00275B11">
            <w:pPr>
              <w:pStyle w:val="TableTextLeft"/>
            </w:pPr>
            <w:r w:rsidRPr="009764EE">
              <w:t>Non</w:t>
            </w:r>
            <w:r w:rsidR="00135DEA">
              <w:noBreakHyphen/>
            </w:r>
            <w:r w:rsidRPr="009764EE">
              <w:t>market transactions are goods or services that people or organisations provide to others for free or at prices that are not economically significant.</w:t>
            </w:r>
          </w:p>
        </w:tc>
      </w:tr>
      <w:tr w:rsidR="00052431" w:rsidRPr="009764EE" w14:paraId="663922F7" w14:textId="77777777" w:rsidTr="00C56206">
        <w:trPr>
          <w:trHeight w:val="20"/>
        </w:trPr>
        <w:tc>
          <w:tcPr>
            <w:tcW w:w="1500" w:type="pct"/>
          </w:tcPr>
          <w:p w14:paraId="1C466939" w14:textId="0F0E11A9" w:rsidR="00052431" w:rsidRPr="009764EE" w:rsidRDefault="00052431" w:rsidP="00275B11">
            <w:pPr>
              <w:pStyle w:val="TableColumnHeadingLeft"/>
            </w:pPr>
            <w:r w:rsidRPr="009764EE">
              <w:t>Net zero transformation</w:t>
            </w:r>
          </w:p>
        </w:tc>
        <w:tc>
          <w:tcPr>
            <w:tcW w:w="3500" w:type="pct"/>
          </w:tcPr>
          <w:p w14:paraId="543F764A" w14:textId="7EA07905" w:rsidR="00052431" w:rsidRPr="009764EE" w:rsidRDefault="00052431" w:rsidP="00275B11">
            <w:pPr>
              <w:pStyle w:val="TableTextLeft"/>
            </w:pPr>
            <w:r w:rsidRPr="009764EE">
              <w:t>The net zero transformation is the orderly and positive economic transformation associated with achieving net zero emissions (that is, achieving an overall balance between greenhouse gas emissions produced and greenhouse gas emissions taken out of the atmosphere).</w:t>
            </w:r>
          </w:p>
        </w:tc>
      </w:tr>
      <w:tr w:rsidR="00052431" w:rsidRPr="009764EE" w14:paraId="00CF11CE" w14:textId="77777777" w:rsidTr="00C56206">
        <w:trPr>
          <w:trHeight w:val="20"/>
        </w:trPr>
        <w:tc>
          <w:tcPr>
            <w:tcW w:w="1500" w:type="pct"/>
          </w:tcPr>
          <w:p w14:paraId="2A3D9E8C" w14:textId="2439C580" w:rsidR="00052431" w:rsidRPr="009764EE" w:rsidRDefault="00052431" w:rsidP="00275B11">
            <w:pPr>
              <w:pStyle w:val="TableColumnHeadingLeft"/>
            </w:pPr>
            <w:r w:rsidRPr="009764EE">
              <w:t>OECD</w:t>
            </w:r>
          </w:p>
        </w:tc>
        <w:tc>
          <w:tcPr>
            <w:tcW w:w="3500" w:type="pct"/>
          </w:tcPr>
          <w:p w14:paraId="18F81875" w14:textId="752FE281" w:rsidR="00052431" w:rsidRPr="009764EE" w:rsidRDefault="00052431" w:rsidP="00275B11">
            <w:pPr>
              <w:pStyle w:val="TableTextLeft"/>
            </w:pPr>
            <w:r w:rsidRPr="009764EE">
              <w:t>Organisation for Economic Co</w:t>
            </w:r>
            <w:r w:rsidR="00135DEA">
              <w:noBreakHyphen/>
            </w:r>
            <w:r w:rsidRPr="009764EE">
              <w:t>operation and Development</w:t>
            </w:r>
          </w:p>
        </w:tc>
      </w:tr>
      <w:tr w:rsidR="00052431" w:rsidRPr="009764EE" w14:paraId="06D45E5C" w14:textId="77777777" w:rsidTr="00C56206">
        <w:trPr>
          <w:trHeight w:val="20"/>
        </w:trPr>
        <w:tc>
          <w:tcPr>
            <w:tcW w:w="1500" w:type="pct"/>
          </w:tcPr>
          <w:p w14:paraId="645A51C3" w14:textId="3BD91C9E" w:rsidR="00052431" w:rsidRPr="009764EE" w:rsidRDefault="00052431" w:rsidP="00275B11">
            <w:pPr>
              <w:pStyle w:val="TableColumnHeadingLeft"/>
            </w:pPr>
            <w:r w:rsidRPr="009764EE">
              <w:t>OECD Framework for Measuring Well</w:t>
            </w:r>
            <w:r w:rsidR="00135DEA">
              <w:noBreakHyphen/>
            </w:r>
            <w:r w:rsidRPr="009764EE">
              <w:t>Being and Progress</w:t>
            </w:r>
          </w:p>
        </w:tc>
        <w:tc>
          <w:tcPr>
            <w:tcW w:w="3500" w:type="pct"/>
          </w:tcPr>
          <w:p w14:paraId="77FF927C" w14:textId="0D2C2C7C" w:rsidR="00052431" w:rsidRPr="009764EE" w:rsidRDefault="00052431" w:rsidP="00275B11">
            <w:pPr>
              <w:pStyle w:val="TableTextLeft"/>
            </w:pPr>
            <w:r w:rsidRPr="009764EE">
              <w:t>This is a framework developed by the Organisation for Economic Co</w:t>
            </w:r>
            <w:r w:rsidR="00135DEA">
              <w:noBreakHyphen/>
            </w:r>
            <w:r w:rsidRPr="009764EE">
              <w:t xml:space="preserve">operation and Development to measure societal progress related to the quality of life of people and households, through monitoring changes in economic, social and environmental statistics. </w:t>
            </w:r>
          </w:p>
        </w:tc>
      </w:tr>
      <w:tr w:rsidR="00052431" w:rsidRPr="009764EE" w14:paraId="5366FC95" w14:textId="77777777" w:rsidTr="00C56206">
        <w:trPr>
          <w:trHeight w:val="20"/>
        </w:trPr>
        <w:tc>
          <w:tcPr>
            <w:tcW w:w="1500" w:type="pct"/>
          </w:tcPr>
          <w:p w14:paraId="6767EE6F" w14:textId="3D5AB2E6" w:rsidR="00052431" w:rsidRPr="009764EE" w:rsidRDefault="00052431" w:rsidP="00275B11">
            <w:pPr>
              <w:pStyle w:val="TableColumnHeadingLeft"/>
            </w:pPr>
            <w:r w:rsidRPr="009764EE">
              <w:t xml:space="preserve">Participation rate </w:t>
            </w:r>
          </w:p>
        </w:tc>
        <w:tc>
          <w:tcPr>
            <w:tcW w:w="3500" w:type="pct"/>
          </w:tcPr>
          <w:p w14:paraId="1932F829" w14:textId="782FF2C8" w:rsidR="00052431" w:rsidRPr="009764EE" w:rsidRDefault="00052431" w:rsidP="00275B11">
            <w:pPr>
              <w:pStyle w:val="TableTextLeft"/>
            </w:pPr>
            <w:r w:rsidRPr="009764EE">
              <w:t>For any group, the labour force expressed as a percentage of the civilian population aged 15</w:t>
            </w:r>
            <w:r w:rsidR="00C239AD">
              <w:t> year</w:t>
            </w:r>
            <w:r w:rsidRPr="009764EE">
              <w:t>s and over in the same group.</w:t>
            </w:r>
          </w:p>
        </w:tc>
      </w:tr>
      <w:tr w:rsidR="00052431" w:rsidRPr="009764EE" w14:paraId="1FC69F15" w14:textId="77777777" w:rsidTr="00C56206">
        <w:trPr>
          <w:trHeight w:val="20"/>
        </w:trPr>
        <w:tc>
          <w:tcPr>
            <w:tcW w:w="1500" w:type="pct"/>
          </w:tcPr>
          <w:p w14:paraId="3349F048" w14:textId="6E5294AF" w:rsidR="00052431" w:rsidRPr="009764EE" w:rsidRDefault="00052431" w:rsidP="00275B11">
            <w:pPr>
              <w:pStyle w:val="TableColumnHeadingLeft"/>
            </w:pPr>
            <w:r w:rsidRPr="009764EE">
              <w:t xml:space="preserve">Real Net National Disposable Income </w:t>
            </w:r>
          </w:p>
        </w:tc>
        <w:tc>
          <w:tcPr>
            <w:tcW w:w="3500" w:type="pct"/>
          </w:tcPr>
          <w:p w14:paraId="3693C4F0" w14:textId="4BEA7806" w:rsidR="00052431" w:rsidRPr="009764EE" w:rsidRDefault="00052431" w:rsidP="00275B11">
            <w:pPr>
              <w:pStyle w:val="TableTextLeft"/>
            </w:pPr>
            <w:r w:rsidRPr="009764EE">
              <w:t>Real net national disposable income (RNNDI) is a preferred measurement of the economic wellbeing of Australians rather than GDP as it takes into account factors that are not included in GDP that are relevant to Australians</w:t>
            </w:r>
            <w:r w:rsidR="00135DEA">
              <w:t>’</w:t>
            </w:r>
            <w:r w:rsidRPr="009764EE">
              <w:t xml:space="preserve"> wellbeing (such as changes in the terms of trade).</w:t>
            </w:r>
          </w:p>
        </w:tc>
      </w:tr>
      <w:tr w:rsidR="00052431" w:rsidRPr="009764EE" w14:paraId="03930C8E" w14:textId="77777777" w:rsidTr="00C56206">
        <w:trPr>
          <w:trHeight w:val="20"/>
        </w:trPr>
        <w:tc>
          <w:tcPr>
            <w:tcW w:w="1500" w:type="pct"/>
          </w:tcPr>
          <w:p w14:paraId="5A08B300" w14:textId="26674028" w:rsidR="00052431" w:rsidRPr="009764EE" w:rsidRDefault="00052431" w:rsidP="00275B11">
            <w:pPr>
              <w:pStyle w:val="TableColumnHeadingLeft"/>
            </w:pPr>
            <w:r w:rsidRPr="009764EE">
              <w:t xml:space="preserve">Second phase of public consultation </w:t>
            </w:r>
          </w:p>
        </w:tc>
        <w:tc>
          <w:tcPr>
            <w:tcW w:w="3500" w:type="pct"/>
          </w:tcPr>
          <w:p w14:paraId="1AC7F1C7" w14:textId="5B35AA23" w:rsidR="00052431" w:rsidRPr="009764EE" w:rsidRDefault="00052431" w:rsidP="00275B11">
            <w:pPr>
              <w:pStyle w:val="TableTextLeft"/>
            </w:pPr>
            <w:r w:rsidRPr="009764EE">
              <w:t>The second phase of public consultation sought feedback on the emerging wellbeing themes from the initial phase. It ran from 14 April to 26 May 2023.</w:t>
            </w:r>
          </w:p>
        </w:tc>
      </w:tr>
    </w:tbl>
    <w:p w14:paraId="0D5858E1" w14:textId="77777777" w:rsidR="00A80D08" w:rsidRPr="00A80D08" w:rsidRDefault="00A80D08" w:rsidP="00A80D08">
      <w:pPr>
        <w:pStyle w:val="SingleParagraph"/>
        <w:rPr>
          <w:sz w:val="6"/>
          <w:szCs w:val="4"/>
        </w:rPr>
      </w:pPr>
    </w:p>
    <w:tbl>
      <w:tblPr>
        <w:tblStyle w:val="MWMTables"/>
        <w:tblW w:w="5000" w:type="pct"/>
        <w:tblLook w:val="0680" w:firstRow="0" w:lastRow="0" w:firstColumn="1" w:lastColumn="0" w:noHBand="1" w:noVBand="1"/>
      </w:tblPr>
      <w:tblGrid>
        <w:gridCol w:w="2721"/>
        <w:gridCol w:w="6349"/>
      </w:tblGrid>
      <w:tr w:rsidR="00052431" w:rsidRPr="009764EE" w14:paraId="0559D3B5" w14:textId="77777777" w:rsidTr="00C56206">
        <w:trPr>
          <w:trHeight w:val="20"/>
        </w:trPr>
        <w:tc>
          <w:tcPr>
            <w:tcW w:w="1500" w:type="pct"/>
          </w:tcPr>
          <w:p w14:paraId="22EAC263" w14:textId="310ED516" w:rsidR="00052431" w:rsidRPr="009764EE" w:rsidRDefault="00052431" w:rsidP="00275B11">
            <w:pPr>
              <w:pStyle w:val="TableColumnHeadingLeft"/>
            </w:pPr>
            <w:r w:rsidRPr="009764EE">
              <w:lastRenderedPageBreak/>
              <w:t xml:space="preserve">Terms of trade </w:t>
            </w:r>
          </w:p>
        </w:tc>
        <w:tc>
          <w:tcPr>
            <w:tcW w:w="3500" w:type="pct"/>
          </w:tcPr>
          <w:p w14:paraId="23300C6F" w14:textId="382DFEA0" w:rsidR="00052431" w:rsidRPr="009764EE" w:rsidRDefault="00FC28C6" w:rsidP="00275B11">
            <w:pPr>
              <w:pStyle w:val="TableTextLeft"/>
            </w:pPr>
            <w:r w:rsidRPr="00FC28C6">
              <w:t>The price of a country</w:t>
            </w:r>
            <w:r w:rsidR="00135DEA">
              <w:t>’</w:t>
            </w:r>
            <w:r w:rsidRPr="00FC28C6">
              <w:t>s exports, relative to that of its imports.</w:t>
            </w:r>
            <w:r>
              <w:t xml:space="preserve"> </w:t>
            </w:r>
          </w:p>
        </w:tc>
      </w:tr>
      <w:tr w:rsidR="00052431" w:rsidRPr="009764EE" w14:paraId="1A14730F" w14:textId="77777777" w:rsidTr="00C56206">
        <w:trPr>
          <w:trHeight w:val="20"/>
        </w:trPr>
        <w:tc>
          <w:tcPr>
            <w:tcW w:w="1500" w:type="pct"/>
          </w:tcPr>
          <w:p w14:paraId="24833099" w14:textId="4BAAB593" w:rsidR="00052431" w:rsidRPr="009764EE" w:rsidRDefault="00052431" w:rsidP="00275B11">
            <w:pPr>
              <w:pStyle w:val="TableColumnHeadingLeft"/>
            </w:pPr>
            <w:r w:rsidRPr="009764EE">
              <w:t xml:space="preserve">The Framework </w:t>
            </w:r>
          </w:p>
        </w:tc>
        <w:tc>
          <w:tcPr>
            <w:tcW w:w="3500" w:type="pct"/>
          </w:tcPr>
          <w:p w14:paraId="57EC2A02" w14:textId="0158EC7A" w:rsidR="00052431" w:rsidRPr="009764EE" w:rsidRDefault="00052431" w:rsidP="00275B11">
            <w:pPr>
              <w:pStyle w:val="TableTextLeft"/>
            </w:pPr>
            <w:r w:rsidRPr="009764EE">
              <w:t>Australian Government</w:t>
            </w:r>
            <w:r w:rsidR="00135DEA">
              <w:t>’</w:t>
            </w:r>
            <w:r w:rsidRPr="009764EE">
              <w:t xml:space="preserve">s national framework on wellbeing: </w:t>
            </w:r>
            <w:r w:rsidRPr="00FB6842">
              <w:rPr>
                <w:rStyle w:val="Emphasis"/>
              </w:rPr>
              <w:t>Measuring What Matters</w:t>
            </w:r>
            <w:r w:rsidRPr="009764EE">
              <w:t xml:space="preserve"> </w:t>
            </w:r>
          </w:p>
        </w:tc>
      </w:tr>
      <w:tr w:rsidR="00052431" w:rsidRPr="009764EE" w14:paraId="18A73A32" w14:textId="77777777" w:rsidTr="00C56206">
        <w:trPr>
          <w:trHeight w:val="20"/>
        </w:trPr>
        <w:tc>
          <w:tcPr>
            <w:tcW w:w="1500" w:type="pct"/>
          </w:tcPr>
          <w:p w14:paraId="5F42A7E1" w14:textId="77777777" w:rsidR="00052431" w:rsidRPr="009764EE" w:rsidRDefault="00052431" w:rsidP="00275B11">
            <w:pPr>
              <w:pStyle w:val="TableColumnHeadingLeft"/>
            </w:pPr>
            <w:r w:rsidRPr="009764EE">
              <w:t xml:space="preserve">Underutilisation rate </w:t>
            </w:r>
          </w:p>
          <w:p w14:paraId="072E4C90" w14:textId="1B2F4CC4" w:rsidR="00052431" w:rsidRPr="009764EE" w:rsidRDefault="00052431" w:rsidP="00275B11">
            <w:pPr>
              <w:pStyle w:val="TableColumnHeadingLeft"/>
            </w:pPr>
            <w:r w:rsidRPr="009764EE">
              <w:t>(hours based)</w:t>
            </w:r>
          </w:p>
        </w:tc>
        <w:tc>
          <w:tcPr>
            <w:tcW w:w="3500" w:type="pct"/>
          </w:tcPr>
          <w:p w14:paraId="163BF70C" w14:textId="62447B41" w:rsidR="00052431" w:rsidRPr="009764EE" w:rsidRDefault="00052431" w:rsidP="00275B11">
            <w:pPr>
              <w:pStyle w:val="TableTextLeft"/>
            </w:pPr>
            <w:r w:rsidRPr="009764EE">
              <w:t>The hours</w:t>
            </w:r>
            <w:r w:rsidR="00135DEA">
              <w:noBreakHyphen/>
            </w:r>
            <w:r w:rsidRPr="009764EE">
              <w:t xml:space="preserve">based underutilisation rate measures additional hours sought by the unemployed or underemployed as a share of total hours worked or sought. </w:t>
            </w:r>
          </w:p>
        </w:tc>
      </w:tr>
      <w:tr w:rsidR="00052431" w:rsidRPr="009764EE" w14:paraId="4E2916EE" w14:textId="77777777" w:rsidTr="00C56206">
        <w:trPr>
          <w:trHeight w:val="20"/>
        </w:trPr>
        <w:tc>
          <w:tcPr>
            <w:tcW w:w="1500" w:type="pct"/>
          </w:tcPr>
          <w:p w14:paraId="31850534" w14:textId="277A12BB" w:rsidR="00052431" w:rsidRPr="009764EE" w:rsidRDefault="00052431" w:rsidP="00275B11">
            <w:pPr>
              <w:pStyle w:val="TableColumnHeadingLeft"/>
            </w:pPr>
            <w:r w:rsidRPr="009764EE">
              <w:t xml:space="preserve">Unemployed </w:t>
            </w:r>
          </w:p>
        </w:tc>
        <w:tc>
          <w:tcPr>
            <w:tcW w:w="3500" w:type="pct"/>
          </w:tcPr>
          <w:p w14:paraId="164B2216" w14:textId="405CE6E3" w:rsidR="00052431" w:rsidRPr="009764EE" w:rsidRDefault="00052431" w:rsidP="00275B11">
            <w:pPr>
              <w:pStyle w:val="TableTextLeft"/>
            </w:pPr>
            <w:r w:rsidRPr="009764EE">
              <w:t>Persons aged 15</w:t>
            </w:r>
            <w:r w:rsidR="00C239AD">
              <w:t> year</w:t>
            </w:r>
            <w:r w:rsidRPr="009764EE">
              <w:t>s and over who were not employed during the reference week, and:</w:t>
            </w:r>
          </w:p>
          <w:p w14:paraId="5B676EE5" w14:textId="18F9D0D0" w:rsidR="00052431" w:rsidRPr="009764EE" w:rsidRDefault="00052431" w:rsidP="00F22C55">
            <w:pPr>
              <w:pStyle w:val="TableTextBullet"/>
            </w:pPr>
            <w:r w:rsidRPr="009764EE">
              <w:t>had actively looked for full</w:t>
            </w:r>
            <w:r w:rsidR="00135DEA">
              <w:noBreakHyphen/>
            </w:r>
            <w:r w:rsidRPr="009764EE">
              <w:t>time or part</w:t>
            </w:r>
            <w:r w:rsidR="00135DEA">
              <w:noBreakHyphen/>
            </w:r>
            <w:r w:rsidRPr="009764EE">
              <w:t>time work at any time in the four weeks up to the end of the reference week and were available for work in the reference week; or</w:t>
            </w:r>
          </w:p>
          <w:p w14:paraId="57255B94" w14:textId="2A163D48" w:rsidR="00052431" w:rsidRPr="009764EE" w:rsidRDefault="00052431" w:rsidP="00F22C55">
            <w:pPr>
              <w:pStyle w:val="TableTextBullet"/>
            </w:pPr>
            <w:r w:rsidRPr="009764EE">
              <w:t>were waiting to start a new job within four weeks from the end of the reference week and could have started in the reference week if the job had been available then.</w:t>
            </w:r>
          </w:p>
        </w:tc>
      </w:tr>
      <w:tr w:rsidR="00052431" w:rsidRPr="009764EE" w14:paraId="1256BD2E" w14:textId="77777777" w:rsidTr="00C56206">
        <w:trPr>
          <w:trHeight w:val="20"/>
        </w:trPr>
        <w:tc>
          <w:tcPr>
            <w:tcW w:w="1500" w:type="pct"/>
          </w:tcPr>
          <w:p w14:paraId="3358CDE7" w14:textId="6A4154EF" w:rsidR="00052431" w:rsidRPr="009764EE" w:rsidRDefault="00052431" w:rsidP="00275B11">
            <w:pPr>
              <w:pStyle w:val="TableColumnHeadingLeft"/>
            </w:pPr>
            <w:r w:rsidRPr="009764EE">
              <w:t>Unemployment rate</w:t>
            </w:r>
          </w:p>
        </w:tc>
        <w:tc>
          <w:tcPr>
            <w:tcW w:w="3500" w:type="pct"/>
          </w:tcPr>
          <w:p w14:paraId="70DFF2B4" w14:textId="0B8CA858" w:rsidR="00052431" w:rsidRPr="009764EE" w:rsidRDefault="00052431" w:rsidP="00275B11">
            <w:pPr>
              <w:pStyle w:val="TableTextLeft"/>
            </w:pPr>
            <w:r w:rsidRPr="009764EE">
              <w:t>For any group, the number of unemployed persons expressed as a percentage of the labour force in the same group.</w:t>
            </w:r>
          </w:p>
        </w:tc>
      </w:tr>
      <w:tr w:rsidR="00052431" w:rsidRPr="009764EE" w14:paraId="13836AD3" w14:textId="77777777" w:rsidTr="00C56206">
        <w:trPr>
          <w:trHeight w:val="20"/>
        </w:trPr>
        <w:tc>
          <w:tcPr>
            <w:tcW w:w="1500" w:type="pct"/>
          </w:tcPr>
          <w:p w14:paraId="1D8EC23F" w14:textId="0D89BC43" w:rsidR="00052431" w:rsidRPr="009764EE" w:rsidRDefault="00052431" w:rsidP="00275B11">
            <w:pPr>
              <w:pStyle w:val="TableColumnHeadingLeft"/>
            </w:pPr>
            <w:r w:rsidRPr="009764EE">
              <w:t xml:space="preserve">United Nations Sustainable Development Goals </w:t>
            </w:r>
          </w:p>
        </w:tc>
        <w:tc>
          <w:tcPr>
            <w:tcW w:w="3500" w:type="pct"/>
          </w:tcPr>
          <w:p w14:paraId="08BE9C6B" w14:textId="666AB43C" w:rsidR="00052431" w:rsidRPr="009764EE" w:rsidRDefault="00052431" w:rsidP="00275B11">
            <w:pPr>
              <w:pStyle w:val="TableTextLeft"/>
            </w:pPr>
            <w:r w:rsidRPr="009764EE">
              <w:t xml:space="preserve">The Sustainable Development Goals are a collection of seventeen interlinked objectives designed to serve as a shared blueprint for peace and prosperity for people and the planet, now and into the future. </w:t>
            </w:r>
          </w:p>
        </w:tc>
      </w:tr>
      <w:tr w:rsidR="00052431" w:rsidRPr="009764EE" w14:paraId="7B752407" w14:textId="77777777" w:rsidTr="00C56206">
        <w:trPr>
          <w:trHeight w:val="20"/>
        </w:trPr>
        <w:tc>
          <w:tcPr>
            <w:tcW w:w="1500" w:type="pct"/>
          </w:tcPr>
          <w:p w14:paraId="33A5CBBD" w14:textId="306F826F" w:rsidR="00052431" w:rsidRPr="009764EE" w:rsidRDefault="00052431" w:rsidP="00275B11">
            <w:pPr>
              <w:pStyle w:val="TableColumnHeadingLeft"/>
            </w:pPr>
            <w:r w:rsidRPr="009764EE">
              <w:t xml:space="preserve">Wellbeing themes </w:t>
            </w:r>
          </w:p>
        </w:tc>
        <w:tc>
          <w:tcPr>
            <w:tcW w:w="3500" w:type="pct"/>
          </w:tcPr>
          <w:p w14:paraId="7A85D624" w14:textId="560CB22E" w:rsidR="00052431" w:rsidRPr="009764EE" w:rsidRDefault="00052431" w:rsidP="00275B11">
            <w:pPr>
              <w:pStyle w:val="TableTextLeft"/>
            </w:pPr>
            <w:r w:rsidRPr="009764EE">
              <w:t xml:space="preserve">Wellbeing themes, in the </w:t>
            </w:r>
            <w:r w:rsidRPr="00FB6842">
              <w:rPr>
                <w:rStyle w:val="Emphasis"/>
              </w:rPr>
              <w:t>Measuring What Matters</w:t>
            </w:r>
            <w:r w:rsidRPr="009764EE">
              <w:t xml:space="preserve"> Framework, set out the aspects and resources that are important to Australians</w:t>
            </w:r>
            <w:r w:rsidR="00135DEA">
              <w:t>’</w:t>
            </w:r>
            <w:r w:rsidRPr="009764EE">
              <w:t xml:space="preserve"> individual and collective wellbeing across all phases of life in five broad themes: healthy, secure, sustainable, cohesive, prosperous.</w:t>
            </w:r>
          </w:p>
        </w:tc>
      </w:tr>
    </w:tbl>
    <w:p w14:paraId="19060402" w14:textId="0230A496" w:rsidR="00C04689" w:rsidRPr="009764EE" w:rsidRDefault="00C04689" w:rsidP="0069427E">
      <w:pPr>
        <w:rPr>
          <w:rFonts w:ascii="Calibri" w:hAnsi="Calibri" w:cs="Calibri"/>
        </w:rPr>
      </w:pPr>
    </w:p>
    <w:p w14:paraId="70EB9B1D" w14:textId="77777777" w:rsidR="004619A4" w:rsidRDefault="004619A4" w:rsidP="004619A4">
      <w:pPr>
        <w:sectPr w:rsidR="004619A4" w:rsidSect="00DA302B">
          <w:endnotePr>
            <w:numFmt w:val="decimal"/>
          </w:endnotePr>
          <w:pgSz w:w="11906" w:h="16838" w:code="9"/>
          <w:pgMar w:top="1843" w:right="1418" w:bottom="1418" w:left="1418" w:header="851" w:footer="851" w:gutter="0"/>
          <w:cols w:space="567"/>
          <w:docGrid w:linePitch="360"/>
        </w:sectPr>
      </w:pPr>
      <w:bookmarkStart w:id="142" w:name="_Toc140164505"/>
      <w:bookmarkStart w:id="143" w:name="_Hlk139292185"/>
    </w:p>
    <w:p w14:paraId="7F3B6A1C" w14:textId="60630482" w:rsidR="00296D40" w:rsidRPr="009764EE" w:rsidRDefault="00296D40" w:rsidP="00037C32">
      <w:pPr>
        <w:pStyle w:val="Heading1"/>
      </w:pPr>
      <w:bookmarkStart w:id="144" w:name="_Toc147497694"/>
      <w:r w:rsidRPr="009764EE">
        <w:lastRenderedPageBreak/>
        <w:t>Data dictionary</w:t>
      </w:r>
      <w:bookmarkEnd w:id="144"/>
      <w:r w:rsidRPr="009764EE">
        <w:t xml:space="preserve"> </w:t>
      </w:r>
    </w:p>
    <w:bookmarkEnd w:id="142"/>
    <w:bookmarkEnd w:id="143"/>
    <w:p w14:paraId="54569B00" w14:textId="6E202BE0" w:rsidR="005546F1" w:rsidRPr="009764EE" w:rsidRDefault="008B6C53" w:rsidP="00FA6726">
      <w:pPr>
        <w:pStyle w:val="TableMainHeading"/>
      </w:pPr>
      <w:r w:rsidRPr="009764EE">
        <w:t xml:space="preserve">Overall life satisfaction </w:t>
      </w:r>
    </w:p>
    <w:tbl>
      <w:tblPr>
        <w:tblStyle w:val="MWMTables"/>
        <w:tblW w:w="5000" w:type="pct"/>
        <w:tblLook w:val="06A0" w:firstRow="1" w:lastRow="0" w:firstColumn="1" w:lastColumn="0" w:noHBand="1" w:noVBand="1"/>
      </w:tblPr>
      <w:tblGrid>
        <w:gridCol w:w="1996"/>
        <w:gridCol w:w="4843"/>
        <w:gridCol w:w="2231"/>
      </w:tblGrid>
      <w:tr w:rsidR="00C54DEE" w:rsidRPr="00A80D08" w14:paraId="09271EFB" w14:textId="77777777" w:rsidTr="00C56206">
        <w:trPr>
          <w:cnfStyle w:val="100000000000" w:firstRow="1" w:lastRow="0" w:firstColumn="0" w:lastColumn="0" w:oddVBand="0" w:evenVBand="0" w:oddHBand="0" w:evenHBand="0" w:firstRowFirstColumn="0" w:firstRowLastColumn="0" w:lastRowFirstColumn="0" w:lastRowLastColumn="0"/>
          <w:trHeight w:val="20"/>
        </w:trPr>
        <w:tc>
          <w:tcPr>
            <w:tcW w:w="1100" w:type="pct"/>
          </w:tcPr>
          <w:p w14:paraId="0FBD6638" w14:textId="77777777" w:rsidR="005546F1" w:rsidRPr="00A80D08" w:rsidRDefault="005546F1" w:rsidP="00A80D08">
            <w:pPr>
              <w:pStyle w:val="TableColumnHeadingLeft"/>
            </w:pPr>
            <w:r w:rsidRPr="00A80D08">
              <w:t>Indicator</w:t>
            </w:r>
          </w:p>
        </w:tc>
        <w:tc>
          <w:tcPr>
            <w:tcW w:w="2670" w:type="pct"/>
          </w:tcPr>
          <w:p w14:paraId="7007321B" w14:textId="77777777" w:rsidR="005546F1" w:rsidRPr="00A80D08" w:rsidRDefault="005546F1" w:rsidP="00A80D08">
            <w:pPr>
              <w:pStyle w:val="TableColumnHeadingLeft"/>
            </w:pPr>
            <w:r w:rsidRPr="00A80D08">
              <w:t xml:space="preserve">Metric </w:t>
            </w:r>
          </w:p>
        </w:tc>
        <w:tc>
          <w:tcPr>
            <w:tcW w:w="1231" w:type="pct"/>
          </w:tcPr>
          <w:p w14:paraId="5F1A25C0" w14:textId="77777777" w:rsidR="005546F1" w:rsidRPr="00A80D08" w:rsidRDefault="005546F1" w:rsidP="00A80D08">
            <w:pPr>
              <w:pStyle w:val="TableColumnHeadingLeft"/>
            </w:pPr>
            <w:r w:rsidRPr="00A80D08">
              <w:t xml:space="preserve">Source </w:t>
            </w:r>
          </w:p>
        </w:tc>
      </w:tr>
      <w:tr w:rsidR="008B6C53" w:rsidRPr="009764EE" w14:paraId="0678BF79" w14:textId="77777777" w:rsidTr="00C56206">
        <w:trPr>
          <w:trHeight w:val="20"/>
        </w:trPr>
        <w:tc>
          <w:tcPr>
            <w:tcW w:w="1100" w:type="pct"/>
          </w:tcPr>
          <w:p w14:paraId="32FE993E" w14:textId="17BA3AC3" w:rsidR="008B6C53" w:rsidRPr="00A80D08" w:rsidRDefault="00F470B1" w:rsidP="00A6211B">
            <w:pPr>
              <w:pStyle w:val="TableTextLeft"/>
              <w:rPr>
                <w:rStyle w:val="Strong"/>
                <w:color w:val="082C44"/>
              </w:rPr>
            </w:pPr>
            <w:r w:rsidRPr="00A80D08">
              <w:rPr>
                <w:rStyle w:val="Strong"/>
                <w:color w:val="082C44"/>
              </w:rPr>
              <w:t xml:space="preserve">Overall life satisfaction </w:t>
            </w:r>
          </w:p>
        </w:tc>
        <w:tc>
          <w:tcPr>
            <w:tcW w:w="2670" w:type="pct"/>
          </w:tcPr>
          <w:p w14:paraId="6C49BE3B" w14:textId="73D9254D" w:rsidR="008B6C53" w:rsidRPr="009764EE" w:rsidRDefault="00F470B1" w:rsidP="00A6211B">
            <w:pPr>
              <w:pStyle w:val="TableTextLeft"/>
            </w:pPr>
            <w:r w:rsidRPr="009764EE">
              <w:rPr>
                <w:rFonts w:eastAsia="Calibri Light"/>
              </w:rPr>
              <w:t>Overall life satisfaction is a summary measure of subjective wellbeing, reflecting how satisfied people are feeling with their lives in general.</w:t>
            </w:r>
          </w:p>
        </w:tc>
        <w:tc>
          <w:tcPr>
            <w:tcW w:w="1231" w:type="pct"/>
          </w:tcPr>
          <w:p w14:paraId="66D4A2DC" w14:textId="65F9AF83" w:rsidR="008B6C53" w:rsidRPr="009764EE" w:rsidRDefault="00677040" w:rsidP="00FA6726">
            <w:pPr>
              <w:pStyle w:val="TableTextLeft"/>
            </w:pPr>
            <w:r w:rsidRPr="009764EE">
              <w:rPr>
                <w:rFonts w:eastAsia="Calibri Light"/>
              </w:rPr>
              <w:t xml:space="preserve">ABS </w:t>
            </w:r>
            <w:r w:rsidRPr="00FB6842">
              <w:rPr>
                <w:rStyle w:val="Emphasis"/>
                <w:rFonts w:eastAsia="Calibri Light"/>
              </w:rPr>
              <w:t>General Social Survey</w:t>
            </w:r>
          </w:p>
        </w:tc>
      </w:tr>
    </w:tbl>
    <w:p w14:paraId="78DE33C7" w14:textId="248FD1B9" w:rsidR="00A87B4B" w:rsidRPr="009764EE" w:rsidRDefault="00A87B4B" w:rsidP="005C203F">
      <w:pPr>
        <w:pStyle w:val="TableMainHeading"/>
      </w:pPr>
      <w:r w:rsidRPr="009764EE">
        <w:t xml:space="preserve">Healthy </w:t>
      </w:r>
    </w:p>
    <w:tbl>
      <w:tblPr>
        <w:tblStyle w:val="MWMTables"/>
        <w:tblW w:w="5000" w:type="pct"/>
        <w:tblLook w:val="06A0" w:firstRow="1" w:lastRow="0" w:firstColumn="1" w:lastColumn="0" w:noHBand="1" w:noVBand="1"/>
      </w:tblPr>
      <w:tblGrid>
        <w:gridCol w:w="1995"/>
        <w:gridCol w:w="4842"/>
        <w:gridCol w:w="2233"/>
      </w:tblGrid>
      <w:tr w:rsidR="00A87B4B" w:rsidRPr="00A80D08" w14:paraId="4DACCF75" w14:textId="77777777" w:rsidTr="00C56206">
        <w:trPr>
          <w:cnfStyle w:val="100000000000" w:firstRow="1" w:lastRow="0" w:firstColumn="0" w:lastColumn="0" w:oddVBand="0" w:evenVBand="0" w:oddHBand="0" w:evenHBand="0" w:firstRowFirstColumn="0" w:firstRowLastColumn="0" w:lastRowFirstColumn="0" w:lastRowLastColumn="0"/>
          <w:trHeight w:val="20"/>
        </w:trPr>
        <w:tc>
          <w:tcPr>
            <w:tcW w:w="1100" w:type="pct"/>
          </w:tcPr>
          <w:p w14:paraId="7F75548C" w14:textId="77777777" w:rsidR="00A87B4B" w:rsidRPr="00A80D08" w:rsidRDefault="00A87B4B" w:rsidP="00A80D08">
            <w:pPr>
              <w:pStyle w:val="TableColumnHeadingLeft"/>
            </w:pPr>
            <w:r w:rsidRPr="00A80D08">
              <w:t>Indicator</w:t>
            </w:r>
          </w:p>
        </w:tc>
        <w:tc>
          <w:tcPr>
            <w:tcW w:w="2669" w:type="pct"/>
          </w:tcPr>
          <w:p w14:paraId="5339776B" w14:textId="77777777" w:rsidR="00A87B4B" w:rsidRPr="00A80D08" w:rsidRDefault="00A87B4B" w:rsidP="00A80D08">
            <w:pPr>
              <w:pStyle w:val="TableColumnHeadingLeft"/>
            </w:pPr>
            <w:r w:rsidRPr="00A80D08">
              <w:t xml:space="preserve">Metric </w:t>
            </w:r>
          </w:p>
        </w:tc>
        <w:tc>
          <w:tcPr>
            <w:tcW w:w="1231" w:type="pct"/>
          </w:tcPr>
          <w:p w14:paraId="5EA727C0" w14:textId="77777777" w:rsidR="00A87B4B" w:rsidRPr="00A80D08" w:rsidRDefault="00A87B4B" w:rsidP="00A80D08">
            <w:pPr>
              <w:pStyle w:val="TableColumnHeadingLeft"/>
            </w:pPr>
            <w:r w:rsidRPr="00A80D08">
              <w:t xml:space="preserve">Source </w:t>
            </w:r>
          </w:p>
        </w:tc>
      </w:tr>
      <w:tr w:rsidR="001A7C56" w:rsidRPr="001A7C56" w14:paraId="0524E3C8" w14:textId="77777777" w:rsidTr="00FB6842">
        <w:trPr>
          <w:trHeight w:val="20"/>
        </w:trPr>
        <w:tc>
          <w:tcPr>
            <w:tcW w:w="5000" w:type="pct"/>
            <w:gridSpan w:val="3"/>
            <w:shd w:val="clear" w:color="auto" w:fill="216364"/>
          </w:tcPr>
          <w:p w14:paraId="3DA885E1" w14:textId="4DD0A9F1" w:rsidR="00A87B4B" w:rsidRPr="001A7C56" w:rsidRDefault="00233ED1" w:rsidP="001A7C56">
            <w:pPr>
              <w:pStyle w:val="TableTextLeft"/>
              <w:rPr>
                <w:b/>
                <w:bCs/>
                <w:color w:val="FFFFFF" w:themeColor="background1"/>
              </w:rPr>
            </w:pPr>
            <w:r w:rsidRPr="001A7C56">
              <w:rPr>
                <w:b/>
                <w:bCs/>
                <w:color w:val="FFFFFF" w:themeColor="background1"/>
              </w:rPr>
              <w:t>Healthy throughout life</w:t>
            </w:r>
          </w:p>
        </w:tc>
      </w:tr>
      <w:tr w:rsidR="00A87B4B" w:rsidRPr="009764EE" w14:paraId="112B2B61" w14:textId="77777777" w:rsidTr="00C56206">
        <w:trPr>
          <w:trHeight w:val="20"/>
        </w:trPr>
        <w:tc>
          <w:tcPr>
            <w:tcW w:w="1100" w:type="pct"/>
            <w:vMerge w:val="restart"/>
          </w:tcPr>
          <w:p w14:paraId="7343175E" w14:textId="77777777" w:rsidR="00A87B4B" w:rsidRPr="00A80D08" w:rsidRDefault="00A87B4B" w:rsidP="001A7C56">
            <w:pPr>
              <w:pStyle w:val="TableTextLeft"/>
              <w:rPr>
                <w:rStyle w:val="Strong"/>
                <w:color w:val="082C44"/>
              </w:rPr>
            </w:pPr>
            <w:r w:rsidRPr="00A80D08">
              <w:rPr>
                <w:rStyle w:val="Strong"/>
                <w:color w:val="082C44"/>
              </w:rPr>
              <w:t xml:space="preserve">Life expectancy </w:t>
            </w:r>
          </w:p>
        </w:tc>
        <w:tc>
          <w:tcPr>
            <w:tcW w:w="2669" w:type="pct"/>
            <w:tcBorders>
              <w:top w:val="single" w:sz="4" w:space="0" w:color="216364"/>
              <w:bottom w:val="single" w:sz="4" w:space="0" w:color="EEEEEE" w:themeColor="background2"/>
            </w:tcBorders>
          </w:tcPr>
          <w:p w14:paraId="6FE45553" w14:textId="0E74744B" w:rsidR="00A87B4B" w:rsidRPr="009764EE" w:rsidRDefault="00A87B4B" w:rsidP="001A7C56">
            <w:pPr>
              <w:pStyle w:val="TableTextLeft"/>
            </w:pPr>
            <w:r w:rsidRPr="009764EE">
              <w:t>Life expectancy at birth</w:t>
            </w:r>
            <w:r w:rsidR="001524A0">
              <w:t xml:space="preserve"> – </w:t>
            </w:r>
            <w:r w:rsidR="0099362F">
              <w:t>measures</w:t>
            </w:r>
            <w:r w:rsidR="00E92327">
              <w:t xml:space="preserve"> the </w:t>
            </w:r>
            <w:r w:rsidR="00FC1003" w:rsidRPr="004F0DA3">
              <w:t>average number of years a newborn can expect to live</w:t>
            </w:r>
          </w:p>
        </w:tc>
        <w:tc>
          <w:tcPr>
            <w:tcW w:w="1231" w:type="pct"/>
            <w:tcBorders>
              <w:top w:val="single" w:sz="4" w:space="0" w:color="216364"/>
              <w:bottom w:val="single" w:sz="4" w:space="0" w:color="EEEEEE" w:themeColor="background2"/>
            </w:tcBorders>
          </w:tcPr>
          <w:p w14:paraId="25AA4BD0" w14:textId="17788842" w:rsidR="00A87B4B" w:rsidRPr="009764EE" w:rsidRDefault="00A87B4B" w:rsidP="00FB6842">
            <w:pPr>
              <w:pStyle w:val="TableTextLeft"/>
              <w:rPr>
                <w:rFonts w:ascii="Calibri" w:hAnsi="Calibri" w:cs="Calibri"/>
              </w:rPr>
            </w:pPr>
            <w:r w:rsidRPr="00FB6842">
              <w:t xml:space="preserve">ABS </w:t>
            </w:r>
            <w:r w:rsidRPr="00FB6842">
              <w:rPr>
                <w:rStyle w:val="Emphasis"/>
              </w:rPr>
              <w:t>Life Tables</w:t>
            </w:r>
          </w:p>
        </w:tc>
      </w:tr>
      <w:tr w:rsidR="00A87B4B" w:rsidRPr="009764EE" w14:paraId="4FB39AB1" w14:textId="77777777" w:rsidTr="00C56206">
        <w:trPr>
          <w:trHeight w:val="20"/>
        </w:trPr>
        <w:tc>
          <w:tcPr>
            <w:tcW w:w="1100" w:type="pct"/>
            <w:vMerge/>
          </w:tcPr>
          <w:p w14:paraId="402BE049" w14:textId="77777777" w:rsidR="00A87B4B" w:rsidRPr="00A80D08" w:rsidRDefault="00A87B4B" w:rsidP="001A7C56">
            <w:pPr>
              <w:pStyle w:val="TableTextLeft"/>
              <w:rPr>
                <w:rStyle w:val="Strong"/>
                <w:color w:val="082C44"/>
              </w:rPr>
            </w:pPr>
          </w:p>
        </w:tc>
        <w:tc>
          <w:tcPr>
            <w:tcW w:w="2669" w:type="pct"/>
            <w:tcBorders>
              <w:top w:val="single" w:sz="4" w:space="0" w:color="EEEEEE" w:themeColor="background2"/>
            </w:tcBorders>
          </w:tcPr>
          <w:p w14:paraId="6E482543" w14:textId="62185B59" w:rsidR="00A87B4B" w:rsidRPr="009764EE" w:rsidRDefault="00B67871" w:rsidP="001A7C56">
            <w:pPr>
              <w:pStyle w:val="TableTextLeft"/>
            </w:pPr>
            <w:r w:rsidRPr="009764EE">
              <w:t>Health</w:t>
            </w:r>
            <w:r w:rsidR="00135DEA">
              <w:noBreakHyphen/>
            </w:r>
            <w:r w:rsidRPr="009764EE">
              <w:t>adjusted life expectancy</w:t>
            </w:r>
            <w:r w:rsidR="001524A0">
              <w:t xml:space="preserve"> – </w:t>
            </w:r>
            <w:r w:rsidR="009C08DF" w:rsidRPr="009764EE">
              <w:t>the length of time a person at birth could expect to live in full health without disease or injury</w:t>
            </w:r>
          </w:p>
        </w:tc>
        <w:tc>
          <w:tcPr>
            <w:tcW w:w="1231" w:type="pct"/>
            <w:tcBorders>
              <w:top w:val="single" w:sz="4" w:space="0" w:color="EEEEEE" w:themeColor="background2"/>
            </w:tcBorders>
          </w:tcPr>
          <w:p w14:paraId="60CA65E3" w14:textId="50216814" w:rsidR="00A87B4B" w:rsidRPr="009764EE" w:rsidRDefault="00A87B4B" w:rsidP="00FB6842">
            <w:pPr>
              <w:pStyle w:val="TableTextLeft"/>
              <w:rPr>
                <w:rFonts w:ascii="Calibri" w:hAnsi="Calibri" w:cs="Calibri"/>
              </w:rPr>
            </w:pPr>
            <w:r w:rsidRPr="00FB6842">
              <w:t>AIHW,</w:t>
            </w:r>
            <w:r w:rsidRPr="009764EE">
              <w:rPr>
                <w:rFonts w:ascii="Calibri" w:hAnsi="Calibri" w:cs="Calibri"/>
              </w:rPr>
              <w:t xml:space="preserve"> </w:t>
            </w:r>
            <w:r w:rsidRPr="00FB6842">
              <w:rPr>
                <w:rStyle w:val="Emphasis"/>
              </w:rPr>
              <w:t>Australian Burden of Disease Study</w:t>
            </w:r>
          </w:p>
        </w:tc>
      </w:tr>
      <w:tr w:rsidR="00A87B4B" w:rsidRPr="009764EE" w14:paraId="3590A1FF" w14:textId="77777777" w:rsidTr="00C56206">
        <w:trPr>
          <w:trHeight w:val="20"/>
        </w:trPr>
        <w:tc>
          <w:tcPr>
            <w:tcW w:w="1100" w:type="pct"/>
          </w:tcPr>
          <w:p w14:paraId="3842615A" w14:textId="77777777" w:rsidR="00A87B4B" w:rsidRPr="00A80D08" w:rsidRDefault="00A87B4B" w:rsidP="001A7C56">
            <w:pPr>
              <w:pStyle w:val="TableTextLeft"/>
              <w:rPr>
                <w:rStyle w:val="Strong"/>
                <w:color w:val="082C44"/>
              </w:rPr>
            </w:pPr>
            <w:r w:rsidRPr="00A80D08">
              <w:rPr>
                <w:rStyle w:val="Strong"/>
                <w:color w:val="082C44"/>
              </w:rPr>
              <w:t>Mental health</w:t>
            </w:r>
          </w:p>
        </w:tc>
        <w:tc>
          <w:tcPr>
            <w:tcW w:w="2669" w:type="pct"/>
          </w:tcPr>
          <w:p w14:paraId="659D867F" w14:textId="2BC4DACF" w:rsidR="00A87B4B" w:rsidRPr="009764EE" w:rsidRDefault="00A87B4B" w:rsidP="001A7C56">
            <w:pPr>
              <w:pStyle w:val="TableTextLeft"/>
            </w:pPr>
            <w:r w:rsidRPr="009764EE">
              <w:t xml:space="preserve">Proportion of </w:t>
            </w:r>
            <w:r w:rsidR="00101BF3">
              <w:t>people</w:t>
            </w:r>
            <w:r w:rsidRPr="009764EE">
              <w:t xml:space="preserve"> who experienced high or very high levels of psychological distress</w:t>
            </w:r>
            <w:r w:rsidRPr="009764EE" w:rsidDel="00657D4C">
              <w:t xml:space="preserve"> </w:t>
            </w:r>
          </w:p>
        </w:tc>
        <w:tc>
          <w:tcPr>
            <w:tcW w:w="1231" w:type="pct"/>
          </w:tcPr>
          <w:p w14:paraId="40D48F77" w14:textId="5CF7D46B" w:rsidR="00A87B4B" w:rsidRPr="005C203F" w:rsidRDefault="00A87B4B"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 xml:space="preserve">National Health Survey </w:t>
            </w:r>
          </w:p>
        </w:tc>
      </w:tr>
      <w:tr w:rsidR="00A87B4B" w:rsidRPr="009764EE" w14:paraId="013D0608" w14:textId="77777777" w:rsidTr="00C56206">
        <w:trPr>
          <w:trHeight w:val="20"/>
        </w:trPr>
        <w:tc>
          <w:tcPr>
            <w:tcW w:w="1100" w:type="pct"/>
          </w:tcPr>
          <w:p w14:paraId="08A37E58" w14:textId="77777777" w:rsidR="00A87B4B" w:rsidRPr="00A80D08" w:rsidRDefault="00A87B4B" w:rsidP="001A7C56">
            <w:pPr>
              <w:pStyle w:val="TableTextLeft"/>
              <w:rPr>
                <w:rStyle w:val="Strong"/>
                <w:color w:val="082C44"/>
              </w:rPr>
            </w:pPr>
            <w:r w:rsidRPr="00A80D08">
              <w:rPr>
                <w:rStyle w:val="Strong"/>
                <w:color w:val="082C44"/>
              </w:rPr>
              <w:t xml:space="preserve">Prevalence of chronic conditions </w:t>
            </w:r>
          </w:p>
        </w:tc>
        <w:tc>
          <w:tcPr>
            <w:tcW w:w="2669" w:type="pct"/>
          </w:tcPr>
          <w:p w14:paraId="0332AD1F" w14:textId="676791EF" w:rsidR="00A87B4B" w:rsidRPr="009764EE" w:rsidRDefault="00A87B4B" w:rsidP="001A7C56">
            <w:pPr>
              <w:pStyle w:val="TableTextLeft"/>
            </w:pPr>
            <w:r w:rsidRPr="009764EE">
              <w:t xml:space="preserve">Proportion of </w:t>
            </w:r>
            <w:r w:rsidR="00101BF3">
              <w:t>people</w:t>
            </w:r>
            <w:r w:rsidR="00101BF3" w:rsidRPr="009764EE">
              <w:t xml:space="preserve"> </w:t>
            </w:r>
            <w:r w:rsidRPr="009764EE">
              <w:t xml:space="preserve">with one or more </w:t>
            </w:r>
            <w:r w:rsidR="00A41342" w:rsidRPr="009764EE">
              <w:t>selected</w:t>
            </w:r>
            <w:r w:rsidRPr="009764EE">
              <w:t xml:space="preserve"> chronic condition</w:t>
            </w:r>
            <w:r w:rsidR="007F31DF">
              <w:t>s</w:t>
            </w:r>
          </w:p>
        </w:tc>
        <w:tc>
          <w:tcPr>
            <w:tcW w:w="1231" w:type="pct"/>
          </w:tcPr>
          <w:p w14:paraId="4A2825C0" w14:textId="77777777" w:rsidR="00A87B4B" w:rsidRPr="009764EE" w:rsidRDefault="00A87B4B"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National Health Survey</w:t>
            </w:r>
          </w:p>
        </w:tc>
      </w:tr>
      <w:tr w:rsidR="001A7C56" w:rsidRPr="001A7C56" w14:paraId="0AE26663" w14:textId="77777777" w:rsidTr="00FB6842">
        <w:trPr>
          <w:trHeight w:val="20"/>
        </w:trPr>
        <w:tc>
          <w:tcPr>
            <w:tcW w:w="5000" w:type="pct"/>
            <w:gridSpan w:val="3"/>
            <w:shd w:val="clear" w:color="auto" w:fill="216364"/>
          </w:tcPr>
          <w:p w14:paraId="3F3261E5" w14:textId="7253ECBE" w:rsidR="00A87B4B" w:rsidRPr="001A7C56" w:rsidRDefault="007A003F" w:rsidP="001A7C56">
            <w:pPr>
              <w:pStyle w:val="TableTextLeft"/>
              <w:rPr>
                <w:b/>
                <w:bCs/>
                <w:color w:val="FFFFFF" w:themeColor="background1"/>
              </w:rPr>
            </w:pPr>
            <w:r w:rsidRPr="001A7C56">
              <w:rPr>
                <w:b/>
                <w:bCs/>
                <w:color w:val="FFFFFF" w:themeColor="background1"/>
              </w:rPr>
              <w:t xml:space="preserve">Equitable </w:t>
            </w:r>
            <w:r w:rsidR="00233ED1" w:rsidRPr="001A7C56">
              <w:rPr>
                <w:b/>
                <w:bCs/>
                <w:color w:val="FFFFFF" w:themeColor="background1"/>
              </w:rPr>
              <w:t>access to quality health and care services</w:t>
            </w:r>
          </w:p>
        </w:tc>
      </w:tr>
      <w:tr w:rsidR="001366C5" w:rsidRPr="009764EE" w14:paraId="4E33F31C" w14:textId="77777777" w:rsidTr="00C56206">
        <w:trPr>
          <w:trHeight w:val="20"/>
        </w:trPr>
        <w:tc>
          <w:tcPr>
            <w:tcW w:w="1100" w:type="pct"/>
            <w:vMerge w:val="restart"/>
            <w:tcBorders>
              <w:top w:val="single" w:sz="4" w:space="0" w:color="216364"/>
              <w:bottom w:val="single" w:sz="4" w:space="0" w:color="EEEEEE" w:themeColor="background2"/>
            </w:tcBorders>
          </w:tcPr>
          <w:p w14:paraId="2A7E8F6D" w14:textId="77777777" w:rsidR="001366C5" w:rsidRPr="00A80D08" w:rsidRDefault="001366C5" w:rsidP="00A80D08">
            <w:pPr>
              <w:pStyle w:val="TableTextLeft"/>
              <w:rPr>
                <w:rStyle w:val="Strong"/>
                <w:color w:val="082C44"/>
              </w:rPr>
            </w:pPr>
            <w:r w:rsidRPr="00A80D08">
              <w:rPr>
                <w:rStyle w:val="Strong"/>
                <w:color w:val="082C44"/>
              </w:rPr>
              <w:t>Access to health services</w:t>
            </w:r>
          </w:p>
        </w:tc>
        <w:tc>
          <w:tcPr>
            <w:tcW w:w="2669" w:type="pct"/>
            <w:tcBorders>
              <w:top w:val="single" w:sz="4" w:space="0" w:color="216364"/>
              <w:bottom w:val="single" w:sz="4" w:space="0" w:color="EEEEEE" w:themeColor="background2"/>
            </w:tcBorders>
          </w:tcPr>
          <w:p w14:paraId="5451098F" w14:textId="0BC23827" w:rsidR="001366C5" w:rsidRPr="009764EE" w:rsidRDefault="00E04206" w:rsidP="00FB6842">
            <w:pPr>
              <w:pStyle w:val="TableTextLeft"/>
            </w:pPr>
            <w:r w:rsidRPr="00E04206">
              <w:t>Cost: Proportion of people who at least once delayed or did not see a General Practitioner (GP) when</w:t>
            </w:r>
            <w:r w:rsidR="005C203F">
              <w:t xml:space="preserve"> </w:t>
            </w:r>
            <w:r w:rsidRPr="00E04206">
              <w:t>needed due to cost</w:t>
            </w:r>
            <w:r>
              <w:t xml:space="preserve"> </w:t>
            </w:r>
          </w:p>
        </w:tc>
        <w:tc>
          <w:tcPr>
            <w:tcW w:w="1231" w:type="pct"/>
            <w:vMerge w:val="restart"/>
          </w:tcPr>
          <w:p w14:paraId="43E89F4C" w14:textId="27EF7A17" w:rsidR="001366C5" w:rsidRPr="009764EE" w:rsidRDefault="001366C5"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Patient Experience Survey</w:t>
            </w:r>
          </w:p>
        </w:tc>
      </w:tr>
      <w:tr w:rsidR="001366C5" w:rsidRPr="009764EE" w14:paraId="590131E7" w14:textId="77777777" w:rsidTr="00C56206">
        <w:trPr>
          <w:trHeight w:val="20"/>
        </w:trPr>
        <w:tc>
          <w:tcPr>
            <w:tcW w:w="1100" w:type="pct"/>
            <w:vMerge/>
            <w:tcBorders>
              <w:top w:val="single" w:sz="4" w:space="0" w:color="EEEEEE" w:themeColor="background2"/>
              <w:bottom w:val="single" w:sz="4" w:space="0" w:color="EEEEEE" w:themeColor="background2"/>
            </w:tcBorders>
          </w:tcPr>
          <w:p w14:paraId="3A026478" w14:textId="77777777" w:rsidR="001366C5" w:rsidRPr="00A80D08" w:rsidRDefault="001366C5" w:rsidP="00A80D08">
            <w:pPr>
              <w:pStyle w:val="TableTextLeft"/>
              <w:rPr>
                <w:rStyle w:val="Strong"/>
                <w:color w:val="082C44"/>
              </w:rPr>
            </w:pPr>
          </w:p>
        </w:tc>
        <w:tc>
          <w:tcPr>
            <w:tcW w:w="2669" w:type="pct"/>
            <w:tcBorders>
              <w:top w:val="single" w:sz="4" w:space="0" w:color="EEEEEE" w:themeColor="background2"/>
              <w:bottom w:val="single" w:sz="4" w:space="0" w:color="EEEEEE" w:themeColor="background2"/>
            </w:tcBorders>
          </w:tcPr>
          <w:p w14:paraId="08D52DA2" w14:textId="592D9639" w:rsidR="001366C5" w:rsidRPr="009764EE" w:rsidRDefault="00DF1E93" w:rsidP="001A7C56">
            <w:pPr>
              <w:pStyle w:val="TableTextLeft"/>
            </w:pPr>
            <w:r w:rsidRPr="00DF1E93">
              <w:t>Cost: Proportion of people who at least once delayed or did not see a medical specialist when needed due</w:t>
            </w:r>
            <w:r w:rsidR="005C203F">
              <w:t xml:space="preserve"> </w:t>
            </w:r>
            <w:r w:rsidRPr="00DF1E93">
              <w:t>to cost</w:t>
            </w:r>
          </w:p>
        </w:tc>
        <w:tc>
          <w:tcPr>
            <w:tcW w:w="1231" w:type="pct"/>
            <w:vMerge/>
          </w:tcPr>
          <w:p w14:paraId="754451C0" w14:textId="1B97E28E" w:rsidR="001366C5" w:rsidRPr="009764EE" w:rsidRDefault="001366C5">
            <w:pPr>
              <w:spacing w:before="0" w:after="0"/>
              <w:rPr>
                <w:rFonts w:ascii="Calibri" w:hAnsi="Calibri" w:cs="Calibri"/>
              </w:rPr>
            </w:pPr>
          </w:p>
        </w:tc>
      </w:tr>
      <w:tr w:rsidR="001366C5" w:rsidRPr="009764EE" w14:paraId="24CF9CF1" w14:textId="77777777" w:rsidTr="00C56206">
        <w:trPr>
          <w:trHeight w:val="20"/>
        </w:trPr>
        <w:tc>
          <w:tcPr>
            <w:tcW w:w="1100" w:type="pct"/>
            <w:vMerge/>
            <w:tcBorders>
              <w:top w:val="single" w:sz="4" w:space="0" w:color="EEEEEE" w:themeColor="background2"/>
              <w:bottom w:val="single" w:sz="4" w:space="0" w:color="EEEEEE" w:themeColor="background2"/>
            </w:tcBorders>
          </w:tcPr>
          <w:p w14:paraId="1DE44E33" w14:textId="77777777" w:rsidR="001366C5" w:rsidRPr="00A80D08" w:rsidRDefault="001366C5" w:rsidP="00A80D08">
            <w:pPr>
              <w:pStyle w:val="TableTextLeft"/>
              <w:rPr>
                <w:rStyle w:val="Strong"/>
                <w:color w:val="082C44"/>
              </w:rPr>
            </w:pPr>
          </w:p>
        </w:tc>
        <w:tc>
          <w:tcPr>
            <w:tcW w:w="2669" w:type="pct"/>
            <w:tcBorders>
              <w:top w:val="single" w:sz="4" w:space="0" w:color="EEEEEE" w:themeColor="background2"/>
              <w:bottom w:val="single" w:sz="4" w:space="0" w:color="EEEEEE" w:themeColor="background2"/>
            </w:tcBorders>
          </w:tcPr>
          <w:p w14:paraId="5A98C7DA" w14:textId="6AE97D38" w:rsidR="001366C5" w:rsidRPr="009764EE" w:rsidRDefault="00F63D9B" w:rsidP="001A7C56">
            <w:pPr>
              <w:pStyle w:val="TableTextLeft"/>
            </w:pPr>
            <w:r w:rsidRPr="00F63D9B">
              <w:t>Wait times: Proportion of people waiting longer than</w:t>
            </w:r>
            <w:r w:rsidR="005C203F">
              <w:t xml:space="preserve"> </w:t>
            </w:r>
            <w:r w:rsidRPr="00F63D9B">
              <w:t>they felt acceptable for an appointment with a GP</w:t>
            </w:r>
          </w:p>
        </w:tc>
        <w:tc>
          <w:tcPr>
            <w:tcW w:w="1231" w:type="pct"/>
            <w:vMerge/>
          </w:tcPr>
          <w:p w14:paraId="3237E16B" w14:textId="6758D2A6" w:rsidR="001366C5" w:rsidRPr="009764EE" w:rsidRDefault="001366C5">
            <w:pPr>
              <w:spacing w:before="0" w:after="0"/>
              <w:rPr>
                <w:rFonts w:ascii="Calibri" w:hAnsi="Calibri" w:cs="Calibri"/>
              </w:rPr>
            </w:pPr>
          </w:p>
        </w:tc>
      </w:tr>
      <w:tr w:rsidR="001366C5" w:rsidRPr="009764EE" w14:paraId="2398CBA2" w14:textId="77777777" w:rsidTr="00C56206">
        <w:trPr>
          <w:trHeight w:val="20"/>
        </w:trPr>
        <w:tc>
          <w:tcPr>
            <w:tcW w:w="1100" w:type="pct"/>
            <w:vMerge/>
            <w:tcBorders>
              <w:top w:val="single" w:sz="4" w:space="0" w:color="EEEEEE" w:themeColor="background2"/>
              <w:bottom w:val="single" w:sz="4" w:space="0" w:color="216364"/>
            </w:tcBorders>
          </w:tcPr>
          <w:p w14:paraId="4BC47F93" w14:textId="77777777" w:rsidR="001366C5" w:rsidRPr="00A80D08" w:rsidRDefault="001366C5" w:rsidP="00A80D08">
            <w:pPr>
              <w:pStyle w:val="TableTextLeft"/>
              <w:rPr>
                <w:rStyle w:val="Strong"/>
                <w:color w:val="082C44"/>
              </w:rPr>
            </w:pPr>
          </w:p>
        </w:tc>
        <w:tc>
          <w:tcPr>
            <w:tcW w:w="2669" w:type="pct"/>
            <w:tcBorders>
              <w:top w:val="single" w:sz="4" w:space="0" w:color="EEEEEE" w:themeColor="background2"/>
              <w:bottom w:val="single" w:sz="4" w:space="0" w:color="216364"/>
            </w:tcBorders>
          </w:tcPr>
          <w:p w14:paraId="4C5F02D1" w14:textId="3510BA5F" w:rsidR="001366C5" w:rsidRPr="009764EE" w:rsidRDefault="001E3647" w:rsidP="001A7C56">
            <w:pPr>
              <w:pStyle w:val="TableTextLeft"/>
            </w:pPr>
            <w:r w:rsidRPr="001E3647">
              <w:t>Wait times: Proportion of people waiting longer than they felt acceptable for an appointment with a</w:t>
            </w:r>
            <w:r w:rsidR="005C203F">
              <w:t xml:space="preserve"> </w:t>
            </w:r>
            <w:r w:rsidRPr="001E3647">
              <w:t>medical specialist</w:t>
            </w:r>
          </w:p>
        </w:tc>
        <w:tc>
          <w:tcPr>
            <w:tcW w:w="1231" w:type="pct"/>
            <w:vMerge/>
            <w:tcBorders>
              <w:bottom w:val="single" w:sz="4" w:space="0" w:color="216364"/>
            </w:tcBorders>
          </w:tcPr>
          <w:p w14:paraId="73FBF2A6" w14:textId="7C5EB13F" w:rsidR="001366C5" w:rsidRPr="009764EE" w:rsidRDefault="001366C5">
            <w:pPr>
              <w:spacing w:before="0" w:after="0"/>
              <w:rPr>
                <w:rFonts w:ascii="Calibri" w:hAnsi="Calibri" w:cs="Calibri"/>
              </w:rPr>
            </w:pPr>
          </w:p>
        </w:tc>
      </w:tr>
      <w:tr w:rsidR="000B22CF" w:rsidRPr="009764EE" w14:paraId="782281B0" w14:textId="77777777" w:rsidTr="00C56206">
        <w:trPr>
          <w:trHeight w:val="20"/>
        </w:trPr>
        <w:tc>
          <w:tcPr>
            <w:tcW w:w="1100" w:type="pct"/>
            <w:vMerge w:val="restart"/>
            <w:tcBorders>
              <w:top w:val="single" w:sz="4" w:space="0" w:color="216364"/>
              <w:bottom w:val="single" w:sz="4" w:space="0" w:color="EEEEEE" w:themeColor="background2"/>
            </w:tcBorders>
          </w:tcPr>
          <w:p w14:paraId="37C8CD1C" w14:textId="77777777" w:rsidR="000B22CF" w:rsidRPr="00A80D08" w:rsidRDefault="000B22CF" w:rsidP="00A80D08">
            <w:pPr>
              <w:pStyle w:val="TableTextLeft"/>
              <w:rPr>
                <w:rStyle w:val="Strong"/>
                <w:color w:val="082C44"/>
              </w:rPr>
            </w:pPr>
            <w:r w:rsidRPr="00A80D08">
              <w:rPr>
                <w:rStyle w:val="Strong"/>
                <w:color w:val="082C44"/>
              </w:rPr>
              <w:t>Access to care and support services</w:t>
            </w:r>
          </w:p>
        </w:tc>
        <w:tc>
          <w:tcPr>
            <w:tcW w:w="2669" w:type="pct"/>
            <w:tcBorders>
              <w:top w:val="single" w:sz="4" w:space="0" w:color="216364"/>
              <w:bottom w:val="single" w:sz="4" w:space="0" w:color="EEEEEE" w:themeColor="background2"/>
            </w:tcBorders>
          </w:tcPr>
          <w:p w14:paraId="2D717B0C" w14:textId="5CA68A75" w:rsidR="000B22CF" w:rsidRPr="009764EE" w:rsidRDefault="00B83207" w:rsidP="001A7C56">
            <w:pPr>
              <w:pStyle w:val="TableTextLeft"/>
            </w:pPr>
            <w:r w:rsidRPr="00B83207">
              <w:t>Unmet needs: Proportion of people (aged 0</w:t>
            </w:r>
            <w:r w:rsidR="001524A0">
              <w:t>‍–‍</w:t>
            </w:r>
            <w:r w:rsidRPr="00B83207">
              <w:t>64</w:t>
            </w:r>
            <w:r w:rsidR="00C239AD">
              <w:t> year</w:t>
            </w:r>
            <w:r w:rsidRPr="00B83207">
              <w:t>s) living in households who receive disability support</w:t>
            </w:r>
            <w:r w:rsidR="005C203F">
              <w:t xml:space="preserve"> </w:t>
            </w:r>
            <w:r w:rsidRPr="00B83207">
              <w:t>who felt their needs were not being met</w:t>
            </w:r>
          </w:p>
        </w:tc>
        <w:tc>
          <w:tcPr>
            <w:tcW w:w="1231" w:type="pct"/>
            <w:vMerge w:val="restart"/>
            <w:tcBorders>
              <w:top w:val="single" w:sz="4" w:space="0" w:color="216364"/>
            </w:tcBorders>
          </w:tcPr>
          <w:p w14:paraId="54D12FC5" w14:textId="1E9AC4BC" w:rsidR="000B22CF" w:rsidRPr="009764EE" w:rsidRDefault="000B22CF" w:rsidP="001524A0">
            <w:pPr>
              <w:pStyle w:val="TableTextLeft"/>
              <w:rPr>
                <w:rFonts w:ascii="Calibri" w:hAnsi="Calibri" w:cs="Calibri"/>
              </w:rPr>
            </w:pPr>
            <w:r w:rsidRPr="00FB6842">
              <w:t>Productivity Commission (PC) analysis of</w:t>
            </w:r>
            <w:r w:rsidRPr="009764EE">
              <w:rPr>
                <w:rFonts w:ascii="Calibri" w:hAnsi="Calibri" w:cs="Calibri"/>
              </w:rPr>
              <w:t xml:space="preserve"> </w:t>
            </w:r>
            <w:r w:rsidRPr="00FB6842">
              <w:rPr>
                <w:rStyle w:val="Emphasis"/>
              </w:rPr>
              <w:t>ABS Survey of Disability, Ageing and Carers</w:t>
            </w:r>
            <w:r w:rsidRPr="009764EE">
              <w:rPr>
                <w:rFonts w:ascii="Calibri" w:hAnsi="Calibri" w:cs="Calibri"/>
              </w:rPr>
              <w:t>,</w:t>
            </w:r>
            <w:r w:rsidRPr="009764EE" w:rsidDel="00CB7564">
              <w:rPr>
                <w:rFonts w:ascii="Calibri" w:hAnsi="Calibri" w:cs="Calibri"/>
              </w:rPr>
              <w:t xml:space="preserve"> </w:t>
            </w:r>
            <w:r w:rsidRPr="00FB6842">
              <w:rPr>
                <w:rStyle w:val="Emphasis"/>
              </w:rPr>
              <w:t xml:space="preserve">Report on Government Services </w:t>
            </w:r>
          </w:p>
        </w:tc>
      </w:tr>
      <w:tr w:rsidR="000B22CF" w:rsidRPr="009764EE" w14:paraId="763400A8" w14:textId="77777777" w:rsidTr="00C56206">
        <w:trPr>
          <w:trHeight w:val="20"/>
        </w:trPr>
        <w:tc>
          <w:tcPr>
            <w:tcW w:w="1100" w:type="pct"/>
            <w:vMerge/>
            <w:tcBorders>
              <w:top w:val="single" w:sz="4" w:space="0" w:color="EEEEEE" w:themeColor="background2"/>
              <w:bottom w:val="single" w:sz="4" w:space="0" w:color="EEEEEE" w:themeColor="background2"/>
            </w:tcBorders>
          </w:tcPr>
          <w:p w14:paraId="5ED63712" w14:textId="77777777" w:rsidR="000B22CF" w:rsidRPr="009764EE" w:rsidRDefault="000B22CF">
            <w:pPr>
              <w:rPr>
                <w:rFonts w:ascii="Calibri" w:hAnsi="Calibri" w:cs="Calibri"/>
              </w:rPr>
            </w:pPr>
          </w:p>
        </w:tc>
        <w:tc>
          <w:tcPr>
            <w:tcW w:w="2669" w:type="pct"/>
            <w:tcBorders>
              <w:top w:val="single" w:sz="4" w:space="0" w:color="EEEEEE" w:themeColor="background2"/>
              <w:bottom w:val="single" w:sz="4" w:space="0" w:color="EEEEEE" w:themeColor="background2"/>
            </w:tcBorders>
          </w:tcPr>
          <w:p w14:paraId="5B0B8A60" w14:textId="0805423B" w:rsidR="000B22CF" w:rsidRPr="009764EE" w:rsidRDefault="00604053" w:rsidP="001A7C56">
            <w:pPr>
              <w:pStyle w:val="TableTextLeft"/>
            </w:pPr>
            <w:r w:rsidRPr="00604053">
              <w:t>Unmet needs: Proportion of people (aged 65</w:t>
            </w:r>
            <w:r w:rsidR="00C239AD">
              <w:t> year</w:t>
            </w:r>
            <w:r w:rsidRPr="00604053">
              <w:t>s and over) living in households who receive aged care</w:t>
            </w:r>
            <w:r w:rsidR="005C203F">
              <w:t xml:space="preserve"> </w:t>
            </w:r>
            <w:r w:rsidRPr="00604053">
              <w:t>services and who felt their needs were not being met</w:t>
            </w:r>
          </w:p>
        </w:tc>
        <w:tc>
          <w:tcPr>
            <w:tcW w:w="1231" w:type="pct"/>
            <w:vMerge/>
          </w:tcPr>
          <w:p w14:paraId="64C860BC" w14:textId="4EF92053" w:rsidR="000B22CF" w:rsidRPr="009764EE" w:rsidRDefault="000B22CF">
            <w:pPr>
              <w:spacing w:before="0" w:after="0"/>
              <w:rPr>
                <w:rFonts w:ascii="Calibri" w:hAnsi="Calibri" w:cs="Calibri"/>
              </w:rPr>
            </w:pPr>
          </w:p>
        </w:tc>
      </w:tr>
      <w:tr w:rsidR="000B22CF" w:rsidRPr="009764EE" w14:paraId="099A8436" w14:textId="77777777" w:rsidTr="00C56206">
        <w:trPr>
          <w:trHeight w:val="20"/>
        </w:trPr>
        <w:tc>
          <w:tcPr>
            <w:tcW w:w="1100" w:type="pct"/>
            <w:vMerge/>
            <w:tcBorders>
              <w:top w:val="single" w:sz="4" w:space="0" w:color="EEEEEE" w:themeColor="background2"/>
              <w:bottom w:val="single" w:sz="4" w:space="0" w:color="EEEEEE" w:themeColor="background2"/>
            </w:tcBorders>
          </w:tcPr>
          <w:p w14:paraId="769D0077" w14:textId="77777777" w:rsidR="000B22CF" w:rsidRPr="009764EE" w:rsidRDefault="000B22CF">
            <w:pPr>
              <w:rPr>
                <w:rFonts w:ascii="Calibri" w:hAnsi="Calibri" w:cs="Calibri"/>
              </w:rPr>
            </w:pPr>
          </w:p>
        </w:tc>
        <w:tc>
          <w:tcPr>
            <w:tcW w:w="2669" w:type="pct"/>
            <w:tcBorders>
              <w:top w:val="single" w:sz="4" w:space="0" w:color="EEEEEE" w:themeColor="background2"/>
              <w:bottom w:val="single" w:sz="4" w:space="0" w:color="EEEEEE" w:themeColor="background2"/>
            </w:tcBorders>
          </w:tcPr>
          <w:p w14:paraId="0027CFBE" w14:textId="205AF327" w:rsidR="000B22CF" w:rsidRPr="009764EE" w:rsidRDefault="00164E47" w:rsidP="001A7C56">
            <w:pPr>
              <w:pStyle w:val="TableTextLeft"/>
            </w:pPr>
            <w:r w:rsidRPr="00164E47">
              <w:t>Quality: The proportion of people with disability (aged 15</w:t>
            </w:r>
            <w:r w:rsidR="001524A0">
              <w:t>‍–‍</w:t>
            </w:r>
            <w:r w:rsidRPr="00164E47">
              <w:t>64</w:t>
            </w:r>
            <w:r w:rsidR="00C239AD">
              <w:t> year</w:t>
            </w:r>
            <w:r w:rsidRPr="00164E47">
              <w:t>s) who were satisfied with the quality of</w:t>
            </w:r>
            <w:r w:rsidR="007B21B4">
              <w:t xml:space="preserve"> </w:t>
            </w:r>
            <w:r w:rsidRPr="00164E47">
              <w:t>assistance in the last six months</w:t>
            </w:r>
          </w:p>
        </w:tc>
        <w:tc>
          <w:tcPr>
            <w:tcW w:w="1231" w:type="pct"/>
            <w:vMerge/>
          </w:tcPr>
          <w:p w14:paraId="12595EE7" w14:textId="77777777" w:rsidR="000B22CF" w:rsidRPr="009764EE" w:rsidRDefault="000B22CF">
            <w:pPr>
              <w:spacing w:before="0" w:after="0"/>
              <w:rPr>
                <w:rFonts w:ascii="Calibri" w:hAnsi="Calibri" w:cs="Calibri"/>
              </w:rPr>
            </w:pPr>
          </w:p>
        </w:tc>
      </w:tr>
      <w:tr w:rsidR="000B22CF" w:rsidRPr="009764EE" w14:paraId="0DDC6D3A" w14:textId="77777777" w:rsidTr="00C56206">
        <w:trPr>
          <w:trHeight w:val="20"/>
        </w:trPr>
        <w:tc>
          <w:tcPr>
            <w:tcW w:w="1100" w:type="pct"/>
            <w:vMerge/>
            <w:tcBorders>
              <w:top w:val="single" w:sz="4" w:space="0" w:color="EEEEEE" w:themeColor="background2"/>
            </w:tcBorders>
          </w:tcPr>
          <w:p w14:paraId="6D1B973F" w14:textId="77777777" w:rsidR="000B22CF" w:rsidRPr="009764EE" w:rsidRDefault="000B22CF">
            <w:pPr>
              <w:rPr>
                <w:rFonts w:ascii="Calibri" w:hAnsi="Calibri" w:cs="Calibri"/>
              </w:rPr>
            </w:pPr>
          </w:p>
        </w:tc>
        <w:tc>
          <w:tcPr>
            <w:tcW w:w="2669" w:type="pct"/>
            <w:tcBorders>
              <w:top w:val="single" w:sz="4" w:space="0" w:color="EEEEEE" w:themeColor="background2"/>
            </w:tcBorders>
          </w:tcPr>
          <w:p w14:paraId="56865082" w14:textId="5C0B838B" w:rsidR="000B22CF" w:rsidRPr="009764EE" w:rsidRDefault="00D73AF4" w:rsidP="001A7C56">
            <w:pPr>
              <w:pStyle w:val="TableTextLeft"/>
            </w:pPr>
            <w:r w:rsidRPr="00D73AF4">
              <w:t>Quality: the proportion of people (aged 65</w:t>
            </w:r>
            <w:r w:rsidR="00C239AD">
              <w:t> year</w:t>
            </w:r>
            <w:r w:rsidRPr="00D73AF4">
              <w:t>s or over) living in households, who were satisfied with the quality of assistance in the last six months</w:t>
            </w:r>
          </w:p>
        </w:tc>
        <w:tc>
          <w:tcPr>
            <w:tcW w:w="1231" w:type="pct"/>
            <w:vMerge/>
          </w:tcPr>
          <w:p w14:paraId="79CB788B" w14:textId="77777777" w:rsidR="000B22CF" w:rsidRPr="009764EE" w:rsidRDefault="000B22CF">
            <w:pPr>
              <w:spacing w:before="0" w:after="0"/>
              <w:rPr>
                <w:rFonts w:ascii="Calibri" w:hAnsi="Calibri" w:cs="Calibri"/>
              </w:rPr>
            </w:pPr>
          </w:p>
        </w:tc>
      </w:tr>
    </w:tbl>
    <w:p w14:paraId="7C4F9828" w14:textId="77777777" w:rsidR="00A80D08" w:rsidRPr="00A80D08" w:rsidRDefault="00A80D08" w:rsidP="00A80D08">
      <w:bookmarkStart w:id="145" w:name="_Hlk139292924"/>
    </w:p>
    <w:p w14:paraId="08AA79C6" w14:textId="77777777" w:rsidR="00A80D08" w:rsidRPr="00A80D08" w:rsidRDefault="00A80D08" w:rsidP="00A80D08">
      <w:r w:rsidRPr="00A80D08">
        <w:br w:type="page"/>
      </w:r>
    </w:p>
    <w:p w14:paraId="20F0DB29" w14:textId="148D3803" w:rsidR="00BD5CEF" w:rsidRPr="009764EE" w:rsidRDefault="00BD5CEF" w:rsidP="007B21B4">
      <w:pPr>
        <w:pStyle w:val="TableMainHeading"/>
      </w:pPr>
      <w:r w:rsidRPr="009764EE">
        <w:lastRenderedPageBreak/>
        <w:t xml:space="preserve">Secure </w:t>
      </w:r>
    </w:p>
    <w:tbl>
      <w:tblPr>
        <w:tblStyle w:val="MWMTables"/>
        <w:tblW w:w="5000" w:type="pct"/>
        <w:tblLook w:val="06A0" w:firstRow="1" w:lastRow="0" w:firstColumn="1" w:lastColumn="0" w:noHBand="1" w:noVBand="1"/>
      </w:tblPr>
      <w:tblGrid>
        <w:gridCol w:w="1996"/>
        <w:gridCol w:w="4843"/>
        <w:gridCol w:w="2231"/>
      </w:tblGrid>
      <w:tr w:rsidR="00BD5CEF" w:rsidRPr="009764EE" w14:paraId="65E37D5B" w14:textId="77777777" w:rsidTr="00FB6842">
        <w:trPr>
          <w:cnfStyle w:val="100000000000" w:firstRow="1" w:lastRow="0" w:firstColumn="0" w:lastColumn="0" w:oddVBand="0" w:evenVBand="0" w:oddHBand="0" w:evenHBand="0" w:firstRowFirstColumn="0" w:firstRowLastColumn="0" w:lastRowFirstColumn="0" w:lastRowLastColumn="0"/>
          <w:trHeight w:val="20"/>
        </w:trPr>
        <w:tc>
          <w:tcPr>
            <w:tcW w:w="1100" w:type="pct"/>
          </w:tcPr>
          <w:p w14:paraId="53147502" w14:textId="77777777" w:rsidR="00BD5CEF" w:rsidRPr="009764EE" w:rsidRDefault="00BD5CEF" w:rsidP="001A7C56">
            <w:pPr>
              <w:pStyle w:val="TableColumnHeadingLeft"/>
            </w:pPr>
            <w:r w:rsidRPr="009764EE">
              <w:t>Indicator</w:t>
            </w:r>
          </w:p>
        </w:tc>
        <w:tc>
          <w:tcPr>
            <w:tcW w:w="2670" w:type="pct"/>
          </w:tcPr>
          <w:p w14:paraId="52D9A1A5" w14:textId="77777777" w:rsidR="00BD5CEF" w:rsidRPr="009764EE" w:rsidRDefault="00BD5CEF" w:rsidP="001A7C56">
            <w:pPr>
              <w:pStyle w:val="TableColumnHeadingLeft"/>
            </w:pPr>
            <w:r w:rsidRPr="009764EE">
              <w:t xml:space="preserve">Metric </w:t>
            </w:r>
          </w:p>
        </w:tc>
        <w:tc>
          <w:tcPr>
            <w:tcW w:w="1231" w:type="pct"/>
          </w:tcPr>
          <w:p w14:paraId="021B2192" w14:textId="77777777" w:rsidR="00BD5CEF" w:rsidRPr="009764EE" w:rsidRDefault="00BD5CEF" w:rsidP="001A7C56">
            <w:pPr>
              <w:pStyle w:val="TableColumnHeadingLeft"/>
            </w:pPr>
            <w:r w:rsidRPr="009764EE">
              <w:t xml:space="preserve">Source </w:t>
            </w:r>
          </w:p>
        </w:tc>
      </w:tr>
      <w:tr w:rsidR="001A7C56" w:rsidRPr="001A7C56" w14:paraId="7898E5A2" w14:textId="77777777" w:rsidTr="00FB6842">
        <w:trPr>
          <w:trHeight w:val="20"/>
        </w:trPr>
        <w:tc>
          <w:tcPr>
            <w:tcW w:w="5000" w:type="pct"/>
            <w:gridSpan w:val="3"/>
            <w:shd w:val="clear" w:color="auto" w:fill="216364"/>
          </w:tcPr>
          <w:p w14:paraId="495C64EE" w14:textId="6E583C21" w:rsidR="00BD5CEF" w:rsidRPr="001A7C56" w:rsidRDefault="00E27C15" w:rsidP="001A7C56">
            <w:pPr>
              <w:pStyle w:val="TableTextLeft"/>
              <w:rPr>
                <w:b/>
                <w:bCs/>
                <w:color w:val="FFFFFF" w:themeColor="background1"/>
              </w:rPr>
            </w:pPr>
            <w:r w:rsidRPr="001A7C56">
              <w:rPr>
                <w:b/>
                <w:bCs/>
                <w:color w:val="FFFFFF" w:themeColor="background1"/>
              </w:rPr>
              <w:t xml:space="preserve">Living peacefully and feeling safe </w:t>
            </w:r>
          </w:p>
        </w:tc>
      </w:tr>
      <w:tr w:rsidR="00BD5CEF" w:rsidRPr="009764EE" w14:paraId="1819A065" w14:textId="77777777" w:rsidTr="00FB6842">
        <w:trPr>
          <w:trHeight w:val="20"/>
        </w:trPr>
        <w:tc>
          <w:tcPr>
            <w:tcW w:w="1100" w:type="pct"/>
          </w:tcPr>
          <w:p w14:paraId="1CAE7CA1" w14:textId="77777777" w:rsidR="00BD5CEF" w:rsidRPr="00A80D08" w:rsidRDefault="00BD5CEF" w:rsidP="001A7C56">
            <w:pPr>
              <w:pStyle w:val="TableTextLeft"/>
              <w:rPr>
                <w:rStyle w:val="Strong"/>
                <w:color w:val="082C44"/>
              </w:rPr>
            </w:pPr>
            <w:r w:rsidRPr="00A80D08">
              <w:rPr>
                <w:rStyle w:val="Strong"/>
                <w:color w:val="082C44"/>
              </w:rPr>
              <w:t>Feeling of safety</w:t>
            </w:r>
          </w:p>
        </w:tc>
        <w:tc>
          <w:tcPr>
            <w:tcW w:w="2670" w:type="pct"/>
            <w:tcBorders>
              <w:bottom w:val="single" w:sz="4" w:space="0" w:color="216364"/>
            </w:tcBorders>
          </w:tcPr>
          <w:p w14:paraId="6CEFDADE" w14:textId="5795BD5B" w:rsidR="00BD5CEF" w:rsidRPr="009764EE" w:rsidRDefault="005B63AF" w:rsidP="001A7C56">
            <w:pPr>
              <w:pStyle w:val="TableTextLeft"/>
            </w:pPr>
            <w:r w:rsidRPr="005B63AF">
              <w:t xml:space="preserve">Proportion of people who felt </w:t>
            </w:r>
            <w:r w:rsidR="00135DEA">
              <w:t>‘</w:t>
            </w:r>
            <w:r w:rsidRPr="005B63AF">
              <w:t>safe</w:t>
            </w:r>
            <w:r w:rsidR="00135DEA">
              <w:t>’</w:t>
            </w:r>
            <w:r w:rsidRPr="005B63AF">
              <w:t xml:space="preserve"> or </w:t>
            </w:r>
            <w:r w:rsidR="00135DEA">
              <w:t>‘</w:t>
            </w:r>
            <w:r w:rsidRPr="005B63AF">
              <w:t>very safe</w:t>
            </w:r>
            <w:r w:rsidR="00135DEA">
              <w:t>’</w:t>
            </w:r>
            <w:r w:rsidRPr="005B63AF">
              <w:t xml:space="preserve"> walking alone during the day and night</w:t>
            </w:r>
            <w:r>
              <w:t xml:space="preserve"> </w:t>
            </w:r>
          </w:p>
        </w:tc>
        <w:tc>
          <w:tcPr>
            <w:tcW w:w="1231" w:type="pct"/>
            <w:tcBorders>
              <w:bottom w:val="single" w:sz="4" w:space="0" w:color="216364"/>
            </w:tcBorders>
          </w:tcPr>
          <w:p w14:paraId="48AC6132" w14:textId="77777777" w:rsidR="00BD5CEF" w:rsidRPr="009764EE" w:rsidRDefault="00BD5CEF" w:rsidP="00FB6842">
            <w:pPr>
              <w:pStyle w:val="TableTextLeft"/>
            </w:pPr>
            <w:r w:rsidRPr="009764EE">
              <w:t xml:space="preserve">Steering Committee for the Review of Government Service Provision, </w:t>
            </w:r>
            <w:r w:rsidRPr="00FB6842">
              <w:rPr>
                <w:rStyle w:val="Emphasis"/>
              </w:rPr>
              <w:t>Report on Government Services</w:t>
            </w:r>
          </w:p>
        </w:tc>
      </w:tr>
      <w:tr w:rsidR="002A2502" w:rsidRPr="009764EE" w14:paraId="404A3B9A" w14:textId="77777777" w:rsidTr="00FB6842">
        <w:trPr>
          <w:trHeight w:val="20"/>
        </w:trPr>
        <w:tc>
          <w:tcPr>
            <w:tcW w:w="1100" w:type="pct"/>
            <w:vMerge w:val="restart"/>
          </w:tcPr>
          <w:p w14:paraId="2A2B0561" w14:textId="77777777" w:rsidR="002A2502" w:rsidRPr="00A80D08" w:rsidRDefault="002A2502" w:rsidP="001A7C56">
            <w:pPr>
              <w:pStyle w:val="TableTextLeft"/>
              <w:rPr>
                <w:rStyle w:val="Strong"/>
                <w:color w:val="082C44"/>
              </w:rPr>
            </w:pPr>
            <w:r w:rsidRPr="00A80D08">
              <w:rPr>
                <w:rStyle w:val="Strong"/>
                <w:color w:val="082C44"/>
              </w:rPr>
              <w:t>Experience of violence</w:t>
            </w:r>
          </w:p>
        </w:tc>
        <w:tc>
          <w:tcPr>
            <w:tcW w:w="2670" w:type="pct"/>
            <w:tcBorders>
              <w:top w:val="single" w:sz="4" w:space="0" w:color="216364"/>
              <w:bottom w:val="single" w:sz="4" w:space="0" w:color="EEEEEE" w:themeColor="background2"/>
            </w:tcBorders>
          </w:tcPr>
          <w:p w14:paraId="4F7A270A" w14:textId="13315E8B" w:rsidR="002A2502" w:rsidRPr="009764EE" w:rsidRDefault="002A2502" w:rsidP="001A7C56">
            <w:pPr>
              <w:pStyle w:val="TableTextLeft"/>
            </w:pPr>
            <w:r w:rsidRPr="009764EE">
              <w:t xml:space="preserve">Proportion of people who experienced physical violence or abuse in </w:t>
            </w:r>
            <w:r>
              <w:t>the</w:t>
            </w:r>
            <w:r w:rsidRPr="009764EE">
              <w:t xml:space="preserve"> last 12 months</w:t>
            </w:r>
          </w:p>
        </w:tc>
        <w:tc>
          <w:tcPr>
            <w:tcW w:w="1231" w:type="pct"/>
            <w:vMerge w:val="restart"/>
            <w:tcBorders>
              <w:top w:val="single" w:sz="4" w:space="0" w:color="216364"/>
              <w:bottom w:val="single" w:sz="4" w:space="0" w:color="EEEEEE" w:themeColor="background2"/>
            </w:tcBorders>
          </w:tcPr>
          <w:p w14:paraId="1C388B71" w14:textId="1DA3C9F3" w:rsidR="002A2502" w:rsidRPr="009764EE" w:rsidRDefault="002A2502" w:rsidP="00FB6842">
            <w:pPr>
              <w:pStyle w:val="TableTextLeft"/>
            </w:pPr>
            <w:r w:rsidRPr="009764EE">
              <w:t xml:space="preserve">ABS, </w:t>
            </w:r>
            <w:r w:rsidRPr="00FB6842">
              <w:rPr>
                <w:rStyle w:val="Emphasis"/>
              </w:rPr>
              <w:t xml:space="preserve">Personal Safety Survey </w:t>
            </w:r>
          </w:p>
        </w:tc>
      </w:tr>
      <w:tr w:rsidR="002A2502" w:rsidRPr="009764EE" w14:paraId="0F5EA332" w14:textId="77777777" w:rsidTr="00FB6842">
        <w:trPr>
          <w:trHeight w:val="20"/>
        </w:trPr>
        <w:tc>
          <w:tcPr>
            <w:tcW w:w="1100" w:type="pct"/>
            <w:vMerge/>
          </w:tcPr>
          <w:p w14:paraId="7ADD5CB5" w14:textId="77777777" w:rsidR="002A2502" w:rsidRPr="00A80D08" w:rsidRDefault="002A2502" w:rsidP="001A7C56">
            <w:pPr>
              <w:pStyle w:val="TableTextLeft"/>
              <w:rPr>
                <w:rStyle w:val="Strong"/>
                <w:color w:val="082C44"/>
              </w:rPr>
            </w:pPr>
          </w:p>
        </w:tc>
        <w:tc>
          <w:tcPr>
            <w:tcW w:w="2670" w:type="pct"/>
            <w:tcBorders>
              <w:top w:val="single" w:sz="4" w:space="0" w:color="EEEEEE" w:themeColor="background2"/>
            </w:tcBorders>
          </w:tcPr>
          <w:p w14:paraId="193A7CD3" w14:textId="498B3E9B" w:rsidR="002A2502" w:rsidRPr="009764EE" w:rsidRDefault="002A2502" w:rsidP="001A7C56">
            <w:pPr>
              <w:pStyle w:val="TableTextLeft"/>
            </w:pPr>
            <w:r w:rsidRPr="009764EE">
              <w:t xml:space="preserve">Proportion of people who experienced violence by an intimate partner in </w:t>
            </w:r>
            <w:r>
              <w:t>the</w:t>
            </w:r>
            <w:r w:rsidRPr="009764EE">
              <w:t xml:space="preserve"> last 12 months</w:t>
            </w:r>
          </w:p>
        </w:tc>
        <w:tc>
          <w:tcPr>
            <w:tcW w:w="1231" w:type="pct"/>
            <w:vMerge/>
            <w:tcBorders>
              <w:top w:val="single" w:sz="4" w:space="0" w:color="EEEEEE" w:themeColor="background2"/>
            </w:tcBorders>
          </w:tcPr>
          <w:p w14:paraId="73D361DF" w14:textId="2A2B9541" w:rsidR="002A2502" w:rsidRPr="009764EE" w:rsidRDefault="002A2502" w:rsidP="00FB6842">
            <w:pPr>
              <w:pStyle w:val="TableTextLeft"/>
            </w:pPr>
          </w:p>
        </w:tc>
      </w:tr>
      <w:tr w:rsidR="002A2502" w:rsidRPr="009764EE" w14:paraId="509166E1" w14:textId="77777777" w:rsidTr="00FB6842">
        <w:trPr>
          <w:trHeight w:val="20"/>
        </w:trPr>
        <w:tc>
          <w:tcPr>
            <w:tcW w:w="1100" w:type="pct"/>
          </w:tcPr>
          <w:p w14:paraId="3CA78051" w14:textId="00E0190E" w:rsidR="002A2502" w:rsidRPr="00A80D08" w:rsidRDefault="002A2502" w:rsidP="001A7C56">
            <w:pPr>
              <w:pStyle w:val="TableTextLeft"/>
              <w:rPr>
                <w:rStyle w:val="Strong"/>
                <w:color w:val="082C44"/>
              </w:rPr>
            </w:pPr>
            <w:r w:rsidRPr="00A80D08">
              <w:rPr>
                <w:rStyle w:val="Strong"/>
                <w:color w:val="082C44"/>
              </w:rPr>
              <w:t>Childhood experience of abuse</w:t>
            </w:r>
          </w:p>
        </w:tc>
        <w:tc>
          <w:tcPr>
            <w:tcW w:w="2670" w:type="pct"/>
          </w:tcPr>
          <w:p w14:paraId="00F28463" w14:textId="55A09DA2" w:rsidR="002A2502" w:rsidRPr="009764EE" w:rsidRDefault="002A2502" w:rsidP="001A7C56">
            <w:pPr>
              <w:pStyle w:val="TableTextLeft"/>
            </w:pPr>
            <w:r w:rsidRPr="009764EE">
              <w:t>Proportion of people who have experienced physical or sexual abuse before the age of 15</w:t>
            </w:r>
            <w:r w:rsidR="00C239AD">
              <w:t> year</w:t>
            </w:r>
            <w:r w:rsidRPr="009764EE">
              <w:t>s</w:t>
            </w:r>
          </w:p>
        </w:tc>
        <w:tc>
          <w:tcPr>
            <w:tcW w:w="1231" w:type="pct"/>
            <w:vMerge/>
          </w:tcPr>
          <w:p w14:paraId="72CD7F16" w14:textId="639E1780" w:rsidR="002A2502" w:rsidRPr="009764EE" w:rsidRDefault="002A2502" w:rsidP="00FB6842">
            <w:pPr>
              <w:pStyle w:val="TableTextLeft"/>
            </w:pPr>
          </w:p>
        </w:tc>
      </w:tr>
      <w:tr w:rsidR="00BD5CEF" w:rsidRPr="009764EE" w14:paraId="363811C9" w14:textId="77777777" w:rsidTr="00FB6842">
        <w:trPr>
          <w:trHeight w:val="20"/>
        </w:trPr>
        <w:tc>
          <w:tcPr>
            <w:tcW w:w="1100" w:type="pct"/>
          </w:tcPr>
          <w:p w14:paraId="75249CBA" w14:textId="77777777" w:rsidR="00BD5CEF" w:rsidRPr="00A80D08" w:rsidRDefault="00BD5CEF" w:rsidP="001A7C56">
            <w:pPr>
              <w:pStyle w:val="TableTextLeft"/>
              <w:rPr>
                <w:rStyle w:val="Strong"/>
                <w:color w:val="082C44"/>
              </w:rPr>
            </w:pPr>
            <w:r w:rsidRPr="00A80D08">
              <w:rPr>
                <w:rStyle w:val="Strong"/>
                <w:color w:val="082C44"/>
              </w:rPr>
              <w:t>Online safety</w:t>
            </w:r>
          </w:p>
        </w:tc>
        <w:tc>
          <w:tcPr>
            <w:tcW w:w="2670" w:type="pct"/>
          </w:tcPr>
          <w:p w14:paraId="189D875B" w14:textId="33EA324B" w:rsidR="00BD5CEF" w:rsidRPr="009764EE" w:rsidRDefault="00BD5CEF" w:rsidP="001A7C56">
            <w:pPr>
              <w:pStyle w:val="TableTextLeft"/>
            </w:pPr>
            <w:r w:rsidRPr="009764EE">
              <w:t xml:space="preserve">Proportion of </w:t>
            </w:r>
            <w:r w:rsidR="00825D39">
              <w:t>people</w:t>
            </w:r>
            <w:r w:rsidR="00825D39" w:rsidRPr="009764EE">
              <w:t xml:space="preserve"> </w:t>
            </w:r>
            <w:r w:rsidRPr="009764EE">
              <w:t>who have experienced online harm or negative content in the last 12 months</w:t>
            </w:r>
          </w:p>
        </w:tc>
        <w:tc>
          <w:tcPr>
            <w:tcW w:w="1231" w:type="pct"/>
          </w:tcPr>
          <w:p w14:paraId="6E5E643B" w14:textId="3A6FAAC4" w:rsidR="00BD5CEF" w:rsidRPr="009764EE" w:rsidRDefault="00BD5CEF" w:rsidP="00FB6842">
            <w:pPr>
              <w:pStyle w:val="TableTextLeft"/>
            </w:pPr>
            <w:r w:rsidRPr="009764EE">
              <w:t xml:space="preserve">eSafety Commissioner, </w:t>
            </w:r>
            <w:r w:rsidRPr="00FB6842">
              <w:rPr>
                <w:rStyle w:val="Emphasis"/>
              </w:rPr>
              <w:t>National Survey of Australian adults</w:t>
            </w:r>
            <w:r w:rsidR="00135DEA" w:rsidRPr="00FB6842">
              <w:rPr>
                <w:rStyle w:val="Emphasis"/>
              </w:rPr>
              <w:t>’</w:t>
            </w:r>
            <w:r w:rsidRPr="00FB6842">
              <w:rPr>
                <w:rStyle w:val="Emphasis"/>
              </w:rPr>
              <w:t xml:space="preserve"> experiences online</w:t>
            </w:r>
          </w:p>
        </w:tc>
      </w:tr>
      <w:tr w:rsidR="00BD5CEF" w:rsidRPr="009764EE" w14:paraId="2374E5E1" w14:textId="77777777" w:rsidTr="00FB6842">
        <w:trPr>
          <w:trHeight w:val="20"/>
        </w:trPr>
        <w:tc>
          <w:tcPr>
            <w:tcW w:w="1100" w:type="pct"/>
          </w:tcPr>
          <w:p w14:paraId="200F2AA8" w14:textId="77777777" w:rsidR="00BD5CEF" w:rsidRPr="00A80D08" w:rsidRDefault="00BD5CEF" w:rsidP="001A7C56">
            <w:pPr>
              <w:pStyle w:val="TableTextLeft"/>
              <w:rPr>
                <w:rStyle w:val="Strong"/>
                <w:color w:val="082C44"/>
              </w:rPr>
            </w:pPr>
            <w:r w:rsidRPr="00A80D08">
              <w:rPr>
                <w:rStyle w:val="Strong"/>
                <w:color w:val="082C44"/>
              </w:rPr>
              <w:t>National safety</w:t>
            </w:r>
          </w:p>
        </w:tc>
        <w:tc>
          <w:tcPr>
            <w:tcW w:w="2670" w:type="pct"/>
          </w:tcPr>
          <w:p w14:paraId="00E43252" w14:textId="13838876" w:rsidR="00BD5CEF" w:rsidRPr="009764EE" w:rsidRDefault="00BD5CEF" w:rsidP="001A7C56">
            <w:pPr>
              <w:pStyle w:val="TableTextLeft"/>
            </w:pPr>
            <w:r w:rsidRPr="009764EE">
              <w:t xml:space="preserve">Proportion of polled Australians who feel </w:t>
            </w:r>
            <w:r w:rsidR="00135DEA">
              <w:t>‘</w:t>
            </w:r>
            <w:r w:rsidRPr="009764EE">
              <w:t>safe</w:t>
            </w:r>
            <w:r w:rsidR="00135DEA">
              <w:t>’</w:t>
            </w:r>
            <w:r w:rsidRPr="009764EE">
              <w:t xml:space="preserve"> or </w:t>
            </w:r>
            <w:r w:rsidR="00135DEA">
              <w:t>‘</w:t>
            </w:r>
            <w:r w:rsidRPr="009764EE">
              <w:t>very safe</w:t>
            </w:r>
            <w:r w:rsidR="00135DEA">
              <w:t>’</w:t>
            </w:r>
            <w:r w:rsidRPr="009764EE">
              <w:t xml:space="preserve"> based on views of world events</w:t>
            </w:r>
          </w:p>
        </w:tc>
        <w:tc>
          <w:tcPr>
            <w:tcW w:w="1231" w:type="pct"/>
          </w:tcPr>
          <w:p w14:paraId="4D6B2B9C" w14:textId="77777777" w:rsidR="00BD5CEF" w:rsidRPr="009764EE" w:rsidRDefault="00BD5CEF" w:rsidP="00FB6842">
            <w:pPr>
              <w:pStyle w:val="TableTextLeft"/>
            </w:pPr>
            <w:r w:rsidRPr="009764EE">
              <w:t xml:space="preserve">The Lowy Institute, </w:t>
            </w:r>
            <w:r w:rsidRPr="00FB6842">
              <w:rPr>
                <w:rStyle w:val="Emphasis"/>
              </w:rPr>
              <w:t>The Lowy Institute Poll 2023</w:t>
            </w:r>
          </w:p>
        </w:tc>
      </w:tr>
      <w:tr w:rsidR="00BD5CEF" w:rsidRPr="009764EE" w14:paraId="0E64568F" w14:textId="77777777" w:rsidTr="00FB6842">
        <w:trPr>
          <w:trHeight w:val="20"/>
        </w:trPr>
        <w:tc>
          <w:tcPr>
            <w:tcW w:w="1100" w:type="pct"/>
          </w:tcPr>
          <w:p w14:paraId="56A39E63" w14:textId="77777777" w:rsidR="00BD5CEF" w:rsidRPr="00A80D08" w:rsidRDefault="00BD5CEF" w:rsidP="001A7C56">
            <w:pPr>
              <w:pStyle w:val="TableTextLeft"/>
              <w:rPr>
                <w:rStyle w:val="Strong"/>
                <w:color w:val="082C44"/>
              </w:rPr>
            </w:pPr>
            <w:r w:rsidRPr="00A80D08">
              <w:rPr>
                <w:rStyle w:val="Strong"/>
                <w:color w:val="082C44"/>
              </w:rPr>
              <w:t>Access to justice</w:t>
            </w:r>
          </w:p>
        </w:tc>
        <w:tc>
          <w:tcPr>
            <w:tcW w:w="2670" w:type="pct"/>
          </w:tcPr>
          <w:p w14:paraId="5E0017E6" w14:textId="5C075307" w:rsidR="00BD5CEF" w:rsidRPr="009764EE" w:rsidRDefault="00BD5CEF" w:rsidP="001A7C56">
            <w:pPr>
              <w:pStyle w:val="TableTextLeft"/>
            </w:pPr>
            <w:r w:rsidRPr="009764EE">
              <w:t>Index of Australia</w:t>
            </w:r>
            <w:r w:rsidR="00135DEA">
              <w:t>’</w:t>
            </w:r>
            <w:r w:rsidRPr="009764EE">
              <w:t>s performance in providing accessible and affordable civil courts and alternative dispute resolution mechanisms</w:t>
            </w:r>
          </w:p>
        </w:tc>
        <w:tc>
          <w:tcPr>
            <w:tcW w:w="1231" w:type="pct"/>
          </w:tcPr>
          <w:p w14:paraId="44A1CDE3" w14:textId="5BC7FEBF" w:rsidR="00BD5CEF" w:rsidRPr="009764EE" w:rsidRDefault="00BD5CEF" w:rsidP="00FB6842">
            <w:pPr>
              <w:pStyle w:val="TableTextLeft"/>
            </w:pPr>
            <w:r w:rsidRPr="009764EE">
              <w:t xml:space="preserve">World Justice Project, </w:t>
            </w:r>
            <w:r w:rsidRPr="00FB6842">
              <w:rPr>
                <w:rStyle w:val="Emphasis"/>
              </w:rPr>
              <w:t>Rule of Law Index</w:t>
            </w:r>
            <w:r w:rsidR="002766BC" w:rsidRPr="00FB6842">
              <w:rPr>
                <w:rStyle w:val="Emphasis"/>
              </w:rPr>
              <w:t>®</w:t>
            </w:r>
          </w:p>
        </w:tc>
      </w:tr>
      <w:tr w:rsidR="001A7C56" w:rsidRPr="001A7C56" w14:paraId="5DD78DB0" w14:textId="77777777" w:rsidTr="00FB6842">
        <w:trPr>
          <w:trHeight w:val="20"/>
        </w:trPr>
        <w:tc>
          <w:tcPr>
            <w:tcW w:w="5000" w:type="pct"/>
            <w:gridSpan w:val="3"/>
            <w:shd w:val="clear" w:color="auto" w:fill="216364"/>
          </w:tcPr>
          <w:p w14:paraId="7EA6BE18" w14:textId="710D0F0A" w:rsidR="00BD5CEF" w:rsidRPr="001A7C56" w:rsidRDefault="00E27C15" w:rsidP="001A7C56">
            <w:pPr>
              <w:pStyle w:val="TableTextLeft"/>
              <w:rPr>
                <w:b/>
                <w:bCs/>
                <w:color w:val="FFFFFF" w:themeColor="background1"/>
              </w:rPr>
            </w:pPr>
            <w:r w:rsidRPr="001A7C56">
              <w:rPr>
                <w:b/>
                <w:bCs/>
                <w:color w:val="FFFFFF" w:themeColor="background1"/>
              </w:rPr>
              <w:t>Having financial security</w:t>
            </w:r>
            <w:r w:rsidR="00233ED1" w:rsidRPr="001A7C56">
              <w:rPr>
                <w:b/>
                <w:bCs/>
                <w:color w:val="FFFFFF" w:themeColor="background1"/>
              </w:rPr>
              <w:t xml:space="preserve"> and </w:t>
            </w:r>
            <w:r w:rsidR="001935EA" w:rsidRPr="001A7C56">
              <w:rPr>
                <w:b/>
                <w:bCs/>
                <w:color w:val="FFFFFF" w:themeColor="background1"/>
              </w:rPr>
              <w:t>access to</w:t>
            </w:r>
            <w:r w:rsidR="00233ED1" w:rsidRPr="001A7C56">
              <w:rPr>
                <w:b/>
                <w:bCs/>
                <w:color w:val="FFFFFF" w:themeColor="background1"/>
              </w:rPr>
              <w:t xml:space="preserve"> housing</w:t>
            </w:r>
          </w:p>
        </w:tc>
      </w:tr>
      <w:tr w:rsidR="00E862D3" w:rsidRPr="009764EE" w14:paraId="0098D2B5" w14:textId="77777777" w:rsidTr="00FB6842">
        <w:trPr>
          <w:trHeight w:val="20"/>
        </w:trPr>
        <w:tc>
          <w:tcPr>
            <w:tcW w:w="1100" w:type="pct"/>
            <w:vMerge w:val="restart"/>
          </w:tcPr>
          <w:p w14:paraId="3163733A" w14:textId="77777777" w:rsidR="00E862D3" w:rsidRPr="00A80D08" w:rsidRDefault="00E862D3" w:rsidP="001A7C56">
            <w:pPr>
              <w:pStyle w:val="TableTextLeft"/>
              <w:rPr>
                <w:rStyle w:val="Strong"/>
                <w:color w:val="082C44"/>
              </w:rPr>
            </w:pPr>
            <w:r w:rsidRPr="00A80D08">
              <w:rPr>
                <w:rStyle w:val="Strong"/>
                <w:color w:val="082C44"/>
              </w:rPr>
              <w:t>Making ends meet</w:t>
            </w:r>
          </w:p>
        </w:tc>
        <w:tc>
          <w:tcPr>
            <w:tcW w:w="2670" w:type="pct"/>
            <w:tcBorders>
              <w:top w:val="single" w:sz="4" w:space="0" w:color="216364"/>
              <w:bottom w:val="single" w:sz="4" w:space="0" w:color="EEEEEE" w:themeColor="background2"/>
            </w:tcBorders>
          </w:tcPr>
          <w:p w14:paraId="4F484D30" w14:textId="2BABCCE9" w:rsidR="00E862D3" w:rsidRPr="009764EE" w:rsidRDefault="00E862D3" w:rsidP="001A7C56">
            <w:pPr>
              <w:pStyle w:val="TableTextLeft"/>
            </w:pPr>
            <w:r w:rsidRPr="009764EE">
              <w:t>Proportion of households who experienced a cash flow problem in the last 12 months</w:t>
            </w:r>
          </w:p>
        </w:tc>
        <w:tc>
          <w:tcPr>
            <w:tcW w:w="1231" w:type="pct"/>
            <w:vMerge w:val="restart"/>
            <w:tcBorders>
              <w:top w:val="single" w:sz="4" w:space="0" w:color="216364"/>
              <w:bottom w:val="single" w:sz="4" w:space="0" w:color="EEEEEE" w:themeColor="background2"/>
            </w:tcBorders>
          </w:tcPr>
          <w:p w14:paraId="23C61177" w14:textId="41147932" w:rsidR="00E862D3" w:rsidRPr="009764EE" w:rsidRDefault="00E862D3" w:rsidP="00FB6842">
            <w:pPr>
              <w:pStyle w:val="TableTextLeft"/>
              <w:rPr>
                <w:rFonts w:ascii="Calibri" w:hAnsi="Calibri" w:cs="Calibri"/>
              </w:rPr>
            </w:pPr>
            <w:r w:rsidRPr="00FB6842">
              <w:t xml:space="preserve">ABS, </w:t>
            </w:r>
            <w:r w:rsidRPr="00FB6842">
              <w:rPr>
                <w:rStyle w:val="Emphasis"/>
              </w:rPr>
              <w:t>General Social Survey</w:t>
            </w:r>
          </w:p>
        </w:tc>
      </w:tr>
      <w:tr w:rsidR="00E862D3" w:rsidRPr="009764EE" w14:paraId="1E1B3374" w14:textId="77777777" w:rsidTr="00FB6842">
        <w:trPr>
          <w:trHeight w:val="20"/>
        </w:trPr>
        <w:tc>
          <w:tcPr>
            <w:tcW w:w="1100" w:type="pct"/>
            <w:vMerge/>
          </w:tcPr>
          <w:p w14:paraId="01D82061" w14:textId="77777777" w:rsidR="00E862D3" w:rsidRPr="00A80D08" w:rsidRDefault="00E862D3" w:rsidP="001A7C56">
            <w:pPr>
              <w:pStyle w:val="TableTextLeft"/>
              <w:rPr>
                <w:rStyle w:val="Strong"/>
                <w:color w:val="082C44"/>
              </w:rPr>
            </w:pPr>
          </w:p>
        </w:tc>
        <w:tc>
          <w:tcPr>
            <w:tcW w:w="2670" w:type="pct"/>
            <w:tcBorders>
              <w:top w:val="single" w:sz="4" w:space="0" w:color="EEEEEE" w:themeColor="background2"/>
            </w:tcBorders>
          </w:tcPr>
          <w:p w14:paraId="5B5EECAC" w14:textId="78E0C282" w:rsidR="00E862D3" w:rsidRPr="009764EE" w:rsidRDefault="00E862D3" w:rsidP="001A7C56">
            <w:pPr>
              <w:pStyle w:val="TableTextLeft"/>
            </w:pPr>
            <w:r w:rsidRPr="009764EE">
              <w:t>Proportion of households unable to raise $2,000 when needed</w:t>
            </w:r>
          </w:p>
        </w:tc>
        <w:tc>
          <w:tcPr>
            <w:tcW w:w="1231" w:type="pct"/>
            <w:vMerge/>
            <w:tcBorders>
              <w:top w:val="single" w:sz="4" w:space="0" w:color="EEEEEE" w:themeColor="background2"/>
            </w:tcBorders>
          </w:tcPr>
          <w:p w14:paraId="63AA7A1A" w14:textId="48A27A5D" w:rsidR="00E862D3" w:rsidRPr="009764EE" w:rsidRDefault="00E862D3" w:rsidP="00FB6842">
            <w:pPr>
              <w:pStyle w:val="TableTextLeft"/>
              <w:rPr>
                <w:rFonts w:ascii="Calibri" w:hAnsi="Calibri" w:cs="Calibri"/>
              </w:rPr>
            </w:pPr>
          </w:p>
        </w:tc>
      </w:tr>
      <w:tr w:rsidR="00C42662" w:rsidRPr="009764EE" w14:paraId="0C816A90" w14:textId="77777777" w:rsidTr="00FB6842">
        <w:trPr>
          <w:trHeight w:val="20"/>
        </w:trPr>
        <w:tc>
          <w:tcPr>
            <w:tcW w:w="1100" w:type="pct"/>
          </w:tcPr>
          <w:p w14:paraId="1491B439" w14:textId="77777777" w:rsidR="00C42662" w:rsidRPr="00A80D08" w:rsidRDefault="00C42662" w:rsidP="001A7C56">
            <w:pPr>
              <w:pStyle w:val="TableTextLeft"/>
              <w:rPr>
                <w:rStyle w:val="Strong"/>
                <w:color w:val="082C44"/>
              </w:rPr>
            </w:pPr>
            <w:r w:rsidRPr="00A80D08">
              <w:rPr>
                <w:rStyle w:val="Strong"/>
                <w:color w:val="082C44"/>
              </w:rPr>
              <w:t>Homelessness</w:t>
            </w:r>
          </w:p>
        </w:tc>
        <w:tc>
          <w:tcPr>
            <w:tcW w:w="2670" w:type="pct"/>
          </w:tcPr>
          <w:p w14:paraId="34BBA255" w14:textId="11244AA3" w:rsidR="00C42662" w:rsidRPr="009764EE" w:rsidRDefault="008B0134" w:rsidP="001A7C56">
            <w:pPr>
              <w:pStyle w:val="TableTextLeft"/>
            </w:pPr>
            <w:r>
              <w:t>Rate</w:t>
            </w:r>
            <w:r w:rsidRPr="009764EE">
              <w:t xml:space="preserve"> </w:t>
            </w:r>
            <w:r w:rsidR="00C42662" w:rsidRPr="009764EE">
              <w:t>of people who are experiencing homelessness</w:t>
            </w:r>
          </w:p>
        </w:tc>
        <w:tc>
          <w:tcPr>
            <w:tcW w:w="1231" w:type="pct"/>
          </w:tcPr>
          <w:p w14:paraId="1D4F767D" w14:textId="77777777" w:rsidR="00C42662" w:rsidRPr="009764EE" w:rsidRDefault="00C42662"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Census of Population and Housing</w:t>
            </w:r>
          </w:p>
        </w:tc>
      </w:tr>
      <w:tr w:rsidR="00C42662" w:rsidRPr="009764EE" w14:paraId="4900561B" w14:textId="77777777" w:rsidTr="00FB6842">
        <w:trPr>
          <w:trHeight w:val="20"/>
        </w:trPr>
        <w:tc>
          <w:tcPr>
            <w:tcW w:w="1100" w:type="pct"/>
          </w:tcPr>
          <w:p w14:paraId="7E664ECE" w14:textId="132DA0E3" w:rsidR="00C42662" w:rsidRPr="00A80D08" w:rsidRDefault="00C42662" w:rsidP="001A7C56">
            <w:pPr>
              <w:pStyle w:val="TableTextLeft"/>
              <w:rPr>
                <w:rStyle w:val="Strong"/>
                <w:color w:val="082C44"/>
              </w:rPr>
            </w:pPr>
            <w:r w:rsidRPr="00A80D08">
              <w:rPr>
                <w:rStyle w:val="Strong"/>
                <w:color w:val="082C44"/>
              </w:rPr>
              <w:t>Housing serviceability</w:t>
            </w:r>
          </w:p>
        </w:tc>
        <w:tc>
          <w:tcPr>
            <w:tcW w:w="2670" w:type="pct"/>
          </w:tcPr>
          <w:p w14:paraId="35EA2455" w14:textId="38500983" w:rsidR="00C42662" w:rsidRPr="009764EE" w:rsidRDefault="008B0134" w:rsidP="001A7C56">
            <w:pPr>
              <w:pStyle w:val="TableTextLeft"/>
            </w:pPr>
            <w:r>
              <w:t>Ratio</w:t>
            </w:r>
            <w:r w:rsidRPr="009764EE">
              <w:t xml:space="preserve"> </w:t>
            </w:r>
            <w:r w:rsidR="00C42662" w:rsidRPr="009764EE">
              <w:t>of housing costs to household gross income, by tenure</w:t>
            </w:r>
          </w:p>
        </w:tc>
        <w:tc>
          <w:tcPr>
            <w:tcW w:w="1231" w:type="pct"/>
          </w:tcPr>
          <w:p w14:paraId="72808F24" w14:textId="77777777" w:rsidR="00C42662" w:rsidRPr="009764EE" w:rsidRDefault="00C42662"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Survey of Income and Housing</w:t>
            </w:r>
          </w:p>
        </w:tc>
      </w:tr>
      <w:bookmarkEnd w:id="145"/>
    </w:tbl>
    <w:p w14:paraId="5DA79D79" w14:textId="77777777" w:rsidR="00C56206" w:rsidRPr="00A80D08" w:rsidRDefault="00C56206" w:rsidP="00A80D08"/>
    <w:p w14:paraId="7C737246" w14:textId="77777777" w:rsidR="00C56206" w:rsidRPr="00A80D08" w:rsidRDefault="00C56206" w:rsidP="00A80D08">
      <w:r w:rsidRPr="00A80D08">
        <w:br w:type="page"/>
      </w:r>
    </w:p>
    <w:p w14:paraId="5002E87F" w14:textId="02511A88" w:rsidR="005D5F02" w:rsidRPr="009764EE" w:rsidRDefault="005D5F02" w:rsidP="009A66F4">
      <w:pPr>
        <w:pStyle w:val="TableMainHeading"/>
      </w:pPr>
      <w:r w:rsidRPr="009764EE">
        <w:lastRenderedPageBreak/>
        <w:t xml:space="preserve">Sustainable </w:t>
      </w:r>
    </w:p>
    <w:tbl>
      <w:tblPr>
        <w:tblStyle w:val="MWMTables"/>
        <w:tblW w:w="5000" w:type="pct"/>
        <w:tblLook w:val="06A0" w:firstRow="1" w:lastRow="0" w:firstColumn="1" w:lastColumn="0" w:noHBand="1" w:noVBand="1"/>
      </w:tblPr>
      <w:tblGrid>
        <w:gridCol w:w="1992"/>
        <w:gridCol w:w="4845"/>
        <w:gridCol w:w="2233"/>
      </w:tblGrid>
      <w:tr w:rsidR="005D5F02" w:rsidRPr="009764EE" w14:paraId="02A6A7EB" w14:textId="77777777" w:rsidTr="00FB6842">
        <w:trPr>
          <w:cnfStyle w:val="100000000000" w:firstRow="1" w:lastRow="0" w:firstColumn="0" w:lastColumn="0" w:oddVBand="0" w:evenVBand="0" w:oddHBand="0" w:evenHBand="0" w:firstRowFirstColumn="0" w:firstRowLastColumn="0" w:lastRowFirstColumn="0" w:lastRowLastColumn="0"/>
          <w:trHeight w:val="20"/>
        </w:trPr>
        <w:tc>
          <w:tcPr>
            <w:tcW w:w="1098" w:type="pct"/>
          </w:tcPr>
          <w:p w14:paraId="1A9E3CEE" w14:textId="77777777" w:rsidR="005D5F02" w:rsidRPr="009764EE" w:rsidRDefault="005D5F02" w:rsidP="00FB6842">
            <w:pPr>
              <w:pStyle w:val="TableColumnHeadingLeft"/>
            </w:pPr>
            <w:r w:rsidRPr="009764EE">
              <w:t>Indicator</w:t>
            </w:r>
          </w:p>
        </w:tc>
        <w:tc>
          <w:tcPr>
            <w:tcW w:w="2671" w:type="pct"/>
          </w:tcPr>
          <w:p w14:paraId="43943EC4" w14:textId="77777777" w:rsidR="005D5F02" w:rsidRPr="009764EE" w:rsidRDefault="005D5F02" w:rsidP="00FB6842">
            <w:pPr>
              <w:pStyle w:val="TableColumnHeadingLeft"/>
            </w:pPr>
            <w:r w:rsidRPr="009764EE">
              <w:t xml:space="preserve">Metric </w:t>
            </w:r>
          </w:p>
        </w:tc>
        <w:tc>
          <w:tcPr>
            <w:tcW w:w="1231" w:type="pct"/>
          </w:tcPr>
          <w:p w14:paraId="2938C9E9" w14:textId="5B02F991" w:rsidR="005D5F02" w:rsidRPr="009764EE" w:rsidRDefault="005D5F02" w:rsidP="00FB6842">
            <w:pPr>
              <w:pStyle w:val="TableColumnHeadingLeft"/>
            </w:pPr>
            <w:r w:rsidRPr="009764EE">
              <w:t xml:space="preserve">Source </w:t>
            </w:r>
          </w:p>
        </w:tc>
      </w:tr>
      <w:tr w:rsidR="001A7C56" w:rsidRPr="001A7C56" w14:paraId="5D0943EB" w14:textId="77777777" w:rsidTr="00FB6842">
        <w:trPr>
          <w:trHeight w:val="20"/>
        </w:trPr>
        <w:tc>
          <w:tcPr>
            <w:tcW w:w="5000" w:type="pct"/>
            <w:gridSpan w:val="3"/>
            <w:shd w:val="clear" w:color="auto" w:fill="216364"/>
          </w:tcPr>
          <w:p w14:paraId="4C7FC72F" w14:textId="313D670B" w:rsidR="005D5F02" w:rsidRPr="001A7C56" w:rsidRDefault="00E27C15" w:rsidP="001A7C56">
            <w:pPr>
              <w:pStyle w:val="TableTextLeft"/>
              <w:rPr>
                <w:b/>
                <w:bCs/>
                <w:color w:val="FFFFFF" w:themeColor="background1"/>
              </w:rPr>
            </w:pPr>
            <w:r w:rsidRPr="001A7C56">
              <w:rPr>
                <w:b/>
                <w:bCs/>
                <w:color w:val="FFFFFF" w:themeColor="background1"/>
              </w:rPr>
              <w:t>Protect</w:t>
            </w:r>
            <w:r w:rsidR="003D4E2D" w:rsidRPr="001A7C56">
              <w:rPr>
                <w:b/>
                <w:bCs/>
                <w:color w:val="FFFFFF" w:themeColor="background1"/>
              </w:rPr>
              <w:t>, repair and manage</w:t>
            </w:r>
            <w:r w:rsidRPr="001A7C56">
              <w:rPr>
                <w:b/>
                <w:bCs/>
                <w:color w:val="FFFFFF" w:themeColor="background1"/>
              </w:rPr>
              <w:t xml:space="preserve"> the environment</w:t>
            </w:r>
          </w:p>
        </w:tc>
      </w:tr>
      <w:tr w:rsidR="005D5F02" w:rsidRPr="009764EE" w14:paraId="131C3256" w14:textId="77777777" w:rsidTr="00FB6842">
        <w:trPr>
          <w:trHeight w:val="20"/>
        </w:trPr>
        <w:tc>
          <w:tcPr>
            <w:tcW w:w="1098" w:type="pct"/>
            <w:vMerge w:val="restart"/>
          </w:tcPr>
          <w:p w14:paraId="477F7326" w14:textId="77777777" w:rsidR="005D5F02" w:rsidRPr="00A80D08" w:rsidRDefault="005D5F02" w:rsidP="001A7C56">
            <w:pPr>
              <w:pStyle w:val="TableTextLeft"/>
              <w:rPr>
                <w:rStyle w:val="Strong"/>
                <w:color w:val="082C44"/>
              </w:rPr>
            </w:pPr>
            <w:r w:rsidRPr="00A80D08">
              <w:rPr>
                <w:rStyle w:val="Strong"/>
                <w:color w:val="082C44"/>
              </w:rPr>
              <w:t>Emissions reduction</w:t>
            </w:r>
          </w:p>
        </w:tc>
        <w:tc>
          <w:tcPr>
            <w:tcW w:w="2671" w:type="pct"/>
            <w:tcBorders>
              <w:top w:val="single" w:sz="4" w:space="0" w:color="216364"/>
              <w:bottom w:val="single" w:sz="4" w:space="0" w:color="EEEEEE" w:themeColor="background2"/>
            </w:tcBorders>
          </w:tcPr>
          <w:p w14:paraId="7F715E67" w14:textId="38A19122" w:rsidR="005D5F02" w:rsidRPr="009764EE" w:rsidRDefault="005D5F02" w:rsidP="001A7C56">
            <w:pPr>
              <w:pStyle w:val="TableTextLeft"/>
            </w:pPr>
            <w:r w:rsidRPr="009764EE">
              <w:t xml:space="preserve">Proportion of </w:t>
            </w:r>
            <w:r w:rsidR="000A20FD">
              <w:t>reduction in Australia</w:t>
            </w:r>
            <w:r w:rsidR="00135DEA">
              <w:t>’</w:t>
            </w:r>
            <w:r w:rsidR="000A20FD">
              <w:t xml:space="preserve">s </w:t>
            </w:r>
            <w:r w:rsidRPr="009764EE">
              <w:t xml:space="preserve">net greenhouse </w:t>
            </w:r>
            <w:r w:rsidR="000A20FD" w:rsidRPr="009764EE">
              <w:t>gas</w:t>
            </w:r>
            <w:r w:rsidR="000A20FD">
              <w:t xml:space="preserve"> emissions</w:t>
            </w:r>
            <w:r w:rsidRPr="009764EE">
              <w:t xml:space="preserve"> from 2005</w:t>
            </w:r>
            <w:r w:rsidR="000A20FD">
              <w:t xml:space="preserve"> levels </w:t>
            </w:r>
          </w:p>
        </w:tc>
        <w:tc>
          <w:tcPr>
            <w:tcW w:w="1231" w:type="pct"/>
            <w:tcBorders>
              <w:top w:val="single" w:sz="4" w:space="0" w:color="216364"/>
              <w:bottom w:val="single" w:sz="4" w:space="0" w:color="EEEEEE" w:themeColor="background2"/>
            </w:tcBorders>
          </w:tcPr>
          <w:p w14:paraId="3B3FA14F" w14:textId="08DA2790" w:rsidR="005D5F02" w:rsidRPr="009764EE" w:rsidRDefault="005D5F02" w:rsidP="00FB6842">
            <w:pPr>
              <w:pStyle w:val="TableTextLeft"/>
            </w:pPr>
            <w:r w:rsidRPr="009764EE">
              <w:t>DCCEEW, Quarterly Update of Australia</w:t>
            </w:r>
            <w:r w:rsidR="00135DEA">
              <w:t>’</w:t>
            </w:r>
            <w:r w:rsidRPr="009764EE">
              <w:t>s National Greenhouse Gas Inventory: December 2022</w:t>
            </w:r>
          </w:p>
        </w:tc>
      </w:tr>
      <w:tr w:rsidR="005D5F02" w:rsidRPr="009764EE" w14:paraId="1F1DD9FB" w14:textId="77777777" w:rsidTr="00FB6842">
        <w:trPr>
          <w:trHeight w:val="20"/>
        </w:trPr>
        <w:tc>
          <w:tcPr>
            <w:tcW w:w="1098" w:type="pct"/>
            <w:vMerge/>
          </w:tcPr>
          <w:p w14:paraId="3BC3D087" w14:textId="77777777" w:rsidR="005D5F02" w:rsidRPr="00A80D08" w:rsidRDefault="005D5F02" w:rsidP="001A7C56">
            <w:pPr>
              <w:pStyle w:val="TableTextLeft"/>
              <w:rPr>
                <w:rStyle w:val="Strong"/>
                <w:color w:val="082C44"/>
              </w:rPr>
            </w:pPr>
          </w:p>
        </w:tc>
        <w:tc>
          <w:tcPr>
            <w:tcW w:w="2671" w:type="pct"/>
            <w:tcBorders>
              <w:top w:val="single" w:sz="4" w:space="0" w:color="EEEEEE" w:themeColor="background2"/>
            </w:tcBorders>
          </w:tcPr>
          <w:p w14:paraId="6223A93A" w14:textId="77777777" w:rsidR="005D5F02" w:rsidRPr="009764EE" w:rsidRDefault="005D5F02" w:rsidP="001A7C56">
            <w:pPr>
              <w:pStyle w:val="TableTextLeft"/>
            </w:pPr>
            <w:r w:rsidRPr="009764EE">
              <w:t>Renewable share of electricity generation</w:t>
            </w:r>
          </w:p>
        </w:tc>
        <w:tc>
          <w:tcPr>
            <w:tcW w:w="1231" w:type="pct"/>
            <w:tcBorders>
              <w:top w:val="single" w:sz="4" w:space="0" w:color="EEEEEE" w:themeColor="background2"/>
            </w:tcBorders>
          </w:tcPr>
          <w:p w14:paraId="0D1FFC47" w14:textId="39C611CF" w:rsidR="005D5F02" w:rsidRPr="009764EE" w:rsidRDefault="00012F53" w:rsidP="00FB6842">
            <w:pPr>
              <w:pStyle w:val="TableTextLeft"/>
            </w:pPr>
            <w:r>
              <w:t>DCCEEW</w:t>
            </w:r>
            <w:r w:rsidR="005D5F02" w:rsidRPr="009764EE">
              <w:t xml:space="preserve">, </w:t>
            </w:r>
            <w:r w:rsidR="005D5F02" w:rsidRPr="00FB6842">
              <w:rPr>
                <w:rStyle w:val="Emphasis"/>
              </w:rPr>
              <w:t>Australian Energy Statistics</w:t>
            </w:r>
          </w:p>
        </w:tc>
      </w:tr>
      <w:tr w:rsidR="005D5F02" w:rsidRPr="009764EE" w14:paraId="5B634B46" w14:textId="77777777" w:rsidTr="00FB6842">
        <w:trPr>
          <w:trHeight w:val="20"/>
        </w:trPr>
        <w:tc>
          <w:tcPr>
            <w:tcW w:w="1098" w:type="pct"/>
          </w:tcPr>
          <w:p w14:paraId="57402FC6" w14:textId="77777777" w:rsidR="005D5F02" w:rsidRPr="00A80D08" w:rsidRDefault="005D5F02" w:rsidP="001A7C56">
            <w:pPr>
              <w:pStyle w:val="TableTextLeft"/>
              <w:rPr>
                <w:rStyle w:val="Strong"/>
                <w:color w:val="082C44"/>
              </w:rPr>
            </w:pPr>
            <w:r w:rsidRPr="00A80D08">
              <w:rPr>
                <w:rStyle w:val="Strong"/>
                <w:color w:val="082C44"/>
              </w:rPr>
              <w:t>Air quality</w:t>
            </w:r>
          </w:p>
        </w:tc>
        <w:tc>
          <w:tcPr>
            <w:tcW w:w="2671" w:type="pct"/>
          </w:tcPr>
          <w:p w14:paraId="5475A49B" w14:textId="77777777" w:rsidR="005D5F02" w:rsidRPr="009764EE" w:rsidRDefault="005D5F02" w:rsidP="001A7C56">
            <w:pPr>
              <w:pStyle w:val="TableTextLeft"/>
            </w:pPr>
            <w:r w:rsidRPr="009764EE">
              <w:t>Exposure to outdoor air pollution of PM2.5</w:t>
            </w:r>
          </w:p>
        </w:tc>
        <w:tc>
          <w:tcPr>
            <w:tcW w:w="1231" w:type="pct"/>
          </w:tcPr>
          <w:p w14:paraId="4038BACE" w14:textId="02621FB1" w:rsidR="005D5F02" w:rsidRPr="006A1563" w:rsidRDefault="005D5F02" w:rsidP="00FB6842">
            <w:pPr>
              <w:pStyle w:val="TableTextLeft"/>
            </w:pPr>
            <w:r w:rsidRPr="009764EE">
              <w:t xml:space="preserve">National Environment Protection Council, </w:t>
            </w:r>
            <w:r w:rsidRPr="00FB6842">
              <w:rPr>
                <w:rStyle w:val="Emphasis"/>
              </w:rPr>
              <w:t>National Environment Protection (Ambient Air Quality) Measure</w:t>
            </w:r>
            <w:r w:rsidRPr="00FB6842" w:rsidDel="000E3906">
              <w:rPr>
                <w:rStyle w:val="Emphasis"/>
              </w:rPr>
              <w:t xml:space="preserve"> </w:t>
            </w:r>
            <w:r w:rsidR="006A1563">
              <w:t xml:space="preserve">and unpublished data </w:t>
            </w:r>
          </w:p>
        </w:tc>
      </w:tr>
      <w:tr w:rsidR="005D5F02" w:rsidRPr="009764EE" w14:paraId="48969BE3" w14:textId="77777777" w:rsidTr="00FB6842">
        <w:trPr>
          <w:trHeight w:val="20"/>
        </w:trPr>
        <w:tc>
          <w:tcPr>
            <w:tcW w:w="1098" w:type="pct"/>
          </w:tcPr>
          <w:p w14:paraId="0B4B9F7D" w14:textId="77777777" w:rsidR="005D5F02" w:rsidRPr="00A80D08" w:rsidRDefault="005D5F02" w:rsidP="001A7C56">
            <w:pPr>
              <w:pStyle w:val="TableTextLeft"/>
              <w:rPr>
                <w:rStyle w:val="Strong"/>
                <w:color w:val="082C44"/>
              </w:rPr>
            </w:pPr>
            <w:r w:rsidRPr="00A80D08">
              <w:rPr>
                <w:rStyle w:val="Strong"/>
                <w:color w:val="082C44"/>
              </w:rPr>
              <w:t>Protected areas</w:t>
            </w:r>
          </w:p>
        </w:tc>
        <w:tc>
          <w:tcPr>
            <w:tcW w:w="2671" w:type="pct"/>
          </w:tcPr>
          <w:p w14:paraId="6F3236D4" w14:textId="2223C3BD" w:rsidR="005D5F02" w:rsidRPr="009764EE" w:rsidRDefault="005D5F02" w:rsidP="001A7C56">
            <w:pPr>
              <w:pStyle w:val="TableTextLeft"/>
            </w:pPr>
            <w:r w:rsidRPr="009764EE">
              <w:t>Proportion of lands and waters dedicated to the long</w:t>
            </w:r>
            <w:r w:rsidR="00135DEA">
              <w:noBreakHyphen/>
            </w:r>
            <w:r w:rsidRPr="009764EE">
              <w:t>term conservation of nature, its ecosystem and cultural values</w:t>
            </w:r>
          </w:p>
        </w:tc>
        <w:tc>
          <w:tcPr>
            <w:tcW w:w="1231" w:type="pct"/>
          </w:tcPr>
          <w:p w14:paraId="746E5A99" w14:textId="77777777" w:rsidR="005D5F02" w:rsidRPr="009764EE" w:rsidRDefault="005D5F02" w:rsidP="00FB6842">
            <w:pPr>
              <w:pStyle w:val="TableTextLeft"/>
            </w:pPr>
            <w:r w:rsidRPr="009764EE">
              <w:t xml:space="preserve">DCCEEW, </w:t>
            </w:r>
            <w:r w:rsidRPr="00FB6842">
              <w:rPr>
                <w:rStyle w:val="Emphasis"/>
              </w:rPr>
              <w:t>The Collaborative Australian Protected Areas Database</w:t>
            </w:r>
          </w:p>
        </w:tc>
      </w:tr>
      <w:tr w:rsidR="005D5F02" w:rsidRPr="009764EE" w14:paraId="5DD731CF" w14:textId="77777777" w:rsidTr="00FB6842">
        <w:trPr>
          <w:trHeight w:val="20"/>
        </w:trPr>
        <w:tc>
          <w:tcPr>
            <w:tcW w:w="1098" w:type="pct"/>
          </w:tcPr>
          <w:p w14:paraId="54E73A7E" w14:textId="77777777" w:rsidR="005D5F02" w:rsidRPr="00A80D08" w:rsidRDefault="005D5F02" w:rsidP="001A7C56">
            <w:pPr>
              <w:pStyle w:val="TableTextLeft"/>
              <w:rPr>
                <w:rStyle w:val="Strong"/>
                <w:color w:val="082C44"/>
              </w:rPr>
            </w:pPr>
            <w:r w:rsidRPr="00A80D08">
              <w:rPr>
                <w:rStyle w:val="Strong"/>
                <w:color w:val="082C44"/>
              </w:rPr>
              <w:t>Biological diversity</w:t>
            </w:r>
          </w:p>
        </w:tc>
        <w:tc>
          <w:tcPr>
            <w:tcW w:w="2671" w:type="pct"/>
            <w:tcBorders>
              <w:bottom w:val="single" w:sz="4" w:space="0" w:color="216364"/>
            </w:tcBorders>
          </w:tcPr>
          <w:p w14:paraId="45BBC43F" w14:textId="08E84F7C" w:rsidR="005D5F02" w:rsidRPr="009764EE" w:rsidRDefault="00E45589" w:rsidP="001A7C56">
            <w:pPr>
              <w:pStyle w:val="TableTextLeft"/>
            </w:pPr>
            <w:r w:rsidRPr="009764EE">
              <w:rPr>
                <w:color w:val="000000" w:themeColor="text1"/>
              </w:rPr>
              <w:t>Proportion of decline in Australia</w:t>
            </w:r>
            <w:r w:rsidR="00135DEA">
              <w:rPr>
                <w:color w:val="000000" w:themeColor="text1"/>
              </w:rPr>
              <w:t>’</w:t>
            </w:r>
            <w:r w:rsidRPr="009764EE">
              <w:rPr>
                <w:color w:val="000000" w:themeColor="text1"/>
              </w:rPr>
              <w:t xml:space="preserve">s threatened and near threatened species from the </w:t>
            </w:r>
            <w:r w:rsidR="00135DEA">
              <w:rPr>
                <w:color w:val="000000" w:themeColor="text1"/>
              </w:rPr>
              <w:t>“</w:t>
            </w:r>
            <w:r w:rsidRPr="009764EE">
              <w:rPr>
                <w:color w:val="000000" w:themeColor="text1"/>
              </w:rPr>
              <w:t>Threatened Species Index</w:t>
            </w:r>
            <w:r w:rsidR="00135DEA">
              <w:rPr>
                <w:color w:val="000000" w:themeColor="text1"/>
              </w:rPr>
              <w:t>”</w:t>
            </w:r>
          </w:p>
        </w:tc>
        <w:tc>
          <w:tcPr>
            <w:tcW w:w="1231" w:type="pct"/>
            <w:tcBorders>
              <w:bottom w:val="single" w:sz="4" w:space="0" w:color="216364"/>
            </w:tcBorders>
          </w:tcPr>
          <w:p w14:paraId="4F6481DF" w14:textId="77777777" w:rsidR="005D5F02" w:rsidRPr="009764EE" w:rsidRDefault="005D5F02" w:rsidP="00FB6842">
            <w:pPr>
              <w:pStyle w:val="TableTextLeft"/>
            </w:pPr>
            <w:r w:rsidRPr="009764EE">
              <w:t>Terrestrial Ecosystem Research Network, the Threatened Species Network</w:t>
            </w:r>
          </w:p>
        </w:tc>
      </w:tr>
      <w:tr w:rsidR="005D5F02" w:rsidRPr="009764EE" w14:paraId="67A8D945" w14:textId="77777777" w:rsidTr="00FB6842">
        <w:trPr>
          <w:trHeight w:val="20"/>
        </w:trPr>
        <w:tc>
          <w:tcPr>
            <w:tcW w:w="1098" w:type="pct"/>
            <w:vMerge w:val="restart"/>
          </w:tcPr>
          <w:p w14:paraId="239EBE53" w14:textId="212DDA09" w:rsidR="005D5F02" w:rsidRPr="00A80D08" w:rsidRDefault="005D5F02" w:rsidP="001A7C56">
            <w:pPr>
              <w:pStyle w:val="TableTextLeft"/>
              <w:rPr>
                <w:rStyle w:val="Strong"/>
                <w:color w:val="082C44"/>
              </w:rPr>
            </w:pPr>
            <w:r w:rsidRPr="00A80D08">
              <w:rPr>
                <w:rStyle w:val="Strong"/>
                <w:color w:val="082C44"/>
              </w:rPr>
              <w:t xml:space="preserve">Resource </w:t>
            </w:r>
            <w:r w:rsidR="0040438F" w:rsidRPr="00A80D08">
              <w:rPr>
                <w:rStyle w:val="Strong"/>
                <w:color w:val="082C44"/>
              </w:rPr>
              <w:t>u</w:t>
            </w:r>
            <w:r w:rsidRPr="00A80D08">
              <w:rPr>
                <w:rStyle w:val="Strong"/>
                <w:color w:val="082C44"/>
              </w:rPr>
              <w:t xml:space="preserve">se and </w:t>
            </w:r>
            <w:r w:rsidR="002766BC" w:rsidRPr="00A80D08">
              <w:rPr>
                <w:rStyle w:val="Strong"/>
                <w:color w:val="082C44"/>
              </w:rPr>
              <w:t>w</w:t>
            </w:r>
            <w:r w:rsidRPr="00A80D08">
              <w:rPr>
                <w:rStyle w:val="Strong"/>
                <w:color w:val="082C44"/>
              </w:rPr>
              <w:t xml:space="preserve">aste </w:t>
            </w:r>
            <w:r w:rsidR="002766BC" w:rsidRPr="00A80D08">
              <w:rPr>
                <w:rStyle w:val="Strong"/>
                <w:color w:val="082C44"/>
              </w:rPr>
              <w:t>g</w:t>
            </w:r>
            <w:r w:rsidRPr="00A80D08">
              <w:rPr>
                <w:rStyle w:val="Strong"/>
                <w:color w:val="082C44"/>
              </w:rPr>
              <w:t xml:space="preserve">eneration </w:t>
            </w:r>
          </w:p>
        </w:tc>
        <w:tc>
          <w:tcPr>
            <w:tcW w:w="2671" w:type="pct"/>
            <w:tcBorders>
              <w:top w:val="single" w:sz="4" w:space="0" w:color="216364"/>
              <w:bottom w:val="single" w:sz="4" w:space="0" w:color="EEEEEE" w:themeColor="background2"/>
            </w:tcBorders>
          </w:tcPr>
          <w:p w14:paraId="1BF82DC0" w14:textId="77777777" w:rsidR="005D5F02" w:rsidRPr="009764EE" w:rsidRDefault="005D5F02" w:rsidP="001A7C56">
            <w:pPr>
              <w:pStyle w:val="TableTextLeft"/>
            </w:pPr>
            <w:r w:rsidRPr="009764EE">
              <w:t>Waste generation per person</w:t>
            </w:r>
          </w:p>
        </w:tc>
        <w:tc>
          <w:tcPr>
            <w:tcW w:w="1231" w:type="pct"/>
            <w:tcBorders>
              <w:top w:val="single" w:sz="4" w:space="0" w:color="216364"/>
              <w:bottom w:val="single" w:sz="4" w:space="0" w:color="EEEEEE" w:themeColor="background2"/>
            </w:tcBorders>
          </w:tcPr>
          <w:p w14:paraId="1AFFF00D" w14:textId="77777777" w:rsidR="005D5F02" w:rsidRPr="009764EE" w:rsidRDefault="005D5F02" w:rsidP="00FB6842">
            <w:pPr>
              <w:pStyle w:val="TableTextLeft"/>
            </w:pPr>
            <w:r w:rsidRPr="009764EE">
              <w:t xml:space="preserve">DCCEEW, </w:t>
            </w:r>
            <w:r w:rsidRPr="00FB6842">
              <w:rPr>
                <w:rStyle w:val="Emphasis"/>
              </w:rPr>
              <w:t>National Waste Report</w:t>
            </w:r>
          </w:p>
        </w:tc>
      </w:tr>
      <w:tr w:rsidR="005D5F02" w:rsidRPr="009764EE" w14:paraId="66FC3176" w14:textId="77777777" w:rsidTr="00FB6842">
        <w:trPr>
          <w:trHeight w:val="20"/>
        </w:trPr>
        <w:tc>
          <w:tcPr>
            <w:tcW w:w="1098" w:type="pct"/>
            <w:vMerge/>
          </w:tcPr>
          <w:p w14:paraId="53A40EE5" w14:textId="77777777" w:rsidR="005D5F02" w:rsidRPr="009764EE" w:rsidRDefault="005D5F02" w:rsidP="001A7C56">
            <w:pPr>
              <w:pStyle w:val="TableTextLeft"/>
            </w:pPr>
          </w:p>
        </w:tc>
        <w:tc>
          <w:tcPr>
            <w:tcW w:w="2671" w:type="pct"/>
            <w:tcBorders>
              <w:top w:val="single" w:sz="4" w:space="0" w:color="EEEEEE" w:themeColor="background2"/>
            </w:tcBorders>
          </w:tcPr>
          <w:p w14:paraId="57DC576F" w14:textId="77777777" w:rsidR="005D5F02" w:rsidRPr="009764EE" w:rsidRDefault="005D5F02" w:rsidP="001A7C56">
            <w:pPr>
              <w:pStyle w:val="TableTextLeft"/>
            </w:pPr>
            <w:r w:rsidRPr="009764EE">
              <w:t>Proportion of waste recovered for reuse, recycling or energy</w:t>
            </w:r>
          </w:p>
        </w:tc>
        <w:tc>
          <w:tcPr>
            <w:tcW w:w="1231" w:type="pct"/>
            <w:tcBorders>
              <w:top w:val="single" w:sz="4" w:space="0" w:color="EEEEEE" w:themeColor="background2"/>
            </w:tcBorders>
          </w:tcPr>
          <w:p w14:paraId="3B131AE9" w14:textId="77777777" w:rsidR="005D5F02" w:rsidRPr="009764EE" w:rsidRDefault="005D5F02" w:rsidP="00FB6842">
            <w:pPr>
              <w:pStyle w:val="TableTextLeft"/>
            </w:pPr>
            <w:r w:rsidRPr="009764EE">
              <w:t xml:space="preserve">DCCEEW, </w:t>
            </w:r>
            <w:r w:rsidRPr="00FB6842">
              <w:rPr>
                <w:rStyle w:val="Emphasis"/>
              </w:rPr>
              <w:t>National Waste Report</w:t>
            </w:r>
          </w:p>
        </w:tc>
      </w:tr>
      <w:tr w:rsidR="001A7C56" w:rsidRPr="001A7C56" w14:paraId="1F960FF4" w14:textId="77777777" w:rsidTr="00FB6842">
        <w:trPr>
          <w:trHeight w:val="20"/>
        </w:trPr>
        <w:tc>
          <w:tcPr>
            <w:tcW w:w="5000" w:type="pct"/>
            <w:gridSpan w:val="3"/>
            <w:shd w:val="clear" w:color="auto" w:fill="216364"/>
          </w:tcPr>
          <w:p w14:paraId="3EE62E96" w14:textId="0DCCDDB6" w:rsidR="005D5F02" w:rsidRPr="001A7C56" w:rsidRDefault="002F6D7C" w:rsidP="001A7C56">
            <w:pPr>
              <w:pStyle w:val="TableTextLeft"/>
              <w:rPr>
                <w:b/>
                <w:bCs/>
                <w:color w:val="FFFFFF" w:themeColor="background1"/>
              </w:rPr>
            </w:pPr>
            <w:r w:rsidRPr="001A7C56">
              <w:rPr>
                <w:b/>
                <w:bCs/>
                <w:color w:val="FFFFFF" w:themeColor="background1"/>
              </w:rPr>
              <w:t>Resilient and sustainable nation</w:t>
            </w:r>
          </w:p>
        </w:tc>
      </w:tr>
      <w:tr w:rsidR="005D5F02" w:rsidRPr="009764EE" w14:paraId="263A09C5" w14:textId="77777777" w:rsidTr="00FB6842">
        <w:trPr>
          <w:trHeight w:val="20"/>
        </w:trPr>
        <w:tc>
          <w:tcPr>
            <w:tcW w:w="1098" w:type="pct"/>
          </w:tcPr>
          <w:p w14:paraId="5AEEC6DA" w14:textId="77777777" w:rsidR="005D5F02" w:rsidRPr="00A80D08" w:rsidRDefault="005D5F02" w:rsidP="001A7C56">
            <w:pPr>
              <w:pStyle w:val="TableTextLeft"/>
              <w:rPr>
                <w:rStyle w:val="Strong"/>
                <w:color w:val="082C44"/>
              </w:rPr>
            </w:pPr>
            <w:r w:rsidRPr="00A80D08">
              <w:rPr>
                <w:rStyle w:val="Strong"/>
                <w:color w:val="082C44"/>
              </w:rPr>
              <w:t>Fiscal sustainability</w:t>
            </w:r>
          </w:p>
        </w:tc>
        <w:tc>
          <w:tcPr>
            <w:tcW w:w="2671" w:type="pct"/>
          </w:tcPr>
          <w:p w14:paraId="154F706A" w14:textId="4036998E" w:rsidR="005D5F02" w:rsidRPr="009764EE" w:rsidRDefault="005D5F02" w:rsidP="001A7C56">
            <w:pPr>
              <w:pStyle w:val="TableTextLeft"/>
            </w:pPr>
            <w:r w:rsidRPr="009764EE">
              <w:t xml:space="preserve">All levels of Government </w:t>
            </w:r>
            <w:r w:rsidR="00B72334" w:rsidRPr="009764EE">
              <w:t xml:space="preserve">gross </w:t>
            </w:r>
            <w:r w:rsidRPr="009764EE">
              <w:t>debt as a share of GDP</w:t>
            </w:r>
            <w:r w:rsidRPr="009764EE" w:rsidDel="00523CCA">
              <w:t xml:space="preserve"> </w:t>
            </w:r>
          </w:p>
        </w:tc>
        <w:tc>
          <w:tcPr>
            <w:tcW w:w="1231" w:type="pct"/>
          </w:tcPr>
          <w:p w14:paraId="23985678" w14:textId="015E6DED" w:rsidR="005D5F02" w:rsidRPr="009764EE" w:rsidRDefault="00C158B6" w:rsidP="001A7C56">
            <w:pPr>
              <w:pStyle w:val="TableTextLeft"/>
            </w:pPr>
            <w:r w:rsidRPr="009764EE">
              <w:t>ABS Government Finance Statistics, Treasury</w:t>
            </w:r>
            <w:r w:rsidR="005D5F02" w:rsidRPr="009764EE">
              <w:t xml:space="preserve"> </w:t>
            </w:r>
          </w:p>
        </w:tc>
      </w:tr>
      <w:tr w:rsidR="005D5F02" w:rsidRPr="009764EE" w14:paraId="64BDD950" w14:textId="77777777" w:rsidTr="00FB6842">
        <w:trPr>
          <w:trHeight w:val="20"/>
        </w:trPr>
        <w:tc>
          <w:tcPr>
            <w:tcW w:w="1098" w:type="pct"/>
          </w:tcPr>
          <w:p w14:paraId="504FBFD6" w14:textId="77125333" w:rsidR="005D5F02" w:rsidRPr="00A80D08" w:rsidRDefault="005D5F02" w:rsidP="001A7C56">
            <w:pPr>
              <w:pStyle w:val="TableTextLeft"/>
              <w:rPr>
                <w:rStyle w:val="Strong"/>
                <w:color w:val="082C44"/>
              </w:rPr>
            </w:pPr>
            <w:r w:rsidRPr="00A80D08">
              <w:rPr>
                <w:rStyle w:val="Strong"/>
                <w:color w:val="082C44"/>
              </w:rPr>
              <w:t xml:space="preserve">Economic </w:t>
            </w:r>
            <w:r w:rsidR="0040438F" w:rsidRPr="00A80D08">
              <w:rPr>
                <w:rStyle w:val="Strong"/>
                <w:color w:val="082C44"/>
              </w:rPr>
              <w:t xml:space="preserve">resilience </w:t>
            </w:r>
          </w:p>
        </w:tc>
        <w:tc>
          <w:tcPr>
            <w:tcW w:w="2671" w:type="pct"/>
          </w:tcPr>
          <w:p w14:paraId="1E7F4A2A" w14:textId="0AE83FD1" w:rsidR="005D5F02" w:rsidRPr="009764EE" w:rsidRDefault="005D5F02" w:rsidP="001A7C56">
            <w:pPr>
              <w:pStyle w:val="TableTextLeft"/>
            </w:pPr>
            <w:r w:rsidRPr="009764EE">
              <w:t>The Atlas of Economic Complexity</w:t>
            </w:r>
            <w:r w:rsidR="00135DEA">
              <w:t>’</w:t>
            </w:r>
            <w:r w:rsidRPr="009764EE">
              <w:t>s Economic Complexity Index</w:t>
            </w:r>
          </w:p>
        </w:tc>
        <w:tc>
          <w:tcPr>
            <w:tcW w:w="1231" w:type="pct"/>
          </w:tcPr>
          <w:p w14:paraId="144CE36F" w14:textId="0AEE0682" w:rsidR="005D5F02" w:rsidRPr="009764EE" w:rsidRDefault="0030276B" w:rsidP="001A7C56">
            <w:pPr>
              <w:pStyle w:val="TableTextLeft"/>
            </w:pPr>
            <w:r w:rsidRPr="009764EE">
              <w:t>The Atlas of Economic Complexity</w:t>
            </w:r>
            <w:r w:rsidR="00135DEA">
              <w:t>’</w:t>
            </w:r>
            <w:r w:rsidRPr="009764EE">
              <w:t>s Economic Complexity Index</w:t>
            </w:r>
          </w:p>
        </w:tc>
      </w:tr>
      <w:tr w:rsidR="005D5F02" w:rsidRPr="009764EE" w14:paraId="47BB7BAF" w14:textId="77777777" w:rsidTr="00FB6842">
        <w:trPr>
          <w:trHeight w:val="20"/>
        </w:trPr>
        <w:tc>
          <w:tcPr>
            <w:tcW w:w="1098" w:type="pct"/>
          </w:tcPr>
          <w:p w14:paraId="6246B08C" w14:textId="1A5F148F" w:rsidR="005D5F02" w:rsidRPr="00A80D08" w:rsidRDefault="005D5F02" w:rsidP="001A7C56">
            <w:pPr>
              <w:pStyle w:val="TableTextLeft"/>
              <w:rPr>
                <w:rStyle w:val="Strong"/>
                <w:color w:val="082C44"/>
              </w:rPr>
            </w:pPr>
            <w:r w:rsidRPr="00A80D08">
              <w:rPr>
                <w:rStyle w:val="Strong"/>
                <w:color w:val="082C44"/>
              </w:rPr>
              <w:t xml:space="preserve">Climate resilience </w:t>
            </w:r>
          </w:p>
        </w:tc>
        <w:tc>
          <w:tcPr>
            <w:tcW w:w="2671" w:type="pct"/>
          </w:tcPr>
          <w:p w14:paraId="4CEFC692" w14:textId="77777777" w:rsidR="005D5F02" w:rsidRPr="009764EE" w:rsidRDefault="005D5F02" w:rsidP="001A7C56">
            <w:pPr>
              <w:pStyle w:val="TableTextLeft"/>
            </w:pPr>
            <w:r w:rsidRPr="009764EE">
              <w:t>Australian Disaster Resilience Index</w:t>
            </w:r>
          </w:p>
        </w:tc>
        <w:tc>
          <w:tcPr>
            <w:tcW w:w="1231" w:type="pct"/>
          </w:tcPr>
          <w:p w14:paraId="25A1B578" w14:textId="77777777" w:rsidR="005D5F02" w:rsidRPr="009764EE" w:rsidRDefault="005D5F02" w:rsidP="001A7C56">
            <w:pPr>
              <w:pStyle w:val="TableTextLeft"/>
            </w:pPr>
            <w:r w:rsidRPr="009764EE">
              <w:t>Parsons et al, Australian Disaster Index, Volume 1, State of Disaster Resilience Report 2020</w:t>
            </w:r>
          </w:p>
        </w:tc>
      </w:tr>
    </w:tbl>
    <w:p w14:paraId="0133BD60" w14:textId="77777777" w:rsidR="00C56206" w:rsidRPr="00A80D08" w:rsidRDefault="00C56206" w:rsidP="00A80D08"/>
    <w:p w14:paraId="1F10405F" w14:textId="77777777" w:rsidR="00C56206" w:rsidRPr="00A80D08" w:rsidRDefault="00C56206" w:rsidP="00A80D08">
      <w:r w:rsidRPr="00A80D08">
        <w:br w:type="page"/>
      </w:r>
    </w:p>
    <w:p w14:paraId="0A193155" w14:textId="38F4B6A9" w:rsidR="008902B9" w:rsidRPr="009764EE" w:rsidRDefault="008902B9" w:rsidP="001A7C56">
      <w:pPr>
        <w:pStyle w:val="TableMainHeading"/>
      </w:pPr>
      <w:r w:rsidRPr="009764EE">
        <w:lastRenderedPageBreak/>
        <w:t xml:space="preserve">Cohesive </w:t>
      </w:r>
    </w:p>
    <w:tbl>
      <w:tblPr>
        <w:tblStyle w:val="MWMTables"/>
        <w:tblW w:w="5000" w:type="pct"/>
        <w:tblLook w:val="06A0" w:firstRow="1" w:lastRow="0" w:firstColumn="1" w:lastColumn="0" w:noHBand="1" w:noVBand="1"/>
      </w:tblPr>
      <w:tblGrid>
        <w:gridCol w:w="1996"/>
        <w:gridCol w:w="4843"/>
        <w:gridCol w:w="2231"/>
      </w:tblGrid>
      <w:tr w:rsidR="008902B9" w:rsidRPr="00FB6842" w14:paraId="08B23559" w14:textId="77777777" w:rsidTr="00FB6842">
        <w:trPr>
          <w:cnfStyle w:val="100000000000" w:firstRow="1" w:lastRow="0" w:firstColumn="0" w:lastColumn="0" w:oddVBand="0" w:evenVBand="0" w:oddHBand="0" w:evenHBand="0" w:firstRowFirstColumn="0" w:firstRowLastColumn="0" w:lastRowFirstColumn="0" w:lastRowLastColumn="0"/>
          <w:trHeight w:val="20"/>
        </w:trPr>
        <w:tc>
          <w:tcPr>
            <w:tcW w:w="1100" w:type="pct"/>
          </w:tcPr>
          <w:p w14:paraId="03863711" w14:textId="77777777" w:rsidR="008902B9" w:rsidRPr="00FB6842" w:rsidRDefault="008902B9" w:rsidP="00FB6842">
            <w:pPr>
              <w:pStyle w:val="TableColumnHeadingLeft"/>
            </w:pPr>
            <w:r w:rsidRPr="00FB6842">
              <w:t>Indicator</w:t>
            </w:r>
          </w:p>
        </w:tc>
        <w:tc>
          <w:tcPr>
            <w:tcW w:w="2670" w:type="pct"/>
          </w:tcPr>
          <w:p w14:paraId="4EFB2898" w14:textId="77777777" w:rsidR="008902B9" w:rsidRPr="00FB6842" w:rsidRDefault="008902B9" w:rsidP="00FB6842">
            <w:pPr>
              <w:pStyle w:val="TableColumnHeadingLeft"/>
            </w:pPr>
            <w:r w:rsidRPr="00FB6842">
              <w:t xml:space="preserve">Metric </w:t>
            </w:r>
          </w:p>
        </w:tc>
        <w:tc>
          <w:tcPr>
            <w:tcW w:w="1231" w:type="pct"/>
          </w:tcPr>
          <w:p w14:paraId="14512983" w14:textId="77777777" w:rsidR="008902B9" w:rsidRPr="00FB6842" w:rsidRDefault="008902B9" w:rsidP="00FB6842">
            <w:pPr>
              <w:pStyle w:val="TableColumnHeadingLeft"/>
            </w:pPr>
            <w:r w:rsidRPr="00FB6842">
              <w:t xml:space="preserve">Source </w:t>
            </w:r>
          </w:p>
        </w:tc>
      </w:tr>
      <w:tr w:rsidR="001A7C56" w:rsidRPr="001A7C56" w14:paraId="303D8D55" w14:textId="77777777" w:rsidTr="00FB6842">
        <w:trPr>
          <w:trHeight w:val="20"/>
        </w:trPr>
        <w:tc>
          <w:tcPr>
            <w:tcW w:w="5000" w:type="pct"/>
            <w:gridSpan w:val="3"/>
            <w:shd w:val="clear" w:color="auto" w:fill="216364"/>
          </w:tcPr>
          <w:p w14:paraId="1740E929" w14:textId="034347F2" w:rsidR="008902B9" w:rsidRPr="001A7C56" w:rsidRDefault="00E27C15" w:rsidP="001A7C56">
            <w:pPr>
              <w:pStyle w:val="TableTextLeft"/>
              <w:rPr>
                <w:b/>
                <w:bCs/>
                <w:color w:val="FFFFFF" w:themeColor="background1"/>
              </w:rPr>
            </w:pPr>
            <w:r w:rsidRPr="001A7C56">
              <w:rPr>
                <w:b/>
                <w:bCs/>
                <w:color w:val="FFFFFF" w:themeColor="background1"/>
              </w:rPr>
              <w:t>Having time for family and community</w:t>
            </w:r>
          </w:p>
        </w:tc>
      </w:tr>
      <w:tr w:rsidR="008902B9" w:rsidRPr="009764EE" w14:paraId="072C13DB" w14:textId="77777777" w:rsidTr="00FB6842">
        <w:trPr>
          <w:trHeight w:val="20"/>
        </w:trPr>
        <w:tc>
          <w:tcPr>
            <w:tcW w:w="1100" w:type="pct"/>
          </w:tcPr>
          <w:p w14:paraId="4463BBA3" w14:textId="77777777" w:rsidR="008902B9" w:rsidRPr="00A80D08" w:rsidRDefault="008902B9" w:rsidP="001A7C56">
            <w:pPr>
              <w:pStyle w:val="TableTextLeft"/>
              <w:rPr>
                <w:rStyle w:val="Strong"/>
                <w:color w:val="082C44"/>
              </w:rPr>
            </w:pPr>
            <w:r w:rsidRPr="00A80D08">
              <w:rPr>
                <w:rStyle w:val="Strong"/>
                <w:color w:val="082C44"/>
              </w:rPr>
              <w:t>Time for recreation and social interaction</w:t>
            </w:r>
          </w:p>
        </w:tc>
        <w:tc>
          <w:tcPr>
            <w:tcW w:w="2670" w:type="pct"/>
            <w:tcBorders>
              <w:bottom w:val="single" w:sz="4" w:space="0" w:color="216364"/>
            </w:tcBorders>
          </w:tcPr>
          <w:p w14:paraId="41223A2D" w14:textId="77777777" w:rsidR="008902B9" w:rsidRPr="009764EE" w:rsidRDefault="008902B9" w:rsidP="001A7C56">
            <w:pPr>
              <w:pStyle w:val="TableTextLeft"/>
            </w:pPr>
            <w:r w:rsidRPr="009764EE">
              <w:t>Average time spent on recreation and leisure, and social and community interaction</w:t>
            </w:r>
          </w:p>
        </w:tc>
        <w:tc>
          <w:tcPr>
            <w:tcW w:w="1231" w:type="pct"/>
            <w:tcBorders>
              <w:bottom w:val="single" w:sz="4" w:space="0" w:color="216364"/>
            </w:tcBorders>
          </w:tcPr>
          <w:p w14:paraId="591EA1A5" w14:textId="09ADC258" w:rsidR="008902B9" w:rsidRPr="009764EE" w:rsidRDefault="008902B9"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Time Use Survey</w:t>
            </w:r>
          </w:p>
        </w:tc>
      </w:tr>
      <w:tr w:rsidR="008902B9" w:rsidRPr="00FB6842" w14:paraId="02D0F81D" w14:textId="77777777" w:rsidTr="00FB6842">
        <w:trPr>
          <w:trHeight w:val="20"/>
        </w:trPr>
        <w:tc>
          <w:tcPr>
            <w:tcW w:w="1100" w:type="pct"/>
            <w:vMerge w:val="restart"/>
          </w:tcPr>
          <w:p w14:paraId="41027507" w14:textId="77777777" w:rsidR="008902B9" w:rsidRPr="00A80D08" w:rsidRDefault="008902B9" w:rsidP="00FB6842">
            <w:pPr>
              <w:pStyle w:val="TableTextLeft"/>
              <w:rPr>
                <w:rStyle w:val="Strong"/>
                <w:color w:val="082C44"/>
              </w:rPr>
            </w:pPr>
            <w:r w:rsidRPr="00A80D08">
              <w:rPr>
                <w:rStyle w:val="Strong"/>
                <w:color w:val="082C44"/>
              </w:rPr>
              <w:t>Social Connections</w:t>
            </w:r>
          </w:p>
        </w:tc>
        <w:tc>
          <w:tcPr>
            <w:tcW w:w="2670" w:type="pct"/>
            <w:tcBorders>
              <w:top w:val="single" w:sz="4" w:space="0" w:color="216364"/>
              <w:bottom w:val="single" w:sz="4" w:space="0" w:color="EEEEEE" w:themeColor="background2"/>
            </w:tcBorders>
          </w:tcPr>
          <w:p w14:paraId="1650576D" w14:textId="52F1FA7D" w:rsidR="008902B9" w:rsidRPr="00FB6842" w:rsidRDefault="008902B9" w:rsidP="00FB6842">
            <w:pPr>
              <w:pStyle w:val="TableTextLeft"/>
            </w:pPr>
            <w:r w:rsidRPr="00FB6842">
              <w:t xml:space="preserve">Proportion of people who agreed with the statement </w:t>
            </w:r>
            <w:r w:rsidR="00135DEA" w:rsidRPr="00FB6842">
              <w:t>‘</w:t>
            </w:r>
            <w:r w:rsidRPr="00FB6842">
              <w:t>I often feel very lonely</w:t>
            </w:r>
            <w:r w:rsidR="00135DEA" w:rsidRPr="00FB6842">
              <w:t>’</w:t>
            </w:r>
          </w:p>
        </w:tc>
        <w:tc>
          <w:tcPr>
            <w:tcW w:w="1231" w:type="pct"/>
            <w:tcBorders>
              <w:top w:val="single" w:sz="4" w:space="0" w:color="216364"/>
              <w:bottom w:val="single" w:sz="4" w:space="0" w:color="EEEEEE" w:themeColor="background2"/>
            </w:tcBorders>
          </w:tcPr>
          <w:p w14:paraId="2336A7D2" w14:textId="77777777" w:rsidR="008902B9" w:rsidRPr="00FB6842" w:rsidRDefault="008902B9" w:rsidP="00FB6842">
            <w:pPr>
              <w:pStyle w:val="TableTextLeft"/>
              <w:rPr>
                <w:rStyle w:val="Emphasis"/>
              </w:rPr>
            </w:pPr>
            <w:r w:rsidRPr="00FB6842">
              <w:rPr>
                <w:rStyle w:val="Emphasis"/>
              </w:rPr>
              <w:t>Household, Income and Labour Dynamics in Australia Survey</w:t>
            </w:r>
          </w:p>
        </w:tc>
      </w:tr>
      <w:tr w:rsidR="008902B9" w:rsidRPr="009764EE" w14:paraId="16C55837" w14:textId="77777777" w:rsidTr="00FB6842">
        <w:trPr>
          <w:trHeight w:val="20"/>
        </w:trPr>
        <w:tc>
          <w:tcPr>
            <w:tcW w:w="1100" w:type="pct"/>
            <w:vMerge/>
          </w:tcPr>
          <w:p w14:paraId="25CB1554" w14:textId="77777777" w:rsidR="008902B9" w:rsidRPr="00A80D08" w:rsidRDefault="008902B9" w:rsidP="001A7C56">
            <w:pPr>
              <w:pStyle w:val="TableTextLeft"/>
              <w:rPr>
                <w:rStyle w:val="Strong"/>
                <w:color w:val="082C44"/>
              </w:rPr>
            </w:pPr>
          </w:p>
        </w:tc>
        <w:tc>
          <w:tcPr>
            <w:tcW w:w="2670" w:type="pct"/>
            <w:tcBorders>
              <w:top w:val="single" w:sz="4" w:space="0" w:color="EEEEEE" w:themeColor="background2"/>
              <w:bottom w:val="single" w:sz="4" w:space="0" w:color="216364"/>
            </w:tcBorders>
          </w:tcPr>
          <w:p w14:paraId="7AFDF21C" w14:textId="77777777" w:rsidR="008902B9" w:rsidRPr="009764EE" w:rsidRDefault="008902B9" w:rsidP="001A7C56">
            <w:pPr>
              <w:pStyle w:val="TableTextLeft"/>
            </w:pPr>
            <w:r w:rsidRPr="009764EE">
              <w:t>Proportion of people who undertake voluntary work</w:t>
            </w:r>
          </w:p>
        </w:tc>
        <w:tc>
          <w:tcPr>
            <w:tcW w:w="1231" w:type="pct"/>
            <w:tcBorders>
              <w:top w:val="single" w:sz="4" w:space="0" w:color="EEEEEE" w:themeColor="background2"/>
              <w:bottom w:val="single" w:sz="4" w:space="0" w:color="216364"/>
            </w:tcBorders>
          </w:tcPr>
          <w:p w14:paraId="7B3E0EA9" w14:textId="6A0550B4" w:rsidR="008902B9" w:rsidRPr="009764EE" w:rsidRDefault="008902B9"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General Social Survey</w:t>
            </w:r>
          </w:p>
        </w:tc>
      </w:tr>
      <w:tr w:rsidR="00012F53" w:rsidRPr="009764EE" w14:paraId="7E253633" w14:textId="77777777" w:rsidTr="00FB6842">
        <w:trPr>
          <w:trHeight w:val="20"/>
        </w:trPr>
        <w:tc>
          <w:tcPr>
            <w:tcW w:w="1100" w:type="pct"/>
            <w:vMerge w:val="restart"/>
          </w:tcPr>
          <w:p w14:paraId="2BD60255" w14:textId="77777777" w:rsidR="00012F53" w:rsidRPr="00A80D08" w:rsidRDefault="00012F53" w:rsidP="001A7C56">
            <w:pPr>
              <w:pStyle w:val="TableTextLeft"/>
              <w:rPr>
                <w:rStyle w:val="Strong"/>
                <w:color w:val="082C44"/>
              </w:rPr>
            </w:pPr>
            <w:r w:rsidRPr="00A80D08">
              <w:rPr>
                <w:rStyle w:val="Strong"/>
                <w:color w:val="082C44"/>
              </w:rPr>
              <w:t>Creative and cultural engagement</w:t>
            </w:r>
          </w:p>
        </w:tc>
        <w:tc>
          <w:tcPr>
            <w:tcW w:w="2670" w:type="pct"/>
            <w:tcBorders>
              <w:top w:val="single" w:sz="4" w:space="0" w:color="216364"/>
              <w:bottom w:val="single" w:sz="4" w:space="0" w:color="EEEEEE" w:themeColor="background2"/>
            </w:tcBorders>
          </w:tcPr>
          <w:p w14:paraId="4C24543D" w14:textId="4591DC5B" w:rsidR="00012F53" w:rsidRPr="009764EE" w:rsidRDefault="00012F53" w:rsidP="001A7C56">
            <w:pPr>
              <w:pStyle w:val="TableTextLeft"/>
            </w:pPr>
            <w:r w:rsidRPr="009764EE">
              <w:t xml:space="preserve">Proportion of </w:t>
            </w:r>
            <w:r>
              <w:t>people</w:t>
            </w:r>
            <w:r w:rsidRPr="009764EE">
              <w:t xml:space="preserve"> who participated in </w:t>
            </w:r>
            <w:r>
              <w:t xml:space="preserve">at least one </w:t>
            </w:r>
            <w:r w:rsidRPr="009764EE">
              <w:t>cultural activit</w:t>
            </w:r>
            <w:r>
              <w:t>y</w:t>
            </w:r>
            <w:r w:rsidRPr="009764EE">
              <w:t xml:space="preserve"> </w:t>
            </w:r>
          </w:p>
        </w:tc>
        <w:tc>
          <w:tcPr>
            <w:tcW w:w="1231" w:type="pct"/>
            <w:vMerge w:val="restart"/>
            <w:tcBorders>
              <w:top w:val="single" w:sz="4" w:space="0" w:color="216364"/>
              <w:bottom w:val="single" w:sz="4" w:space="0" w:color="EEEEEE" w:themeColor="background2"/>
            </w:tcBorders>
          </w:tcPr>
          <w:p w14:paraId="3E8F1A6E" w14:textId="07BF720B" w:rsidR="00012F53" w:rsidRPr="009764EE" w:rsidRDefault="00012F53" w:rsidP="00FB6842">
            <w:pPr>
              <w:pStyle w:val="TableTextLeft"/>
              <w:rPr>
                <w:rFonts w:ascii="Calibri" w:hAnsi="Calibri" w:cs="Calibri"/>
              </w:rPr>
            </w:pPr>
            <w:r w:rsidRPr="00FB6842">
              <w:t>ABS</w:t>
            </w:r>
            <w:r w:rsidRPr="00FB6842">
              <w:rPr>
                <w:rStyle w:val="Emphasis"/>
              </w:rPr>
              <w:t xml:space="preserve"> Cultural participation and attendance survey</w:t>
            </w:r>
          </w:p>
          <w:p w14:paraId="28C08E70" w14:textId="56CE30D4" w:rsidR="00012F53" w:rsidRPr="009764EE" w:rsidRDefault="00012F53" w:rsidP="00FB6842">
            <w:pPr>
              <w:pStyle w:val="TableTextLeft"/>
              <w:rPr>
                <w:rFonts w:ascii="Calibri" w:hAnsi="Calibri" w:cs="Calibri"/>
              </w:rPr>
            </w:pPr>
          </w:p>
        </w:tc>
      </w:tr>
      <w:tr w:rsidR="00012F53" w:rsidRPr="009764EE" w14:paraId="33A4FB3C" w14:textId="77777777" w:rsidTr="00FB6842">
        <w:trPr>
          <w:trHeight w:val="20"/>
        </w:trPr>
        <w:tc>
          <w:tcPr>
            <w:tcW w:w="1100" w:type="pct"/>
            <w:vMerge/>
          </w:tcPr>
          <w:p w14:paraId="749D48B9" w14:textId="77777777" w:rsidR="00012F53" w:rsidRPr="009764EE" w:rsidRDefault="00012F53" w:rsidP="001A7C56">
            <w:pPr>
              <w:pStyle w:val="TableTextLeft"/>
            </w:pPr>
          </w:p>
        </w:tc>
        <w:tc>
          <w:tcPr>
            <w:tcW w:w="2670" w:type="pct"/>
            <w:tcBorders>
              <w:top w:val="single" w:sz="4" w:space="0" w:color="EEEEEE" w:themeColor="background2"/>
            </w:tcBorders>
          </w:tcPr>
          <w:p w14:paraId="50FBC755" w14:textId="3F341F7D" w:rsidR="00012F53" w:rsidRPr="009764EE" w:rsidRDefault="00012F53" w:rsidP="001A7C56">
            <w:pPr>
              <w:pStyle w:val="TableTextLeft"/>
            </w:pPr>
            <w:r w:rsidRPr="009764EE">
              <w:t xml:space="preserve">Proportion of </w:t>
            </w:r>
            <w:r>
              <w:t>people</w:t>
            </w:r>
            <w:r w:rsidRPr="009764EE">
              <w:t xml:space="preserve"> who attended at least one cultural venue or event</w:t>
            </w:r>
          </w:p>
        </w:tc>
        <w:tc>
          <w:tcPr>
            <w:tcW w:w="1231" w:type="pct"/>
            <w:vMerge/>
            <w:tcBorders>
              <w:top w:val="single" w:sz="4" w:space="0" w:color="EEEEEE" w:themeColor="background2"/>
            </w:tcBorders>
          </w:tcPr>
          <w:p w14:paraId="661AF7E5" w14:textId="4613CE50" w:rsidR="00012F53" w:rsidRPr="009764EE" w:rsidRDefault="00012F53">
            <w:pPr>
              <w:spacing w:before="0" w:after="0"/>
              <w:rPr>
                <w:rFonts w:ascii="Calibri" w:hAnsi="Calibri" w:cs="Calibri"/>
              </w:rPr>
            </w:pPr>
          </w:p>
        </w:tc>
      </w:tr>
      <w:tr w:rsidR="001A7C56" w:rsidRPr="001A7C56" w14:paraId="7B4F68A7" w14:textId="77777777" w:rsidTr="00FB6842">
        <w:trPr>
          <w:trHeight w:val="20"/>
        </w:trPr>
        <w:tc>
          <w:tcPr>
            <w:tcW w:w="5000" w:type="pct"/>
            <w:gridSpan w:val="3"/>
            <w:shd w:val="clear" w:color="auto" w:fill="216364"/>
          </w:tcPr>
          <w:p w14:paraId="4A10A324" w14:textId="7257531D" w:rsidR="008902B9" w:rsidRPr="001A7C56" w:rsidRDefault="00E27C15" w:rsidP="001A7C56">
            <w:pPr>
              <w:pStyle w:val="TableTextLeft"/>
              <w:rPr>
                <w:b/>
                <w:bCs/>
                <w:color w:val="FFFFFF" w:themeColor="background1"/>
              </w:rPr>
            </w:pPr>
            <w:r w:rsidRPr="001A7C56">
              <w:rPr>
                <w:b/>
                <w:bCs/>
                <w:color w:val="FFFFFF" w:themeColor="background1"/>
              </w:rPr>
              <w:t>Valuing diversity, belonging and culture</w:t>
            </w:r>
          </w:p>
        </w:tc>
      </w:tr>
      <w:tr w:rsidR="008902B9" w:rsidRPr="009764EE" w14:paraId="5896A221" w14:textId="77777777" w:rsidTr="00FB6842">
        <w:trPr>
          <w:trHeight w:val="20"/>
        </w:trPr>
        <w:tc>
          <w:tcPr>
            <w:tcW w:w="1100" w:type="pct"/>
          </w:tcPr>
          <w:p w14:paraId="306EC0EF" w14:textId="77777777" w:rsidR="008902B9" w:rsidRPr="00A80D08" w:rsidRDefault="008902B9" w:rsidP="001A7C56">
            <w:pPr>
              <w:pStyle w:val="TableTextLeft"/>
              <w:rPr>
                <w:rStyle w:val="Strong"/>
                <w:color w:val="082C44"/>
              </w:rPr>
            </w:pPr>
            <w:r w:rsidRPr="00A80D08">
              <w:rPr>
                <w:rStyle w:val="Strong"/>
                <w:color w:val="082C44"/>
              </w:rPr>
              <w:t>Experience of discrimination</w:t>
            </w:r>
          </w:p>
        </w:tc>
        <w:tc>
          <w:tcPr>
            <w:tcW w:w="2670" w:type="pct"/>
            <w:tcBorders>
              <w:bottom w:val="single" w:sz="4" w:space="0" w:color="216364"/>
            </w:tcBorders>
          </w:tcPr>
          <w:p w14:paraId="23EC6AD1" w14:textId="4DA8DC85" w:rsidR="008902B9" w:rsidRPr="009764EE" w:rsidRDefault="008902B9" w:rsidP="001A7C56">
            <w:pPr>
              <w:pStyle w:val="TableTextLeft"/>
            </w:pPr>
            <w:r w:rsidRPr="009764EE">
              <w:t xml:space="preserve">Proportion of </w:t>
            </w:r>
            <w:r w:rsidR="00583866">
              <w:t>people</w:t>
            </w:r>
            <w:r w:rsidR="00583866" w:rsidRPr="009764EE">
              <w:t xml:space="preserve"> </w:t>
            </w:r>
            <w:r w:rsidRPr="009764EE">
              <w:t>who experienced some form of discrimination in the previous 12 months</w:t>
            </w:r>
          </w:p>
        </w:tc>
        <w:tc>
          <w:tcPr>
            <w:tcW w:w="1231" w:type="pct"/>
            <w:tcBorders>
              <w:bottom w:val="single" w:sz="4" w:space="0" w:color="216364"/>
            </w:tcBorders>
          </w:tcPr>
          <w:p w14:paraId="3FCA8D2C" w14:textId="6220B98C" w:rsidR="008902B9" w:rsidRPr="009764EE" w:rsidRDefault="008902B9"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General Social Survey</w:t>
            </w:r>
          </w:p>
        </w:tc>
      </w:tr>
      <w:tr w:rsidR="008902B9" w:rsidRPr="009764EE" w14:paraId="1D0F1329" w14:textId="77777777" w:rsidTr="00FB6842">
        <w:trPr>
          <w:trHeight w:val="20"/>
        </w:trPr>
        <w:tc>
          <w:tcPr>
            <w:tcW w:w="1100" w:type="pct"/>
            <w:vMerge w:val="restart"/>
          </w:tcPr>
          <w:p w14:paraId="25D6C154" w14:textId="77777777" w:rsidR="008902B9" w:rsidRPr="00A80D08" w:rsidRDefault="008902B9" w:rsidP="001A7C56">
            <w:pPr>
              <w:pStyle w:val="TableTextLeft"/>
              <w:rPr>
                <w:rStyle w:val="Strong"/>
                <w:color w:val="082C44"/>
              </w:rPr>
            </w:pPr>
            <w:r w:rsidRPr="00A80D08">
              <w:rPr>
                <w:rStyle w:val="Strong"/>
                <w:color w:val="082C44"/>
              </w:rPr>
              <w:t>Acceptance of diversity</w:t>
            </w:r>
          </w:p>
        </w:tc>
        <w:tc>
          <w:tcPr>
            <w:tcW w:w="2670" w:type="pct"/>
            <w:tcBorders>
              <w:top w:val="single" w:sz="4" w:space="0" w:color="216364"/>
              <w:bottom w:val="single" w:sz="4" w:space="0" w:color="EEEEEE" w:themeColor="background2"/>
            </w:tcBorders>
          </w:tcPr>
          <w:p w14:paraId="3AC3783A" w14:textId="6B183DAC" w:rsidR="008902B9" w:rsidRPr="009764EE" w:rsidRDefault="008902B9" w:rsidP="001A7C56">
            <w:pPr>
              <w:pStyle w:val="TableTextLeft"/>
            </w:pPr>
            <w:r w:rsidRPr="009764EE">
              <w:t xml:space="preserve">Proportion of </w:t>
            </w:r>
            <w:r w:rsidR="00583866">
              <w:t>people</w:t>
            </w:r>
            <w:r w:rsidR="00583866" w:rsidRPr="009764EE">
              <w:t xml:space="preserve"> </w:t>
            </w:r>
            <w:r w:rsidRPr="009764EE">
              <w:t>who used a language other than English at</w:t>
            </w:r>
            <w:r w:rsidR="004744B3">
              <w:t> </w:t>
            </w:r>
            <w:r w:rsidRPr="009764EE">
              <w:t xml:space="preserve">home </w:t>
            </w:r>
          </w:p>
        </w:tc>
        <w:tc>
          <w:tcPr>
            <w:tcW w:w="1231" w:type="pct"/>
            <w:tcBorders>
              <w:top w:val="single" w:sz="4" w:space="0" w:color="216364"/>
              <w:bottom w:val="single" w:sz="4" w:space="0" w:color="EEEEEE" w:themeColor="background2"/>
            </w:tcBorders>
          </w:tcPr>
          <w:p w14:paraId="77E81232" w14:textId="3C295069" w:rsidR="008902B9" w:rsidRPr="009764EE" w:rsidRDefault="007B3002" w:rsidP="00FB6842">
            <w:pPr>
              <w:pStyle w:val="TableTextLeft"/>
              <w:rPr>
                <w:rFonts w:ascii="Calibri" w:hAnsi="Calibri" w:cs="Calibri"/>
              </w:rPr>
            </w:pPr>
            <w:r w:rsidRPr="00FB6842">
              <w:t>ABS</w:t>
            </w:r>
            <w:r w:rsidRPr="00FB6842">
              <w:rPr>
                <w:rStyle w:val="Emphasis"/>
              </w:rPr>
              <w:t xml:space="preserve"> Census of Population and Housing</w:t>
            </w:r>
          </w:p>
        </w:tc>
      </w:tr>
      <w:tr w:rsidR="008902B9" w:rsidRPr="009764EE" w14:paraId="2E7D6AC8" w14:textId="77777777" w:rsidTr="00FB6842">
        <w:trPr>
          <w:trHeight w:val="20"/>
        </w:trPr>
        <w:tc>
          <w:tcPr>
            <w:tcW w:w="1100" w:type="pct"/>
            <w:vMerge/>
          </w:tcPr>
          <w:p w14:paraId="665EBD45" w14:textId="77777777" w:rsidR="008902B9" w:rsidRPr="00A80D08" w:rsidRDefault="008902B9" w:rsidP="001A7C56">
            <w:pPr>
              <w:pStyle w:val="TableTextLeft"/>
              <w:rPr>
                <w:rStyle w:val="Strong"/>
                <w:color w:val="082C44"/>
              </w:rPr>
            </w:pPr>
          </w:p>
        </w:tc>
        <w:tc>
          <w:tcPr>
            <w:tcW w:w="2670" w:type="pct"/>
            <w:tcBorders>
              <w:top w:val="single" w:sz="4" w:space="0" w:color="EEEEEE" w:themeColor="background2"/>
            </w:tcBorders>
          </w:tcPr>
          <w:p w14:paraId="5B8FF4CE" w14:textId="17FE8EFC" w:rsidR="008902B9" w:rsidRPr="009764EE" w:rsidRDefault="008902B9" w:rsidP="001A7C56">
            <w:pPr>
              <w:pStyle w:val="TableTextLeft"/>
            </w:pPr>
            <w:r w:rsidRPr="009764EE">
              <w:t xml:space="preserve">Proportion of </w:t>
            </w:r>
            <w:r w:rsidR="00EF614C">
              <w:t>people</w:t>
            </w:r>
            <w:r w:rsidRPr="009764EE">
              <w:t xml:space="preserve"> who agreed or strongly agree accepting immigrants from many different countries makes Australia stronger</w:t>
            </w:r>
          </w:p>
        </w:tc>
        <w:tc>
          <w:tcPr>
            <w:tcW w:w="1231" w:type="pct"/>
            <w:tcBorders>
              <w:top w:val="single" w:sz="4" w:space="0" w:color="EEEEEE" w:themeColor="background2"/>
            </w:tcBorders>
          </w:tcPr>
          <w:p w14:paraId="3CAF5C87" w14:textId="1CA18D72" w:rsidR="008902B9" w:rsidRPr="009764EE" w:rsidRDefault="008902B9" w:rsidP="00FB6842">
            <w:pPr>
              <w:pStyle w:val="TableTextLeft"/>
              <w:rPr>
                <w:rFonts w:ascii="Calibri" w:hAnsi="Calibri" w:cs="Calibri"/>
              </w:rPr>
            </w:pPr>
            <w:r w:rsidRPr="00FB6842">
              <w:t>Scanlon</w:t>
            </w:r>
            <w:r w:rsidR="006703B1" w:rsidRPr="00FB6842">
              <w:t xml:space="preserve"> Foundation Research</w:t>
            </w:r>
            <w:r w:rsidRPr="00FB6842">
              <w:t xml:space="preserve"> Institute,</w:t>
            </w:r>
            <w:r w:rsidRPr="009764EE">
              <w:rPr>
                <w:rFonts w:ascii="Calibri" w:hAnsi="Calibri" w:cs="Calibri"/>
              </w:rPr>
              <w:t xml:space="preserve"> </w:t>
            </w:r>
            <w:r w:rsidRPr="00FB6842">
              <w:rPr>
                <w:rStyle w:val="Emphasis"/>
              </w:rPr>
              <w:t>Mapping Social Cohesion Survey</w:t>
            </w:r>
          </w:p>
        </w:tc>
      </w:tr>
      <w:tr w:rsidR="008902B9" w:rsidRPr="009764EE" w14:paraId="2D8D476E" w14:textId="77777777" w:rsidTr="00FB6842">
        <w:trPr>
          <w:trHeight w:val="20"/>
        </w:trPr>
        <w:tc>
          <w:tcPr>
            <w:tcW w:w="1100" w:type="pct"/>
          </w:tcPr>
          <w:p w14:paraId="1C7635ED" w14:textId="120F3043" w:rsidR="008902B9" w:rsidRPr="00A80D08" w:rsidRDefault="001524A0" w:rsidP="001A7C56">
            <w:pPr>
              <w:pStyle w:val="TableTextLeft"/>
              <w:rPr>
                <w:rStyle w:val="Strong"/>
                <w:color w:val="082C44"/>
              </w:rPr>
            </w:pPr>
            <w:r w:rsidRPr="00A80D08">
              <w:rPr>
                <w:rStyle w:val="Strong"/>
                <w:color w:val="082C44"/>
              </w:rPr>
              <w:t>First Nation</w:t>
            </w:r>
            <w:r w:rsidR="008902B9" w:rsidRPr="00A80D08">
              <w:rPr>
                <w:rStyle w:val="Strong"/>
                <w:color w:val="082C44"/>
              </w:rPr>
              <w:t>s languages spoken</w:t>
            </w:r>
          </w:p>
        </w:tc>
        <w:tc>
          <w:tcPr>
            <w:tcW w:w="2670" w:type="pct"/>
            <w:tcBorders>
              <w:bottom w:val="single" w:sz="4" w:space="0" w:color="216364"/>
            </w:tcBorders>
          </w:tcPr>
          <w:p w14:paraId="7DFF9292" w14:textId="3FFB2975" w:rsidR="008902B9" w:rsidRPr="009764EE" w:rsidRDefault="008902B9" w:rsidP="001A7C56">
            <w:pPr>
              <w:pStyle w:val="TableTextLeft"/>
            </w:pPr>
            <w:r w:rsidRPr="009764EE">
              <w:t xml:space="preserve">Number of </w:t>
            </w:r>
            <w:r w:rsidR="001524A0">
              <w:t>First Nation</w:t>
            </w:r>
            <w:r w:rsidRPr="009764EE">
              <w:t xml:space="preserve">s people who speak a </w:t>
            </w:r>
            <w:r w:rsidR="001524A0">
              <w:t>First Nation</w:t>
            </w:r>
            <w:r w:rsidRPr="009764EE">
              <w:t xml:space="preserve">s language at home </w:t>
            </w:r>
          </w:p>
        </w:tc>
        <w:tc>
          <w:tcPr>
            <w:tcW w:w="1231" w:type="pct"/>
            <w:tcBorders>
              <w:bottom w:val="single" w:sz="4" w:space="0" w:color="216364"/>
            </w:tcBorders>
          </w:tcPr>
          <w:p w14:paraId="50A6E433" w14:textId="1BC00DED" w:rsidR="008902B9" w:rsidRPr="009764EE" w:rsidRDefault="008902B9" w:rsidP="00FB6842">
            <w:pPr>
              <w:pStyle w:val="TableTextLeft"/>
              <w:rPr>
                <w:rFonts w:ascii="Calibri" w:hAnsi="Calibri" w:cs="Calibri"/>
              </w:rPr>
            </w:pPr>
            <w:r w:rsidRPr="00FB6842">
              <w:t>ABS</w:t>
            </w:r>
            <w:r w:rsidRPr="00FB6842">
              <w:rPr>
                <w:rStyle w:val="Emphasis"/>
              </w:rPr>
              <w:t xml:space="preserve"> Census of Population and Housing</w:t>
            </w:r>
          </w:p>
        </w:tc>
      </w:tr>
      <w:tr w:rsidR="008902B9" w:rsidRPr="009764EE" w14:paraId="2FDD8B91" w14:textId="77777777" w:rsidTr="00FB6842">
        <w:trPr>
          <w:trHeight w:val="20"/>
        </w:trPr>
        <w:tc>
          <w:tcPr>
            <w:tcW w:w="1100" w:type="pct"/>
            <w:vMerge w:val="restart"/>
          </w:tcPr>
          <w:p w14:paraId="1FFA04B4" w14:textId="77777777" w:rsidR="008902B9" w:rsidRPr="00A80D08" w:rsidRDefault="008902B9" w:rsidP="001A7C56">
            <w:pPr>
              <w:pStyle w:val="TableTextLeft"/>
              <w:rPr>
                <w:rStyle w:val="Strong"/>
                <w:color w:val="082C44"/>
              </w:rPr>
            </w:pPr>
            <w:r w:rsidRPr="00A80D08">
              <w:rPr>
                <w:rStyle w:val="Strong"/>
                <w:color w:val="082C44"/>
              </w:rPr>
              <w:t>Sense of belonging</w:t>
            </w:r>
          </w:p>
        </w:tc>
        <w:tc>
          <w:tcPr>
            <w:tcW w:w="2670" w:type="pct"/>
            <w:tcBorders>
              <w:top w:val="single" w:sz="4" w:space="0" w:color="216364"/>
              <w:bottom w:val="single" w:sz="4" w:space="0" w:color="EEEEEE" w:themeColor="background2"/>
            </w:tcBorders>
          </w:tcPr>
          <w:p w14:paraId="55933AA4" w14:textId="36D49BE7" w:rsidR="008902B9" w:rsidRPr="009764EE" w:rsidRDefault="008902B9" w:rsidP="001A7C56">
            <w:pPr>
              <w:pStyle w:val="TableTextLeft"/>
            </w:pPr>
            <w:r w:rsidRPr="009764EE">
              <w:t xml:space="preserve">Proportion of </w:t>
            </w:r>
            <w:r w:rsidR="001524A0">
              <w:t>First Nation</w:t>
            </w:r>
            <w:r w:rsidRPr="009764EE">
              <w:t>s people who recognise an area as their homelands or traditional country</w:t>
            </w:r>
          </w:p>
        </w:tc>
        <w:tc>
          <w:tcPr>
            <w:tcW w:w="1231" w:type="pct"/>
            <w:tcBorders>
              <w:top w:val="single" w:sz="4" w:space="0" w:color="216364"/>
              <w:bottom w:val="single" w:sz="4" w:space="0" w:color="EEEEEE" w:themeColor="background2"/>
            </w:tcBorders>
          </w:tcPr>
          <w:p w14:paraId="0C3D89D6" w14:textId="5075D104" w:rsidR="008902B9" w:rsidRPr="009764EE" w:rsidRDefault="008902B9" w:rsidP="00FB6842">
            <w:pPr>
              <w:pStyle w:val="TableTextLeft"/>
              <w:rPr>
                <w:rFonts w:ascii="Calibri" w:hAnsi="Calibri" w:cs="Calibri"/>
              </w:rPr>
            </w:pPr>
            <w:r w:rsidRPr="00FB6842">
              <w:t>ABS</w:t>
            </w:r>
            <w:r w:rsidRPr="00FB6842">
              <w:rPr>
                <w:rStyle w:val="Emphasis"/>
              </w:rPr>
              <w:t xml:space="preserve"> National Aboriginal and </w:t>
            </w:r>
            <w:r w:rsidR="001524A0">
              <w:rPr>
                <w:rStyle w:val="Emphasis"/>
              </w:rPr>
              <w:t>Torres Strait</w:t>
            </w:r>
            <w:r w:rsidRPr="00FB6842">
              <w:rPr>
                <w:rStyle w:val="Emphasis"/>
              </w:rPr>
              <w:t xml:space="preserve"> Islander Health, and Social Surveys</w:t>
            </w:r>
          </w:p>
        </w:tc>
      </w:tr>
      <w:tr w:rsidR="008902B9" w:rsidRPr="009764EE" w14:paraId="711DD335" w14:textId="77777777" w:rsidTr="00FB6842">
        <w:trPr>
          <w:trHeight w:val="20"/>
        </w:trPr>
        <w:tc>
          <w:tcPr>
            <w:tcW w:w="1100" w:type="pct"/>
            <w:vMerge/>
          </w:tcPr>
          <w:p w14:paraId="614015B0" w14:textId="77777777" w:rsidR="008902B9" w:rsidRPr="009764EE" w:rsidRDefault="008902B9" w:rsidP="001A7C56">
            <w:pPr>
              <w:pStyle w:val="TableTextLeft"/>
            </w:pPr>
          </w:p>
        </w:tc>
        <w:tc>
          <w:tcPr>
            <w:tcW w:w="2670" w:type="pct"/>
            <w:tcBorders>
              <w:top w:val="single" w:sz="4" w:space="0" w:color="EEEEEE" w:themeColor="background2"/>
            </w:tcBorders>
          </w:tcPr>
          <w:p w14:paraId="728CDCDF" w14:textId="6A032B45" w:rsidR="008902B9" w:rsidRPr="009764EE" w:rsidRDefault="005A0836" w:rsidP="001A7C56">
            <w:pPr>
              <w:pStyle w:val="TableTextLeft"/>
            </w:pPr>
            <w:r>
              <w:t>The</w:t>
            </w:r>
            <w:r w:rsidRPr="009764EE">
              <w:t xml:space="preserve"> </w:t>
            </w:r>
            <w:r w:rsidR="008902B9" w:rsidRPr="009764EE">
              <w:t>Social Cohesion Index: Sense of belonging measure</w:t>
            </w:r>
          </w:p>
        </w:tc>
        <w:tc>
          <w:tcPr>
            <w:tcW w:w="1231" w:type="pct"/>
            <w:tcBorders>
              <w:top w:val="single" w:sz="4" w:space="0" w:color="EEEEEE" w:themeColor="background2"/>
            </w:tcBorders>
          </w:tcPr>
          <w:p w14:paraId="21025259" w14:textId="1F74DA00" w:rsidR="008902B9" w:rsidRPr="00FB6842" w:rsidRDefault="008902B9" w:rsidP="00FB6842">
            <w:pPr>
              <w:pStyle w:val="TableTextLeft"/>
            </w:pPr>
            <w:r w:rsidRPr="00FB6842">
              <w:t xml:space="preserve">Scanlon </w:t>
            </w:r>
            <w:r w:rsidR="006703B1" w:rsidRPr="00FB6842">
              <w:t xml:space="preserve">Foundation Research </w:t>
            </w:r>
            <w:r w:rsidR="00151A27" w:rsidRPr="00FB6842">
              <w:t xml:space="preserve">Institute, </w:t>
            </w:r>
            <w:r w:rsidR="00B43538" w:rsidRPr="00FB6842">
              <w:t>The</w:t>
            </w:r>
            <w:r w:rsidR="004744B3">
              <w:t> </w:t>
            </w:r>
            <w:r w:rsidR="00B43538" w:rsidRPr="00FB6842">
              <w:t xml:space="preserve">Scanlon Monash Index </w:t>
            </w:r>
          </w:p>
        </w:tc>
      </w:tr>
      <w:tr w:rsidR="001A7C56" w:rsidRPr="001A7C56" w14:paraId="6ACC9C85" w14:textId="77777777" w:rsidTr="00FB6842">
        <w:trPr>
          <w:trHeight w:val="20"/>
        </w:trPr>
        <w:tc>
          <w:tcPr>
            <w:tcW w:w="5000" w:type="pct"/>
            <w:gridSpan w:val="3"/>
            <w:shd w:val="clear" w:color="auto" w:fill="216364"/>
          </w:tcPr>
          <w:p w14:paraId="067C54C4" w14:textId="2A43E03F" w:rsidR="008902B9" w:rsidRPr="001A7C56" w:rsidRDefault="002F6D7C" w:rsidP="001A7C56">
            <w:pPr>
              <w:pStyle w:val="TableTextLeft"/>
              <w:rPr>
                <w:b/>
                <w:bCs/>
                <w:color w:val="FFFFFF" w:themeColor="background1"/>
              </w:rPr>
            </w:pPr>
            <w:r w:rsidRPr="001A7C56">
              <w:rPr>
                <w:b/>
                <w:bCs/>
                <w:color w:val="FFFFFF" w:themeColor="background1"/>
              </w:rPr>
              <w:t xml:space="preserve">Trust in </w:t>
            </w:r>
            <w:r w:rsidR="009A17AF" w:rsidRPr="001A7C56">
              <w:rPr>
                <w:b/>
                <w:bCs/>
                <w:color w:val="FFFFFF" w:themeColor="background1"/>
              </w:rPr>
              <w:t>i</w:t>
            </w:r>
            <w:r w:rsidRPr="001A7C56">
              <w:rPr>
                <w:b/>
                <w:bCs/>
                <w:color w:val="FFFFFF" w:themeColor="background1"/>
              </w:rPr>
              <w:t>nstitutions</w:t>
            </w:r>
          </w:p>
        </w:tc>
      </w:tr>
      <w:tr w:rsidR="00745245" w:rsidRPr="009764EE" w14:paraId="23BCF389" w14:textId="77777777" w:rsidTr="00FB6842">
        <w:trPr>
          <w:trHeight w:val="20"/>
        </w:trPr>
        <w:tc>
          <w:tcPr>
            <w:tcW w:w="1100" w:type="pct"/>
          </w:tcPr>
          <w:p w14:paraId="469D98CC" w14:textId="77777777" w:rsidR="00745245" w:rsidRPr="00A80D08" w:rsidRDefault="00745245" w:rsidP="001A7C56">
            <w:pPr>
              <w:pStyle w:val="TableTextLeft"/>
              <w:rPr>
                <w:rStyle w:val="Strong"/>
                <w:color w:val="082C44"/>
              </w:rPr>
            </w:pPr>
            <w:r w:rsidRPr="00A80D08">
              <w:rPr>
                <w:rStyle w:val="Strong"/>
                <w:color w:val="082C44"/>
              </w:rPr>
              <w:t>Trust in others</w:t>
            </w:r>
          </w:p>
        </w:tc>
        <w:tc>
          <w:tcPr>
            <w:tcW w:w="2670" w:type="pct"/>
            <w:tcBorders>
              <w:bottom w:val="single" w:sz="4" w:space="0" w:color="216364"/>
            </w:tcBorders>
          </w:tcPr>
          <w:p w14:paraId="26FB94F7" w14:textId="77777777" w:rsidR="00745245" w:rsidRPr="009764EE" w:rsidRDefault="00745245" w:rsidP="001A7C56">
            <w:pPr>
              <w:pStyle w:val="TableTextLeft"/>
            </w:pPr>
            <w:r w:rsidRPr="009764EE">
              <w:t xml:space="preserve">Proportion of people who report having general trust in others </w:t>
            </w:r>
          </w:p>
        </w:tc>
        <w:tc>
          <w:tcPr>
            <w:tcW w:w="1231" w:type="pct"/>
            <w:vMerge w:val="restart"/>
          </w:tcPr>
          <w:p w14:paraId="1C8E8CD1" w14:textId="4816ED78" w:rsidR="00745245" w:rsidRPr="009764EE" w:rsidRDefault="00745245" w:rsidP="00FB6842">
            <w:pPr>
              <w:pStyle w:val="TableTextLeft"/>
              <w:rPr>
                <w:rFonts w:ascii="Calibri" w:hAnsi="Calibri" w:cs="Calibri"/>
              </w:rPr>
            </w:pPr>
            <w:r w:rsidRPr="00FB6842">
              <w:t xml:space="preserve">ABS </w:t>
            </w:r>
            <w:r w:rsidRPr="00FB6842">
              <w:rPr>
                <w:rStyle w:val="Emphasis"/>
              </w:rPr>
              <w:t>General Social Survey</w:t>
            </w:r>
          </w:p>
        </w:tc>
      </w:tr>
      <w:tr w:rsidR="00745245" w:rsidRPr="009764EE" w14:paraId="18A45C16" w14:textId="77777777" w:rsidTr="00FB6842">
        <w:trPr>
          <w:trHeight w:val="20"/>
        </w:trPr>
        <w:tc>
          <w:tcPr>
            <w:tcW w:w="1100" w:type="pct"/>
            <w:vMerge w:val="restart"/>
          </w:tcPr>
          <w:p w14:paraId="22D79ECC" w14:textId="5A6D0945" w:rsidR="00745245" w:rsidRPr="00A80D08" w:rsidRDefault="00745245" w:rsidP="001A7C56">
            <w:pPr>
              <w:pStyle w:val="TableTextLeft"/>
              <w:rPr>
                <w:rStyle w:val="Strong"/>
                <w:color w:val="082C44"/>
              </w:rPr>
            </w:pPr>
            <w:r w:rsidRPr="00A80D08">
              <w:rPr>
                <w:rStyle w:val="Strong"/>
                <w:color w:val="082C44"/>
              </w:rPr>
              <w:t>Trust in key institutions</w:t>
            </w:r>
          </w:p>
        </w:tc>
        <w:tc>
          <w:tcPr>
            <w:tcW w:w="2670" w:type="pct"/>
            <w:tcBorders>
              <w:top w:val="single" w:sz="4" w:space="0" w:color="216364"/>
              <w:bottom w:val="single" w:sz="4" w:space="0" w:color="EEEEEE" w:themeColor="background2"/>
            </w:tcBorders>
          </w:tcPr>
          <w:p w14:paraId="44F3AB49" w14:textId="77777777" w:rsidR="00745245" w:rsidRPr="009764EE" w:rsidRDefault="00745245" w:rsidP="001A7C56">
            <w:pPr>
              <w:pStyle w:val="TableTextLeft"/>
            </w:pPr>
            <w:r w:rsidRPr="009764EE">
              <w:t>Proportion of people who report having trust in healthcare system</w:t>
            </w:r>
          </w:p>
        </w:tc>
        <w:tc>
          <w:tcPr>
            <w:tcW w:w="1231" w:type="pct"/>
            <w:vMerge/>
          </w:tcPr>
          <w:p w14:paraId="52FEEBAE" w14:textId="5240CAC5" w:rsidR="00745245" w:rsidRPr="009764EE" w:rsidRDefault="00745245" w:rsidP="00FB6842">
            <w:pPr>
              <w:pStyle w:val="TableTextLeft"/>
              <w:rPr>
                <w:rFonts w:ascii="Calibri" w:hAnsi="Calibri" w:cs="Calibri"/>
              </w:rPr>
            </w:pPr>
          </w:p>
        </w:tc>
      </w:tr>
      <w:tr w:rsidR="00745245" w:rsidRPr="009764EE" w14:paraId="23A68926" w14:textId="77777777" w:rsidTr="00FB6842">
        <w:trPr>
          <w:trHeight w:val="20"/>
        </w:trPr>
        <w:tc>
          <w:tcPr>
            <w:tcW w:w="1100" w:type="pct"/>
            <w:vMerge/>
          </w:tcPr>
          <w:p w14:paraId="746D84B7" w14:textId="77777777" w:rsidR="00745245" w:rsidRPr="00A80D08" w:rsidRDefault="00745245" w:rsidP="001A7C56">
            <w:pPr>
              <w:pStyle w:val="TableTextLeft"/>
              <w:rPr>
                <w:rStyle w:val="Strong"/>
                <w:color w:val="082C44"/>
              </w:rPr>
            </w:pPr>
          </w:p>
        </w:tc>
        <w:tc>
          <w:tcPr>
            <w:tcW w:w="2670" w:type="pct"/>
            <w:tcBorders>
              <w:top w:val="single" w:sz="4" w:space="0" w:color="EEEEEE" w:themeColor="background2"/>
            </w:tcBorders>
          </w:tcPr>
          <w:p w14:paraId="288960AF" w14:textId="77777777" w:rsidR="00745245" w:rsidRPr="009764EE" w:rsidRDefault="00745245" w:rsidP="001A7C56">
            <w:pPr>
              <w:pStyle w:val="TableTextLeft"/>
            </w:pPr>
            <w:r w:rsidRPr="009764EE">
              <w:t>Proportion of people who have trust in police</w:t>
            </w:r>
          </w:p>
        </w:tc>
        <w:tc>
          <w:tcPr>
            <w:tcW w:w="1231" w:type="pct"/>
            <w:vMerge/>
          </w:tcPr>
          <w:p w14:paraId="394EEB52" w14:textId="00868A2A" w:rsidR="00745245" w:rsidRPr="009764EE" w:rsidRDefault="00745245" w:rsidP="00FB6842">
            <w:pPr>
              <w:pStyle w:val="TableTextLeft"/>
              <w:rPr>
                <w:rFonts w:ascii="Calibri" w:hAnsi="Calibri" w:cs="Calibri"/>
              </w:rPr>
            </w:pPr>
          </w:p>
        </w:tc>
      </w:tr>
      <w:tr w:rsidR="008902B9" w:rsidRPr="009764EE" w14:paraId="371CEC3E" w14:textId="77777777" w:rsidTr="00FB6842">
        <w:trPr>
          <w:trHeight w:val="20"/>
        </w:trPr>
        <w:tc>
          <w:tcPr>
            <w:tcW w:w="1100" w:type="pct"/>
          </w:tcPr>
          <w:p w14:paraId="46E840E9" w14:textId="08FEA077" w:rsidR="008902B9" w:rsidRPr="00A80D08" w:rsidRDefault="008902B9" w:rsidP="001A7C56">
            <w:pPr>
              <w:pStyle w:val="TableTextLeft"/>
              <w:rPr>
                <w:rStyle w:val="Strong"/>
                <w:color w:val="082C44"/>
              </w:rPr>
            </w:pPr>
            <w:r w:rsidRPr="00A80D08">
              <w:rPr>
                <w:rStyle w:val="Strong"/>
                <w:color w:val="082C44"/>
              </w:rPr>
              <w:t xml:space="preserve">Trust in Australian </w:t>
            </w:r>
            <w:r w:rsidR="002D37D5" w:rsidRPr="00A80D08">
              <w:rPr>
                <w:rStyle w:val="Strong"/>
                <w:color w:val="082C44"/>
              </w:rPr>
              <w:t>p</w:t>
            </w:r>
            <w:r w:rsidRPr="00A80D08">
              <w:rPr>
                <w:rStyle w:val="Strong"/>
                <w:color w:val="082C44"/>
              </w:rPr>
              <w:t xml:space="preserve">ublic services </w:t>
            </w:r>
          </w:p>
        </w:tc>
        <w:tc>
          <w:tcPr>
            <w:tcW w:w="2670" w:type="pct"/>
          </w:tcPr>
          <w:p w14:paraId="570EF6C5" w14:textId="77777777" w:rsidR="008902B9" w:rsidRPr="009764EE" w:rsidRDefault="008902B9" w:rsidP="001A7C56">
            <w:pPr>
              <w:pStyle w:val="TableTextLeft"/>
            </w:pPr>
            <w:r w:rsidRPr="009764EE">
              <w:t>Proportion of people who trust in Australian public services</w:t>
            </w:r>
          </w:p>
        </w:tc>
        <w:tc>
          <w:tcPr>
            <w:tcW w:w="1231" w:type="pct"/>
          </w:tcPr>
          <w:p w14:paraId="741DD262" w14:textId="77777777" w:rsidR="008902B9" w:rsidRPr="009764EE" w:rsidRDefault="008902B9" w:rsidP="00FB6842">
            <w:pPr>
              <w:pStyle w:val="TableTextLeft"/>
              <w:rPr>
                <w:rFonts w:ascii="Calibri" w:hAnsi="Calibri" w:cs="Calibri"/>
              </w:rPr>
            </w:pPr>
            <w:r w:rsidRPr="00FB6842">
              <w:t>APS Reform Office,</w:t>
            </w:r>
            <w:r w:rsidRPr="009764EE">
              <w:rPr>
                <w:rFonts w:ascii="Calibri" w:hAnsi="Calibri" w:cs="Calibri"/>
              </w:rPr>
              <w:t xml:space="preserve"> </w:t>
            </w:r>
            <w:r w:rsidRPr="00FB6842">
              <w:rPr>
                <w:rStyle w:val="Emphasis"/>
              </w:rPr>
              <w:t>Trust in Australian public services</w:t>
            </w:r>
          </w:p>
        </w:tc>
      </w:tr>
      <w:tr w:rsidR="008902B9" w:rsidRPr="009764EE" w14:paraId="7C2A9509" w14:textId="77777777" w:rsidTr="00FB6842">
        <w:trPr>
          <w:trHeight w:val="20"/>
        </w:trPr>
        <w:tc>
          <w:tcPr>
            <w:tcW w:w="1100" w:type="pct"/>
          </w:tcPr>
          <w:p w14:paraId="6EF0A725" w14:textId="69F7BDE4" w:rsidR="008902B9" w:rsidRPr="00A80D08" w:rsidRDefault="008902B9" w:rsidP="001A7C56">
            <w:pPr>
              <w:pStyle w:val="TableTextLeft"/>
              <w:rPr>
                <w:rStyle w:val="Strong"/>
                <w:color w:val="082C44"/>
              </w:rPr>
            </w:pPr>
            <w:r w:rsidRPr="00A80D08">
              <w:rPr>
                <w:rStyle w:val="Strong"/>
                <w:color w:val="082C44"/>
              </w:rPr>
              <w:t>Trust in national</w:t>
            </w:r>
            <w:r w:rsidR="009A66F4" w:rsidRPr="00A80D08">
              <w:rPr>
                <w:rStyle w:val="Strong"/>
                <w:color w:val="082C44"/>
              </w:rPr>
              <w:t xml:space="preserve"> </w:t>
            </w:r>
            <w:r w:rsidR="00FE183F" w:rsidRPr="00A80D08">
              <w:rPr>
                <w:rStyle w:val="Strong"/>
                <w:color w:val="082C44"/>
              </w:rPr>
              <w:t>g</w:t>
            </w:r>
            <w:r w:rsidRPr="00A80D08">
              <w:rPr>
                <w:rStyle w:val="Strong"/>
                <w:color w:val="082C44"/>
              </w:rPr>
              <w:t xml:space="preserve">overnment </w:t>
            </w:r>
          </w:p>
        </w:tc>
        <w:tc>
          <w:tcPr>
            <w:tcW w:w="2670" w:type="pct"/>
          </w:tcPr>
          <w:p w14:paraId="21492BDB" w14:textId="77777777" w:rsidR="008902B9" w:rsidRPr="009764EE" w:rsidRDefault="008902B9" w:rsidP="001A7C56">
            <w:pPr>
              <w:pStyle w:val="TableTextLeft"/>
            </w:pPr>
            <w:r w:rsidRPr="009764EE">
              <w:t xml:space="preserve">Proportion of the population that express confidence in the national government </w:t>
            </w:r>
          </w:p>
        </w:tc>
        <w:tc>
          <w:tcPr>
            <w:tcW w:w="1231" w:type="pct"/>
          </w:tcPr>
          <w:p w14:paraId="0F243C50" w14:textId="72288950" w:rsidR="008902B9" w:rsidRPr="00FB6842" w:rsidRDefault="00193C9B" w:rsidP="00FB6842">
            <w:pPr>
              <w:pStyle w:val="TableTextLeft"/>
            </w:pPr>
            <w:r w:rsidRPr="00FB6842">
              <w:t>OECD How</w:t>
            </w:r>
            <w:r w:rsidR="00135DEA" w:rsidRPr="00FB6842">
              <w:t>’</w:t>
            </w:r>
            <w:r w:rsidRPr="00FB6842">
              <w:t>s Life? Well</w:t>
            </w:r>
            <w:r w:rsidR="00135DEA" w:rsidRPr="00FB6842">
              <w:noBreakHyphen/>
            </w:r>
            <w:r w:rsidRPr="00FB6842">
              <w:t>being database</w:t>
            </w:r>
          </w:p>
        </w:tc>
      </w:tr>
      <w:tr w:rsidR="008902B9" w:rsidRPr="009764EE" w14:paraId="431904EA" w14:textId="77777777" w:rsidTr="00FB6842">
        <w:trPr>
          <w:trHeight w:val="20"/>
        </w:trPr>
        <w:tc>
          <w:tcPr>
            <w:tcW w:w="1100" w:type="pct"/>
          </w:tcPr>
          <w:p w14:paraId="08A48185" w14:textId="77777777" w:rsidR="008902B9" w:rsidRPr="00A80D08" w:rsidRDefault="008902B9" w:rsidP="001A7C56">
            <w:pPr>
              <w:pStyle w:val="TableTextLeft"/>
              <w:rPr>
                <w:rStyle w:val="Strong"/>
                <w:color w:val="082C44"/>
              </w:rPr>
            </w:pPr>
            <w:r w:rsidRPr="00A80D08">
              <w:rPr>
                <w:rStyle w:val="Strong"/>
                <w:color w:val="082C44"/>
              </w:rPr>
              <w:t>Representation in parliament</w:t>
            </w:r>
          </w:p>
        </w:tc>
        <w:tc>
          <w:tcPr>
            <w:tcW w:w="2670" w:type="pct"/>
          </w:tcPr>
          <w:p w14:paraId="2A09798D" w14:textId="77777777" w:rsidR="008902B9" w:rsidRPr="009764EE" w:rsidRDefault="008902B9" w:rsidP="001A7C56">
            <w:pPr>
              <w:pStyle w:val="TableTextLeft"/>
            </w:pPr>
            <w:r w:rsidRPr="009764EE">
              <w:t xml:space="preserve">Proportion of Federal Australian Parliamentarians who are women </w:t>
            </w:r>
          </w:p>
        </w:tc>
        <w:tc>
          <w:tcPr>
            <w:tcW w:w="1231" w:type="pct"/>
          </w:tcPr>
          <w:p w14:paraId="4888CC78" w14:textId="3B6D382E" w:rsidR="008902B9" w:rsidRPr="00FB6842" w:rsidRDefault="006E2B10" w:rsidP="00FB6842">
            <w:pPr>
              <w:pStyle w:val="TableTextLeft"/>
            </w:pPr>
            <w:r w:rsidRPr="00FB6842">
              <w:t>Australian Parliamentary Library</w:t>
            </w:r>
          </w:p>
        </w:tc>
      </w:tr>
    </w:tbl>
    <w:p w14:paraId="2567B93B" w14:textId="4FB41A89" w:rsidR="005D5F02" w:rsidRPr="009764EE" w:rsidRDefault="005D5F02">
      <w:pPr>
        <w:spacing w:before="0" w:after="160" w:line="259" w:lineRule="auto"/>
        <w:rPr>
          <w:rFonts w:ascii="Calibri" w:hAnsi="Calibri" w:cs="Calibri"/>
        </w:rPr>
      </w:pPr>
    </w:p>
    <w:p w14:paraId="19700967" w14:textId="77777777" w:rsidR="001472AB" w:rsidRPr="009764EE" w:rsidRDefault="001472AB" w:rsidP="009A66F4">
      <w:pPr>
        <w:pStyle w:val="TableMainHeading"/>
      </w:pPr>
      <w:r w:rsidRPr="009764EE">
        <w:lastRenderedPageBreak/>
        <w:t xml:space="preserve">Prosperous </w:t>
      </w:r>
    </w:p>
    <w:tbl>
      <w:tblPr>
        <w:tblStyle w:val="MWMTables"/>
        <w:tblW w:w="5000" w:type="pct"/>
        <w:tblLook w:val="06A0" w:firstRow="1" w:lastRow="0" w:firstColumn="1" w:lastColumn="0" w:noHBand="1" w:noVBand="1"/>
      </w:tblPr>
      <w:tblGrid>
        <w:gridCol w:w="1996"/>
        <w:gridCol w:w="4843"/>
        <w:gridCol w:w="2231"/>
      </w:tblGrid>
      <w:tr w:rsidR="00EB2C74" w:rsidRPr="009764EE" w14:paraId="3B14807E" w14:textId="77777777" w:rsidTr="00C56206">
        <w:trPr>
          <w:cnfStyle w:val="100000000000" w:firstRow="1" w:lastRow="0" w:firstColumn="0" w:lastColumn="0" w:oddVBand="0" w:evenVBand="0" w:oddHBand="0" w:evenHBand="0" w:firstRowFirstColumn="0" w:firstRowLastColumn="0" w:lastRowFirstColumn="0" w:lastRowLastColumn="0"/>
          <w:trHeight w:val="20"/>
          <w:tblHeader/>
        </w:trPr>
        <w:tc>
          <w:tcPr>
            <w:tcW w:w="1100" w:type="pct"/>
          </w:tcPr>
          <w:p w14:paraId="7A258197" w14:textId="77777777" w:rsidR="001472AB" w:rsidRPr="009764EE" w:rsidRDefault="001472AB" w:rsidP="001A7C56">
            <w:pPr>
              <w:pStyle w:val="TableColumnHeadingLeft"/>
            </w:pPr>
            <w:r w:rsidRPr="009764EE">
              <w:t>Indicator</w:t>
            </w:r>
          </w:p>
        </w:tc>
        <w:tc>
          <w:tcPr>
            <w:tcW w:w="2670" w:type="pct"/>
          </w:tcPr>
          <w:p w14:paraId="0BE98182" w14:textId="77777777" w:rsidR="001472AB" w:rsidRPr="009764EE" w:rsidRDefault="001472AB" w:rsidP="001A7C56">
            <w:pPr>
              <w:pStyle w:val="TableColumnHeadingLeft"/>
            </w:pPr>
            <w:r w:rsidRPr="009764EE">
              <w:t xml:space="preserve">Metric </w:t>
            </w:r>
          </w:p>
        </w:tc>
        <w:tc>
          <w:tcPr>
            <w:tcW w:w="1230" w:type="pct"/>
          </w:tcPr>
          <w:p w14:paraId="181A1140" w14:textId="77777777" w:rsidR="001472AB" w:rsidRPr="009764EE" w:rsidRDefault="001472AB" w:rsidP="001A7C56">
            <w:pPr>
              <w:pStyle w:val="TableColumnHeadingLeft"/>
            </w:pPr>
            <w:r w:rsidRPr="009764EE">
              <w:t xml:space="preserve">Source </w:t>
            </w:r>
          </w:p>
        </w:tc>
      </w:tr>
      <w:tr w:rsidR="001A7C56" w:rsidRPr="001A7C56" w14:paraId="63F851B8" w14:textId="77777777" w:rsidTr="00FB6842">
        <w:trPr>
          <w:trHeight w:val="20"/>
        </w:trPr>
        <w:tc>
          <w:tcPr>
            <w:tcW w:w="5000" w:type="pct"/>
            <w:gridSpan w:val="3"/>
            <w:shd w:val="clear" w:color="auto" w:fill="216364"/>
          </w:tcPr>
          <w:p w14:paraId="634B89F4" w14:textId="1014F466" w:rsidR="001472AB" w:rsidRPr="001A7C56" w:rsidRDefault="002F6D7C" w:rsidP="001A7C56">
            <w:pPr>
              <w:pStyle w:val="TableTextLeft"/>
              <w:rPr>
                <w:b/>
                <w:bCs/>
                <w:color w:val="FFFFFF" w:themeColor="background1"/>
              </w:rPr>
            </w:pPr>
            <w:r w:rsidRPr="001A7C56">
              <w:rPr>
                <w:b/>
                <w:bCs/>
                <w:color w:val="FFFFFF" w:themeColor="background1"/>
              </w:rPr>
              <w:t>Dynamic economy that shares prosperity</w:t>
            </w:r>
          </w:p>
        </w:tc>
      </w:tr>
      <w:tr w:rsidR="00193C9B" w:rsidRPr="009764EE" w14:paraId="230E06C0" w14:textId="77777777" w:rsidTr="00C56206">
        <w:trPr>
          <w:trHeight w:val="20"/>
        </w:trPr>
        <w:tc>
          <w:tcPr>
            <w:tcW w:w="1100" w:type="pct"/>
          </w:tcPr>
          <w:p w14:paraId="4863F841" w14:textId="338C84F4" w:rsidR="00193C9B" w:rsidRPr="00A80D08" w:rsidRDefault="00193C9B" w:rsidP="001A7C56">
            <w:pPr>
              <w:pStyle w:val="TableTextLeft"/>
              <w:rPr>
                <w:rStyle w:val="Strong"/>
                <w:color w:val="082C44"/>
              </w:rPr>
            </w:pPr>
            <w:r w:rsidRPr="00A80D08">
              <w:rPr>
                <w:rStyle w:val="Strong"/>
                <w:color w:val="082C44"/>
              </w:rPr>
              <w:t>National income</w:t>
            </w:r>
            <w:r w:rsidR="001524A0" w:rsidRPr="00A80D08">
              <w:rPr>
                <w:rStyle w:val="Strong"/>
                <w:color w:val="082C44"/>
              </w:rPr>
              <w:t> per c</w:t>
            </w:r>
            <w:r w:rsidRPr="00A80D08">
              <w:rPr>
                <w:rStyle w:val="Strong"/>
                <w:color w:val="082C44"/>
              </w:rPr>
              <w:t>apita</w:t>
            </w:r>
          </w:p>
        </w:tc>
        <w:tc>
          <w:tcPr>
            <w:tcW w:w="2670" w:type="pct"/>
          </w:tcPr>
          <w:p w14:paraId="3E37AB7B" w14:textId="0306D856" w:rsidR="00193C9B" w:rsidRPr="009764EE" w:rsidRDefault="00193C9B" w:rsidP="001A7C56">
            <w:pPr>
              <w:pStyle w:val="TableTextLeft"/>
            </w:pPr>
            <w:r w:rsidRPr="009764EE">
              <w:t>Real Net National Disposable Income (RNNDI)</w:t>
            </w:r>
            <w:r w:rsidR="001524A0">
              <w:t> per c</w:t>
            </w:r>
            <w:r w:rsidRPr="009764EE">
              <w:t>apita</w:t>
            </w:r>
          </w:p>
        </w:tc>
        <w:tc>
          <w:tcPr>
            <w:tcW w:w="1230" w:type="pct"/>
            <w:vMerge w:val="restart"/>
          </w:tcPr>
          <w:p w14:paraId="78BA6DAA" w14:textId="0B98AB35" w:rsidR="00193C9B" w:rsidRPr="00FB6842" w:rsidRDefault="00193C9B" w:rsidP="00FB6842">
            <w:pPr>
              <w:pStyle w:val="TableTextLeft"/>
            </w:pPr>
            <w:r w:rsidRPr="00FB6842">
              <w:t xml:space="preserve">ABS </w:t>
            </w:r>
            <w:r w:rsidRPr="00FB6842">
              <w:rPr>
                <w:rStyle w:val="Emphasis"/>
              </w:rPr>
              <w:t>Australian System of National Accounts</w:t>
            </w:r>
            <w:r w:rsidRPr="00FB6842" w:rsidDel="00072DD8">
              <w:t xml:space="preserve"> </w:t>
            </w:r>
          </w:p>
        </w:tc>
      </w:tr>
      <w:tr w:rsidR="00193C9B" w:rsidRPr="009764EE" w14:paraId="19CF6235" w14:textId="77777777" w:rsidTr="00C56206">
        <w:trPr>
          <w:trHeight w:val="20"/>
        </w:trPr>
        <w:tc>
          <w:tcPr>
            <w:tcW w:w="1100" w:type="pct"/>
          </w:tcPr>
          <w:p w14:paraId="6C25AE1E" w14:textId="77777777" w:rsidR="00193C9B" w:rsidRPr="00A80D08" w:rsidRDefault="00193C9B" w:rsidP="001A7C56">
            <w:pPr>
              <w:pStyle w:val="TableTextLeft"/>
              <w:rPr>
                <w:rStyle w:val="Strong"/>
                <w:color w:val="082C44"/>
              </w:rPr>
            </w:pPr>
            <w:r w:rsidRPr="00A80D08">
              <w:rPr>
                <w:rStyle w:val="Strong"/>
                <w:color w:val="082C44"/>
              </w:rPr>
              <w:t>Productivity</w:t>
            </w:r>
          </w:p>
        </w:tc>
        <w:tc>
          <w:tcPr>
            <w:tcW w:w="2670" w:type="pct"/>
            <w:tcBorders>
              <w:bottom w:val="single" w:sz="4" w:space="0" w:color="216364"/>
            </w:tcBorders>
          </w:tcPr>
          <w:p w14:paraId="7C95A1D7" w14:textId="7CB2503D" w:rsidR="00193C9B" w:rsidRPr="009764EE" w:rsidRDefault="00193C9B" w:rsidP="001A7C56">
            <w:pPr>
              <w:pStyle w:val="TableTextLeft"/>
            </w:pPr>
            <w:r w:rsidRPr="009764EE">
              <w:rPr>
                <w:lang w:eastAsia="en-US"/>
              </w:rPr>
              <w:t>The current 20</w:t>
            </w:r>
            <w:r w:rsidR="00135DEA">
              <w:rPr>
                <w:lang w:eastAsia="en-US"/>
              </w:rPr>
              <w:noBreakHyphen/>
            </w:r>
            <w:r w:rsidRPr="009764EE">
              <w:rPr>
                <w:lang w:eastAsia="en-US"/>
              </w:rPr>
              <w:t>year average labour productivity growth compared to the 20</w:t>
            </w:r>
            <w:r w:rsidR="00135DEA">
              <w:rPr>
                <w:lang w:eastAsia="en-US"/>
              </w:rPr>
              <w:noBreakHyphen/>
            </w:r>
            <w:r w:rsidRPr="009764EE">
              <w:rPr>
                <w:lang w:eastAsia="en-US"/>
              </w:rPr>
              <w:t>year average growth 10</w:t>
            </w:r>
            <w:r w:rsidR="00C239AD">
              <w:rPr>
                <w:lang w:eastAsia="en-US"/>
              </w:rPr>
              <w:t> year</w:t>
            </w:r>
            <w:r w:rsidRPr="009764EE">
              <w:rPr>
                <w:lang w:eastAsia="en-US"/>
              </w:rPr>
              <w:t>s earlier</w:t>
            </w:r>
          </w:p>
        </w:tc>
        <w:tc>
          <w:tcPr>
            <w:tcW w:w="1230" w:type="pct"/>
            <w:vMerge/>
            <w:tcBorders>
              <w:bottom w:val="single" w:sz="4" w:space="0" w:color="216364"/>
            </w:tcBorders>
          </w:tcPr>
          <w:p w14:paraId="136EB982" w14:textId="6DDE9789" w:rsidR="00193C9B" w:rsidRPr="009764EE" w:rsidRDefault="00193C9B" w:rsidP="00FB6842">
            <w:pPr>
              <w:pStyle w:val="TableTextLeft"/>
              <w:rPr>
                <w:rFonts w:ascii="Calibri" w:hAnsi="Calibri" w:cs="Calibri"/>
              </w:rPr>
            </w:pPr>
          </w:p>
        </w:tc>
      </w:tr>
      <w:tr w:rsidR="001472AB" w:rsidRPr="009764EE" w14:paraId="0C2B6994" w14:textId="77777777" w:rsidTr="00C56206">
        <w:trPr>
          <w:trHeight w:val="20"/>
        </w:trPr>
        <w:tc>
          <w:tcPr>
            <w:tcW w:w="1100" w:type="pct"/>
            <w:vMerge w:val="restart"/>
          </w:tcPr>
          <w:p w14:paraId="5FEE4627" w14:textId="77777777" w:rsidR="001472AB" w:rsidRPr="00A80D08" w:rsidRDefault="001472AB" w:rsidP="001A7C56">
            <w:pPr>
              <w:pStyle w:val="TableTextLeft"/>
              <w:rPr>
                <w:rStyle w:val="Strong"/>
                <w:color w:val="082C44"/>
              </w:rPr>
            </w:pPr>
            <w:r w:rsidRPr="00A80D08">
              <w:rPr>
                <w:rStyle w:val="Strong"/>
                <w:color w:val="082C44"/>
              </w:rPr>
              <w:t>Household income and wealth</w:t>
            </w:r>
          </w:p>
        </w:tc>
        <w:tc>
          <w:tcPr>
            <w:tcW w:w="2670" w:type="pct"/>
            <w:tcBorders>
              <w:top w:val="single" w:sz="4" w:space="0" w:color="216364"/>
              <w:bottom w:val="single" w:sz="4" w:space="0" w:color="EEEEEE" w:themeColor="background2"/>
            </w:tcBorders>
          </w:tcPr>
          <w:p w14:paraId="53062A32" w14:textId="7122785A" w:rsidR="001472AB" w:rsidRPr="009764EE" w:rsidRDefault="001472AB" w:rsidP="001A7C56">
            <w:pPr>
              <w:pStyle w:val="TableTextLeft"/>
            </w:pPr>
            <w:r w:rsidRPr="009764EE">
              <w:t xml:space="preserve">Median weekly </w:t>
            </w:r>
            <w:r w:rsidR="00F0557E" w:rsidRPr="009764EE">
              <w:t xml:space="preserve">equivalised </w:t>
            </w:r>
            <w:r w:rsidRPr="009764EE">
              <w:t>disposable household income</w:t>
            </w:r>
          </w:p>
        </w:tc>
        <w:tc>
          <w:tcPr>
            <w:tcW w:w="1230" w:type="pct"/>
            <w:tcBorders>
              <w:top w:val="single" w:sz="4" w:space="0" w:color="216364"/>
              <w:bottom w:val="single" w:sz="4" w:space="0" w:color="EEEEEE" w:themeColor="background2"/>
            </w:tcBorders>
          </w:tcPr>
          <w:p w14:paraId="2E8DACD0" w14:textId="52700251" w:rsidR="001472AB" w:rsidRPr="009764EE" w:rsidRDefault="001472AB"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Survey of Income and Housing</w:t>
            </w:r>
          </w:p>
        </w:tc>
      </w:tr>
      <w:tr w:rsidR="001472AB" w:rsidRPr="009764EE" w14:paraId="5D80BD51" w14:textId="77777777" w:rsidTr="00C56206">
        <w:trPr>
          <w:trHeight w:val="20"/>
        </w:trPr>
        <w:tc>
          <w:tcPr>
            <w:tcW w:w="1100" w:type="pct"/>
            <w:vMerge/>
          </w:tcPr>
          <w:p w14:paraId="787E0736" w14:textId="77777777" w:rsidR="001472AB" w:rsidRPr="00A80D08" w:rsidRDefault="001472AB" w:rsidP="001A7C56">
            <w:pPr>
              <w:pStyle w:val="TableTextLeft"/>
              <w:rPr>
                <w:rStyle w:val="Strong"/>
                <w:color w:val="082C44"/>
              </w:rPr>
            </w:pPr>
          </w:p>
        </w:tc>
        <w:tc>
          <w:tcPr>
            <w:tcW w:w="2670" w:type="pct"/>
            <w:tcBorders>
              <w:top w:val="single" w:sz="4" w:space="0" w:color="EEEEEE" w:themeColor="background2"/>
            </w:tcBorders>
          </w:tcPr>
          <w:p w14:paraId="15E7A884" w14:textId="58DA0D51" w:rsidR="001472AB" w:rsidRPr="009764EE" w:rsidRDefault="00193C9B" w:rsidP="001A7C56">
            <w:pPr>
              <w:pStyle w:val="TableTextLeft"/>
            </w:pPr>
            <w:r>
              <w:t>Net</w:t>
            </w:r>
            <w:r w:rsidR="006F2BC8">
              <w:t xml:space="preserve"> worth per </w:t>
            </w:r>
            <w:r w:rsidR="001472AB" w:rsidRPr="009764EE">
              <w:t xml:space="preserve">household </w:t>
            </w:r>
          </w:p>
        </w:tc>
        <w:tc>
          <w:tcPr>
            <w:tcW w:w="1230" w:type="pct"/>
            <w:tcBorders>
              <w:top w:val="single" w:sz="4" w:space="0" w:color="EEEEEE" w:themeColor="background2"/>
            </w:tcBorders>
          </w:tcPr>
          <w:p w14:paraId="73389A34" w14:textId="10A90E73" w:rsidR="001472AB" w:rsidRPr="009764EE" w:rsidRDefault="00966C88"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Australian National Accounts: Distribution of Household Income, Consumption and Wealth</w:t>
            </w:r>
          </w:p>
        </w:tc>
      </w:tr>
      <w:tr w:rsidR="004C2B82" w:rsidRPr="009764EE" w14:paraId="3B231E9E" w14:textId="77777777" w:rsidTr="00C56206">
        <w:trPr>
          <w:trHeight w:val="20"/>
        </w:trPr>
        <w:tc>
          <w:tcPr>
            <w:tcW w:w="1100" w:type="pct"/>
          </w:tcPr>
          <w:p w14:paraId="006978C2" w14:textId="77777777" w:rsidR="008E3388" w:rsidRPr="00A80D08" w:rsidRDefault="008E3388" w:rsidP="001A7C56">
            <w:pPr>
              <w:pStyle w:val="TableTextLeft"/>
              <w:rPr>
                <w:rStyle w:val="Strong"/>
                <w:color w:val="082C44"/>
              </w:rPr>
            </w:pPr>
            <w:r w:rsidRPr="00A80D08">
              <w:rPr>
                <w:rStyle w:val="Strong"/>
                <w:color w:val="082C44"/>
              </w:rPr>
              <w:t>Income and wealth inequality</w:t>
            </w:r>
          </w:p>
        </w:tc>
        <w:tc>
          <w:tcPr>
            <w:tcW w:w="2670" w:type="pct"/>
          </w:tcPr>
          <w:p w14:paraId="694A5FE6" w14:textId="77777777" w:rsidR="008E3388" w:rsidRPr="009764EE" w:rsidRDefault="008E3388" w:rsidP="001A7C56">
            <w:pPr>
              <w:pStyle w:val="TableTextLeft"/>
            </w:pPr>
            <w:r w:rsidRPr="009764EE">
              <w:t xml:space="preserve">Gini coefficient for income and wealth </w:t>
            </w:r>
          </w:p>
        </w:tc>
        <w:tc>
          <w:tcPr>
            <w:tcW w:w="1230" w:type="pct"/>
          </w:tcPr>
          <w:p w14:paraId="654DE7F3" w14:textId="409C0BB2" w:rsidR="008E3388" w:rsidRPr="009764EE" w:rsidRDefault="008E3388"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Survey of Income and Housing</w:t>
            </w:r>
          </w:p>
        </w:tc>
      </w:tr>
      <w:tr w:rsidR="001472AB" w:rsidRPr="009764EE" w14:paraId="6021BB7F" w14:textId="77777777" w:rsidTr="00C56206">
        <w:trPr>
          <w:trHeight w:val="20"/>
        </w:trPr>
        <w:tc>
          <w:tcPr>
            <w:tcW w:w="1100" w:type="pct"/>
          </w:tcPr>
          <w:p w14:paraId="7D2D1BAD" w14:textId="77777777" w:rsidR="001472AB" w:rsidRPr="00A80D08" w:rsidRDefault="001472AB" w:rsidP="001A7C56">
            <w:pPr>
              <w:pStyle w:val="TableTextLeft"/>
              <w:rPr>
                <w:rStyle w:val="Strong"/>
                <w:color w:val="082C44"/>
              </w:rPr>
            </w:pPr>
            <w:r w:rsidRPr="00A80D08">
              <w:rPr>
                <w:rStyle w:val="Strong"/>
                <w:color w:val="082C44"/>
              </w:rPr>
              <w:t>Innovation</w:t>
            </w:r>
          </w:p>
        </w:tc>
        <w:tc>
          <w:tcPr>
            <w:tcW w:w="2670" w:type="pct"/>
          </w:tcPr>
          <w:p w14:paraId="468BC5DE" w14:textId="5FC24FFB" w:rsidR="001472AB" w:rsidRPr="009764EE" w:rsidRDefault="001472AB" w:rsidP="001A7C56">
            <w:pPr>
              <w:pStyle w:val="TableTextLeft"/>
            </w:pPr>
            <w:r w:rsidRPr="009764EE">
              <w:t>Number of patent and trade mark applications in Australia (made by both domestic and overseas applicants</w:t>
            </w:r>
            <w:r w:rsidR="00D2648B">
              <w:t>)</w:t>
            </w:r>
          </w:p>
        </w:tc>
        <w:tc>
          <w:tcPr>
            <w:tcW w:w="1230" w:type="pct"/>
          </w:tcPr>
          <w:p w14:paraId="7B329F99" w14:textId="77777777" w:rsidR="001472AB" w:rsidRPr="00FB6842" w:rsidRDefault="001472AB" w:rsidP="00FB6842">
            <w:pPr>
              <w:pStyle w:val="TableTextLeft"/>
            </w:pPr>
            <w:r w:rsidRPr="00FB6842">
              <w:t>Intellectual Property Report 2023</w:t>
            </w:r>
          </w:p>
        </w:tc>
      </w:tr>
      <w:tr w:rsidR="001A7C56" w:rsidRPr="001A7C56" w14:paraId="3A076FF8" w14:textId="77777777" w:rsidTr="00FB6842">
        <w:trPr>
          <w:trHeight w:val="20"/>
        </w:trPr>
        <w:tc>
          <w:tcPr>
            <w:tcW w:w="5000" w:type="pct"/>
            <w:gridSpan w:val="3"/>
            <w:shd w:val="clear" w:color="auto" w:fill="216364"/>
          </w:tcPr>
          <w:p w14:paraId="5ECB584D" w14:textId="3D79952A" w:rsidR="001472AB" w:rsidRPr="001A7C56" w:rsidRDefault="002F6D7C" w:rsidP="001A7C56">
            <w:pPr>
              <w:pStyle w:val="TableTextLeft"/>
              <w:rPr>
                <w:b/>
                <w:bCs/>
                <w:color w:val="FFFFFF" w:themeColor="background1"/>
              </w:rPr>
            </w:pPr>
            <w:r w:rsidRPr="001A7C56">
              <w:rPr>
                <w:b/>
                <w:bCs/>
                <w:color w:val="FFFFFF" w:themeColor="background1"/>
              </w:rPr>
              <w:t>Access to education</w:t>
            </w:r>
            <w:r w:rsidR="00C46318" w:rsidRPr="001A7C56">
              <w:rPr>
                <w:b/>
                <w:bCs/>
                <w:color w:val="FFFFFF" w:themeColor="background1"/>
              </w:rPr>
              <w:t>,</w:t>
            </w:r>
            <w:r w:rsidRPr="001A7C56">
              <w:rPr>
                <w:b/>
                <w:bCs/>
                <w:color w:val="FFFFFF" w:themeColor="background1"/>
              </w:rPr>
              <w:t xml:space="preserve"> skills development</w:t>
            </w:r>
            <w:r w:rsidR="00471636" w:rsidRPr="001A7C56">
              <w:rPr>
                <w:b/>
                <w:bCs/>
                <w:color w:val="FFFFFF" w:themeColor="background1"/>
              </w:rPr>
              <w:t xml:space="preserve"> and learning throughout life</w:t>
            </w:r>
          </w:p>
        </w:tc>
      </w:tr>
      <w:tr w:rsidR="001472AB" w:rsidRPr="009764EE" w14:paraId="4F4941C5" w14:textId="77777777" w:rsidTr="00C56206">
        <w:trPr>
          <w:trHeight w:val="20"/>
        </w:trPr>
        <w:tc>
          <w:tcPr>
            <w:tcW w:w="1100" w:type="pct"/>
          </w:tcPr>
          <w:p w14:paraId="4A5F4972" w14:textId="77777777" w:rsidR="001472AB" w:rsidRPr="00A80D08" w:rsidRDefault="001472AB" w:rsidP="001A7C56">
            <w:pPr>
              <w:pStyle w:val="TableTextLeft"/>
              <w:rPr>
                <w:rStyle w:val="Strong"/>
                <w:color w:val="082C44"/>
              </w:rPr>
            </w:pPr>
            <w:r w:rsidRPr="00A80D08">
              <w:rPr>
                <w:rStyle w:val="Strong"/>
                <w:color w:val="082C44"/>
              </w:rPr>
              <w:t>Childhood development</w:t>
            </w:r>
          </w:p>
        </w:tc>
        <w:tc>
          <w:tcPr>
            <w:tcW w:w="2670" w:type="pct"/>
          </w:tcPr>
          <w:p w14:paraId="449177C6" w14:textId="7C5C3C81" w:rsidR="001472AB" w:rsidRPr="009764EE" w:rsidRDefault="001472AB" w:rsidP="001A7C56">
            <w:pPr>
              <w:pStyle w:val="TableTextLeft"/>
            </w:pPr>
            <w:r w:rsidRPr="009764EE">
              <w:t xml:space="preserve">Proportion of children who are developmentally on track </w:t>
            </w:r>
            <w:r w:rsidR="00A41DDD">
              <w:t>i</w:t>
            </w:r>
            <w:r w:rsidRPr="009764EE">
              <w:t>n all five domains of the Australian Early Development Census</w:t>
            </w:r>
          </w:p>
        </w:tc>
        <w:tc>
          <w:tcPr>
            <w:tcW w:w="1230" w:type="pct"/>
          </w:tcPr>
          <w:p w14:paraId="1BACCD36" w14:textId="77777777" w:rsidR="001472AB" w:rsidRPr="009764EE" w:rsidRDefault="001472AB" w:rsidP="00FB6842">
            <w:pPr>
              <w:pStyle w:val="TableTextLeft"/>
              <w:rPr>
                <w:rFonts w:ascii="Calibri" w:hAnsi="Calibri" w:cs="Calibri"/>
              </w:rPr>
            </w:pPr>
            <w:r w:rsidRPr="00FB6842">
              <w:t>Department of Education,</w:t>
            </w:r>
            <w:r w:rsidRPr="009764EE">
              <w:rPr>
                <w:rFonts w:ascii="Calibri" w:hAnsi="Calibri" w:cs="Calibri"/>
              </w:rPr>
              <w:t xml:space="preserve"> </w:t>
            </w:r>
            <w:r w:rsidRPr="00FB6842">
              <w:rPr>
                <w:rStyle w:val="Emphasis"/>
              </w:rPr>
              <w:t>Australian Early Development Census</w:t>
            </w:r>
          </w:p>
        </w:tc>
      </w:tr>
      <w:tr w:rsidR="001472AB" w:rsidRPr="009764EE" w14:paraId="571079DA" w14:textId="77777777" w:rsidTr="00C56206">
        <w:trPr>
          <w:trHeight w:val="20"/>
        </w:trPr>
        <w:tc>
          <w:tcPr>
            <w:tcW w:w="1100" w:type="pct"/>
          </w:tcPr>
          <w:p w14:paraId="486D0266" w14:textId="77777777" w:rsidR="001472AB" w:rsidRPr="00A80D08" w:rsidRDefault="001472AB" w:rsidP="001A7C56">
            <w:pPr>
              <w:pStyle w:val="TableTextLeft"/>
              <w:rPr>
                <w:rStyle w:val="Strong"/>
                <w:color w:val="082C44"/>
              </w:rPr>
            </w:pPr>
            <w:r w:rsidRPr="00A80D08">
              <w:rPr>
                <w:rStyle w:val="Strong"/>
                <w:color w:val="082C44"/>
              </w:rPr>
              <w:t>Literacy and numeracy skills at school</w:t>
            </w:r>
          </w:p>
        </w:tc>
        <w:tc>
          <w:tcPr>
            <w:tcW w:w="2670" w:type="pct"/>
            <w:tcBorders>
              <w:bottom w:val="single" w:sz="4" w:space="0" w:color="216364"/>
            </w:tcBorders>
          </w:tcPr>
          <w:p w14:paraId="1901E91C" w14:textId="77777777" w:rsidR="001472AB" w:rsidRPr="009764EE" w:rsidRDefault="001472AB" w:rsidP="001A7C56">
            <w:pPr>
              <w:pStyle w:val="TableTextLeft"/>
            </w:pPr>
            <w:r w:rsidRPr="009764EE">
              <w:t>Average Year 3 NAPLAN scores for literacy and numeracy</w:t>
            </w:r>
          </w:p>
        </w:tc>
        <w:tc>
          <w:tcPr>
            <w:tcW w:w="1230" w:type="pct"/>
            <w:tcBorders>
              <w:bottom w:val="single" w:sz="4" w:space="0" w:color="216364"/>
            </w:tcBorders>
          </w:tcPr>
          <w:p w14:paraId="795899C8" w14:textId="62BF2A54" w:rsidR="001472AB" w:rsidRPr="00FB6842" w:rsidRDefault="00811754" w:rsidP="00FB6842">
            <w:pPr>
              <w:pStyle w:val="TableTextLeft"/>
            </w:pPr>
            <w:r w:rsidRPr="00FB6842">
              <w:t>Australian Curriculum Assessment and Report</w:t>
            </w:r>
          </w:p>
        </w:tc>
      </w:tr>
      <w:tr w:rsidR="00212B15" w:rsidRPr="009764EE" w14:paraId="64BD11A8" w14:textId="77777777" w:rsidTr="00C56206">
        <w:trPr>
          <w:trHeight w:val="20"/>
        </w:trPr>
        <w:tc>
          <w:tcPr>
            <w:tcW w:w="1100" w:type="pct"/>
            <w:vMerge w:val="restart"/>
          </w:tcPr>
          <w:p w14:paraId="2E1F8520" w14:textId="77777777" w:rsidR="00212B15" w:rsidRPr="00A80D08" w:rsidRDefault="00212B15" w:rsidP="001A7C56">
            <w:pPr>
              <w:pStyle w:val="TableTextLeft"/>
              <w:rPr>
                <w:rStyle w:val="Strong"/>
                <w:color w:val="082C44"/>
              </w:rPr>
            </w:pPr>
            <w:r w:rsidRPr="00A80D08">
              <w:rPr>
                <w:rStyle w:val="Strong"/>
                <w:color w:val="082C44"/>
              </w:rPr>
              <w:t>Education attainment</w:t>
            </w:r>
          </w:p>
        </w:tc>
        <w:tc>
          <w:tcPr>
            <w:tcW w:w="2670" w:type="pct"/>
            <w:tcBorders>
              <w:top w:val="single" w:sz="4" w:space="0" w:color="216364"/>
              <w:bottom w:val="single" w:sz="4" w:space="0" w:color="EEEEEE" w:themeColor="background2"/>
            </w:tcBorders>
          </w:tcPr>
          <w:p w14:paraId="44103AC2" w14:textId="1B258EF8" w:rsidR="00212B15" w:rsidRPr="009764EE" w:rsidRDefault="00212B15" w:rsidP="001A7C56">
            <w:pPr>
              <w:pStyle w:val="TableTextLeft"/>
            </w:pPr>
            <w:r w:rsidRPr="009764EE">
              <w:rPr>
                <w:color w:val="000000" w:themeColor="text1"/>
              </w:rPr>
              <w:t>Proportion of people aged 20</w:t>
            </w:r>
            <w:r w:rsidR="00151999">
              <w:t>–</w:t>
            </w:r>
            <w:r w:rsidR="00811754">
              <w:rPr>
                <w:color w:val="000000" w:themeColor="text1"/>
              </w:rPr>
              <w:softHyphen/>
            </w:r>
            <w:r w:rsidRPr="009764EE">
              <w:rPr>
                <w:color w:val="000000" w:themeColor="text1"/>
              </w:rPr>
              <w:t xml:space="preserve">24 with Year 12 or equivalent </w:t>
            </w:r>
          </w:p>
        </w:tc>
        <w:tc>
          <w:tcPr>
            <w:tcW w:w="1230" w:type="pct"/>
            <w:vMerge w:val="restart"/>
            <w:tcBorders>
              <w:top w:val="single" w:sz="4" w:space="0" w:color="216364"/>
              <w:bottom w:val="single" w:sz="4" w:space="0" w:color="EEEEEE" w:themeColor="background2"/>
            </w:tcBorders>
          </w:tcPr>
          <w:p w14:paraId="3DAB03C9" w14:textId="1C0A9C40" w:rsidR="00212B15" w:rsidRPr="009764EE" w:rsidRDefault="00212B15"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Survey of Education and Work</w:t>
            </w:r>
          </w:p>
        </w:tc>
      </w:tr>
      <w:tr w:rsidR="00212B15" w:rsidRPr="009764EE" w14:paraId="18A3F62A" w14:textId="77777777" w:rsidTr="00C56206">
        <w:trPr>
          <w:trHeight w:val="20"/>
        </w:trPr>
        <w:tc>
          <w:tcPr>
            <w:tcW w:w="1100" w:type="pct"/>
            <w:vMerge/>
          </w:tcPr>
          <w:p w14:paraId="445B397D" w14:textId="77777777" w:rsidR="00212B15" w:rsidRPr="00A80D08" w:rsidRDefault="00212B15" w:rsidP="001A7C56">
            <w:pPr>
              <w:pStyle w:val="TableTextLeft"/>
              <w:rPr>
                <w:rStyle w:val="Strong"/>
                <w:color w:val="082C44"/>
              </w:rPr>
            </w:pPr>
          </w:p>
        </w:tc>
        <w:tc>
          <w:tcPr>
            <w:tcW w:w="2670" w:type="pct"/>
            <w:tcBorders>
              <w:top w:val="single" w:sz="4" w:space="0" w:color="EEEEEE" w:themeColor="background2"/>
            </w:tcBorders>
          </w:tcPr>
          <w:p w14:paraId="7AB959FB" w14:textId="63F26513" w:rsidR="00212B15" w:rsidRPr="009764EE" w:rsidRDefault="00212B15" w:rsidP="001A7C56">
            <w:pPr>
              <w:pStyle w:val="TableTextLeft"/>
            </w:pPr>
            <w:r w:rsidRPr="009764EE">
              <w:t>Proportion of people aged 25</w:t>
            </w:r>
            <w:r w:rsidR="00151999">
              <w:t>–</w:t>
            </w:r>
            <w:r w:rsidR="00811754">
              <w:softHyphen/>
            </w:r>
            <w:r w:rsidRPr="009764EE">
              <w:t>34 with a qualification at Certificate III level or above</w:t>
            </w:r>
          </w:p>
        </w:tc>
        <w:tc>
          <w:tcPr>
            <w:tcW w:w="1230" w:type="pct"/>
            <w:vMerge/>
            <w:tcBorders>
              <w:top w:val="single" w:sz="4" w:space="0" w:color="EEEEEE" w:themeColor="background2"/>
            </w:tcBorders>
          </w:tcPr>
          <w:p w14:paraId="33BDEFC4" w14:textId="49233744" w:rsidR="00212B15" w:rsidRPr="009764EE" w:rsidRDefault="00212B15" w:rsidP="00FB6842">
            <w:pPr>
              <w:pStyle w:val="TableTextLeft"/>
              <w:rPr>
                <w:rFonts w:ascii="Calibri" w:hAnsi="Calibri" w:cs="Calibri"/>
              </w:rPr>
            </w:pPr>
          </w:p>
        </w:tc>
      </w:tr>
      <w:tr w:rsidR="001472AB" w:rsidRPr="009764EE" w14:paraId="7FACF837" w14:textId="77777777" w:rsidTr="00C56206">
        <w:trPr>
          <w:trHeight w:val="20"/>
        </w:trPr>
        <w:tc>
          <w:tcPr>
            <w:tcW w:w="1100" w:type="pct"/>
          </w:tcPr>
          <w:p w14:paraId="6527796E" w14:textId="77777777" w:rsidR="001472AB" w:rsidRPr="00A80D08" w:rsidRDefault="001472AB" w:rsidP="001A7C56">
            <w:pPr>
              <w:pStyle w:val="TableTextLeft"/>
              <w:rPr>
                <w:rStyle w:val="Strong"/>
                <w:color w:val="082C44"/>
              </w:rPr>
            </w:pPr>
            <w:r w:rsidRPr="00A80D08">
              <w:rPr>
                <w:rStyle w:val="Strong"/>
                <w:color w:val="082C44"/>
              </w:rPr>
              <w:t>Skills development</w:t>
            </w:r>
          </w:p>
        </w:tc>
        <w:tc>
          <w:tcPr>
            <w:tcW w:w="2670" w:type="pct"/>
          </w:tcPr>
          <w:p w14:paraId="366A5870" w14:textId="6BD0BFC5" w:rsidR="001472AB" w:rsidRPr="009764EE" w:rsidRDefault="001472AB" w:rsidP="001A7C56">
            <w:pPr>
              <w:pStyle w:val="TableTextLeft"/>
            </w:pPr>
            <w:r w:rsidRPr="009764EE">
              <w:t xml:space="preserve">The share of </w:t>
            </w:r>
            <w:r w:rsidR="00825D39">
              <w:t>people</w:t>
            </w:r>
            <w:r w:rsidR="00825D39" w:rsidRPr="009764EE">
              <w:t xml:space="preserve"> </w:t>
            </w:r>
            <w:r w:rsidRPr="009764EE">
              <w:t>who in the previous 12 months, participated in:</w:t>
            </w:r>
          </w:p>
          <w:p w14:paraId="28CF949C" w14:textId="77777777" w:rsidR="001472AB" w:rsidRPr="009764EE" w:rsidRDefault="001472AB" w:rsidP="001A7C56">
            <w:pPr>
              <w:pStyle w:val="TableTextLeft"/>
            </w:pPr>
            <w:r w:rsidRPr="009764EE">
              <w:t>formal study which leads to a qualification recognised by the Australian Qualifications Framework, and</w:t>
            </w:r>
          </w:p>
          <w:p w14:paraId="3E84E8EF" w14:textId="12330BDE" w:rsidR="001472AB" w:rsidRPr="009764EE" w:rsidRDefault="001472AB" w:rsidP="001A7C56">
            <w:pPr>
              <w:pStyle w:val="TableTextLeft"/>
            </w:pPr>
            <w:r w:rsidRPr="009764EE">
              <w:t>non</w:t>
            </w:r>
            <w:r w:rsidR="00135DEA">
              <w:noBreakHyphen/>
            </w:r>
            <w:r w:rsidRPr="009764EE">
              <w:t>formal learning (structured training or courses) that do not lead to a formal qualification</w:t>
            </w:r>
          </w:p>
        </w:tc>
        <w:tc>
          <w:tcPr>
            <w:tcW w:w="1230" w:type="pct"/>
          </w:tcPr>
          <w:p w14:paraId="0BE8DE83" w14:textId="7C00D5B5" w:rsidR="001472AB" w:rsidRPr="009764EE" w:rsidRDefault="001472AB" w:rsidP="00FB6842">
            <w:pPr>
              <w:pStyle w:val="TableTextLeft"/>
              <w:rPr>
                <w:rFonts w:ascii="Calibri" w:hAnsi="Calibri" w:cs="Calibri"/>
              </w:rPr>
            </w:pPr>
            <w:r w:rsidRPr="00FB6842">
              <w:t>ABS</w:t>
            </w:r>
            <w:r w:rsidRPr="009764EE">
              <w:rPr>
                <w:rFonts w:ascii="Calibri" w:hAnsi="Calibri" w:cs="Calibri"/>
              </w:rPr>
              <w:t xml:space="preserve"> </w:t>
            </w:r>
            <w:r w:rsidR="00692F18" w:rsidRPr="00FB6842">
              <w:rPr>
                <w:rStyle w:val="Emphasis"/>
              </w:rPr>
              <w:t>Work</w:t>
            </w:r>
            <w:r w:rsidR="00135DEA" w:rsidRPr="00FB6842">
              <w:rPr>
                <w:rStyle w:val="Emphasis"/>
              </w:rPr>
              <w:noBreakHyphen/>
            </w:r>
            <w:r w:rsidR="00692F18" w:rsidRPr="00FB6842">
              <w:rPr>
                <w:rStyle w:val="Emphasis"/>
              </w:rPr>
              <w:t>Related Training and Adult Learning</w:t>
            </w:r>
          </w:p>
        </w:tc>
      </w:tr>
      <w:tr w:rsidR="001472AB" w:rsidRPr="009764EE" w14:paraId="7C51268D" w14:textId="77777777" w:rsidTr="00C56206">
        <w:trPr>
          <w:trHeight w:val="20"/>
        </w:trPr>
        <w:tc>
          <w:tcPr>
            <w:tcW w:w="1100" w:type="pct"/>
          </w:tcPr>
          <w:p w14:paraId="29BB51C4" w14:textId="4D341919" w:rsidR="001472AB" w:rsidRPr="00A80D08" w:rsidRDefault="001472AB" w:rsidP="001A7C56">
            <w:pPr>
              <w:pStyle w:val="TableTextLeft"/>
              <w:rPr>
                <w:rStyle w:val="Strong"/>
                <w:color w:val="082C44"/>
              </w:rPr>
            </w:pPr>
            <w:r w:rsidRPr="00A80D08">
              <w:rPr>
                <w:rStyle w:val="Strong"/>
                <w:color w:val="082C44"/>
              </w:rPr>
              <w:t>Digital</w:t>
            </w:r>
            <w:r w:rsidR="00471636" w:rsidRPr="00A80D08">
              <w:rPr>
                <w:rStyle w:val="Strong"/>
                <w:color w:val="082C44"/>
              </w:rPr>
              <w:t xml:space="preserve"> preparedness</w:t>
            </w:r>
            <w:r w:rsidRPr="00A80D08">
              <w:rPr>
                <w:rStyle w:val="Strong"/>
                <w:color w:val="082C44"/>
              </w:rPr>
              <w:t xml:space="preserve"> </w:t>
            </w:r>
          </w:p>
        </w:tc>
        <w:tc>
          <w:tcPr>
            <w:tcW w:w="2670" w:type="pct"/>
          </w:tcPr>
          <w:p w14:paraId="123C8261" w14:textId="77777777" w:rsidR="001472AB" w:rsidRPr="009764EE" w:rsidRDefault="001472AB" w:rsidP="001A7C56">
            <w:pPr>
              <w:pStyle w:val="TableTextLeft"/>
            </w:pPr>
            <w:r w:rsidRPr="009764EE">
              <w:t>An aggregate score of digital inclusion based on access, affordability and digital ability</w:t>
            </w:r>
          </w:p>
        </w:tc>
        <w:tc>
          <w:tcPr>
            <w:tcW w:w="1230" w:type="pct"/>
          </w:tcPr>
          <w:p w14:paraId="3662833A" w14:textId="243D6B5B" w:rsidR="001472AB" w:rsidRPr="009764EE" w:rsidRDefault="001472AB" w:rsidP="00FB6842">
            <w:pPr>
              <w:pStyle w:val="TableTextLeft"/>
              <w:rPr>
                <w:rFonts w:ascii="Calibri" w:hAnsi="Calibri" w:cs="Calibri"/>
              </w:rPr>
            </w:pPr>
            <w:r w:rsidRPr="00FB6842">
              <w:t>RMIT Swinburne University of Technology and Telstra,</w:t>
            </w:r>
            <w:r w:rsidRPr="009764EE">
              <w:rPr>
                <w:rFonts w:ascii="Calibri" w:hAnsi="Calibri" w:cs="Calibri"/>
              </w:rPr>
              <w:t xml:space="preserve"> </w:t>
            </w:r>
            <w:r w:rsidRPr="00FB6842">
              <w:rPr>
                <w:rStyle w:val="Emphasis"/>
              </w:rPr>
              <w:t>Australian Digital Inclusion Index</w:t>
            </w:r>
          </w:p>
        </w:tc>
      </w:tr>
    </w:tbl>
    <w:p w14:paraId="5BA40FFB" w14:textId="77777777" w:rsidR="00C56206" w:rsidRPr="00A80D08" w:rsidRDefault="00C56206" w:rsidP="00A80D08"/>
    <w:p w14:paraId="4153D2CC" w14:textId="77777777" w:rsidR="00C56206" w:rsidRPr="00A80D08" w:rsidRDefault="00C56206" w:rsidP="00A80D08">
      <w:r w:rsidRPr="00A80D08">
        <w:br w:type="page"/>
      </w:r>
    </w:p>
    <w:p w14:paraId="1AF2C874" w14:textId="400600A7" w:rsidR="00C56206" w:rsidRPr="009764EE" w:rsidRDefault="00C56206" w:rsidP="00C56206">
      <w:pPr>
        <w:pStyle w:val="TableMainHeading"/>
      </w:pPr>
      <w:r w:rsidRPr="009764EE">
        <w:lastRenderedPageBreak/>
        <w:t xml:space="preserve">Prosperous </w:t>
      </w:r>
      <w:r w:rsidRPr="00C56206">
        <w:rPr>
          <w:rStyle w:val="Emphasis"/>
        </w:rPr>
        <w:t>(continued)</w:t>
      </w:r>
    </w:p>
    <w:tbl>
      <w:tblPr>
        <w:tblStyle w:val="MWMTables"/>
        <w:tblW w:w="5000" w:type="pct"/>
        <w:tblLook w:val="06A0" w:firstRow="1" w:lastRow="0" w:firstColumn="1" w:lastColumn="0" w:noHBand="1" w:noVBand="1"/>
      </w:tblPr>
      <w:tblGrid>
        <w:gridCol w:w="1996"/>
        <w:gridCol w:w="4843"/>
        <w:gridCol w:w="2231"/>
      </w:tblGrid>
      <w:tr w:rsidR="00C56206" w:rsidRPr="009764EE" w14:paraId="741D6A7C" w14:textId="77777777" w:rsidTr="00710093">
        <w:trPr>
          <w:cnfStyle w:val="100000000000" w:firstRow="1" w:lastRow="0" w:firstColumn="0" w:lastColumn="0" w:oddVBand="0" w:evenVBand="0" w:oddHBand="0" w:evenHBand="0" w:firstRowFirstColumn="0" w:firstRowLastColumn="0" w:lastRowFirstColumn="0" w:lastRowLastColumn="0"/>
          <w:trHeight w:val="20"/>
          <w:tblHeader/>
        </w:trPr>
        <w:tc>
          <w:tcPr>
            <w:tcW w:w="1100" w:type="pct"/>
          </w:tcPr>
          <w:p w14:paraId="6F00BBBE" w14:textId="77777777" w:rsidR="00C56206" w:rsidRPr="009764EE" w:rsidRDefault="00C56206" w:rsidP="00710093">
            <w:pPr>
              <w:pStyle w:val="TableColumnHeadingLeft"/>
            </w:pPr>
            <w:r w:rsidRPr="009764EE">
              <w:t>Indicator</w:t>
            </w:r>
          </w:p>
        </w:tc>
        <w:tc>
          <w:tcPr>
            <w:tcW w:w="2670" w:type="pct"/>
          </w:tcPr>
          <w:p w14:paraId="0A2F4B4F" w14:textId="77777777" w:rsidR="00C56206" w:rsidRPr="009764EE" w:rsidRDefault="00C56206" w:rsidP="00710093">
            <w:pPr>
              <w:pStyle w:val="TableColumnHeadingLeft"/>
            </w:pPr>
            <w:r w:rsidRPr="009764EE">
              <w:t xml:space="preserve">Metric </w:t>
            </w:r>
          </w:p>
        </w:tc>
        <w:tc>
          <w:tcPr>
            <w:tcW w:w="1230" w:type="pct"/>
          </w:tcPr>
          <w:p w14:paraId="5368BCBC" w14:textId="77777777" w:rsidR="00C56206" w:rsidRPr="009764EE" w:rsidRDefault="00C56206" w:rsidP="00710093">
            <w:pPr>
              <w:pStyle w:val="TableColumnHeadingLeft"/>
            </w:pPr>
            <w:r w:rsidRPr="009764EE">
              <w:t xml:space="preserve">Source </w:t>
            </w:r>
          </w:p>
        </w:tc>
      </w:tr>
      <w:tr w:rsidR="00EC6686" w:rsidRPr="00EC6686" w14:paraId="51A58DD8" w14:textId="77777777" w:rsidTr="00FB6842">
        <w:trPr>
          <w:trHeight w:val="20"/>
        </w:trPr>
        <w:tc>
          <w:tcPr>
            <w:tcW w:w="5000" w:type="pct"/>
            <w:gridSpan w:val="3"/>
            <w:shd w:val="clear" w:color="auto" w:fill="216364"/>
          </w:tcPr>
          <w:p w14:paraId="0A253D19" w14:textId="515B535B" w:rsidR="005777B8" w:rsidRPr="00EC6686" w:rsidRDefault="00F917D2" w:rsidP="00EC6686">
            <w:pPr>
              <w:pStyle w:val="TableTextLeft"/>
              <w:rPr>
                <w:b/>
                <w:bCs/>
                <w:color w:val="FFFFFF" w:themeColor="background1"/>
              </w:rPr>
            </w:pPr>
            <w:r w:rsidRPr="00EC6686">
              <w:rPr>
                <w:b/>
                <w:bCs/>
                <w:color w:val="FFFFFF" w:themeColor="background1"/>
              </w:rPr>
              <w:t>Broad opportunities for employment and well</w:t>
            </w:r>
            <w:r w:rsidR="00135DEA" w:rsidRPr="00EC6686">
              <w:rPr>
                <w:b/>
                <w:bCs/>
                <w:color w:val="FFFFFF" w:themeColor="background1"/>
              </w:rPr>
              <w:noBreakHyphen/>
            </w:r>
            <w:r w:rsidRPr="00EC6686">
              <w:rPr>
                <w:b/>
                <w:bCs/>
                <w:color w:val="FFFFFF" w:themeColor="background1"/>
              </w:rPr>
              <w:t>paid, secure jobs</w:t>
            </w:r>
          </w:p>
        </w:tc>
      </w:tr>
      <w:tr w:rsidR="006745A7" w:rsidRPr="009764EE" w14:paraId="4E84E2EB" w14:textId="77777777" w:rsidTr="00C56206">
        <w:trPr>
          <w:trHeight w:val="20"/>
        </w:trPr>
        <w:tc>
          <w:tcPr>
            <w:tcW w:w="1100" w:type="pct"/>
          </w:tcPr>
          <w:p w14:paraId="573F8649" w14:textId="047EE110" w:rsidR="006745A7" w:rsidRPr="00A80D08" w:rsidRDefault="006745A7" w:rsidP="00EC6686">
            <w:pPr>
              <w:pStyle w:val="TableTextLeft"/>
              <w:rPr>
                <w:rStyle w:val="Strong"/>
                <w:color w:val="082C44"/>
              </w:rPr>
            </w:pPr>
            <w:r w:rsidRPr="00A80D08">
              <w:rPr>
                <w:rStyle w:val="Strong"/>
                <w:color w:val="082C44"/>
              </w:rPr>
              <w:t>Wages</w:t>
            </w:r>
          </w:p>
        </w:tc>
        <w:tc>
          <w:tcPr>
            <w:tcW w:w="2670" w:type="pct"/>
            <w:tcBorders>
              <w:bottom w:val="single" w:sz="4" w:space="0" w:color="216364"/>
            </w:tcBorders>
          </w:tcPr>
          <w:p w14:paraId="3B0F9129" w14:textId="57CAD0B3" w:rsidR="006745A7" w:rsidRPr="009764EE" w:rsidRDefault="007D3E50" w:rsidP="00EC6686">
            <w:pPr>
              <w:pStyle w:val="TableTextLeft"/>
            </w:pPr>
            <w:r w:rsidRPr="007D3E50">
              <w:t>Growth in the wage price index adjusted for inflation, as measured by the consumer price index</w:t>
            </w:r>
          </w:p>
        </w:tc>
        <w:tc>
          <w:tcPr>
            <w:tcW w:w="1230" w:type="pct"/>
            <w:tcBorders>
              <w:bottom w:val="single" w:sz="4" w:space="0" w:color="216364"/>
            </w:tcBorders>
          </w:tcPr>
          <w:p w14:paraId="2DA1BEBC" w14:textId="634C5022" w:rsidR="006745A7" w:rsidRPr="00FB6842" w:rsidRDefault="006745A7" w:rsidP="00FB6842">
            <w:pPr>
              <w:pStyle w:val="TableTextLeft"/>
              <w:rPr>
                <w:rStyle w:val="Emphasis"/>
              </w:rPr>
            </w:pPr>
            <w:r w:rsidRPr="00FB6842">
              <w:t>ABS</w:t>
            </w:r>
            <w:r w:rsidRPr="009764EE">
              <w:rPr>
                <w:rFonts w:ascii="Calibri" w:hAnsi="Calibri" w:cs="Calibri"/>
              </w:rPr>
              <w:t xml:space="preserve"> </w:t>
            </w:r>
            <w:r w:rsidRPr="00FB6842">
              <w:rPr>
                <w:rStyle w:val="Emphasis"/>
              </w:rPr>
              <w:t>Consumer Price Index</w:t>
            </w:r>
          </w:p>
          <w:p w14:paraId="5F40A849" w14:textId="01AB0C89" w:rsidR="006745A7" w:rsidRPr="009764EE" w:rsidRDefault="006745A7" w:rsidP="00FB6842">
            <w:pPr>
              <w:pStyle w:val="TableTextLeft"/>
              <w:rPr>
                <w:rFonts w:ascii="Calibri" w:hAnsi="Calibri" w:cs="Calibri"/>
              </w:rPr>
            </w:pPr>
            <w:r w:rsidRPr="007D3E50">
              <w:rPr>
                <w:rFonts w:ascii="Calibri" w:hAnsi="Calibri" w:cs="Calibri"/>
              </w:rPr>
              <w:t>ABS</w:t>
            </w:r>
            <w:r w:rsidRPr="00FB6842">
              <w:rPr>
                <w:rStyle w:val="Emphasis"/>
              </w:rPr>
              <w:t xml:space="preserve"> Wage Price Index</w:t>
            </w:r>
          </w:p>
        </w:tc>
      </w:tr>
      <w:tr w:rsidR="007D3E50" w:rsidRPr="009764EE" w14:paraId="7DC0FC6D" w14:textId="77777777" w:rsidTr="00C56206">
        <w:trPr>
          <w:trHeight w:val="20"/>
        </w:trPr>
        <w:tc>
          <w:tcPr>
            <w:tcW w:w="1100" w:type="pct"/>
            <w:vMerge w:val="restart"/>
          </w:tcPr>
          <w:p w14:paraId="5B022883" w14:textId="77777777" w:rsidR="007D3E50" w:rsidRPr="00A80D08" w:rsidRDefault="007D3E50" w:rsidP="00EC6686">
            <w:pPr>
              <w:pStyle w:val="TableTextLeft"/>
              <w:rPr>
                <w:rStyle w:val="Strong"/>
                <w:color w:val="082C44"/>
              </w:rPr>
            </w:pPr>
            <w:r w:rsidRPr="00A80D08">
              <w:rPr>
                <w:rStyle w:val="Strong"/>
                <w:color w:val="082C44"/>
              </w:rPr>
              <w:t>Job opportunities</w:t>
            </w:r>
          </w:p>
        </w:tc>
        <w:tc>
          <w:tcPr>
            <w:tcW w:w="2670" w:type="pct"/>
            <w:tcBorders>
              <w:top w:val="single" w:sz="4" w:space="0" w:color="216364"/>
              <w:bottom w:val="single" w:sz="4" w:space="0" w:color="EEEEEE" w:themeColor="background2"/>
            </w:tcBorders>
          </w:tcPr>
          <w:p w14:paraId="7CD90CF1" w14:textId="7A530B4E" w:rsidR="007D3E50" w:rsidRPr="009764EE" w:rsidRDefault="007D3E50" w:rsidP="00EC6686">
            <w:pPr>
              <w:pStyle w:val="TableTextLeft"/>
            </w:pPr>
            <w:r w:rsidRPr="009764EE">
              <w:t xml:space="preserve">Unemployment rate </w:t>
            </w:r>
          </w:p>
        </w:tc>
        <w:tc>
          <w:tcPr>
            <w:tcW w:w="1230" w:type="pct"/>
            <w:vMerge w:val="restart"/>
            <w:tcBorders>
              <w:top w:val="single" w:sz="4" w:space="0" w:color="216364"/>
              <w:bottom w:val="single" w:sz="4" w:space="0" w:color="EEEEEE" w:themeColor="background2"/>
            </w:tcBorders>
          </w:tcPr>
          <w:p w14:paraId="2DD27436" w14:textId="1A0C91A1" w:rsidR="007D3E50" w:rsidRPr="009764EE" w:rsidRDefault="007D3E50" w:rsidP="00FB6842">
            <w:pPr>
              <w:pStyle w:val="TableTextLeft"/>
              <w:rPr>
                <w:rFonts w:ascii="Calibri" w:hAnsi="Calibri" w:cs="Calibri"/>
              </w:rPr>
            </w:pPr>
            <w:r w:rsidRPr="00FB6842">
              <w:t>ABS</w:t>
            </w:r>
            <w:r w:rsidRPr="00FB6842">
              <w:rPr>
                <w:rStyle w:val="Emphasis"/>
              </w:rPr>
              <w:t xml:space="preserve"> Labour Force Survey</w:t>
            </w:r>
          </w:p>
        </w:tc>
      </w:tr>
      <w:tr w:rsidR="007D3E50" w:rsidRPr="009764EE" w14:paraId="35E2C8D8" w14:textId="77777777" w:rsidTr="00C56206">
        <w:trPr>
          <w:trHeight w:val="20"/>
        </w:trPr>
        <w:tc>
          <w:tcPr>
            <w:tcW w:w="1100" w:type="pct"/>
            <w:vMerge/>
          </w:tcPr>
          <w:p w14:paraId="6FA0E65E" w14:textId="77777777" w:rsidR="007D3E50" w:rsidRPr="00A80D08" w:rsidRDefault="007D3E50" w:rsidP="00EC6686">
            <w:pPr>
              <w:pStyle w:val="TableTextLeft"/>
              <w:rPr>
                <w:rStyle w:val="Strong"/>
                <w:color w:val="082C44"/>
              </w:rPr>
            </w:pPr>
          </w:p>
        </w:tc>
        <w:tc>
          <w:tcPr>
            <w:tcW w:w="2670" w:type="pct"/>
            <w:tcBorders>
              <w:top w:val="single" w:sz="4" w:space="0" w:color="EEEEEE" w:themeColor="background2"/>
              <w:bottom w:val="single" w:sz="4" w:space="0" w:color="EEEEEE" w:themeColor="background2"/>
            </w:tcBorders>
          </w:tcPr>
          <w:p w14:paraId="0AB29F42" w14:textId="1C11E1A7" w:rsidR="007D3E50" w:rsidRPr="009764EE" w:rsidRDefault="007D3E50" w:rsidP="00EC6686">
            <w:pPr>
              <w:pStyle w:val="TableTextLeft"/>
            </w:pPr>
            <w:r w:rsidRPr="009764EE">
              <w:t>Long</w:t>
            </w:r>
            <w:r w:rsidR="00135DEA">
              <w:noBreakHyphen/>
            </w:r>
            <w:r w:rsidRPr="009764EE">
              <w:t>term unemployment rate</w:t>
            </w:r>
          </w:p>
        </w:tc>
        <w:tc>
          <w:tcPr>
            <w:tcW w:w="1230" w:type="pct"/>
            <w:vMerge/>
            <w:tcBorders>
              <w:top w:val="single" w:sz="4" w:space="0" w:color="EEEEEE" w:themeColor="background2"/>
              <w:bottom w:val="single" w:sz="4" w:space="0" w:color="EEEEEE" w:themeColor="background2"/>
            </w:tcBorders>
          </w:tcPr>
          <w:p w14:paraId="01946B3E" w14:textId="1D993177" w:rsidR="007D3E50" w:rsidRPr="009764EE" w:rsidRDefault="007D3E50" w:rsidP="00FB6842">
            <w:pPr>
              <w:pStyle w:val="TableTextLeft"/>
              <w:rPr>
                <w:rFonts w:ascii="Calibri" w:hAnsi="Calibri" w:cs="Calibri"/>
              </w:rPr>
            </w:pPr>
          </w:p>
        </w:tc>
      </w:tr>
      <w:tr w:rsidR="006745A7" w:rsidRPr="009764EE" w14:paraId="7688B6B5" w14:textId="77777777" w:rsidTr="00C56206">
        <w:trPr>
          <w:trHeight w:val="20"/>
        </w:trPr>
        <w:tc>
          <w:tcPr>
            <w:tcW w:w="1100" w:type="pct"/>
            <w:vMerge/>
          </w:tcPr>
          <w:p w14:paraId="583FDD76" w14:textId="77777777" w:rsidR="006745A7" w:rsidRPr="00A80D08" w:rsidRDefault="006745A7" w:rsidP="00EC6686">
            <w:pPr>
              <w:pStyle w:val="TableTextLeft"/>
              <w:rPr>
                <w:rStyle w:val="Strong"/>
                <w:color w:val="082C44"/>
              </w:rPr>
            </w:pPr>
          </w:p>
        </w:tc>
        <w:tc>
          <w:tcPr>
            <w:tcW w:w="2670" w:type="pct"/>
            <w:tcBorders>
              <w:top w:val="single" w:sz="4" w:space="0" w:color="EEEEEE" w:themeColor="background2"/>
              <w:bottom w:val="single" w:sz="4" w:space="0" w:color="216364"/>
            </w:tcBorders>
          </w:tcPr>
          <w:p w14:paraId="251FD8C0" w14:textId="2E83ACDD" w:rsidR="006745A7" w:rsidRPr="009764EE" w:rsidRDefault="006745A7" w:rsidP="00EC6686">
            <w:pPr>
              <w:pStyle w:val="TableTextLeft"/>
            </w:pPr>
            <w:r w:rsidRPr="009764EE">
              <w:t>Underutilisation rate (hours</w:t>
            </w:r>
            <w:r w:rsidR="00135DEA">
              <w:noBreakHyphen/>
            </w:r>
            <w:r w:rsidRPr="009764EE">
              <w:t>based)</w:t>
            </w:r>
          </w:p>
        </w:tc>
        <w:tc>
          <w:tcPr>
            <w:tcW w:w="1230" w:type="pct"/>
            <w:tcBorders>
              <w:top w:val="single" w:sz="4" w:space="0" w:color="EEEEEE" w:themeColor="background2"/>
              <w:bottom w:val="single" w:sz="4" w:space="0" w:color="216364"/>
            </w:tcBorders>
          </w:tcPr>
          <w:p w14:paraId="51CB1245" w14:textId="579960FE" w:rsidR="006745A7" w:rsidRPr="009764EE" w:rsidRDefault="006745A7"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 xml:space="preserve">Labour </w:t>
            </w:r>
            <w:r w:rsidR="001E1DF0" w:rsidRPr="00FB6842">
              <w:rPr>
                <w:rStyle w:val="Emphasis"/>
              </w:rPr>
              <w:t xml:space="preserve">Account </w:t>
            </w:r>
            <w:r w:rsidRPr="00FB6842">
              <w:t>and Treasury</w:t>
            </w:r>
          </w:p>
        </w:tc>
      </w:tr>
      <w:tr w:rsidR="007D3E50" w:rsidRPr="009764EE" w14:paraId="6388D517" w14:textId="77777777" w:rsidTr="00C56206">
        <w:trPr>
          <w:trHeight w:val="20"/>
        </w:trPr>
        <w:tc>
          <w:tcPr>
            <w:tcW w:w="1100" w:type="pct"/>
            <w:vMerge w:val="restart"/>
          </w:tcPr>
          <w:p w14:paraId="75D62F31" w14:textId="77777777" w:rsidR="007D3E50" w:rsidRPr="00A80D08" w:rsidRDefault="007D3E50" w:rsidP="00EC6686">
            <w:pPr>
              <w:pStyle w:val="TableTextLeft"/>
              <w:rPr>
                <w:rStyle w:val="Strong"/>
                <w:color w:val="082C44"/>
              </w:rPr>
            </w:pPr>
            <w:r w:rsidRPr="00A80D08">
              <w:rPr>
                <w:rStyle w:val="Strong"/>
                <w:color w:val="082C44"/>
              </w:rPr>
              <w:t>Broadening access to work</w:t>
            </w:r>
          </w:p>
        </w:tc>
        <w:tc>
          <w:tcPr>
            <w:tcW w:w="2670" w:type="pct"/>
            <w:tcBorders>
              <w:top w:val="single" w:sz="4" w:space="0" w:color="216364"/>
              <w:bottom w:val="single" w:sz="4" w:space="0" w:color="EEEEEE" w:themeColor="background2"/>
            </w:tcBorders>
          </w:tcPr>
          <w:p w14:paraId="34DD6B4E" w14:textId="0EB50FFB" w:rsidR="007D3E50" w:rsidRPr="009764EE" w:rsidRDefault="007D3E50" w:rsidP="00EC6686">
            <w:pPr>
              <w:pStyle w:val="TableTextLeft"/>
            </w:pPr>
            <w:r w:rsidRPr="009764EE">
              <w:t>Employment</w:t>
            </w:r>
            <w:r>
              <w:t xml:space="preserve"> rate</w:t>
            </w:r>
            <w:r w:rsidRPr="009764EE">
              <w:t>, population aged 15</w:t>
            </w:r>
            <w:r w:rsidR="00151999">
              <w:t>–</w:t>
            </w:r>
            <w:r w:rsidRPr="009764EE">
              <w:t>64</w:t>
            </w:r>
          </w:p>
        </w:tc>
        <w:tc>
          <w:tcPr>
            <w:tcW w:w="1230" w:type="pct"/>
            <w:vMerge w:val="restart"/>
            <w:tcBorders>
              <w:top w:val="single" w:sz="4" w:space="0" w:color="216364"/>
              <w:bottom w:val="single" w:sz="4" w:space="0" w:color="EEEEEE" w:themeColor="background2"/>
            </w:tcBorders>
          </w:tcPr>
          <w:p w14:paraId="2D6A5698" w14:textId="32BD3C7D" w:rsidR="007D3E50" w:rsidRPr="009764EE" w:rsidRDefault="007D3E50" w:rsidP="00FB6842">
            <w:pPr>
              <w:pStyle w:val="TableTextLeft"/>
              <w:rPr>
                <w:rFonts w:ascii="Calibri" w:hAnsi="Calibri" w:cs="Calibri"/>
              </w:rPr>
            </w:pPr>
            <w:r w:rsidRPr="00FB6842">
              <w:t>ABS</w:t>
            </w:r>
            <w:r w:rsidRPr="00FB6842">
              <w:rPr>
                <w:rStyle w:val="Emphasis"/>
              </w:rPr>
              <w:t xml:space="preserve"> Labour Force Survey</w:t>
            </w:r>
          </w:p>
        </w:tc>
      </w:tr>
      <w:tr w:rsidR="007D3E50" w:rsidRPr="009764EE" w14:paraId="54A18EF1" w14:textId="77777777" w:rsidTr="00C56206">
        <w:trPr>
          <w:trHeight w:val="20"/>
        </w:trPr>
        <w:tc>
          <w:tcPr>
            <w:tcW w:w="1100" w:type="pct"/>
            <w:vMerge/>
          </w:tcPr>
          <w:p w14:paraId="1363C553" w14:textId="77777777" w:rsidR="007D3E50" w:rsidRPr="00A80D08" w:rsidRDefault="007D3E50" w:rsidP="00EC6686">
            <w:pPr>
              <w:pStyle w:val="TableTextLeft"/>
              <w:rPr>
                <w:rStyle w:val="Strong"/>
                <w:color w:val="082C44"/>
              </w:rPr>
            </w:pPr>
          </w:p>
        </w:tc>
        <w:tc>
          <w:tcPr>
            <w:tcW w:w="2670" w:type="pct"/>
            <w:tcBorders>
              <w:top w:val="single" w:sz="4" w:space="0" w:color="EEEEEE" w:themeColor="background2"/>
              <w:bottom w:val="single" w:sz="4" w:space="0" w:color="EEEEEE" w:themeColor="background2"/>
            </w:tcBorders>
          </w:tcPr>
          <w:p w14:paraId="7595BF31" w14:textId="5F188A17" w:rsidR="007D3E50" w:rsidRPr="009764EE" w:rsidRDefault="007D3E50" w:rsidP="00EC6686">
            <w:pPr>
              <w:pStyle w:val="TableTextLeft"/>
            </w:pPr>
            <w:r w:rsidRPr="009764EE">
              <w:t>Participation rate, population aged 15</w:t>
            </w:r>
            <w:r w:rsidR="00151999">
              <w:t>–</w:t>
            </w:r>
            <w:r w:rsidRPr="009764EE">
              <w:t>64</w:t>
            </w:r>
          </w:p>
        </w:tc>
        <w:tc>
          <w:tcPr>
            <w:tcW w:w="1230" w:type="pct"/>
            <w:vMerge/>
            <w:tcBorders>
              <w:top w:val="single" w:sz="4" w:space="0" w:color="EEEEEE" w:themeColor="background2"/>
              <w:bottom w:val="single" w:sz="4" w:space="0" w:color="EEEEEE" w:themeColor="background2"/>
            </w:tcBorders>
          </w:tcPr>
          <w:p w14:paraId="0CD4A3EE" w14:textId="3866E7EC" w:rsidR="007D3E50" w:rsidRPr="009764EE" w:rsidRDefault="007D3E50" w:rsidP="00FB6842">
            <w:pPr>
              <w:pStyle w:val="TableTextLeft"/>
              <w:rPr>
                <w:rFonts w:ascii="Calibri" w:hAnsi="Calibri" w:cs="Calibri"/>
              </w:rPr>
            </w:pPr>
          </w:p>
        </w:tc>
      </w:tr>
      <w:tr w:rsidR="006745A7" w:rsidRPr="009764EE" w14:paraId="3EE8291E" w14:textId="77777777" w:rsidTr="00C56206">
        <w:trPr>
          <w:trHeight w:val="20"/>
        </w:trPr>
        <w:tc>
          <w:tcPr>
            <w:tcW w:w="1100" w:type="pct"/>
            <w:vMerge/>
          </w:tcPr>
          <w:p w14:paraId="54F59734" w14:textId="77777777" w:rsidR="006745A7" w:rsidRPr="00A80D08" w:rsidRDefault="006745A7" w:rsidP="00EC6686">
            <w:pPr>
              <w:pStyle w:val="TableTextLeft"/>
              <w:rPr>
                <w:rStyle w:val="Strong"/>
                <w:color w:val="082C44"/>
              </w:rPr>
            </w:pPr>
          </w:p>
        </w:tc>
        <w:tc>
          <w:tcPr>
            <w:tcW w:w="2670" w:type="pct"/>
            <w:tcBorders>
              <w:top w:val="single" w:sz="4" w:space="0" w:color="EEEEEE" w:themeColor="background2"/>
            </w:tcBorders>
          </w:tcPr>
          <w:p w14:paraId="6CB6960E" w14:textId="77777777" w:rsidR="006745A7" w:rsidRPr="009764EE" w:rsidRDefault="006745A7" w:rsidP="00EC6686">
            <w:pPr>
              <w:pStyle w:val="TableTextLeft"/>
            </w:pPr>
            <w:r w:rsidRPr="009764EE">
              <w:t>Gender pay gap</w:t>
            </w:r>
          </w:p>
        </w:tc>
        <w:tc>
          <w:tcPr>
            <w:tcW w:w="1230" w:type="pct"/>
            <w:tcBorders>
              <w:top w:val="single" w:sz="4" w:space="0" w:color="EEEEEE" w:themeColor="background2"/>
            </w:tcBorders>
          </w:tcPr>
          <w:p w14:paraId="33A79411" w14:textId="71D070FC" w:rsidR="006745A7" w:rsidRPr="009764EE" w:rsidRDefault="006745A7"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 xml:space="preserve">Average Weekly Earnings </w:t>
            </w:r>
          </w:p>
        </w:tc>
      </w:tr>
      <w:tr w:rsidR="006745A7" w:rsidRPr="009764EE" w14:paraId="37BEFF68" w14:textId="77777777" w:rsidTr="00C56206">
        <w:trPr>
          <w:trHeight w:val="20"/>
        </w:trPr>
        <w:tc>
          <w:tcPr>
            <w:tcW w:w="1100" w:type="pct"/>
          </w:tcPr>
          <w:p w14:paraId="6B7E2EAD" w14:textId="77777777" w:rsidR="006745A7" w:rsidRPr="00A80D08" w:rsidRDefault="006745A7" w:rsidP="00EC6686">
            <w:pPr>
              <w:pStyle w:val="TableTextLeft"/>
              <w:rPr>
                <w:rStyle w:val="Strong"/>
                <w:color w:val="082C44"/>
              </w:rPr>
            </w:pPr>
            <w:r w:rsidRPr="00A80D08">
              <w:rPr>
                <w:rStyle w:val="Strong"/>
                <w:color w:val="082C44"/>
              </w:rPr>
              <w:t xml:space="preserve">Job satisfaction </w:t>
            </w:r>
          </w:p>
        </w:tc>
        <w:tc>
          <w:tcPr>
            <w:tcW w:w="2670" w:type="pct"/>
            <w:tcBorders>
              <w:bottom w:val="single" w:sz="4" w:space="0" w:color="216364"/>
            </w:tcBorders>
          </w:tcPr>
          <w:p w14:paraId="62D18753" w14:textId="5AE798D5" w:rsidR="006745A7" w:rsidRPr="009764EE" w:rsidRDefault="006745A7" w:rsidP="00EC6686">
            <w:pPr>
              <w:pStyle w:val="TableTextLeft"/>
            </w:pPr>
            <w:r w:rsidRPr="009764EE">
              <w:t>Self</w:t>
            </w:r>
            <w:r w:rsidR="00135DEA">
              <w:noBreakHyphen/>
            </w:r>
            <w:r w:rsidRPr="009764EE">
              <w:t>reported measure of how workers perceive their job</w:t>
            </w:r>
          </w:p>
        </w:tc>
        <w:tc>
          <w:tcPr>
            <w:tcW w:w="1230" w:type="pct"/>
            <w:tcBorders>
              <w:bottom w:val="single" w:sz="4" w:space="0" w:color="216364"/>
            </w:tcBorders>
          </w:tcPr>
          <w:p w14:paraId="1B416B53" w14:textId="77777777" w:rsidR="006745A7" w:rsidRPr="009764EE" w:rsidRDefault="006745A7" w:rsidP="00FB6842">
            <w:pPr>
              <w:pStyle w:val="TableTextLeft"/>
            </w:pPr>
            <w:r w:rsidRPr="009764EE">
              <w:t xml:space="preserve">Household, Income and </w:t>
            </w:r>
            <w:r w:rsidRPr="00FB6842">
              <w:t>Labour</w:t>
            </w:r>
            <w:r w:rsidRPr="009764EE">
              <w:t xml:space="preserve"> Dynamics in Australia Survey</w:t>
            </w:r>
            <w:r w:rsidRPr="005049F1">
              <w:t>*</w:t>
            </w:r>
          </w:p>
        </w:tc>
      </w:tr>
      <w:tr w:rsidR="007D3E50" w:rsidRPr="009764EE" w14:paraId="1CF00E46" w14:textId="77777777" w:rsidTr="00C56206">
        <w:trPr>
          <w:trHeight w:val="20"/>
        </w:trPr>
        <w:tc>
          <w:tcPr>
            <w:tcW w:w="1100" w:type="pct"/>
            <w:vMerge w:val="restart"/>
          </w:tcPr>
          <w:p w14:paraId="355911B9" w14:textId="231B3D49" w:rsidR="007D3E50" w:rsidRPr="00A80D08" w:rsidRDefault="007D3E50" w:rsidP="00EC6686">
            <w:pPr>
              <w:pStyle w:val="TableTextLeft"/>
              <w:rPr>
                <w:rStyle w:val="Strong"/>
                <w:color w:val="082C44"/>
              </w:rPr>
            </w:pPr>
            <w:r w:rsidRPr="00A80D08">
              <w:rPr>
                <w:rStyle w:val="Strong"/>
                <w:color w:val="082C44"/>
              </w:rPr>
              <w:t>Secure jobs</w:t>
            </w:r>
          </w:p>
        </w:tc>
        <w:tc>
          <w:tcPr>
            <w:tcW w:w="2670" w:type="pct"/>
            <w:tcBorders>
              <w:top w:val="single" w:sz="4" w:space="0" w:color="216364"/>
              <w:bottom w:val="single" w:sz="4" w:space="0" w:color="EEEEEE" w:themeColor="background2"/>
            </w:tcBorders>
          </w:tcPr>
          <w:p w14:paraId="3509B0FD" w14:textId="6FB9F08D" w:rsidR="007D3E50" w:rsidRPr="009764EE" w:rsidRDefault="007D3E50" w:rsidP="00EC6686">
            <w:pPr>
              <w:pStyle w:val="TableTextLeft"/>
            </w:pPr>
            <w:r w:rsidRPr="009764EE">
              <w:t>The proportion of employed people who expect to not remain in the same job in 12 months</w:t>
            </w:r>
            <w:r w:rsidR="00135DEA">
              <w:t>’</w:t>
            </w:r>
            <w:r w:rsidRPr="009764EE">
              <w:t xml:space="preserve"> time due to involuntary reasons</w:t>
            </w:r>
          </w:p>
        </w:tc>
        <w:tc>
          <w:tcPr>
            <w:tcW w:w="1230" w:type="pct"/>
            <w:vMerge w:val="restart"/>
            <w:tcBorders>
              <w:top w:val="single" w:sz="4" w:space="0" w:color="216364"/>
              <w:bottom w:val="single" w:sz="4" w:space="0" w:color="EEEEEE" w:themeColor="background2"/>
            </w:tcBorders>
          </w:tcPr>
          <w:p w14:paraId="4FD79806" w14:textId="648B6A88" w:rsidR="007D3E50" w:rsidRPr="009764EE" w:rsidRDefault="007D3E50"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Characteristics of Employment</w:t>
            </w:r>
          </w:p>
        </w:tc>
      </w:tr>
      <w:tr w:rsidR="007D3E50" w:rsidRPr="009764EE" w14:paraId="78C1AA5E" w14:textId="77777777" w:rsidTr="00C56206">
        <w:trPr>
          <w:trHeight w:val="20"/>
        </w:trPr>
        <w:tc>
          <w:tcPr>
            <w:tcW w:w="1100" w:type="pct"/>
            <w:vMerge/>
          </w:tcPr>
          <w:p w14:paraId="40606314" w14:textId="77777777" w:rsidR="007D3E50" w:rsidRPr="009764EE" w:rsidRDefault="007D3E50" w:rsidP="00EC6686">
            <w:pPr>
              <w:pStyle w:val="TableTextLeft"/>
            </w:pPr>
          </w:p>
        </w:tc>
        <w:tc>
          <w:tcPr>
            <w:tcW w:w="2670" w:type="pct"/>
            <w:tcBorders>
              <w:top w:val="single" w:sz="4" w:space="0" w:color="EEEEEE" w:themeColor="background2"/>
              <w:bottom w:val="single" w:sz="4" w:space="0" w:color="EEEEEE" w:themeColor="background2"/>
            </w:tcBorders>
          </w:tcPr>
          <w:p w14:paraId="4CC5D353" w14:textId="77777777" w:rsidR="007D3E50" w:rsidRPr="009764EE" w:rsidRDefault="007D3E50" w:rsidP="00EC6686">
            <w:pPr>
              <w:pStyle w:val="TableTextLeft"/>
            </w:pPr>
            <w:r w:rsidRPr="009764EE">
              <w:t>The proportion of employees that had irregular working arrangements</w:t>
            </w:r>
          </w:p>
        </w:tc>
        <w:tc>
          <w:tcPr>
            <w:tcW w:w="1230" w:type="pct"/>
            <w:vMerge/>
            <w:tcBorders>
              <w:top w:val="single" w:sz="4" w:space="0" w:color="EEEEEE" w:themeColor="background2"/>
              <w:bottom w:val="single" w:sz="4" w:space="0" w:color="EEEEEE" w:themeColor="background2"/>
            </w:tcBorders>
          </w:tcPr>
          <w:p w14:paraId="5C4907EB" w14:textId="403EF612" w:rsidR="007D3E50" w:rsidRPr="009764EE" w:rsidRDefault="007D3E50" w:rsidP="00FB6842">
            <w:pPr>
              <w:pStyle w:val="TableTextLeft"/>
              <w:rPr>
                <w:rFonts w:ascii="Calibri" w:hAnsi="Calibri" w:cs="Calibri"/>
              </w:rPr>
            </w:pPr>
          </w:p>
        </w:tc>
      </w:tr>
      <w:tr w:rsidR="006745A7" w:rsidRPr="009764EE" w14:paraId="2103FB6B" w14:textId="77777777" w:rsidTr="00C56206">
        <w:trPr>
          <w:trHeight w:val="20"/>
        </w:trPr>
        <w:tc>
          <w:tcPr>
            <w:tcW w:w="1100" w:type="pct"/>
            <w:vMerge/>
          </w:tcPr>
          <w:p w14:paraId="38B1DCD9" w14:textId="77777777" w:rsidR="006745A7" w:rsidRPr="009764EE" w:rsidRDefault="006745A7" w:rsidP="00EC6686">
            <w:pPr>
              <w:pStyle w:val="TableTextLeft"/>
            </w:pPr>
          </w:p>
        </w:tc>
        <w:tc>
          <w:tcPr>
            <w:tcW w:w="2670" w:type="pct"/>
            <w:tcBorders>
              <w:top w:val="single" w:sz="4" w:space="0" w:color="EEEEEE" w:themeColor="background2"/>
            </w:tcBorders>
          </w:tcPr>
          <w:p w14:paraId="1A723EAF" w14:textId="77777777" w:rsidR="006745A7" w:rsidRPr="009764EE" w:rsidRDefault="006745A7" w:rsidP="00EC6686">
            <w:pPr>
              <w:pStyle w:val="TableTextLeft"/>
            </w:pPr>
            <w:r w:rsidRPr="009764EE">
              <w:t>The proportion of employees that did not have access to paid leave entitlements</w:t>
            </w:r>
          </w:p>
        </w:tc>
        <w:tc>
          <w:tcPr>
            <w:tcW w:w="1230" w:type="pct"/>
            <w:tcBorders>
              <w:top w:val="single" w:sz="4" w:space="0" w:color="EEEEEE" w:themeColor="background2"/>
            </w:tcBorders>
          </w:tcPr>
          <w:p w14:paraId="2BDB8EDA" w14:textId="5C324E12" w:rsidR="006745A7" w:rsidRPr="009764EE" w:rsidRDefault="006745A7" w:rsidP="00FB6842">
            <w:pPr>
              <w:pStyle w:val="TableTextLeft"/>
              <w:rPr>
                <w:rFonts w:ascii="Calibri" w:hAnsi="Calibri" w:cs="Calibri"/>
              </w:rPr>
            </w:pPr>
            <w:r w:rsidRPr="00FB6842">
              <w:t>ABS</w:t>
            </w:r>
            <w:r w:rsidRPr="009764EE">
              <w:rPr>
                <w:rFonts w:ascii="Calibri" w:hAnsi="Calibri" w:cs="Calibri"/>
              </w:rPr>
              <w:t xml:space="preserve"> </w:t>
            </w:r>
            <w:r w:rsidRPr="00FB6842">
              <w:rPr>
                <w:rStyle w:val="Emphasis"/>
              </w:rPr>
              <w:t>Labour Force</w:t>
            </w:r>
            <w:r w:rsidR="005A43C7" w:rsidRPr="00FB6842">
              <w:rPr>
                <w:rStyle w:val="Emphasis"/>
              </w:rPr>
              <w:t xml:space="preserve"> Survey</w:t>
            </w:r>
          </w:p>
        </w:tc>
      </w:tr>
    </w:tbl>
    <w:p w14:paraId="30D0F085" w14:textId="127D63A0" w:rsidR="005777B8" w:rsidRPr="009764EE" w:rsidRDefault="005777B8" w:rsidP="009A66F4">
      <w:pPr>
        <w:pStyle w:val="ChartorTableNote"/>
        <w:ind w:left="284" w:hanging="284"/>
      </w:pPr>
      <w:r w:rsidRPr="005049F1">
        <w:t xml:space="preserve">* </w:t>
      </w:r>
      <w:r w:rsidR="009A66F4">
        <w:tab/>
      </w:r>
      <w:r w:rsidRPr="009764EE">
        <w:t>Household, Income and Labour Dynamics in Australia. This report used unit record data from the Household, Income and Labour Dynamics in Australia Survey conducted by the Australian Government Department of Social Services (DSS). The findings and views reported in this paper, however, are those of the authors and should not be attributed to DSS, or any of DSS</w:t>
      </w:r>
      <w:r w:rsidR="00135DEA">
        <w:t>’</w:t>
      </w:r>
      <w:r w:rsidRPr="009764EE">
        <w:t xml:space="preserve"> contractors or partners. DOI:10.26193/24EJST.</w:t>
      </w:r>
    </w:p>
    <w:p w14:paraId="25CAC890" w14:textId="5E0074C7" w:rsidR="00CC588E" w:rsidRPr="009764EE" w:rsidRDefault="00CC588E">
      <w:pPr>
        <w:spacing w:before="0" w:after="160" w:line="259" w:lineRule="auto"/>
        <w:rPr>
          <w:rFonts w:ascii="Calibri" w:hAnsi="Calibri" w:cs="Calibri"/>
        </w:rPr>
      </w:pPr>
    </w:p>
    <w:p w14:paraId="788BD7FF" w14:textId="77777777" w:rsidR="009A66F4" w:rsidRDefault="009A66F4" w:rsidP="00037C32">
      <w:pPr>
        <w:pStyle w:val="Heading1"/>
        <w:sectPr w:rsidR="009A66F4" w:rsidSect="00DA302B">
          <w:endnotePr>
            <w:numFmt w:val="decimal"/>
          </w:endnotePr>
          <w:pgSz w:w="11906" w:h="16838" w:code="9"/>
          <w:pgMar w:top="1843" w:right="1418" w:bottom="1418" w:left="1418" w:header="851" w:footer="851" w:gutter="0"/>
          <w:cols w:space="567"/>
          <w:docGrid w:linePitch="360"/>
        </w:sectPr>
      </w:pPr>
      <w:bookmarkStart w:id="146" w:name="_Toc140164506"/>
    </w:p>
    <w:p w14:paraId="23BF202E" w14:textId="1619D00E" w:rsidR="00587BF2" w:rsidRPr="009764EE" w:rsidRDefault="004B44E1" w:rsidP="00037C32">
      <w:pPr>
        <w:pStyle w:val="Heading1"/>
      </w:pPr>
      <w:bookmarkStart w:id="147" w:name="_Toc147497695"/>
      <w:r w:rsidRPr="009764EE">
        <w:lastRenderedPageBreak/>
        <w:t>End</w:t>
      </w:r>
      <w:r w:rsidR="00896F1B" w:rsidRPr="009764EE">
        <w:t xml:space="preserve"> </w:t>
      </w:r>
      <w:r w:rsidR="0012688A" w:rsidRPr="009764EE">
        <w:t>N</w:t>
      </w:r>
      <w:r w:rsidRPr="009764EE">
        <w:t>otes</w:t>
      </w:r>
      <w:bookmarkEnd w:id="146"/>
      <w:bookmarkEnd w:id="147"/>
    </w:p>
    <w:sectPr w:rsidR="00587BF2" w:rsidRPr="009764EE" w:rsidSect="00DA302B">
      <w:endnotePr>
        <w:numFmt w:val="decimal"/>
      </w:endnotePr>
      <w:pgSz w:w="11906" w:h="16838" w:code="9"/>
      <w:pgMar w:top="1843" w:right="1418" w:bottom="1418" w:left="1418" w:header="851" w:footer="851"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C548B" w14:textId="77777777" w:rsidR="001D6D8B" w:rsidRPr="00DC0470" w:rsidRDefault="001D6D8B" w:rsidP="00DC0470">
      <w:pPr>
        <w:pStyle w:val="SingleParagraph"/>
      </w:pPr>
    </w:p>
  </w:endnote>
  <w:endnote w:type="continuationSeparator" w:id="0">
    <w:p w14:paraId="2413C616" w14:textId="77777777" w:rsidR="001D6D8B" w:rsidRPr="00DC0470" w:rsidRDefault="001D6D8B" w:rsidP="00DC0470">
      <w:pPr>
        <w:pStyle w:val="SingleParagraph"/>
      </w:pPr>
    </w:p>
  </w:endnote>
  <w:endnote w:type="continuationNotice" w:id="1">
    <w:p w14:paraId="78938E35" w14:textId="77777777" w:rsidR="001D6D8B" w:rsidRPr="00DC0470" w:rsidRDefault="001D6D8B" w:rsidP="00DC0470">
      <w:pPr>
        <w:pStyle w:val="SingleParagraph"/>
      </w:pPr>
    </w:p>
  </w:endnote>
  <w:endnote w:id="2">
    <w:p w14:paraId="38707320" w14:textId="78CA7CA8" w:rsidR="00E069FD" w:rsidRDefault="00E069FD" w:rsidP="009A66F4">
      <w:pPr>
        <w:pStyle w:val="FootnoteText"/>
      </w:pPr>
      <w:r>
        <w:endnoteRef/>
      </w:r>
      <w:r>
        <w:t xml:space="preserve"> </w:t>
      </w:r>
      <w:r w:rsidR="009A66F4">
        <w:tab/>
      </w:r>
      <w:r>
        <w:t>Organisation for Economic Co</w:t>
      </w:r>
      <w:r w:rsidR="00135DEA">
        <w:noBreakHyphen/>
      </w:r>
      <w:r>
        <w:t>operation and Development,</w:t>
      </w:r>
      <w:r w:rsidRPr="00A37D1B">
        <w:t xml:space="preserve"> (2014), </w:t>
      </w:r>
      <w:hyperlink r:id="rId1" w:anchor=":~:text=All%20on%20Board%3A%20Making%20Inclusive%20Growth%20Happen%20puts%20forth%20a,that%20reflect%20people%27s%20well%2Dbeing" w:history="1">
        <w:r w:rsidRPr="006B4C7B">
          <w:rPr>
            <w:i/>
            <w:iCs/>
          </w:rPr>
          <w:t>All on board: making inclusive growth happen</w:t>
        </w:r>
      </w:hyperlink>
      <w:r w:rsidRPr="004F0DA3">
        <w:t xml:space="preserve">, </w:t>
      </w:r>
      <w:r w:rsidRPr="003229E3">
        <w:t>OECD website.</w:t>
      </w:r>
      <w:r w:rsidR="00D32EC0" w:rsidRPr="003229E3">
        <w:t xml:space="preserve"> </w:t>
      </w:r>
      <w:r w:rsidR="00D32EC0" w:rsidRPr="00D32EC0">
        <w:t>https://doi. org/10.1787/9789264218512</w:t>
      </w:r>
      <w:r w:rsidR="00135DEA">
        <w:noBreakHyphen/>
      </w:r>
      <w:r w:rsidR="00D32EC0" w:rsidRPr="00D32EC0">
        <w:t>en</w:t>
      </w:r>
    </w:p>
  </w:endnote>
  <w:endnote w:id="3">
    <w:p w14:paraId="61F104A6" w14:textId="4F2750BD" w:rsidR="00615F40" w:rsidRDefault="00615F40" w:rsidP="009A66F4">
      <w:pPr>
        <w:pStyle w:val="FootnoteText"/>
      </w:pPr>
      <w:r>
        <w:endnoteRef/>
      </w:r>
      <w:r>
        <w:t xml:space="preserve"> </w:t>
      </w:r>
      <w:r w:rsidR="009A66F4">
        <w:tab/>
      </w:r>
      <w:r>
        <w:t>Department of Infrastructure, Transport, Regional Development, Communications and the Arts</w:t>
      </w:r>
      <w:hyperlink r:id="rId2" w:history="1">
        <w:r w:rsidRPr="001F2A02">
          <w:rPr>
            <w:i/>
            <w:iCs/>
          </w:rPr>
          <w:t xml:space="preserve"> </w:t>
        </w:r>
        <w:r w:rsidR="004A69DF" w:rsidRPr="004A69DF">
          <w:t>(</w:t>
        </w:r>
        <w:r w:rsidRPr="004A69DF">
          <w:t>2021</w:t>
        </w:r>
        <w:r w:rsidR="004A69DF" w:rsidRPr="004A69DF">
          <w:t>)</w:t>
        </w:r>
        <w:r w:rsidRPr="001F2A02">
          <w:rPr>
            <w:i/>
            <w:iCs/>
          </w:rPr>
          <w:t xml:space="preserve"> Progress in Australian Regions and Cities Dashboard</w:t>
        </w:r>
      </w:hyperlink>
      <w:r>
        <w:t>, DITRDCA website, accessed 12</w:t>
      </w:r>
      <w:r w:rsidR="00A80D08">
        <w:t> </w:t>
      </w:r>
      <w:r>
        <w:t>July</w:t>
      </w:r>
      <w:r w:rsidR="00A80D08">
        <w:t> </w:t>
      </w:r>
      <w:r>
        <w:t>2023.</w:t>
      </w:r>
    </w:p>
  </w:endnote>
  <w:endnote w:id="4">
    <w:p w14:paraId="67190F5C" w14:textId="0919113D" w:rsidR="000C422E" w:rsidRDefault="000C422E" w:rsidP="00EC6686">
      <w:pPr>
        <w:pStyle w:val="FootnoteText"/>
      </w:pPr>
      <w:r w:rsidRPr="007A2E6B">
        <w:endnoteRef/>
      </w:r>
      <w:r w:rsidRPr="007A2E6B">
        <w:t xml:space="preserve"> </w:t>
      </w:r>
      <w:r w:rsidR="004A65CA">
        <w:tab/>
      </w:r>
      <w:r w:rsidRPr="00437869">
        <w:t>Salmon</w:t>
      </w:r>
      <w:r>
        <w:t xml:space="preserve">, M., Doery, K., Dance, P., Chapman, J., Gilbert, R., Williams, R. &amp; Lovett, R. (2019) </w:t>
      </w:r>
      <w:r w:rsidR="00135DEA">
        <w:t>‘</w:t>
      </w:r>
      <w:hyperlink r:id="rId3" w:history="1">
        <w:r w:rsidRPr="009B092B">
          <w:t xml:space="preserve">Defining the Indefinable: Descriptors of Aboriginal and </w:t>
        </w:r>
        <w:r w:rsidR="001524A0">
          <w:t>Torres Strait</w:t>
        </w:r>
        <w:r w:rsidRPr="009B092B">
          <w:t xml:space="preserve"> Islander Peoples</w:t>
        </w:r>
        <w:r w:rsidR="00135DEA">
          <w:t>’</w:t>
        </w:r>
        <w:r w:rsidRPr="009B092B">
          <w:t xml:space="preserve"> Cultures and Their Links to Health and Wellbeing, Aboriginal and </w:t>
        </w:r>
        <w:r w:rsidR="001524A0">
          <w:t>Torres Strait</w:t>
        </w:r>
        <w:r w:rsidRPr="009B092B">
          <w:t xml:space="preserve"> Islander Health Team, Research School of Population Health</w:t>
        </w:r>
        <w:r w:rsidR="00135DEA">
          <w:t>’</w:t>
        </w:r>
      </w:hyperlink>
      <w:r>
        <w:t xml:space="preserve">, </w:t>
      </w:r>
      <w:r w:rsidR="008D0622">
        <w:t>Lowi</w:t>
      </w:r>
      <w:r w:rsidR="00490E3C">
        <w:t>tja Institute website</w:t>
      </w:r>
      <w:r w:rsidR="00864AFA">
        <w:t>,</w:t>
      </w:r>
      <w:r>
        <w:t xml:space="preserve"> The Australian National University, Canberra</w:t>
      </w:r>
      <w:r w:rsidR="006D0E09">
        <w:t>.</w:t>
      </w:r>
    </w:p>
  </w:endnote>
  <w:endnote w:id="5">
    <w:p w14:paraId="60F6435F" w14:textId="7B82A09B" w:rsidR="00E40D00" w:rsidRDefault="00E40D00" w:rsidP="00DC772F">
      <w:pPr>
        <w:pStyle w:val="FootnoteText"/>
      </w:pPr>
      <w:r>
        <w:endnoteRef/>
      </w:r>
      <w:r>
        <w:t xml:space="preserve"> </w:t>
      </w:r>
      <w:r w:rsidR="004A65CA">
        <w:tab/>
      </w:r>
      <w:r>
        <w:t>Organisation for Economic Co</w:t>
      </w:r>
      <w:r w:rsidR="00135DEA">
        <w:noBreakHyphen/>
      </w:r>
      <w:r>
        <w:t xml:space="preserve">operation and Development (2023), </w:t>
      </w:r>
      <w:hyperlink r:id="rId4" w:history="1">
        <w:r w:rsidRPr="008071A8">
          <w:t>Programme for international student assessment (PISA) results from PISA 2018</w:t>
        </w:r>
      </w:hyperlink>
      <w:r>
        <w:t>, OECD website.</w:t>
      </w:r>
    </w:p>
  </w:endnote>
  <w:endnote w:id="6">
    <w:p w14:paraId="1376DF17" w14:textId="1127BDC5" w:rsidR="00057EBC" w:rsidRDefault="00057EBC" w:rsidP="00DC772F">
      <w:pPr>
        <w:pStyle w:val="FootnoteText"/>
      </w:pPr>
      <w:r>
        <w:endnoteRef/>
      </w:r>
      <w:r>
        <w:t xml:space="preserve"> </w:t>
      </w:r>
      <w:r w:rsidR="004A65CA">
        <w:tab/>
      </w:r>
      <w:r w:rsidRPr="00916358">
        <w:t xml:space="preserve">Australian Academy of Health and Medical Science </w:t>
      </w:r>
      <w:r>
        <w:t xml:space="preserve">(2023) </w:t>
      </w:r>
      <w:hyperlink r:id="rId5" w:history="1">
        <w:r w:rsidRPr="00480D50">
          <w:t>AAHMS submission to the Australian Government Treasury</w:t>
        </w:r>
        <w:r w:rsidR="00135DEA">
          <w:t>’</w:t>
        </w:r>
        <w:r w:rsidRPr="00480D50">
          <w:t xml:space="preserve">s </w:t>
        </w:r>
        <w:r w:rsidRPr="006B4C7B">
          <w:rPr>
            <w:i/>
          </w:rPr>
          <w:t>Measuring What Matters</w:t>
        </w:r>
        <w:r w:rsidRPr="00480D50">
          <w:t xml:space="preserve"> consultation</w:t>
        </w:r>
      </w:hyperlink>
      <w:r>
        <w:t xml:space="preserve"> Submission to </w:t>
      </w:r>
      <w:r w:rsidRPr="006B4C7B">
        <w:rPr>
          <w:i/>
        </w:rPr>
        <w:t>Measuring What Matters</w:t>
      </w:r>
      <w:r>
        <w:t>, Department of Treasury, Treasury website.</w:t>
      </w:r>
    </w:p>
  </w:endnote>
  <w:endnote w:id="7">
    <w:p w14:paraId="193E6844" w14:textId="4E39E24B" w:rsidR="00693FE6" w:rsidRDefault="00693FE6" w:rsidP="00DC772F">
      <w:pPr>
        <w:pStyle w:val="FootnoteText"/>
      </w:pPr>
      <w:r>
        <w:endnoteRef/>
      </w:r>
      <w:r>
        <w:t xml:space="preserve"> </w:t>
      </w:r>
      <w:r w:rsidR="004A65CA">
        <w:tab/>
      </w:r>
      <w:r>
        <w:t>Note: 2020</w:t>
      </w:r>
      <w:r w:rsidR="00135DEA">
        <w:noBreakHyphen/>
      </w:r>
      <w:r>
        <w:t xml:space="preserve">21 chronic conditions data sourced from Australian Bureau of Statistics </w:t>
      </w:r>
      <w:r w:rsidR="00135DEA">
        <w:t>‘</w:t>
      </w:r>
      <w:r w:rsidRPr="007E204D">
        <w:rPr>
          <w:i/>
        </w:rPr>
        <w:t>National Health Survey 2020</w:t>
      </w:r>
      <w:r w:rsidR="00135DEA">
        <w:rPr>
          <w:i/>
        </w:rPr>
        <w:noBreakHyphen/>
      </w:r>
      <w:r w:rsidRPr="007E204D">
        <w:rPr>
          <w:i/>
        </w:rPr>
        <w:t>21</w:t>
      </w:r>
      <w:r w:rsidR="00135DEA">
        <w:rPr>
          <w:i/>
        </w:rPr>
        <w:t>’</w:t>
      </w:r>
      <w:r>
        <w:t xml:space="preserve"> </w:t>
      </w:r>
      <w:r w:rsidR="00662F9C">
        <w:t>w</w:t>
      </w:r>
      <w:r w:rsidR="00334464">
        <w:t>ere</w:t>
      </w:r>
      <w:r w:rsidR="00662F9C">
        <w:t xml:space="preserve"> </w:t>
      </w:r>
      <w:r w:rsidRPr="00CC5A7C">
        <w:t>collected online during the COVID</w:t>
      </w:r>
      <w:r w:rsidR="00135DEA">
        <w:noBreakHyphen/>
      </w:r>
      <w:r w:rsidRPr="00CC5A7C">
        <w:t>19 pandemic</w:t>
      </w:r>
      <w:r>
        <w:t xml:space="preserve"> and represents </w:t>
      </w:r>
      <w:r w:rsidRPr="00CC5A7C">
        <w:t>a break in</w:t>
      </w:r>
      <w:r>
        <w:t xml:space="preserve"> the</w:t>
      </w:r>
      <w:r w:rsidRPr="00CC5A7C">
        <w:t xml:space="preserve"> time series.</w:t>
      </w:r>
      <w:r>
        <w:t xml:space="preserve"> Chronic conditions 2020</w:t>
      </w:r>
      <w:r w:rsidR="00135DEA">
        <w:noBreakHyphen/>
      </w:r>
      <w:r>
        <w:t>21 has been included to show current rates</w:t>
      </w:r>
      <w:r w:rsidR="00662F9C">
        <w:t>, however caution should be taken when comparing to previous periods</w:t>
      </w:r>
      <w:r>
        <w:t xml:space="preserve">. </w:t>
      </w:r>
    </w:p>
  </w:endnote>
  <w:endnote w:id="8">
    <w:p w14:paraId="3FA72C25" w14:textId="640CE377" w:rsidR="0065758E" w:rsidRDefault="0065758E" w:rsidP="00DC772F">
      <w:pPr>
        <w:pStyle w:val="FootnoteText"/>
      </w:pPr>
      <w:r>
        <w:endnoteRef/>
      </w:r>
      <w:r>
        <w:t xml:space="preserve"> </w:t>
      </w:r>
      <w:r w:rsidR="004A65CA">
        <w:tab/>
      </w:r>
      <w:r>
        <w:t xml:space="preserve">Department of Health and Aged Care (2021) </w:t>
      </w:r>
      <w:hyperlink r:id="rId6" w:history="1">
        <w:r w:rsidRPr="009915DE">
          <w:rPr>
            <w:i/>
          </w:rPr>
          <w:t>National Preventive Health Strategy 2021</w:t>
        </w:r>
        <w:r w:rsidR="00135DEA">
          <w:rPr>
            <w:i/>
          </w:rPr>
          <w:noBreakHyphen/>
        </w:r>
        <w:r w:rsidRPr="009915DE">
          <w:rPr>
            <w:i/>
          </w:rPr>
          <w:t>2030</w:t>
        </w:r>
      </w:hyperlink>
      <w:r w:rsidRPr="004F0DA3">
        <w:t xml:space="preserve">, </w:t>
      </w:r>
      <w:r w:rsidR="00BC112D">
        <w:rPr>
          <w:iCs/>
        </w:rPr>
        <w:t>DHAC website</w:t>
      </w:r>
      <w:r w:rsidR="00E96AC8">
        <w:t>.</w:t>
      </w:r>
    </w:p>
  </w:endnote>
  <w:endnote w:id="9">
    <w:p w14:paraId="4E50841B" w14:textId="5F1D5DDF" w:rsidR="00B471C3" w:rsidRDefault="001971AA" w:rsidP="00DC772F">
      <w:pPr>
        <w:pStyle w:val="FootnoteText"/>
      </w:pPr>
      <w:r>
        <w:endnoteRef/>
      </w:r>
      <w:r>
        <w:t xml:space="preserve"> </w:t>
      </w:r>
      <w:r w:rsidR="004A65CA">
        <w:tab/>
      </w:r>
      <w:r>
        <w:t xml:space="preserve">Australian Institute of Health and Welfare (2006) </w:t>
      </w:r>
      <w:hyperlink r:id="rId7" w:history="1">
        <w:r w:rsidRPr="00E96AC8">
          <w:rPr>
            <w:i/>
          </w:rPr>
          <w:t>Health inequities in Australia: morbidity, health behaviours, risk factors and health service use</w:t>
        </w:r>
      </w:hyperlink>
      <w:r w:rsidRPr="004F0DA3">
        <w:t xml:space="preserve">, </w:t>
      </w:r>
      <w:r w:rsidR="00BC112D">
        <w:rPr>
          <w:iCs/>
        </w:rPr>
        <w:t>AIHW website</w:t>
      </w:r>
      <w:r>
        <w:t>.</w:t>
      </w:r>
    </w:p>
  </w:endnote>
  <w:endnote w:id="10">
    <w:p w14:paraId="62237FA0" w14:textId="684CF2DB" w:rsidR="00FD391B" w:rsidRDefault="00FD391B" w:rsidP="00DC772F">
      <w:pPr>
        <w:pStyle w:val="FootnoteText"/>
      </w:pPr>
      <w:r>
        <w:endnoteRef/>
      </w:r>
      <w:r>
        <w:t xml:space="preserve"> </w:t>
      </w:r>
      <w:r w:rsidR="004A65CA">
        <w:tab/>
      </w:r>
      <w:r>
        <w:t xml:space="preserve">Australian Bureau of Statistics (2023) </w:t>
      </w:r>
      <w:hyperlink r:id="rId8" w:history="1">
        <w:r w:rsidRPr="0084719E">
          <w:rPr>
            <w:i/>
            <w:iCs/>
          </w:rPr>
          <w:t>Life tables</w:t>
        </w:r>
      </w:hyperlink>
      <w:r>
        <w:t xml:space="preserve">, </w:t>
      </w:r>
      <w:r w:rsidR="00F7285C" w:rsidRPr="00006ED2">
        <w:t>ABS Website</w:t>
      </w:r>
      <w:r w:rsidR="00F7285C">
        <w:t xml:space="preserve">, </w:t>
      </w:r>
      <w:r>
        <w:t>accessed 22 June 2023.</w:t>
      </w:r>
    </w:p>
  </w:endnote>
  <w:endnote w:id="11">
    <w:p w14:paraId="06E3FF36" w14:textId="735161C9" w:rsidR="004D3F01" w:rsidRDefault="004D3F01" w:rsidP="00DC772F">
      <w:pPr>
        <w:pStyle w:val="FootnoteText"/>
      </w:pPr>
      <w:r>
        <w:endnoteRef/>
      </w:r>
      <w:r>
        <w:t xml:space="preserve"> </w:t>
      </w:r>
      <w:r w:rsidR="004A65CA">
        <w:tab/>
      </w:r>
      <w:r w:rsidR="00CE42CB">
        <w:t>Organisation for Economic Co</w:t>
      </w:r>
      <w:r w:rsidR="00135DEA">
        <w:noBreakHyphen/>
      </w:r>
      <w:r w:rsidR="00CE42CB">
        <w:t>operation and Development</w:t>
      </w:r>
      <w:r>
        <w:t xml:space="preserve"> </w:t>
      </w:r>
      <w:r w:rsidR="00FA237E">
        <w:t>(2023)</w:t>
      </w:r>
      <w:r w:rsidR="00FA237E" w:rsidRPr="006745A7">
        <w:rPr>
          <w:i/>
          <w:iCs/>
        </w:rPr>
        <w:t xml:space="preserve"> </w:t>
      </w:r>
      <w:hyperlink r:id="rId9" w:history="1">
        <w:r w:rsidR="00FA237E" w:rsidRPr="006745A7">
          <w:rPr>
            <w:i/>
            <w:iCs/>
          </w:rPr>
          <w:t>OECD Data; Life Expectancy at Birth,</w:t>
        </w:r>
      </w:hyperlink>
      <w:r w:rsidR="00FA237E">
        <w:rPr>
          <w:i/>
        </w:rPr>
        <w:t xml:space="preserve"> </w:t>
      </w:r>
      <w:r w:rsidR="00D46F22">
        <w:t>OECD website,</w:t>
      </w:r>
      <w:r w:rsidR="00FA237E">
        <w:t xml:space="preserve"> accessed </w:t>
      </w:r>
      <w:r w:rsidR="00EF5649">
        <w:t>06 July 20203.</w:t>
      </w:r>
    </w:p>
  </w:endnote>
  <w:endnote w:id="12">
    <w:p w14:paraId="73C2652C" w14:textId="07EE73B9" w:rsidR="00711DD7" w:rsidRDefault="00711DD7" w:rsidP="00DC772F">
      <w:pPr>
        <w:pStyle w:val="FootnoteText"/>
      </w:pPr>
      <w:r>
        <w:endnoteRef/>
      </w:r>
      <w:r>
        <w:t xml:space="preserve"> </w:t>
      </w:r>
      <w:r w:rsidR="004A65CA">
        <w:tab/>
      </w:r>
      <w:r w:rsidR="009675E1" w:rsidRPr="00DE26A1">
        <w:t>Australian Bureau of Statistics</w:t>
      </w:r>
      <w:r w:rsidR="005D3AC9">
        <w:t xml:space="preserve"> (2018) </w:t>
      </w:r>
      <w:hyperlink r:id="rId10" w:history="1">
        <w:r w:rsidR="005D3AC9" w:rsidRPr="006B4C7B">
          <w:rPr>
            <w:i/>
            <w:iCs/>
          </w:rPr>
          <w:t xml:space="preserve">Life Tables for Aboriginal and </w:t>
        </w:r>
        <w:r w:rsidR="001524A0">
          <w:rPr>
            <w:i/>
            <w:iCs/>
          </w:rPr>
          <w:t>Torres Strait</w:t>
        </w:r>
        <w:r w:rsidR="005D3AC9" w:rsidRPr="006B4C7B">
          <w:rPr>
            <w:i/>
            <w:iCs/>
          </w:rPr>
          <w:t xml:space="preserve"> Islander Australians</w:t>
        </w:r>
      </w:hyperlink>
      <w:r w:rsidR="005D3AC9">
        <w:rPr>
          <w:i/>
          <w:iCs/>
        </w:rPr>
        <w:t xml:space="preserve">, </w:t>
      </w:r>
      <w:r w:rsidR="00F7285C" w:rsidRPr="00006ED2">
        <w:t>ABS Website</w:t>
      </w:r>
      <w:r w:rsidR="00F7285C">
        <w:t>,</w:t>
      </w:r>
      <w:r w:rsidR="00E3142E">
        <w:t xml:space="preserve"> </w:t>
      </w:r>
      <w:r w:rsidR="005D3AC9" w:rsidRPr="006B4C7B">
        <w:t>accessed 11 July 2023.</w:t>
      </w:r>
    </w:p>
  </w:endnote>
  <w:endnote w:id="13">
    <w:p w14:paraId="03B04FC9" w14:textId="402DAF32" w:rsidR="00A14D47" w:rsidRDefault="00A14D47" w:rsidP="00DC772F">
      <w:pPr>
        <w:pStyle w:val="FootnoteText"/>
      </w:pPr>
      <w:r>
        <w:endnoteRef/>
      </w:r>
      <w:r w:rsidR="008B5334">
        <w:t xml:space="preserve"> </w:t>
      </w:r>
      <w:r w:rsidR="004A65CA">
        <w:tab/>
      </w:r>
      <w:r w:rsidR="008B5334">
        <w:t xml:space="preserve">Australian Institute of Health and Welfare (2021) </w:t>
      </w:r>
      <w:hyperlink r:id="rId11" w:history="1">
        <w:r w:rsidR="008B5334" w:rsidRPr="00FF1242">
          <w:rPr>
            <w:i/>
            <w:iCs/>
          </w:rPr>
          <w:t>Australian Burden of Disease Study: Methods and supplementary material 2018</w:t>
        </w:r>
      </w:hyperlink>
      <w:r w:rsidR="008B5334">
        <w:t>,</w:t>
      </w:r>
      <w:r w:rsidR="008B5334">
        <w:rPr>
          <w:rStyle w:val="Heading1Char"/>
          <w:rFonts w:eastAsia="Arial"/>
        </w:rPr>
        <w:t xml:space="preserve"> </w:t>
      </w:r>
      <w:r w:rsidR="00D46F22">
        <w:rPr>
          <w:iCs/>
        </w:rPr>
        <w:t>AIHW website</w:t>
      </w:r>
      <w:r w:rsidR="008B5334" w:rsidRPr="00FF1242">
        <w:rPr>
          <w:i/>
          <w:iCs/>
        </w:rPr>
        <w:t>,</w:t>
      </w:r>
      <w:r w:rsidR="008B5334">
        <w:t xml:space="preserve"> accessed 22 June 2023</w:t>
      </w:r>
      <w:r w:rsidR="00E96AC8">
        <w:t>.</w:t>
      </w:r>
    </w:p>
  </w:endnote>
  <w:endnote w:id="14">
    <w:p w14:paraId="1DF17CCE" w14:textId="5FB5D01C" w:rsidR="00532D49" w:rsidRDefault="00532D49" w:rsidP="00DC772F">
      <w:pPr>
        <w:pStyle w:val="FootnoteText"/>
      </w:pPr>
      <w:r>
        <w:endnoteRef/>
      </w:r>
      <w:r>
        <w:t xml:space="preserve"> </w:t>
      </w:r>
      <w:r w:rsidR="004A65CA">
        <w:tab/>
      </w:r>
      <w:r w:rsidR="00CC2AD8">
        <w:t>Australian Institute of Health and Welfare (2023)</w:t>
      </w:r>
      <w:r w:rsidR="00CC2AD8" w:rsidRPr="007E204D">
        <w:rPr>
          <w:i/>
          <w:iCs/>
        </w:rPr>
        <w:t xml:space="preserve"> </w:t>
      </w:r>
      <w:hyperlink r:id="rId12" w:history="1">
        <w:r w:rsidR="00CC2AD8" w:rsidRPr="007E204D">
          <w:rPr>
            <w:i/>
            <w:iCs/>
          </w:rPr>
          <w:t>Deaths in Australia</w:t>
        </w:r>
      </w:hyperlink>
      <w:r w:rsidR="00CC2AD8" w:rsidRPr="007E204D">
        <w:t xml:space="preserve">, </w:t>
      </w:r>
      <w:r w:rsidR="00392B13">
        <w:rPr>
          <w:iCs/>
        </w:rPr>
        <w:t xml:space="preserve">AIHW website, </w:t>
      </w:r>
      <w:r w:rsidR="00CC2AD8" w:rsidRPr="007E204D">
        <w:t>accessed 13 July 2023.</w:t>
      </w:r>
    </w:p>
  </w:endnote>
  <w:endnote w:id="15">
    <w:p w14:paraId="5750A7B9" w14:textId="050C46B0" w:rsidR="00CF1549" w:rsidRDefault="00CF1549" w:rsidP="00DC772F">
      <w:pPr>
        <w:pStyle w:val="FootnoteText"/>
      </w:pPr>
      <w:r>
        <w:endnoteRef/>
      </w:r>
      <w:r>
        <w:t xml:space="preserve"> </w:t>
      </w:r>
      <w:r w:rsidR="004A65CA">
        <w:tab/>
      </w:r>
      <w:r w:rsidR="00315889">
        <w:t xml:space="preserve">Department of Health and Aged Care (2022) </w:t>
      </w:r>
      <w:hyperlink r:id="rId13" w:history="1">
        <w:r w:rsidR="00315889" w:rsidRPr="00C12DE0">
          <w:rPr>
            <w:i/>
          </w:rPr>
          <w:t>About mental health</w:t>
        </w:r>
      </w:hyperlink>
      <w:r w:rsidR="00FE245B">
        <w:rPr>
          <w:i/>
          <w:iCs/>
        </w:rPr>
        <w:t xml:space="preserve">, </w:t>
      </w:r>
      <w:r w:rsidR="00B779B1" w:rsidRPr="004F0DA3">
        <w:t>DHAC website,</w:t>
      </w:r>
      <w:r w:rsidR="00B779B1">
        <w:rPr>
          <w:i/>
          <w:iCs/>
        </w:rPr>
        <w:t xml:space="preserve"> </w:t>
      </w:r>
      <w:r w:rsidR="00FE245B" w:rsidRPr="00C12DE0">
        <w:t>accessed 04</w:t>
      </w:r>
      <w:r w:rsidR="00A80D08">
        <w:t> </w:t>
      </w:r>
      <w:r w:rsidR="00FE245B" w:rsidRPr="00C12DE0">
        <w:t>July 2023.</w:t>
      </w:r>
    </w:p>
  </w:endnote>
  <w:endnote w:id="16">
    <w:p w14:paraId="19A0F0B1" w14:textId="5639E03D" w:rsidR="004F5AD9" w:rsidRDefault="004F5AD9" w:rsidP="00DC772F">
      <w:pPr>
        <w:pStyle w:val="FootnoteText"/>
      </w:pPr>
      <w:r>
        <w:endnoteRef/>
      </w:r>
      <w:r>
        <w:t xml:space="preserve"> </w:t>
      </w:r>
      <w:r w:rsidR="004A65CA">
        <w:tab/>
      </w:r>
      <w:r w:rsidRPr="00DE26A1">
        <w:t xml:space="preserve">Australian Bureau of Statistics </w:t>
      </w:r>
      <w:r>
        <w:t xml:space="preserve">(2018) </w:t>
      </w:r>
      <w:hyperlink r:id="rId14" w:anchor="psychological-distress" w:history="1">
        <w:r w:rsidRPr="00DE26A1">
          <w:rPr>
            <w:i/>
            <w:iCs/>
          </w:rPr>
          <w:t>National Health Survey</w:t>
        </w:r>
        <w:r w:rsidR="00C46EF6">
          <w:rPr>
            <w:i/>
            <w:iCs/>
          </w:rPr>
          <w:t xml:space="preserve"> 2017</w:t>
        </w:r>
        <w:r w:rsidR="00135DEA">
          <w:rPr>
            <w:i/>
            <w:iCs/>
          </w:rPr>
          <w:noBreakHyphen/>
        </w:r>
        <w:r w:rsidR="00C46EF6">
          <w:rPr>
            <w:i/>
            <w:iCs/>
          </w:rPr>
          <w:t>18</w:t>
        </w:r>
      </w:hyperlink>
      <w:r>
        <w:t xml:space="preserve">, </w:t>
      </w:r>
      <w:r w:rsidR="00F7285C" w:rsidRPr="00006ED2">
        <w:t>ABS Website</w:t>
      </w:r>
      <w:r w:rsidR="00F7285C">
        <w:t xml:space="preserve">, </w:t>
      </w:r>
      <w:r>
        <w:t>accessed 10</w:t>
      </w:r>
      <w:r w:rsidR="00A80D08">
        <w:t> </w:t>
      </w:r>
      <w:r>
        <w:t>July 2023.</w:t>
      </w:r>
    </w:p>
  </w:endnote>
  <w:endnote w:id="17">
    <w:p w14:paraId="78A753C7" w14:textId="0B902BA7" w:rsidR="00B045C6" w:rsidRDefault="00B045C6" w:rsidP="00DC772F">
      <w:pPr>
        <w:pStyle w:val="FootnoteText"/>
      </w:pPr>
      <w:r>
        <w:endnoteRef/>
      </w:r>
      <w:r>
        <w:t xml:space="preserve"> </w:t>
      </w:r>
      <w:r w:rsidR="004A65CA">
        <w:tab/>
      </w:r>
      <w:r w:rsidR="00871FEB">
        <w:t xml:space="preserve">Australian Bureau of Statistics </w:t>
      </w:r>
      <w:r w:rsidR="00871FEB" w:rsidRPr="002850BD">
        <w:t xml:space="preserve">(2019) </w:t>
      </w:r>
      <w:hyperlink r:id="rId15" w:history="1">
        <w:r w:rsidR="00871FEB" w:rsidRPr="002850BD">
          <w:rPr>
            <w:i/>
            <w:iCs/>
          </w:rPr>
          <w:t xml:space="preserve">National Aboriginal and </w:t>
        </w:r>
        <w:r w:rsidR="001524A0">
          <w:rPr>
            <w:i/>
            <w:iCs/>
          </w:rPr>
          <w:t>Torres Strait</w:t>
        </w:r>
        <w:r w:rsidR="00871FEB" w:rsidRPr="002850BD">
          <w:rPr>
            <w:i/>
            <w:iCs/>
          </w:rPr>
          <w:t xml:space="preserve"> Islander Health Survey</w:t>
        </w:r>
      </w:hyperlink>
      <w:r w:rsidR="00871FEB" w:rsidRPr="002850BD">
        <w:rPr>
          <w:i/>
          <w:iCs/>
        </w:rPr>
        <w:t xml:space="preserve">, </w:t>
      </w:r>
      <w:r w:rsidR="00F7285C" w:rsidRPr="00006ED2">
        <w:t>ABS Website</w:t>
      </w:r>
      <w:r w:rsidR="00F7285C">
        <w:t xml:space="preserve">, </w:t>
      </w:r>
      <w:r w:rsidR="00871FEB" w:rsidRPr="002850BD">
        <w:t>accessed 13 July 2023.</w:t>
      </w:r>
    </w:p>
  </w:endnote>
  <w:endnote w:id="18">
    <w:p w14:paraId="0C880729" w14:textId="62B00144" w:rsidR="00BB505C" w:rsidRDefault="0072622B" w:rsidP="00DC772F">
      <w:pPr>
        <w:pStyle w:val="FootnoteText"/>
      </w:pPr>
      <w:r>
        <w:endnoteRef/>
      </w:r>
      <w:r>
        <w:t xml:space="preserve"> </w:t>
      </w:r>
      <w:r w:rsidR="004A65CA">
        <w:tab/>
      </w:r>
      <w:r>
        <w:t xml:space="preserve">Australian Bureau of Statistics (2022) </w:t>
      </w:r>
      <w:hyperlink r:id="rId16" w:history="1">
        <w:r w:rsidRPr="00E32794">
          <w:rPr>
            <w:i/>
            <w:iCs/>
          </w:rPr>
          <w:t>National Study of Mental Health and Wellbeing</w:t>
        </w:r>
      </w:hyperlink>
      <w:r>
        <w:t xml:space="preserve">, </w:t>
      </w:r>
      <w:r w:rsidRPr="00006ED2">
        <w:t>ABS Website</w:t>
      </w:r>
      <w:r>
        <w:t>, accessed 10 July 2023.</w:t>
      </w:r>
    </w:p>
  </w:endnote>
  <w:endnote w:id="19">
    <w:p w14:paraId="762D4599" w14:textId="7F24352F" w:rsidR="00DD2AE4" w:rsidRDefault="00DD2AE4" w:rsidP="00DC772F">
      <w:pPr>
        <w:pStyle w:val="FootnoteText"/>
      </w:pPr>
      <w:r>
        <w:endnoteRef/>
      </w:r>
      <w:r>
        <w:t xml:space="preserve"> </w:t>
      </w:r>
      <w:r w:rsidR="004A65CA">
        <w:tab/>
      </w:r>
      <w:r w:rsidR="00853266">
        <w:t>Australian Institute of Health and Welfare</w:t>
      </w:r>
      <w:r w:rsidR="00246415">
        <w:t xml:space="preserve"> (2023) </w:t>
      </w:r>
      <w:hyperlink r:id="rId17" w:history="1">
        <w:r w:rsidR="00246415" w:rsidRPr="00C2163D">
          <w:rPr>
            <w:i/>
            <w:iCs/>
          </w:rPr>
          <w:t>Chronic Disease</w:t>
        </w:r>
      </w:hyperlink>
      <w:r w:rsidR="00246415">
        <w:t xml:space="preserve">, </w:t>
      </w:r>
      <w:r w:rsidR="00B779B1" w:rsidRPr="00D850EA">
        <w:t xml:space="preserve">AIHW website, </w:t>
      </w:r>
      <w:r w:rsidR="00246415">
        <w:t>accessed 22</w:t>
      </w:r>
      <w:r w:rsidR="00A80D08">
        <w:t> </w:t>
      </w:r>
      <w:r w:rsidR="00246415">
        <w:t>June 2023.</w:t>
      </w:r>
    </w:p>
  </w:endnote>
  <w:endnote w:id="20">
    <w:p w14:paraId="41D3F605" w14:textId="32F022DE" w:rsidR="00143EF6" w:rsidRDefault="00143EF6" w:rsidP="00DC772F">
      <w:pPr>
        <w:pStyle w:val="FootnoteText"/>
      </w:pPr>
      <w:r>
        <w:endnoteRef/>
      </w:r>
      <w:r>
        <w:t xml:space="preserve"> </w:t>
      </w:r>
      <w:r w:rsidR="004A65CA">
        <w:tab/>
      </w:r>
      <w:r w:rsidR="00853266">
        <w:t>Australian Institute of Health and Welfare</w:t>
      </w:r>
      <w:r>
        <w:t xml:space="preserve"> (2022) </w:t>
      </w:r>
      <w:hyperlink r:id="rId18" w:history="1">
        <w:r w:rsidRPr="002B6B68">
          <w:rPr>
            <w:i/>
            <w:iCs/>
          </w:rPr>
          <w:t>Chronic conditions and multimorbidity</w:t>
        </w:r>
      </w:hyperlink>
      <w:r w:rsidRPr="00D850EA">
        <w:t>,</w:t>
      </w:r>
      <w:r>
        <w:t xml:space="preserve"> </w:t>
      </w:r>
      <w:r w:rsidR="00B779B1" w:rsidRPr="00D850EA">
        <w:t xml:space="preserve">AIHW website, </w:t>
      </w:r>
      <w:r>
        <w:t>accessed 22 June 2023.</w:t>
      </w:r>
    </w:p>
  </w:endnote>
  <w:endnote w:id="21">
    <w:p w14:paraId="7B91E5F8" w14:textId="47FD286C" w:rsidR="00292250" w:rsidRDefault="008F63FC" w:rsidP="00DC772F">
      <w:pPr>
        <w:pStyle w:val="FootnoteText"/>
      </w:pPr>
      <w:r w:rsidRPr="000A0B7A">
        <w:endnoteRef/>
      </w:r>
      <w:r w:rsidR="004A65CA">
        <w:t xml:space="preserve"> </w:t>
      </w:r>
      <w:r w:rsidR="004A65CA">
        <w:tab/>
      </w:r>
      <w:r w:rsidRPr="000A0B7A">
        <w:t xml:space="preserve">Australian Bureau of Statistics (2022) </w:t>
      </w:r>
      <w:hyperlink r:id="rId19" w:history="1">
        <w:r w:rsidRPr="000A0B7A">
          <w:rPr>
            <w:i/>
          </w:rPr>
          <w:t>National Health Survey 2020</w:t>
        </w:r>
        <w:r w:rsidR="00135DEA">
          <w:rPr>
            <w:i/>
          </w:rPr>
          <w:noBreakHyphen/>
        </w:r>
        <w:r w:rsidRPr="000A0B7A">
          <w:rPr>
            <w:i/>
          </w:rPr>
          <w:t>21</w:t>
        </w:r>
      </w:hyperlink>
      <w:r w:rsidRPr="000A0B7A">
        <w:t>, ABS Website, accessed 10</w:t>
      </w:r>
      <w:r w:rsidR="00A80D08">
        <w:t> </w:t>
      </w:r>
      <w:r w:rsidRPr="000A0B7A">
        <w:t>July 2023.</w:t>
      </w:r>
    </w:p>
  </w:endnote>
  <w:endnote w:id="22">
    <w:p w14:paraId="047317AA" w14:textId="2272BDFB" w:rsidR="007D1CE7" w:rsidRDefault="004F0702" w:rsidP="00DC772F">
      <w:pPr>
        <w:pStyle w:val="FootnoteText"/>
      </w:pPr>
      <w:r>
        <w:endnoteRef/>
      </w:r>
      <w:r>
        <w:t xml:space="preserve"> </w:t>
      </w:r>
      <w:r w:rsidR="004A65CA">
        <w:tab/>
      </w:r>
      <w:r w:rsidRPr="00DE26A1">
        <w:t>Australian Bureau of Statistics</w:t>
      </w:r>
      <w:r>
        <w:t xml:space="preserve"> (2022) </w:t>
      </w:r>
      <w:hyperlink r:id="rId20" w:history="1">
        <w:r w:rsidRPr="00D07E17">
          <w:rPr>
            <w:i/>
            <w:iCs/>
          </w:rPr>
          <w:t>Patient Experiences Survey</w:t>
        </w:r>
      </w:hyperlink>
      <w:r>
        <w:t xml:space="preserve">, </w:t>
      </w:r>
      <w:r w:rsidRPr="00006ED2">
        <w:t>ABS Website</w:t>
      </w:r>
      <w:r>
        <w:t>, accessed 28</w:t>
      </w:r>
      <w:r w:rsidR="00A80D08">
        <w:t> </w:t>
      </w:r>
      <w:r>
        <w:t>June</w:t>
      </w:r>
      <w:r w:rsidR="00A80D08">
        <w:t> </w:t>
      </w:r>
      <w:r>
        <w:t>2023.</w:t>
      </w:r>
    </w:p>
  </w:endnote>
  <w:endnote w:id="23">
    <w:p w14:paraId="42B22F31" w14:textId="1707AFAC" w:rsidR="00CC3F73" w:rsidRDefault="00CC3F73" w:rsidP="00DC772F">
      <w:pPr>
        <w:pStyle w:val="FootnoteText"/>
      </w:pPr>
      <w:r>
        <w:endnoteRef/>
      </w:r>
      <w:r>
        <w:t xml:space="preserve"> </w:t>
      </w:r>
      <w:r w:rsidR="004A65CA">
        <w:tab/>
      </w:r>
      <w:r w:rsidR="00AA5855">
        <w:t>Department of the Prime Minister and Cabinet</w:t>
      </w:r>
      <w:r w:rsidR="00AE0E2D">
        <w:t xml:space="preserve"> (2023) </w:t>
      </w:r>
      <w:hyperlink r:id="rId21" w:history="1">
        <w:r w:rsidR="00430E97" w:rsidRPr="00C12DE0">
          <w:rPr>
            <w:i/>
          </w:rPr>
          <w:t>Draft National</w:t>
        </w:r>
        <w:r w:rsidR="0068068A" w:rsidRPr="00C12DE0">
          <w:rPr>
            <w:i/>
          </w:rPr>
          <w:t xml:space="preserve"> Strategy for the</w:t>
        </w:r>
        <w:r w:rsidR="00430E97" w:rsidRPr="00C12DE0">
          <w:rPr>
            <w:i/>
          </w:rPr>
          <w:t xml:space="preserve"> Care and Support</w:t>
        </w:r>
        <w:r w:rsidR="0068068A" w:rsidRPr="00C12DE0">
          <w:rPr>
            <w:i/>
          </w:rPr>
          <w:t xml:space="preserve"> Economy</w:t>
        </w:r>
        <w:r w:rsidR="00666CFF">
          <w:rPr>
            <w:i/>
            <w:iCs/>
          </w:rPr>
          <w:t>,</w:t>
        </w:r>
        <w:r w:rsidR="0068068A" w:rsidRPr="00C12DE0">
          <w:rPr>
            <w:i/>
          </w:rPr>
          <w:t xml:space="preserve"> </w:t>
        </w:r>
      </w:hyperlink>
      <w:r w:rsidR="00B779B1">
        <w:rPr>
          <w:iCs/>
        </w:rPr>
        <w:t>PM&amp;C website,</w:t>
      </w:r>
      <w:r w:rsidR="00430E97">
        <w:t xml:space="preserve"> </w:t>
      </w:r>
      <w:r w:rsidR="00666CFF">
        <w:t>accessed 04 July 2023.</w:t>
      </w:r>
    </w:p>
  </w:endnote>
  <w:endnote w:id="24">
    <w:p w14:paraId="12C9A701" w14:textId="171C10B8" w:rsidR="00C27502" w:rsidRDefault="00C27502" w:rsidP="00DC772F">
      <w:pPr>
        <w:pStyle w:val="FootnoteText"/>
      </w:pPr>
      <w:r>
        <w:endnoteRef/>
      </w:r>
      <w:r>
        <w:t xml:space="preserve"> </w:t>
      </w:r>
      <w:r w:rsidR="004A65CA">
        <w:tab/>
      </w:r>
      <w:r w:rsidR="00EB5F68">
        <w:t xml:space="preserve">Productivity Commission (2023) </w:t>
      </w:r>
      <w:hyperlink r:id="rId22" w:history="1">
        <w:r w:rsidR="00EB5F68" w:rsidRPr="00C411A4">
          <w:rPr>
            <w:i/>
          </w:rPr>
          <w:t xml:space="preserve">Report on </w:t>
        </w:r>
        <w:bookmarkStart w:id="52" w:name="_Hlt140485628"/>
        <w:bookmarkStart w:id="53" w:name="_Hlt140485629"/>
        <w:r w:rsidR="00EB5F68" w:rsidRPr="00C411A4">
          <w:rPr>
            <w:i/>
          </w:rPr>
          <w:t>G</w:t>
        </w:r>
        <w:bookmarkEnd w:id="52"/>
        <w:bookmarkEnd w:id="53"/>
        <w:r w:rsidR="00EB5F68" w:rsidRPr="00C411A4">
          <w:rPr>
            <w:i/>
          </w:rPr>
          <w:t xml:space="preserve">overnment </w:t>
        </w:r>
        <w:r w:rsidR="00A96583" w:rsidRPr="00C411A4">
          <w:rPr>
            <w:i/>
          </w:rPr>
          <w:t>Services</w:t>
        </w:r>
      </w:hyperlink>
      <w:r w:rsidR="00A96583">
        <w:t xml:space="preserve">, </w:t>
      </w:r>
      <w:r w:rsidR="00B779B1">
        <w:t>PC website,</w:t>
      </w:r>
      <w:r w:rsidR="00A96583">
        <w:t xml:space="preserve"> accessed 14</w:t>
      </w:r>
      <w:r w:rsidR="00A80D08">
        <w:t> </w:t>
      </w:r>
      <w:r w:rsidR="00A96583">
        <w:t>July</w:t>
      </w:r>
      <w:r w:rsidR="00A80D08">
        <w:t> </w:t>
      </w:r>
      <w:r w:rsidR="00A96583">
        <w:t>2023.</w:t>
      </w:r>
    </w:p>
  </w:endnote>
  <w:endnote w:id="25">
    <w:p w14:paraId="0CB11C61" w14:textId="02D6DA5C" w:rsidR="00515A97" w:rsidRPr="004032E0" w:rsidRDefault="00515A97" w:rsidP="001A6F70">
      <w:pPr>
        <w:pStyle w:val="FootnoteText"/>
        <w:rPr>
          <w:i/>
          <w:iCs/>
        </w:rPr>
      </w:pPr>
      <w:r>
        <w:endnoteRef/>
      </w:r>
      <w:r>
        <w:t xml:space="preserve"> </w:t>
      </w:r>
      <w:r w:rsidR="004A65CA">
        <w:tab/>
      </w:r>
      <w:r>
        <w:t xml:space="preserve">VicHealth (2023) </w:t>
      </w:r>
      <w:hyperlink r:id="rId23" w:history="1">
        <w:r w:rsidRPr="008F7762">
          <w:rPr>
            <w:i/>
            <w:iCs/>
          </w:rPr>
          <w:t>Attention: VicHealth response to the Measuring What Matters Consultation</w:t>
        </w:r>
      </w:hyperlink>
      <w:r>
        <w:t xml:space="preserve">, Submission to </w:t>
      </w:r>
      <w:r w:rsidRPr="00127177">
        <w:rPr>
          <w:i/>
          <w:iCs/>
        </w:rPr>
        <w:t>Measuring What Matters</w:t>
      </w:r>
      <w:r>
        <w:t>, Department of Treasury, Treasury website.</w:t>
      </w:r>
    </w:p>
  </w:endnote>
  <w:endnote w:id="26">
    <w:p w14:paraId="1BD647DC" w14:textId="69E4A41D" w:rsidR="007B3C80" w:rsidRDefault="007B3C80" w:rsidP="001A6F70">
      <w:pPr>
        <w:pStyle w:val="FootnoteText"/>
        <w:rPr>
          <w:rFonts w:cs="Arial"/>
        </w:rPr>
      </w:pPr>
      <w:r>
        <w:endnoteRef/>
      </w:r>
      <w:r>
        <w:t xml:space="preserve"> </w:t>
      </w:r>
      <w:r w:rsidR="004A65CA">
        <w:tab/>
      </w:r>
      <w:r>
        <w:t>Organisation for Economic Co</w:t>
      </w:r>
      <w:r w:rsidR="00135DEA">
        <w:noBreakHyphen/>
      </w:r>
      <w:r>
        <w:t>operation and Development, (n.d</w:t>
      </w:r>
      <w:r w:rsidR="001D7AEC">
        <w:t>.</w:t>
      </w:r>
      <w:r>
        <w:t xml:space="preserve">) </w:t>
      </w:r>
      <w:hyperlink r:id="rId24" w:history="1">
        <w:r>
          <w:rPr>
            <w:i/>
            <w:iCs/>
          </w:rPr>
          <w:t xml:space="preserve">Safety </w:t>
        </w:r>
        <w:r w:rsidR="00151999">
          <w:rPr>
            <w:i/>
            <w:iCs/>
          </w:rPr>
          <w:t>–</w:t>
        </w:r>
        <w:r>
          <w:rPr>
            <w:i/>
            <w:iCs/>
          </w:rPr>
          <w:t xml:space="preserve"> Australia</w:t>
        </w:r>
      </w:hyperlink>
      <w:r>
        <w:t xml:space="preserve">, OECD </w:t>
      </w:r>
      <w:r w:rsidR="00164267">
        <w:t>Better Life Index</w:t>
      </w:r>
      <w:r>
        <w:t xml:space="preserve">, </w:t>
      </w:r>
      <w:r w:rsidR="00D65EBD">
        <w:t>OECD website</w:t>
      </w:r>
      <w:r>
        <w:t>, accessed 05 July 2023</w:t>
      </w:r>
      <w:r w:rsidR="00CA5757">
        <w:t>.</w:t>
      </w:r>
    </w:p>
  </w:endnote>
  <w:endnote w:id="27">
    <w:p w14:paraId="068F7521" w14:textId="6D2B5DBD" w:rsidR="00C3180F" w:rsidRPr="00EE4729" w:rsidRDefault="00C3180F" w:rsidP="001A6F70">
      <w:pPr>
        <w:pStyle w:val="FootnoteText"/>
        <w:rPr>
          <w:lang w:val="en-GB"/>
        </w:rPr>
      </w:pPr>
      <w:r>
        <w:endnoteRef/>
      </w:r>
      <w:r w:rsidR="008B5334">
        <w:t xml:space="preserve"> </w:t>
      </w:r>
      <w:r w:rsidR="004A65CA">
        <w:tab/>
      </w:r>
      <w:r w:rsidR="008B5334">
        <w:t xml:space="preserve">Productivity Commission (2023) </w:t>
      </w:r>
      <w:hyperlink r:id="rId25" w:history="1">
        <w:r w:rsidR="008B5334" w:rsidRPr="001B0CFC">
          <w:rPr>
            <w:i/>
            <w:iCs/>
          </w:rPr>
          <w:t>Report on Government Services, 6 Police Services, Perception of Safety</w:t>
        </w:r>
      </w:hyperlink>
      <w:r w:rsidR="008B5334">
        <w:t xml:space="preserve">, </w:t>
      </w:r>
      <w:r w:rsidR="00D65EBD">
        <w:t xml:space="preserve">PC website, </w:t>
      </w:r>
      <w:r w:rsidR="008B5334">
        <w:t>accessed 28 June 2023</w:t>
      </w:r>
      <w:r w:rsidR="00CA5757">
        <w:t>.</w:t>
      </w:r>
      <w:r w:rsidR="008B5334">
        <w:t xml:space="preserve"> </w:t>
      </w:r>
    </w:p>
  </w:endnote>
  <w:endnote w:id="28">
    <w:p w14:paraId="488D1AED" w14:textId="66EB322C" w:rsidR="006F753C" w:rsidRDefault="006F753C" w:rsidP="001A6F70">
      <w:pPr>
        <w:pStyle w:val="FootnoteText"/>
      </w:pPr>
      <w:r>
        <w:endnoteRef/>
      </w:r>
      <w:r>
        <w:t xml:space="preserve"> </w:t>
      </w:r>
      <w:r w:rsidR="004A65CA">
        <w:tab/>
      </w:r>
      <w:r>
        <w:t xml:space="preserve">Australian Bureau of Statistics (2016) </w:t>
      </w:r>
      <w:hyperlink r:id="rId26" w:history="1">
        <w:r w:rsidRPr="00D41AE1">
          <w:rPr>
            <w:i/>
            <w:iCs/>
          </w:rPr>
          <w:t>Personal Safety, Australia</w:t>
        </w:r>
      </w:hyperlink>
      <w:r>
        <w:rPr>
          <w:i/>
          <w:iCs/>
        </w:rPr>
        <w:t xml:space="preserve">, </w:t>
      </w:r>
      <w:r w:rsidR="00D038E9" w:rsidRPr="00006ED2">
        <w:t xml:space="preserve">ABS </w:t>
      </w:r>
      <w:r w:rsidR="00AD6FDF" w:rsidRPr="00006ED2">
        <w:t>w</w:t>
      </w:r>
      <w:r w:rsidR="00D038E9" w:rsidRPr="00006ED2">
        <w:t>ebsite</w:t>
      </w:r>
      <w:r w:rsidR="00D038E9">
        <w:t xml:space="preserve">, </w:t>
      </w:r>
      <w:r>
        <w:t>accessed 28</w:t>
      </w:r>
      <w:r w:rsidR="00A80D08">
        <w:t> </w:t>
      </w:r>
      <w:r>
        <w:t>June</w:t>
      </w:r>
      <w:r w:rsidR="00A80D08">
        <w:t> </w:t>
      </w:r>
      <w:r>
        <w:t>2023</w:t>
      </w:r>
      <w:r w:rsidR="00CA5757">
        <w:t>.</w:t>
      </w:r>
      <w:r>
        <w:t xml:space="preserve"> </w:t>
      </w:r>
    </w:p>
  </w:endnote>
  <w:endnote w:id="29">
    <w:p w14:paraId="0E4DC5E9" w14:textId="7B0FCD53" w:rsidR="00F73964" w:rsidRDefault="00F73964" w:rsidP="001A6F70">
      <w:pPr>
        <w:pStyle w:val="FootnoteText"/>
      </w:pPr>
      <w:r>
        <w:endnoteRef/>
      </w:r>
      <w:r w:rsidR="00232559">
        <w:t xml:space="preserve"> </w:t>
      </w:r>
      <w:r w:rsidR="004A65CA">
        <w:tab/>
      </w:r>
      <w:r w:rsidR="00232559">
        <w:t>Australian Bureau of Statistics (2020</w:t>
      </w:r>
      <w:r w:rsidR="008A12C3">
        <w:softHyphen/>
      </w:r>
      <w:r w:rsidR="00232559">
        <w:t xml:space="preserve">21) </w:t>
      </w:r>
      <w:hyperlink r:id="rId27" w:history="1">
        <w:r w:rsidR="00232559" w:rsidRPr="004F0DA3">
          <w:rPr>
            <w:i/>
          </w:rPr>
          <w:t>Personal safety, Australia methodology</w:t>
        </w:r>
      </w:hyperlink>
      <w:r w:rsidR="00232559">
        <w:t xml:space="preserve">, </w:t>
      </w:r>
      <w:r w:rsidR="00C23319" w:rsidRPr="00006ED2">
        <w:t xml:space="preserve">ABS </w:t>
      </w:r>
      <w:r w:rsidR="00AD6FDF" w:rsidRPr="00006ED2">
        <w:t>w</w:t>
      </w:r>
      <w:r w:rsidR="00C23319" w:rsidRPr="00006ED2">
        <w:t>ebsite</w:t>
      </w:r>
      <w:r w:rsidR="00C23319">
        <w:t xml:space="preserve">, </w:t>
      </w:r>
      <w:r w:rsidR="00232559">
        <w:t>accessed 28 June 2023</w:t>
      </w:r>
      <w:r w:rsidR="00CA5757">
        <w:t>.</w:t>
      </w:r>
    </w:p>
  </w:endnote>
  <w:endnote w:id="30">
    <w:p w14:paraId="6354DAAC" w14:textId="0AE6B319" w:rsidR="007062A8" w:rsidRDefault="007062A8" w:rsidP="001A6F70">
      <w:pPr>
        <w:pStyle w:val="FootnoteText"/>
      </w:pPr>
      <w:r>
        <w:endnoteRef/>
      </w:r>
      <w:r>
        <w:t xml:space="preserve"> </w:t>
      </w:r>
      <w:r w:rsidR="004A65CA">
        <w:tab/>
      </w:r>
      <w:r w:rsidRPr="00C91F05">
        <w:t>Boxall, H., &amp; Morgan, A. (2021).</w:t>
      </w:r>
      <w:r w:rsidR="00F72480">
        <w:t xml:space="preserve"> </w:t>
      </w:r>
      <w:hyperlink r:id="rId28" w:history="1">
        <w:r w:rsidRPr="00C91F05">
          <w:rPr>
            <w:i/>
            <w:iCs/>
          </w:rPr>
          <w:t>Intimate partner violence during the COVID</w:t>
        </w:r>
        <w:r w:rsidR="00135DEA">
          <w:rPr>
            <w:i/>
            <w:iCs/>
          </w:rPr>
          <w:noBreakHyphen/>
        </w:r>
        <w:r w:rsidRPr="00C91F05">
          <w:rPr>
            <w:i/>
            <w:iCs/>
          </w:rPr>
          <w:t>19 pandemic: A</w:t>
        </w:r>
        <w:r w:rsidR="00A80D08">
          <w:rPr>
            <w:i/>
            <w:iCs/>
          </w:rPr>
          <w:t> </w:t>
        </w:r>
        <w:r w:rsidRPr="00C91F05">
          <w:rPr>
            <w:i/>
            <w:iCs/>
          </w:rPr>
          <w:t>survey of women in Australia</w:t>
        </w:r>
        <w:r w:rsidRPr="00C91F05">
          <w:t> (Research report, 03/2021).</w:t>
        </w:r>
      </w:hyperlink>
      <w:r w:rsidRPr="00C91F05">
        <w:t xml:space="preserve"> </w:t>
      </w:r>
      <w:r w:rsidR="00CA6FC4" w:rsidRPr="00CA6FC4">
        <w:t>Australia</w:t>
      </w:r>
      <w:r w:rsidR="00135DEA">
        <w:t>’</w:t>
      </w:r>
      <w:r w:rsidR="00CA6FC4" w:rsidRPr="00CA6FC4">
        <w:t>s National Research Organisation for Women</w:t>
      </w:r>
      <w:r w:rsidR="00135DEA">
        <w:t>’</w:t>
      </w:r>
      <w:r w:rsidR="00CA6FC4" w:rsidRPr="00CA6FC4">
        <w:t>s Safety</w:t>
      </w:r>
      <w:r w:rsidR="00AD6FDF">
        <w:t xml:space="preserve">, </w:t>
      </w:r>
      <w:r w:rsidRPr="00C91F05">
        <w:t>ANROWS</w:t>
      </w:r>
      <w:r w:rsidR="00AD6FDF">
        <w:t xml:space="preserve"> website</w:t>
      </w:r>
      <w:r>
        <w:t>.</w:t>
      </w:r>
    </w:p>
  </w:endnote>
  <w:endnote w:id="31">
    <w:p w14:paraId="684EC8D1" w14:textId="3A866343" w:rsidR="00111933" w:rsidRDefault="00111933" w:rsidP="001A6F70">
      <w:pPr>
        <w:pStyle w:val="FootnoteText"/>
      </w:pPr>
      <w:r>
        <w:endnoteRef/>
      </w:r>
      <w:r>
        <w:t xml:space="preserve"> </w:t>
      </w:r>
      <w:r w:rsidR="004A65CA">
        <w:tab/>
      </w:r>
      <w:r w:rsidR="006A4359">
        <w:t xml:space="preserve">Haslam D, Mathews B, Pacella R, Scott JG, Finkelhor D, Higgins DJ, Meinck F, Erskine HE, Thomas HJ, Lawrence D, Malacova E. (2023). </w:t>
      </w:r>
      <w:hyperlink r:id="rId29" w:history="1">
        <w:r w:rsidR="006A4359">
          <w:rPr>
            <w:i/>
            <w:iCs/>
          </w:rPr>
          <w:t>The prevalence and impact of child maltreatment in Australia: Findings from the Australian Child Maltreatment Study: Brief Report. Australian Child Maltreatment Study</w:t>
        </w:r>
      </w:hyperlink>
      <w:r w:rsidR="006A4359">
        <w:t>, Queensland University of Technology</w:t>
      </w:r>
      <w:r w:rsidR="00AD6FDF">
        <w:t xml:space="preserve">, </w:t>
      </w:r>
      <w:r w:rsidR="009156D7">
        <w:t>ACMS</w:t>
      </w:r>
      <w:r w:rsidR="00AD6FDF">
        <w:t xml:space="preserve"> website</w:t>
      </w:r>
      <w:r w:rsidR="006A4359">
        <w:t>.</w:t>
      </w:r>
    </w:p>
  </w:endnote>
  <w:endnote w:id="32">
    <w:p w14:paraId="0C271A8E" w14:textId="75545021" w:rsidR="00FD7338" w:rsidRDefault="00FD7338" w:rsidP="001A6F70">
      <w:pPr>
        <w:pStyle w:val="FootnoteText"/>
      </w:pPr>
      <w:r>
        <w:endnoteRef/>
      </w:r>
      <w:r>
        <w:t xml:space="preserve"> </w:t>
      </w:r>
      <w:r w:rsidR="004A65CA">
        <w:tab/>
      </w:r>
      <w:r>
        <w:t>Australian Bureau of Statistics (2016</w:t>
      </w:r>
      <w:r w:rsidR="008A12C3">
        <w:softHyphen/>
      </w:r>
      <w:r>
        <w:t xml:space="preserve">17), </w:t>
      </w:r>
      <w:hyperlink r:id="rId30" w:history="1">
        <w:r w:rsidRPr="009B2ED2">
          <w:rPr>
            <w:i/>
          </w:rPr>
          <w:t xml:space="preserve">Household use of </w:t>
        </w:r>
        <w:r w:rsidRPr="009B2ED2">
          <w:rPr>
            <w:i/>
            <w:iCs/>
          </w:rPr>
          <w:t xml:space="preserve">Information </w:t>
        </w:r>
        <w:r w:rsidRPr="009B2ED2">
          <w:rPr>
            <w:i/>
          </w:rPr>
          <w:t>technology</w:t>
        </w:r>
      </w:hyperlink>
      <w:r w:rsidRPr="009B2ED2">
        <w:rPr>
          <w:i/>
          <w:iCs/>
        </w:rPr>
        <w:t>,</w:t>
      </w:r>
      <w:r>
        <w:t xml:space="preserve"> </w:t>
      </w:r>
      <w:r w:rsidR="00C23319" w:rsidRPr="00006ED2">
        <w:t xml:space="preserve">ABS </w:t>
      </w:r>
      <w:r w:rsidR="006508E5" w:rsidRPr="00006ED2">
        <w:t>w</w:t>
      </w:r>
      <w:r w:rsidR="00C23319" w:rsidRPr="00006ED2">
        <w:t>ebsite</w:t>
      </w:r>
      <w:r w:rsidR="00C23319">
        <w:t xml:space="preserve">, </w:t>
      </w:r>
      <w:r>
        <w:t>accessed 28 June 2023</w:t>
      </w:r>
      <w:r w:rsidR="00CA5757">
        <w:t>.</w:t>
      </w:r>
    </w:p>
  </w:endnote>
  <w:endnote w:id="33">
    <w:p w14:paraId="5332632C" w14:textId="51BEE810" w:rsidR="00FD7338" w:rsidRDefault="00D53895" w:rsidP="001A6F70">
      <w:pPr>
        <w:pStyle w:val="FootnoteText"/>
      </w:pPr>
      <w:r>
        <w:endnoteRef/>
      </w:r>
      <w:r>
        <w:t xml:space="preserve"> </w:t>
      </w:r>
      <w:r w:rsidR="004A65CA">
        <w:tab/>
      </w:r>
      <w:r>
        <w:t xml:space="preserve">eSafety Commissioner (2020), </w:t>
      </w:r>
      <w:hyperlink r:id="rId31" w:history="1">
        <w:r w:rsidRPr="006F64AE">
          <w:rPr>
            <w:i/>
            <w:iCs/>
          </w:rPr>
          <w:t>Adults</w:t>
        </w:r>
        <w:r w:rsidR="00135DEA">
          <w:rPr>
            <w:i/>
            <w:iCs/>
          </w:rPr>
          <w:t>’</w:t>
        </w:r>
        <w:r w:rsidRPr="006F64AE">
          <w:rPr>
            <w:i/>
            <w:iCs/>
          </w:rPr>
          <w:t xml:space="preserve"> negative online experiences</w:t>
        </w:r>
      </w:hyperlink>
      <w:r>
        <w:t>, eSafety website.</w:t>
      </w:r>
    </w:p>
  </w:endnote>
  <w:endnote w:id="34">
    <w:p w14:paraId="5D2C62DC" w14:textId="656991DF" w:rsidR="00424B60" w:rsidRDefault="00F5331E" w:rsidP="001A6F70">
      <w:pPr>
        <w:pStyle w:val="FootnoteText"/>
      </w:pPr>
      <w:r>
        <w:endnoteRef/>
      </w:r>
      <w:r>
        <w:t xml:space="preserve"> </w:t>
      </w:r>
      <w:r w:rsidR="004A65CA">
        <w:tab/>
      </w:r>
      <w:r>
        <w:t>The Lowy Institute</w:t>
      </w:r>
      <w:r w:rsidR="00077F84">
        <w:t xml:space="preserve"> (2023)</w:t>
      </w:r>
      <w:r>
        <w:t xml:space="preserve"> </w:t>
      </w:r>
      <w:hyperlink r:id="rId32" w:history="1">
        <w:r w:rsidRPr="00B425AC">
          <w:t>Lowy Institute Poll 2023,</w:t>
        </w:r>
      </w:hyperlink>
      <w:r>
        <w:t xml:space="preserve"> accessed 13 July 2023.</w:t>
      </w:r>
    </w:p>
  </w:endnote>
  <w:endnote w:id="35">
    <w:p w14:paraId="1C2B05FC" w14:textId="41D032AB" w:rsidR="00D50862" w:rsidRDefault="00D50862" w:rsidP="001A6F70">
      <w:pPr>
        <w:pStyle w:val="FootnoteText"/>
      </w:pPr>
      <w:r>
        <w:endnoteRef/>
      </w:r>
      <w:r>
        <w:t xml:space="preserve"> </w:t>
      </w:r>
      <w:r w:rsidR="004A65CA">
        <w:tab/>
      </w:r>
      <w:r w:rsidRPr="00C411A4">
        <w:t>Australian Bureau of Statistics (2021),</w:t>
      </w:r>
      <w:r>
        <w:t xml:space="preserve"> </w:t>
      </w:r>
      <w:hyperlink r:id="rId33" w:history="1">
        <w:r w:rsidRPr="00C411A4">
          <w:rPr>
            <w:i/>
          </w:rPr>
          <w:t>Estimating Homelessness: Census</w:t>
        </w:r>
      </w:hyperlink>
      <w:r w:rsidRPr="00C411A4">
        <w:t>, ABS website, accessed 13 July 2023.</w:t>
      </w:r>
    </w:p>
  </w:endnote>
  <w:endnote w:id="36">
    <w:p w14:paraId="5B7D0316" w14:textId="25D32719" w:rsidR="00116D55" w:rsidRPr="004566F7" w:rsidRDefault="004D6858" w:rsidP="001A6F70">
      <w:pPr>
        <w:pStyle w:val="FootnoteText"/>
      </w:pPr>
      <w:r>
        <w:endnoteRef/>
      </w:r>
      <w:r>
        <w:t xml:space="preserve"> </w:t>
      </w:r>
      <w:r w:rsidR="004A65CA">
        <w:tab/>
      </w:r>
      <w:r>
        <w:t xml:space="preserve">Australian Bureau of Statistics (2020), </w:t>
      </w:r>
      <w:hyperlink r:id="rId34" w:anchor="social-experiences" w:history="1">
        <w:r w:rsidRPr="004566F7">
          <w:rPr>
            <w:i/>
            <w:iCs/>
          </w:rPr>
          <w:t>General Social Survey: Summary Results, Australia</w:t>
        </w:r>
      </w:hyperlink>
      <w:r>
        <w:rPr>
          <w:i/>
          <w:iCs/>
        </w:rPr>
        <w:t xml:space="preserve">, </w:t>
      </w:r>
      <w:r w:rsidRPr="00933D0D">
        <w:t xml:space="preserve">ABS website, </w:t>
      </w:r>
      <w:r w:rsidRPr="007A7E1C">
        <w:t>accessed</w:t>
      </w:r>
      <w:r>
        <w:t xml:space="preserve"> 13 July 2023.</w:t>
      </w:r>
    </w:p>
  </w:endnote>
  <w:endnote w:id="37">
    <w:p w14:paraId="1E044FFF" w14:textId="0C23205F" w:rsidR="001C562B" w:rsidRPr="00CD23F9" w:rsidRDefault="001C562B" w:rsidP="001A6F70">
      <w:pPr>
        <w:pStyle w:val="FootnoteText"/>
      </w:pPr>
      <w:r>
        <w:endnoteRef/>
      </w:r>
      <w:r>
        <w:t xml:space="preserve"> </w:t>
      </w:r>
      <w:r w:rsidR="004A65CA">
        <w:tab/>
      </w:r>
      <w:r>
        <w:t xml:space="preserve">Australian Bureau of Statistics (2020) </w:t>
      </w:r>
      <w:r w:rsidR="00135DEA">
        <w:t>‘</w:t>
      </w:r>
      <w:r w:rsidRPr="00806E6A">
        <w:t>Table 15.3 All Households, Household Income and Wealth</w:t>
      </w:r>
      <w:r w:rsidR="00151999">
        <w:t>–</w:t>
      </w:r>
      <w:r w:rsidRPr="00806E6A">
        <w:t>By Family composition of household, proportion of households</w:t>
      </w:r>
      <w:r w:rsidR="00135DEA">
        <w:t>’</w:t>
      </w:r>
      <w:r>
        <w:t xml:space="preserve">, </w:t>
      </w:r>
      <w:hyperlink r:id="rId35" w:anchor="data-downloads" w:history="1">
        <w:r w:rsidRPr="003409BC">
          <w:rPr>
            <w:i/>
            <w:iCs/>
          </w:rPr>
          <w:t>General Social Survey: Summary Results, Australia</w:t>
        </w:r>
      </w:hyperlink>
      <w:r>
        <w:t xml:space="preserve">, </w:t>
      </w:r>
      <w:r w:rsidR="007A7E1C">
        <w:t>ABS website,</w:t>
      </w:r>
      <w:r>
        <w:t xml:space="preserve"> accessed 6 July 2023</w:t>
      </w:r>
      <w:r w:rsidR="00135DEA">
        <w:t xml:space="preserve">. </w:t>
      </w:r>
    </w:p>
  </w:endnote>
  <w:endnote w:id="38">
    <w:p w14:paraId="6FD15965" w14:textId="5927F1A5" w:rsidR="00920A8E" w:rsidRPr="007E7A77" w:rsidRDefault="00920A8E" w:rsidP="001A6F70">
      <w:pPr>
        <w:pStyle w:val="FootnoteText"/>
        <w:rPr>
          <w:i/>
        </w:rPr>
      </w:pPr>
      <w:r>
        <w:endnoteRef/>
      </w:r>
      <w:r>
        <w:t xml:space="preserve"> </w:t>
      </w:r>
      <w:r w:rsidR="004A65CA">
        <w:tab/>
      </w:r>
      <w:r w:rsidR="000E05FC">
        <w:t>National Australia Bank</w:t>
      </w:r>
      <w:r w:rsidR="007D5418">
        <w:t xml:space="preserve"> (2022) </w:t>
      </w:r>
      <w:hyperlink r:id="rId36" w:history="1">
        <w:r w:rsidR="007D5418" w:rsidRPr="007E7A77">
          <w:rPr>
            <w:i/>
          </w:rPr>
          <w:t xml:space="preserve">NAB Consumer Insights Survey: Financial Hardship </w:t>
        </w:r>
        <w:r w:rsidR="00151999">
          <w:rPr>
            <w:i/>
          </w:rPr>
          <w:t>–</w:t>
        </w:r>
        <w:r w:rsidR="007D5418" w:rsidRPr="007E7A77">
          <w:rPr>
            <w:i/>
          </w:rPr>
          <w:t xml:space="preserve"> Q4 2022</w:t>
        </w:r>
      </w:hyperlink>
      <w:r w:rsidR="00C16E29">
        <w:t xml:space="preserve">, </w:t>
      </w:r>
      <w:r w:rsidR="007A7E1C">
        <w:t xml:space="preserve">NAB Business website, </w:t>
      </w:r>
      <w:r w:rsidR="00C16E29">
        <w:t>accessed 6 July 2023</w:t>
      </w:r>
      <w:r w:rsidR="00135DEA">
        <w:t xml:space="preserve">. </w:t>
      </w:r>
    </w:p>
  </w:endnote>
  <w:endnote w:id="39">
    <w:p w14:paraId="4F650897" w14:textId="54BF7815" w:rsidR="00A2599E" w:rsidRDefault="00A2599E" w:rsidP="001A6F70">
      <w:pPr>
        <w:pStyle w:val="FootnoteText"/>
      </w:pPr>
      <w:r>
        <w:endnoteRef/>
      </w:r>
      <w:r>
        <w:t xml:space="preserve"> </w:t>
      </w:r>
      <w:r w:rsidR="004A65CA">
        <w:tab/>
      </w:r>
      <w:r w:rsidR="00A5353D">
        <w:t xml:space="preserve">Australian Bureau of Statistics (2021), </w:t>
      </w:r>
      <w:hyperlink r:id="rId37" w:history="1">
        <w:r w:rsidR="00A5353D" w:rsidRPr="002F1F48">
          <w:rPr>
            <w:i/>
            <w:iCs/>
          </w:rPr>
          <w:t>Estimating homelessness census methodology</w:t>
        </w:r>
      </w:hyperlink>
      <w:r w:rsidR="00A5353D">
        <w:t>,</w:t>
      </w:r>
      <w:r w:rsidR="00A5353D" w:rsidDel="00A74F02">
        <w:t xml:space="preserve"> </w:t>
      </w:r>
      <w:r w:rsidR="00C23319" w:rsidRPr="00006ED2" w:rsidDel="00A74F02">
        <w:t xml:space="preserve">ABS </w:t>
      </w:r>
      <w:r w:rsidR="007A7E1C" w:rsidRPr="00006ED2">
        <w:t>w</w:t>
      </w:r>
      <w:r w:rsidR="00C23319" w:rsidRPr="00006ED2">
        <w:t>ebsite</w:t>
      </w:r>
      <w:r w:rsidR="00C23319" w:rsidDel="00A74F02">
        <w:t>,</w:t>
      </w:r>
      <w:r w:rsidR="00C23319">
        <w:t xml:space="preserve"> </w:t>
      </w:r>
      <w:r w:rsidR="00A5353D">
        <w:t>accessed 28 June 2023</w:t>
      </w:r>
      <w:r w:rsidR="00CA5757">
        <w:t>.</w:t>
      </w:r>
      <w:r w:rsidR="00A5353D">
        <w:t xml:space="preserve"> </w:t>
      </w:r>
    </w:p>
  </w:endnote>
  <w:endnote w:id="40">
    <w:p w14:paraId="12915B9B" w14:textId="3C2BCF4D" w:rsidR="00546EE3" w:rsidRPr="004F0DA3" w:rsidRDefault="00546EE3" w:rsidP="001A6F70">
      <w:pPr>
        <w:pStyle w:val="FootnoteText"/>
      </w:pPr>
      <w:r w:rsidRPr="004F0DA3">
        <w:endnoteRef/>
      </w:r>
      <w:r w:rsidRPr="004F0DA3">
        <w:t xml:space="preserve"> </w:t>
      </w:r>
      <w:r w:rsidR="004A65CA">
        <w:tab/>
      </w:r>
      <w:r w:rsidRPr="00C411A4">
        <w:rPr>
          <w:rFonts w:asciiTheme="minorHAnsi" w:hAnsiTheme="minorHAnsi" w:cstheme="minorHAnsi"/>
        </w:rPr>
        <w:t>Australian Bureau of Statistics (2021), </w:t>
      </w:r>
      <w:hyperlink r:id="rId38" w:history="1">
        <w:r w:rsidRPr="00C411A4">
          <w:rPr>
            <w:rFonts w:asciiTheme="minorHAnsi" w:hAnsiTheme="minorHAnsi" w:cstheme="minorHAnsi"/>
            <w:i/>
          </w:rPr>
          <w:t>Estimating Homelessness: Census</w:t>
        </w:r>
      </w:hyperlink>
      <w:r w:rsidRPr="00C411A4">
        <w:rPr>
          <w:rFonts w:asciiTheme="minorHAnsi" w:hAnsiTheme="minorHAnsi" w:cstheme="minorHAnsi"/>
        </w:rPr>
        <w:t xml:space="preserve">, ABS </w:t>
      </w:r>
      <w:r w:rsidR="007A7E1C" w:rsidRPr="00C411A4">
        <w:rPr>
          <w:rFonts w:asciiTheme="minorHAnsi" w:hAnsiTheme="minorHAnsi" w:cstheme="minorHAnsi"/>
        </w:rPr>
        <w:t>w</w:t>
      </w:r>
      <w:r w:rsidRPr="00C411A4">
        <w:rPr>
          <w:rFonts w:asciiTheme="minorHAnsi" w:hAnsiTheme="minorHAnsi" w:cstheme="minorHAnsi"/>
        </w:rPr>
        <w:t>ebsite, accessed 13 July 2023.</w:t>
      </w:r>
    </w:p>
  </w:endnote>
  <w:endnote w:id="41">
    <w:p w14:paraId="6B8B7792" w14:textId="2D41F05C" w:rsidR="008A1E01" w:rsidRDefault="008A1E01" w:rsidP="001A6F70">
      <w:pPr>
        <w:pStyle w:val="FootnoteText"/>
        <w:rPr>
          <w:rFonts w:cs="Arial"/>
        </w:rPr>
      </w:pPr>
      <w:r>
        <w:endnoteRef/>
      </w:r>
      <w:r>
        <w:t xml:space="preserve"> </w:t>
      </w:r>
      <w:r w:rsidR="004A65CA">
        <w:tab/>
      </w:r>
      <w:r>
        <w:t>Productivity Commission (n.d</w:t>
      </w:r>
      <w:r w:rsidR="00532ED2">
        <w:t>.</w:t>
      </w:r>
      <w:r>
        <w:t xml:space="preserve">) </w:t>
      </w:r>
      <w:hyperlink r:id="rId39" w:history="1">
        <w:r>
          <w:rPr>
            <w:i/>
            <w:iCs/>
          </w:rPr>
          <w:t xml:space="preserve">Closing the gap; Socioeconomic outcome area 9 </w:t>
        </w:r>
        <w:r w:rsidR="00151999">
          <w:rPr>
            <w:i/>
            <w:iCs/>
          </w:rPr>
          <w:t>–</w:t>
        </w:r>
        <w:r>
          <w:rPr>
            <w:i/>
            <w:iCs/>
          </w:rPr>
          <w:t xml:space="preserve"> Aboriginal and </w:t>
        </w:r>
        <w:r w:rsidR="001524A0">
          <w:rPr>
            <w:i/>
            <w:iCs/>
          </w:rPr>
          <w:t>Torres Strait</w:t>
        </w:r>
        <w:r>
          <w:rPr>
            <w:i/>
            <w:iCs/>
          </w:rPr>
          <w:t xml:space="preserve"> Islander people secure appropriate, affordable housing that is aligned with their priorities and need</w:t>
        </w:r>
      </w:hyperlink>
      <w:r>
        <w:t xml:space="preserve">, </w:t>
      </w:r>
      <w:r w:rsidR="007A7E1C">
        <w:t xml:space="preserve">PC website, </w:t>
      </w:r>
      <w:r>
        <w:t>accessed 28 June 2023</w:t>
      </w:r>
      <w:r w:rsidR="00CA5757">
        <w:t>.</w:t>
      </w:r>
      <w:r>
        <w:t xml:space="preserve"> </w:t>
      </w:r>
    </w:p>
  </w:endnote>
  <w:endnote w:id="42">
    <w:p w14:paraId="1901F22E" w14:textId="36BCA13F" w:rsidR="007305FF" w:rsidRDefault="007305FF" w:rsidP="001A6F70">
      <w:pPr>
        <w:pStyle w:val="FootnoteText"/>
      </w:pPr>
      <w:r>
        <w:endnoteRef/>
      </w:r>
      <w:r w:rsidR="003B4FB8">
        <w:t xml:space="preserve"> </w:t>
      </w:r>
      <w:r w:rsidR="004A65CA">
        <w:tab/>
      </w:r>
      <w:r w:rsidR="00EA3378">
        <w:t>Australian Bureau of Statistics (2019</w:t>
      </w:r>
      <w:r w:rsidR="00135DEA">
        <w:noBreakHyphen/>
      </w:r>
      <w:r w:rsidR="00EA3378">
        <w:t xml:space="preserve">20) </w:t>
      </w:r>
      <w:hyperlink r:id="rId40" w:anchor="key-statistics" w:history="1">
        <w:r w:rsidR="00EA3378" w:rsidRPr="00841E7A">
          <w:rPr>
            <w:i/>
            <w:iCs/>
          </w:rPr>
          <w:t>Housing occupancy and Costs</w:t>
        </w:r>
      </w:hyperlink>
      <w:r w:rsidR="00EA3378">
        <w:t xml:space="preserve">, </w:t>
      </w:r>
      <w:r w:rsidR="00C23319" w:rsidRPr="00006ED2">
        <w:t xml:space="preserve">ABS </w:t>
      </w:r>
      <w:r w:rsidR="007A7E1C" w:rsidRPr="00006ED2">
        <w:t>w</w:t>
      </w:r>
      <w:r w:rsidR="00C23319" w:rsidRPr="00006ED2">
        <w:t>ebsite</w:t>
      </w:r>
      <w:r w:rsidR="00C23319">
        <w:t xml:space="preserve">, </w:t>
      </w:r>
      <w:r w:rsidR="00EA3378">
        <w:t xml:space="preserve">accessed 28 June 2023 </w:t>
      </w:r>
    </w:p>
  </w:endnote>
  <w:endnote w:id="43">
    <w:p w14:paraId="50631A82" w14:textId="1B6BC919" w:rsidR="006E19A9" w:rsidRDefault="006E19A9" w:rsidP="001A6F70">
      <w:pPr>
        <w:pStyle w:val="FootnoteText"/>
      </w:pPr>
      <w:r>
        <w:endnoteRef/>
      </w:r>
      <w:r w:rsidRPr="00F4352D">
        <w:t xml:space="preserve"> </w:t>
      </w:r>
      <w:r w:rsidR="004A65CA">
        <w:tab/>
      </w:r>
      <w:r w:rsidR="00F4352D" w:rsidRPr="00C411A4">
        <w:t xml:space="preserve">Corelogic (2023) </w:t>
      </w:r>
      <w:hyperlink r:id="rId41" w:history="1">
        <w:r w:rsidR="00F4352D" w:rsidRPr="00C411A4">
          <w:rPr>
            <w:i/>
          </w:rPr>
          <w:t>Quarterly Rental Review</w:t>
        </w:r>
      </w:hyperlink>
      <w:r w:rsidR="00F4352D" w:rsidRPr="00C411A4">
        <w:t>, accessed 13 July 2023</w:t>
      </w:r>
      <w:r w:rsidR="00DB28C2">
        <w:t>.</w:t>
      </w:r>
      <w:r>
        <w:t xml:space="preserve"> </w:t>
      </w:r>
    </w:p>
  </w:endnote>
  <w:endnote w:id="44">
    <w:p w14:paraId="5A6C649B" w14:textId="0BBE60E4" w:rsidR="00515A97" w:rsidRPr="00973EAF" w:rsidRDefault="00515A97" w:rsidP="001A6F70">
      <w:pPr>
        <w:pStyle w:val="FootnoteText"/>
      </w:pPr>
      <w:r w:rsidRPr="00973EAF">
        <w:endnoteRef/>
      </w:r>
      <w:r w:rsidRPr="00973EAF">
        <w:t xml:space="preserve"> </w:t>
      </w:r>
      <w:r w:rsidR="004A65CA">
        <w:tab/>
      </w:r>
      <w:r w:rsidRPr="00973EAF">
        <w:t xml:space="preserve">Climateworks (2023) </w:t>
      </w:r>
      <w:hyperlink r:id="rId42" w:history="1">
        <w:r w:rsidRPr="00973EAF">
          <w:t>Climateworks Centre Submission on Measuring What Matters</w:t>
        </w:r>
      </w:hyperlink>
      <w:r w:rsidRPr="00973EAF">
        <w:t xml:space="preserve">, Submission to </w:t>
      </w:r>
      <w:r w:rsidRPr="00973EAF">
        <w:rPr>
          <w:i/>
        </w:rPr>
        <w:t>Measuring What Matters</w:t>
      </w:r>
      <w:r w:rsidRPr="00973EAF">
        <w:t>, Department of Treasury, Treasury website</w:t>
      </w:r>
      <w:r>
        <w:t>.</w:t>
      </w:r>
    </w:p>
  </w:endnote>
  <w:endnote w:id="45">
    <w:p w14:paraId="7212E1CB" w14:textId="4C363139" w:rsidR="00E30204" w:rsidRDefault="00E30204" w:rsidP="001A6F70">
      <w:pPr>
        <w:pStyle w:val="FootnoteText"/>
      </w:pPr>
      <w:r>
        <w:endnoteRef/>
      </w:r>
      <w:r w:rsidR="008C678C">
        <w:t xml:space="preserve"> </w:t>
      </w:r>
      <w:r w:rsidR="004A65CA">
        <w:tab/>
      </w:r>
      <w:r w:rsidR="008C678C" w:rsidRPr="007B3CAA">
        <w:t xml:space="preserve">Australian Institute of Health and Welfare (2022) </w:t>
      </w:r>
      <w:hyperlink r:id="rId43" w:anchor="_Toc30497545" w:history="1">
        <w:r w:rsidR="008C678C" w:rsidRPr="007B3CAA">
          <w:rPr>
            <w:i/>
          </w:rPr>
          <w:t>Natural environment and health</w:t>
        </w:r>
      </w:hyperlink>
      <w:r w:rsidR="008C678C">
        <w:rPr>
          <w:i/>
          <w:iCs/>
        </w:rPr>
        <w:t>,</w:t>
      </w:r>
      <w:r w:rsidR="008C678C" w:rsidRPr="007B28B7">
        <w:t xml:space="preserve"> </w:t>
      </w:r>
      <w:r w:rsidR="008C678C" w:rsidRPr="007B28B7">
        <w:rPr>
          <w:i/>
          <w:iCs/>
        </w:rPr>
        <w:t>Australia</w:t>
      </w:r>
      <w:r w:rsidR="00135DEA">
        <w:rPr>
          <w:i/>
          <w:iCs/>
        </w:rPr>
        <w:t>’</w:t>
      </w:r>
      <w:r w:rsidR="008C678C" w:rsidRPr="007B28B7">
        <w:rPr>
          <w:i/>
          <w:iCs/>
        </w:rPr>
        <w:t>s health</w:t>
      </w:r>
      <w:r w:rsidR="008C678C">
        <w:rPr>
          <w:i/>
          <w:iCs/>
        </w:rPr>
        <w:t xml:space="preserve"> 2022,</w:t>
      </w:r>
      <w:r w:rsidR="00BA0815">
        <w:rPr>
          <w:i/>
          <w:iCs/>
        </w:rPr>
        <w:t xml:space="preserve"> </w:t>
      </w:r>
      <w:r w:rsidR="008C678C">
        <w:t>AIHW website,</w:t>
      </w:r>
      <w:r w:rsidR="008C678C">
        <w:rPr>
          <w:i/>
          <w:iCs/>
        </w:rPr>
        <w:t xml:space="preserve"> </w:t>
      </w:r>
      <w:r w:rsidR="008C678C">
        <w:t>accessed 28 June 2023</w:t>
      </w:r>
      <w:r w:rsidR="00C67BF5">
        <w:t>.</w:t>
      </w:r>
    </w:p>
  </w:endnote>
  <w:endnote w:id="46">
    <w:p w14:paraId="1901C74E" w14:textId="1C12A94E" w:rsidR="00541904" w:rsidRDefault="00541904" w:rsidP="001A6F70">
      <w:pPr>
        <w:pStyle w:val="FootnoteText"/>
      </w:pPr>
      <w:r>
        <w:endnoteRef/>
      </w:r>
      <w:r>
        <w:t xml:space="preserve"> </w:t>
      </w:r>
      <w:r w:rsidR="004A65CA">
        <w:tab/>
      </w:r>
      <w:r>
        <w:t>The data is sourced from jurisdictional monitoring undertaken in compliance with the National Environment Protection (Ambient Air Quality) Measure. The NEPM includes technical, performance and location requirements that must be met by monitoring stations. Data is made public annually in National Environment Protection Council annual reports, however currently only data up until the 2018</w:t>
      </w:r>
      <w:r w:rsidR="00135DEA">
        <w:noBreakHyphen/>
      </w:r>
      <w:r>
        <w:t>19 period is publicly available. The subsequent data sets are unpublished and have been sourced directly.</w:t>
      </w:r>
    </w:p>
  </w:endnote>
  <w:endnote w:id="47">
    <w:p w14:paraId="09A318B1" w14:textId="34BC968F" w:rsidR="00CE01A0" w:rsidRDefault="00CE01A0" w:rsidP="001A6F70">
      <w:pPr>
        <w:pStyle w:val="FootnoteText"/>
      </w:pPr>
      <w:r>
        <w:endnoteRef/>
      </w:r>
      <w:r>
        <w:t xml:space="preserve"> </w:t>
      </w:r>
      <w:r w:rsidR="004A65CA">
        <w:tab/>
      </w:r>
      <w:r>
        <w:t xml:space="preserve">Department of Climate Change, Energy, the Environment and Water (2022) </w:t>
      </w:r>
      <w:hyperlink r:id="rId44" w:history="1">
        <w:r w:rsidRPr="008800FA">
          <w:rPr>
            <w:i/>
            <w:iCs/>
          </w:rPr>
          <w:t>Collaborative Australian Protected Areas Database</w:t>
        </w:r>
      </w:hyperlink>
      <w:r w:rsidR="00565C3D">
        <w:t>,</w:t>
      </w:r>
      <w:r>
        <w:t xml:space="preserve"> </w:t>
      </w:r>
      <w:r w:rsidR="007A7E1C">
        <w:t>DCCEEW website</w:t>
      </w:r>
      <w:r>
        <w:t>, accessed 28 June 2023</w:t>
      </w:r>
      <w:r w:rsidR="00C67BF5">
        <w:t>.</w:t>
      </w:r>
      <w:r>
        <w:t xml:space="preserve"> </w:t>
      </w:r>
    </w:p>
  </w:endnote>
  <w:endnote w:id="48">
    <w:p w14:paraId="42A60A3A" w14:textId="15871317" w:rsidR="000303B0" w:rsidRDefault="000303B0" w:rsidP="001A6F70">
      <w:pPr>
        <w:pStyle w:val="FootnoteText"/>
      </w:pPr>
      <w:r>
        <w:endnoteRef/>
      </w:r>
      <w:r>
        <w:t xml:space="preserve"> </w:t>
      </w:r>
      <w:r w:rsidR="004A65CA">
        <w:tab/>
      </w:r>
      <w:r w:rsidR="008D7567" w:rsidRPr="008D7567">
        <w:t xml:space="preserve">Indigenous Protected Areas (IPAs) are areas of land and sea Country managed by </w:t>
      </w:r>
      <w:r w:rsidR="001524A0">
        <w:t>First Nation</w:t>
      </w:r>
      <w:r w:rsidR="008D7567" w:rsidRPr="008D7567">
        <w:t>s groups in accordance with Traditional Owners</w:t>
      </w:r>
      <w:r w:rsidR="00135DEA">
        <w:t>’</w:t>
      </w:r>
      <w:r w:rsidR="008D7567" w:rsidRPr="008D7567">
        <w:t xml:space="preserve"> objectives</w:t>
      </w:r>
      <w:r w:rsidR="00C67BF5">
        <w:t>.</w:t>
      </w:r>
      <w:r w:rsidR="008D7567" w:rsidRPr="008D7567" w:rsidDel="008D7567">
        <w:rPr>
          <w:highlight w:val="yellow"/>
        </w:rPr>
        <w:t xml:space="preserve"> </w:t>
      </w:r>
    </w:p>
  </w:endnote>
  <w:endnote w:id="49">
    <w:p w14:paraId="5F003FCC" w14:textId="1B2052D3" w:rsidR="00322715" w:rsidRDefault="00322715" w:rsidP="001A6F70">
      <w:pPr>
        <w:pStyle w:val="FootnoteText"/>
      </w:pPr>
      <w:r>
        <w:endnoteRef/>
      </w:r>
      <w:r>
        <w:t xml:space="preserve"> </w:t>
      </w:r>
      <w:r w:rsidR="004A65CA">
        <w:tab/>
      </w:r>
      <w:r>
        <w:t xml:space="preserve">World Health Organisation (2015) </w:t>
      </w:r>
      <w:hyperlink r:id="rId45" w:history="1">
        <w:r w:rsidRPr="009D6649">
          <w:rPr>
            <w:i/>
            <w:iCs/>
          </w:rPr>
          <w:t>Biodiversity and Health</w:t>
        </w:r>
      </w:hyperlink>
      <w:r>
        <w:t>, WHO website, accessed 28</w:t>
      </w:r>
      <w:r w:rsidR="00A80D08">
        <w:t> </w:t>
      </w:r>
      <w:r>
        <w:t>June</w:t>
      </w:r>
      <w:r w:rsidR="00A80D08">
        <w:t> </w:t>
      </w:r>
      <w:r>
        <w:t>2023</w:t>
      </w:r>
      <w:r w:rsidR="00135DEA">
        <w:t xml:space="preserve">. </w:t>
      </w:r>
    </w:p>
  </w:endnote>
  <w:endnote w:id="50">
    <w:p w14:paraId="40E90A19" w14:textId="249B61FE" w:rsidR="008E2186" w:rsidRDefault="008E2186" w:rsidP="001A6F70">
      <w:pPr>
        <w:pStyle w:val="FootnoteText"/>
      </w:pPr>
      <w:r>
        <w:endnoteRef/>
      </w:r>
      <w:r w:rsidR="000F7BD2">
        <w:t xml:space="preserve"> </w:t>
      </w:r>
      <w:r w:rsidR="004A65CA">
        <w:tab/>
      </w:r>
      <w:r w:rsidR="000F7BD2">
        <w:t xml:space="preserve">Terrestrial Ecosystem Research Network (2023) </w:t>
      </w:r>
      <w:hyperlink r:id="rId46" w:history="1">
        <w:r w:rsidR="000F7BD2" w:rsidRPr="004D7CED">
          <w:rPr>
            <w:i/>
            <w:iCs/>
          </w:rPr>
          <w:t>The State of Play: Australia</w:t>
        </w:r>
        <w:r w:rsidR="00135DEA">
          <w:rPr>
            <w:i/>
            <w:iCs/>
          </w:rPr>
          <w:t>’</w:t>
        </w:r>
        <w:r w:rsidR="000F7BD2" w:rsidRPr="004D7CED">
          <w:rPr>
            <w:i/>
            <w:iCs/>
          </w:rPr>
          <w:t>s Threatened Species Index for 2022</w:t>
        </w:r>
      </w:hyperlink>
      <w:r w:rsidR="000F7BD2">
        <w:t>, TERN website, accessed 28 June 2023</w:t>
      </w:r>
      <w:r w:rsidR="00C67BF5">
        <w:t>.</w:t>
      </w:r>
    </w:p>
  </w:endnote>
  <w:endnote w:id="51">
    <w:p w14:paraId="10FC5DC5" w14:textId="79982A6B" w:rsidR="009D3465" w:rsidRDefault="009D3465" w:rsidP="001A6F70">
      <w:pPr>
        <w:pStyle w:val="FootnoteText"/>
      </w:pPr>
      <w:r w:rsidRPr="00825E6E">
        <w:endnoteRef/>
      </w:r>
      <w:r w:rsidRPr="00825E6E">
        <w:t xml:space="preserve"> </w:t>
      </w:r>
      <w:r w:rsidR="008D3829">
        <w:tab/>
      </w:r>
      <w:r w:rsidR="00825E6E" w:rsidRPr="00825E6E">
        <w:t xml:space="preserve">Department of Climate Change, Energy, the Environment and Water (2022) </w:t>
      </w:r>
      <w:hyperlink r:id="rId47" w:history="1">
        <w:r w:rsidR="00825E6E" w:rsidRPr="00825E6E">
          <w:rPr>
            <w:i/>
            <w:iCs/>
          </w:rPr>
          <w:t>National Waste Report 2022</w:t>
        </w:r>
      </w:hyperlink>
      <w:r w:rsidR="00825E6E" w:rsidRPr="00825E6E">
        <w:t>,</w:t>
      </w:r>
      <w:r w:rsidR="00825E6E">
        <w:t xml:space="preserve"> DCCEEW website.</w:t>
      </w:r>
    </w:p>
  </w:endnote>
  <w:endnote w:id="52">
    <w:p w14:paraId="2AE04332" w14:textId="64B2792B" w:rsidR="004B69C3" w:rsidRDefault="004B69C3" w:rsidP="001A6F70">
      <w:pPr>
        <w:pStyle w:val="FootnoteText"/>
      </w:pPr>
      <w:r>
        <w:endnoteRef/>
      </w:r>
      <w:r>
        <w:t xml:space="preserve"> </w:t>
      </w:r>
      <w:r w:rsidR="008D3829">
        <w:tab/>
      </w:r>
      <w:r>
        <w:t xml:space="preserve">Paddam S, Liu C and Philip S, (2022), </w:t>
      </w:r>
      <w:hyperlink r:id="rId48" w:history="1">
        <w:r w:rsidRPr="00662682">
          <w:t>Home insurance affordability and socioeconomic equity in a changing climate</w:t>
        </w:r>
      </w:hyperlink>
      <w:r>
        <w:t>, Actuaries Institute</w:t>
      </w:r>
      <w:r w:rsidR="00AB2D07">
        <w:t xml:space="preserve"> website</w:t>
      </w:r>
      <w:r w:rsidR="00C67BF5">
        <w:t>.</w:t>
      </w:r>
    </w:p>
  </w:endnote>
  <w:endnote w:id="53">
    <w:p w14:paraId="7F14D69D" w14:textId="50B4680F" w:rsidR="002F6209" w:rsidRDefault="002F6209" w:rsidP="001A6F70">
      <w:pPr>
        <w:pStyle w:val="FootnoteText"/>
      </w:pPr>
      <w:r>
        <w:endnoteRef/>
      </w:r>
      <w:r>
        <w:t xml:space="preserve"> </w:t>
      </w:r>
      <w:r w:rsidR="008D3829">
        <w:tab/>
      </w:r>
      <w:r>
        <w:t xml:space="preserve">Relationships Australia (2023) </w:t>
      </w:r>
      <w:hyperlink r:id="rId49" w:history="1">
        <w:r w:rsidRPr="00464953">
          <w:rPr>
            <w:i/>
            <w:iCs/>
          </w:rPr>
          <w:t xml:space="preserve">Measuring what matters </w:t>
        </w:r>
        <w:r w:rsidR="00151999">
          <w:rPr>
            <w:i/>
            <w:iCs/>
          </w:rPr>
          <w:t>–</w:t>
        </w:r>
        <w:r w:rsidRPr="00464953">
          <w:rPr>
            <w:i/>
            <w:iCs/>
          </w:rPr>
          <w:t xml:space="preserve"> consultation </w:t>
        </w:r>
        <w:r w:rsidR="00151999">
          <w:rPr>
            <w:i/>
            <w:iCs/>
          </w:rPr>
          <w:t>–</w:t>
        </w:r>
        <w:r w:rsidRPr="00464953">
          <w:rPr>
            <w:i/>
            <w:iCs/>
          </w:rPr>
          <w:t xml:space="preserve"> Relationships Australia submission</w:t>
        </w:r>
        <w:r>
          <w:rPr>
            <w:i/>
            <w:iCs/>
          </w:rPr>
          <w:t>,</w:t>
        </w:r>
        <w:r w:rsidRPr="00464953">
          <w:t xml:space="preserve"> </w:t>
        </w:r>
      </w:hyperlink>
      <w:r w:rsidRPr="00464953">
        <w:t xml:space="preserve"> </w:t>
      </w:r>
      <w:r>
        <w:t xml:space="preserve">Submission to </w:t>
      </w:r>
      <w:r w:rsidRPr="00E310D9">
        <w:rPr>
          <w:i/>
        </w:rPr>
        <w:t>Measuring What Matters</w:t>
      </w:r>
      <w:r>
        <w:t>, Treasury website.</w:t>
      </w:r>
    </w:p>
  </w:endnote>
  <w:endnote w:id="54">
    <w:p w14:paraId="2F25BE4C" w14:textId="7C041590" w:rsidR="00A4617F" w:rsidRDefault="00A4617F" w:rsidP="001A6F70">
      <w:pPr>
        <w:pStyle w:val="FootnoteText"/>
      </w:pPr>
      <w:r>
        <w:endnoteRef/>
      </w:r>
      <w:r>
        <w:t xml:space="preserve"> </w:t>
      </w:r>
      <w:r w:rsidR="008D3829">
        <w:tab/>
      </w:r>
      <w:r w:rsidR="003B5189">
        <w:t xml:space="preserve">Australian Bureau of Statistics (2020) </w:t>
      </w:r>
      <w:hyperlink r:id="rId50" w:anchor="social-experiences" w:history="1">
        <w:r w:rsidR="003B5189">
          <w:rPr>
            <w:i/>
            <w:iCs/>
          </w:rPr>
          <w:t>General Social Survey</w:t>
        </w:r>
      </w:hyperlink>
      <w:r w:rsidR="003B5189">
        <w:t xml:space="preserve">, </w:t>
      </w:r>
      <w:r w:rsidR="003B5189" w:rsidRPr="00006ED2">
        <w:t>ABS website</w:t>
      </w:r>
      <w:r w:rsidR="003B5189">
        <w:t>, accessed 14 July 2023.</w:t>
      </w:r>
    </w:p>
  </w:endnote>
  <w:endnote w:id="55">
    <w:p w14:paraId="73941BED" w14:textId="7EF9AD9F" w:rsidR="00675989" w:rsidRDefault="00675989" w:rsidP="001A6F70">
      <w:pPr>
        <w:pStyle w:val="FootnoteText"/>
      </w:pPr>
      <w:r>
        <w:endnoteRef/>
      </w:r>
      <w:r>
        <w:t xml:space="preserve"> </w:t>
      </w:r>
      <w:r w:rsidR="008D3829">
        <w:tab/>
      </w:r>
      <w:r>
        <w:t>Australian Bureau of Statistics (2021</w:t>
      </w:r>
      <w:r w:rsidR="00135DEA">
        <w:noBreakHyphen/>
      </w:r>
      <w:r>
        <w:t xml:space="preserve">22) </w:t>
      </w:r>
      <w:hyperlink r:id="rId51" w:history="1">
        <w:r w:rsidRPr="00E20FF1">
          <w:rPr>
            <w:i/>
            <w:iCs/>
          </w:rPr>
          <w:t>Cultural participation and attendance survey</w:t>
        </w:r>
      </w:hyperlink>
      <w:r>
        <w:rPr>
          <w:i/>
          <w:iCs/>
        </w:rPr>
        <w:t xml:space="preserve">, </w:t>
      </w:r>
      <w:r w:rsidRPr="00006ED2">
        <w:t>ABS website</w:t>
      </w:r>
      <w:r>
        <w:t>, accessed 12 July 2023.</w:t>
      </w:r>
    </w:p>
  </w:endnote>
  <w:endnote w:id="56">
    <w:p w14:paraId="21AB4CD8" w14:textId="1BA0CCF1" w:rsidR="002E4839" w:rsidRDefault="002E4839" w:rsidP="001A6F70">
      <w:pPr>
        <w:pStyle w:val="FootnoteText"/>
      </w:pPr>
      <w:r>
        <w:endnoteRef/>
      </w:r>
      <w:r>
        <w:t xml:space="preserve"> </w:t>
      </w:r>
      <w:r w:rsidR="008D3829">
        <w:tab/>
      </w:r>
      <w:r w:rsidR="00A511A6">
        <w:t>Australia Council for the Arts,</w:t>
      </w:r>
      <w:hyperlink r:id="rId52" w:history="1">
        <w:r w:rsidR="00A511A6" w:rsidRPr="004F0DA3">
          <w:rPr>
            <w:i/>
          </w:rPr>
          <w:t xml:space="preserve"> </w:t>
        </w:r>
        <w:r w:rsidR="0093733D" w:rsidRPr="004F0DA3">
          <w:rPr>
            <w:i/>
          </w:rPr>
          <w:t>Audience Outlook Monitor April 2023</w:t>
        </w:r>
      </w:hyperlink>
      <w:r w:rsidR="003175E8">
        <w:t xml:space="preserve">, ACA website, </w:t>
      </w:r>
      <w:r w:rsidR="000F7298">
        <w:t>accessed 6</w:t>
      </w:r>
      <w:r w:rsidR="00A80D08">
        <w:t> </w:t>
      </w:r>
      <w:r w:rsidR="000F7298">
        <w:t>Ju</w:t>
      </w:r>
      <w:r w:rsidR="00976C90">
        <w:t>ly</w:t>
      </w:r>
      <w:r w:rsidR="000F7298">
        <w:t xml:space="preserve"> 2023</w:t>
      </w:r>
      <w:r w:rsidR="00C67BF5">
        <w:t>.</w:t>
      </w:r>
    </w:p>
  </w:endnote>
  <w:endnote w:id="57">
    <w:p w14:paraId="1229F111" w14:textId="083BA3E1" w:rsidR="009C5D60" w:rsidRDefault="009C5D60" w:rsidP="001A6F70">
      <w:pPr>
        <w:pStyle w:val="FootnoteText"/>
      </w:pPr>
      <w:r>
        <w:endnoteRef/>
      </w:r>
      <w:r>
        <w:t xml:space="preserve"> </w:t>
      </w:r>
      <w:r w:rsidR="008D3829">
        <w:tab/>
      </w:r>
      <w:r>
        <w:t xml:space="preserve">Australian Bureau of Statistics (2020) </w:t>
      </w:r>
      <w:hyperlink r:id="rId53" w:anchor="social-experiences" w:history="1">
        <w:r w:rsidRPr="003175E8">
          <w:rPr>
            <w:i/>
            <w:iCs/>
          </w:rPr>
          <w:t>General Social Survey</w:t>
        </w:r>
      </w:hyperlink>
      <w:r>
        <w:t xml:space="preserve">, </w:t>
      </w:r>
      <w:r w:rsidRPr="00006ED2">
        <w:t>ABS website</w:t>
      </w:r>
      <w:r>
        <w:t>, accessed 14 July 2023.</w:t>
      </w:r>
    </w:p>
  </w:endnote>
  <w:endnote w:id="58">
    <w:p w14:paraId="7846EAF7" w14:textId="0F28FA84" w:rsidR="00447C0E" w:rsidRDefault="00447C0E" w:rsidP="001A6F70">
      <w:pPr>
        <w:pStyle w:val="FootnoteText"/>
      </w:pPr>
      <w:r>
        <w:endnoteRef/>
      </w:r>
      <w:r>
        <w:t xml:space="preserve"> </w:t>
      </w:r>
      <w:r w:rsidR="008D3829">
        <w:tab/>
      </w:r>
      <w:r>
        <w:t xml:space="preserve">Scanlon </w:t>
      </w:r>
      <w:r w:rsidRPr="002D2813">
        <w:t xml:space="preserve">Foundation Research </w:t>
      </w:r>
      <w:r>
        <w:t xml:space="preserve">Institute (2022) </w:t>
      </w:r>
      <w:hyperlink r:id="rId54" w:history="1">
        <w:r w:rsidRPr="00993C4D">
          <w:rPr>
            <w:i/>
            <w:iCs/>
          </w:rPr>
          <w:t>Mapping Social Cohesion Survey 2022</w:t>
        </w:r>
      </w:hyperlink>
      <w:r>
        <w:rPr>
          <w:i/>
          <w:iCs/>
        </w:rPr>
        <w:t xml:space="preserve">, </w:t>
      </w:r>
      <w:r>
        <w:t>Scanlon Institute website</w:t>
      </w:r>
      <w:r w:rsidR="00623616">
        <w:t xml:space="preserve">, accessed </w:t>
      </w:r>
      <w:r w:rsidR="0059215C">
        <w:t>5 July 2023</w:t>
      </w:r>
      <w:r>
        <w:t>.</w:t>
      </w:r>
    </w:p>
  </w:endnote>
  <w:endnote w:id="59">
    <w:p w14:paraId="73D93496" w14:textId="12A28DFE" w:rsidR="004A7809" w:rsidRDefault="004A7809" w:rsidP="001A6F70">
      <w:pPr>
        <w:pStyle w:val="FootnoteText"/>
      </w:pPr>
      <w:r>
        <w:endnoteRef/>
      </w:r>
      <w:r>
        <w:t xml:space="preserve"> </w:t>
      </w:r>
      <w:r w:rsidR="008D3829">
        <w:tab/>
      </w:r>
      <w:r>
        <w:t>Reconciliation Australia</w:t>
      </w:r>
      <w:r w:rsidR="00CD07D7">
        <w:t xml:space="preserve"> (2020)</w:t>
      </w:r>
      <w:r>
        <w:t xml:space="preserve"> </w:t>
      </w:r>
      <w:hyperlink r:id="rId55" w:history="1">
        <w:r w:rsidRPr="004F0DA3">
          <w:rPr>
            <w:i/>
          </w:rPr>
          <w:t xml:space="preserve">2022 </w:t>
        </w:r>
        <w:bookmarkStart w:id="85" w:name="_Hlt140505780"/>
        <w:bookmarkStart w:id="86" w:name="_Hlt140505781"/>
        <w:r w:rsidRPr="004F0DA3">
          <w:rPr>
            <w:i/>
          </w:rPr>
          <w:t>A</w:t>
        </w:r>
        <w:bookmarkEnd w:id="85"/>
        <w:bookmarkEnd w:id="86"/>
        <w:r w:rsidRPr="004F0DA3">
          <w:rPr>
            <w:i/>
          </w:rPr>
          <w:t>ustralian Reconciliation Barometer</w:t>
        </w:r>
      </w:hyperlink>
      <w:r w:rsidR="002A230E">
        <w:t xml:space="preserve">, </w:t>
      </w:r>
      <w:r w:rsidR="00F316FF">
        <w:t xml:space="preserve">Reconciliation Australia website, </w:t>
      </w:r>
      <w:r w:rsidR="002A230E">
        <w:t xml:space="preserve">accessed </w:t>
      </w:r>
      <w:r w:rsidR="00873C32" w:rsidRPr="009C5D60">
        <w:t>6</w:t>
      </w:r>
      <w:r w:rsidR="002A230E">
        <w:t xml:space="preserve"> July 2023</w:t>
      </w:r>
      <w:r w:rsidR="00C67BF5">
        <w:t>.</w:t>
      </w:r>
    </w:p>
  </w:endnote>
  <w:endnote w:id="60">
    <w:p w14:paraId="56AB49FE" w14:textId="6DD87617" w:rsidR="00215FF4" w:rsidRDefault="00215FF4" w:rsidP="001A6F70">
      <w:pPr>
        <w:pStyle w:val="FootnoteText"/>
      </w:pPr>
      <w:r>
        <w:endnoteRef/>
      </w:r>
      <w:r>
        <w:t xml:space="preserve"> </w:t>
      </w:r>
      <w:r w:rsidR="008D3829">
        <w:tab/>
      </w:r>
      <w:r>
        <w:t xml:space="preserve">Scanlon </w:t>
      </w:r>
      <w:r w:rsidRPr="002D2813">
        <w:t xml:space="preserve">Foundation Research </w:t>
      </w:r>
      <w:r>
        <w:t xml:space="preserve">Institute (2022) </w:t>
      </w:r>
      <w:hyperlink r:id="rId56" w:history="1">
        <w:r w:rsidRPr="00993C4D">
          <w:rPr>
            <w:i/>
            <w:iCs/>
          </w:rPr>
          <w:t>Mapping Social Cohesion Survey 2022</w:t>
        </w:r>
      </w:hyperlink>
      <w:r>
        <w:rPr>
          <w:i/>
          <w:iCs/>
        </w:rPr>
        <w:t xml:space="preserve">, </w:t>
      </w:r>
      <w:r w:rsidR="00AC7AA3">
        <w:t>Scanlon Institute website</w:t>
      </w:r>
      <w:r w:rsidR="00F455D9">
        <w:t xml:space="preserve"> </w:t>
      </w:r>
      <w:r w:rsidRPr="00A27D33">
        <w:t xml:space="preserve">accessed </w:t>
      </w:r>
      <w:r w:rsidR="00F455D9">
        <w:t>5</w:t>
      </w:r>
      <w:r w:rsidR="00F455D9" w:rsidRPr="00A27D33">
        <w:t xml:space="preserve"> </w:t>
      </w:r>
      <w:r w:rsidRPr="00A27D33">
        <w:t>July 2023</w:t>
      </w:r>
      <w:r w:rsidR="00C67BF5">
        <w:t>.</w:t>
      </w:r>
      <w:r>
        <w:rPr>
          <w:i/>
          <w:iCs/>
        </w:rPr>
        <w:t xml:space="preserve"> </w:t>
      </w:r>
    </w:p>
  </w:endnote>
  <w:endnote w:id="61">
    <w:p w14:paraId="1E32D330" w14:textId="0DF50443" w:rsidR="00F07504" w:rsidRPr="001E1B9D" w:rsidRDefault="00F07504" w:rsidP="001A6F70">
      <w:pPr>
        <w:pStyle w:val="FootnoteText"/>
      </w:pPr>
      <w:r w:rsidRPr="00EF5095">
        <w:endnoteRef/>
      </w:r>
      <w:r w:rsidRPr="00EF5095">
        <w:t xml:space="preserve"> </w:t>
      </w:r>
      <w:r w:rsidR="008D3829">
        <w:tab/>
      </w:r>
      <w:r w:rsidRPr="00EF5095">
        <w:t>Department of Infrastructure, Transport, Regional Development and Communications</w:t>
      </w:r>
      <w:r w:rsidR="009C566E" w:rsidRPr="00EF5095">
        <w:t xml:space="preserve"> and the Arts</w:t>
      </w:r>
      <w:r w:rsidRPr="00EF5095">
        <w:t xml:space="preserve"> (2020) </w:t>
      </w:r>
      <w:hyperlink r:id="rId57" w:history="1">
        <w:r w:rsidRPr="00EF5095">
          <w:rPr>
            <w:i/>
          </w:rPr>
          <w:t>National Indigenous Languages Report</w:t>
        </w:r>
      </w:hyperlink>
      <w:r w:rsidR="003C3DD3" w:rsidRPr="00EF5095">
        <w:t>,</w:t>
      </w:r>
      <w:r w:rsidRPr="00EF5095">
        <w:rPr>
          <w:i/>
        </w:rPr>
        <w:t xml:space="preserve"> </w:t>
      </w:r>
      <w:hyperlink r:id="rId58" w:history="1">
        <w:r w:rsidR="009C566E" w:rsidRPr="00EF5095">
          <w:t>Arts</w:t>
        </w:r>
      </w:hyperlink>
      <w:r w:rsidR="009C566E" w:rsidRPr="00EF5095">
        <w:t xml:space="preserve"> website,</w:t>
      </w:r>
      <w:r w:rsidRPr="00EF5095">
        <w:t xml:space="preserve"> accessed 14 July 2023.</w:t>
      </w:r>
    </w:p>
  </w:endnote>
  <w:endnote w:id="62">
    <w:p w14:paraId="625B0D2E" w14:textId="077B5EEE" w:rsidR="00227CAE" w:rsidRDefault="00227CAE" w:rsidP="001A6F70">
      <w:pPr>
        <w:pStyle w:val="FootnoteText"/>
      </w:pPr>
      <w:r>
        <w:endnoteRef/>
      </w:r>
      <w:r>
        <w:t xml:space="preserve"> </w:t>
      </w:r>
      <w:r w:rsidR="008D3829">
        <w:tab/>
      </w:r>
      <w:r>
        <w:t xml:space="preserve">Allen, </w:t>
      </w:r>
      <w:r w:rsidRPr="00A3172A">
        <w:t>Kelly</w:t>
      </w:r>
      <w:r w:rsidR="00135DEA">
        <w:noBreakHyphen/>
      </w:r>
      <w:r w:rsidRPr="00A3172A">
        <w:t xml:space="preserve">Ann </w:t>
      </w:r>
      <w:r>
        <w:t>(2019)</w:t>
      </w:r>
      <w:r w:rsidRPr="00A3172A">
        <w:t xml:space="preserve">, </w:t>
      </w:r>
      <w:r w:rsidRPr="009A5D4C">
        <w:rPr>
          <w:i/>
        </w:rPr>
        <w:t xml:space="preserve">Making Sense of </w:t>
      </w:r>
      <w:r w:rsidRPr="009A5D4C">
        <w:rPr>
          <w:i/>
          <w:iCs/>
        </w:rPr>
        <w:t>Belonging</w:t>
      </w:r>
      <w:r w:rsidRPr="00A3172A">
        <w:t xml:space="preserve">, InPsych 41, </w:t>
      </w:r>
      <w:r w:rsidR="00AD02B5">
        <w:t>(</w:t>
      </w:r>
      <w:r w:rsidRPr="00A3172A">
        <w:t>no. 3</w:t>
      </w:r>
      <w:r w:rsidR="00AD02B5">
        <w:t xml:space="preserve">), accessed </w:t>
      </w:r>
      <w:r w:rsidR="00637AA5">
        <w:t xml:space="preserve">28 June 2023. </w:t>
      </w:r>
    </w:p>
  </w:endnote>
  <w:endnote w:id="63">
    <w:p w14:paraId="29A42AFA" w14:textId="16EBDAF7" w:rsidR="008301D4" w:rsidRDefault="008301D4" w:rsidP="001A6F70">
      <w:pPr>
        <w:pStyle w:val="FootnoteText"/>
      </w:pPr>
      <w:r>
        <w:endnoteRef/>
      </w:r>
      <w:r>
        <w:t xml:space="preserve"> </w:t>
      </w:r>
      <w:r w:rsidR="008D3829">
        <w:tab/>
      </w:r>
      <w:r w:rsidR="00301AB5">
        <w:t xml:space="preserve">Australian Bureau of Statistics (2020) </w:t>
      </w:r>
      <w:hyperlink r:id="rId59" w:anchor="social-experiences" w:history="1">
        <w:r w:rsidR="00301AB5" w:rsidRPr="003175E8">
          <w:rPr>
            <w:i/>
            <w:iCs/>
          </w:rPr>
          <w:t>General Social Survey</w:t>
        </w:r>
      </w:hyperlink>
      <w:r w:rsidR="00301AB5">
        <w:t>, ABS website, accessed 14 July 2023.</w:t>
      </w:r>
    </w:p>
  </w:endnote>
  <w:endnote w:id="64">
    <w:p w14:paraId="53C3BA00" w14:textId="2A6A6E00" w:rsidR="00280B27" w:rsidRDefault="00280B27" w:rsidP="001A6F70">
      <w:pPr>
        <w:pStyle w:val="FootnoteText"/>
      </w:pPr>
      <w:r>
        <w:endnoteRef/>
      </w:r>
      <w:r>
        <w:t xml:space="preserve"> </w:t>
      </w:r>
      <w:r w:rsidR="008D3829">
        <w:tab/>
      </w:r>
      <w:r w:rsidR="00511E13">
        <w:t xml:space="preserve">Department of the </w:t>
      </w:r>
      <w:r>
        <w:t xml:space="preserve">Prime Minister </w:t>
      </w:r>
      <w:r w:rsidR="00511E13">
        <w:t>and</w:t>
      </w:r>
      <w:r>
        <w:t xml:space="preserve"> Cabinet (2022) </w:t>
      </w:r>
      <w:hyperlink r:id="rId60" w:history="1">
        <w:r w:rsidRPr="004F0DA3">
          <w:rPr>
            <w:i/>
          </w:rPr>
          <w:t xml:space="preserve">Trust </w:t>
        </w:r>
        <w:bookmarkStart w:id="88" w:name="_Hlt140500430"/>
        <w:bookmarkStart w:id="89" w:name="_Hlt140500431"/>
        <w:r w:rsidRPr="004F0DA3">
          <w:rPr>
            <w:i/>
          </w:rPr>
          <w:t>i</w:t>
        </w:r>
        <w:bookmarkEnd w:id="88"/>
        <w:bookmarkEnd w:id="89"/>
        <w:r w:rsidRPr="004F0DA3">
          <w:rPr>
            <w:i/>
          </w:rPr>
          <w:t>n Australian public services</w:t>
        </w:r>
      </w:hyperlink>
      <w:r>
        <w:t xml:space="preserve">, </w:t>
      </w:r>
      <w:r w:rsidR="008C2FE7">
        <w:t>PM&amp;C website</w:t>
      </w:r>
      <w:r w:rsidR="00281AA0">
        <w:t>.</w:t>
      </w:r>
      <w:r>
        <w:t xml:space="preserve"> </w:t>
      </w:r>
    </w:p>
  </w:endnote>
  <w:endnote w:id="65">
    <w:p w14:paraId="0363BD7F" w14:textId="5DBE7795" w:rsidR="00361A1A" w:rsidRDefault="00361A1A" w:rsidP="001A6F70">
      <w:pPr>
        <w:pStyle w:val="FootnoteText"/>
      </w:pPr>
      <w:r>
        <w:endnoteRef/>
      </w:r>
      <w:r>
        <w:t xml:space="preserve"> </w:t>
      </w:r>
      <w:r w:rsidR="008D3829">
        <w:tab/>
      </w:r>
      <w:r w:rsidR="005B4E38">
        <w:t>Organisation for Economic Co</w:t>
      </w:r>
      <w:r w:rsidR="00135DEA">
        <w:noBreakHyphen/>
      </w:r>
      <w:r w:rsidR="005B4E38">
        <w:t xml:space="preserve">operation and Development (2020) </w:t>
      </w:r>
      <w:r w:rsidR="00135DEA">
        <w:t>‘</w:t>
      </w:r>
      <w:hyperlink r:id="rId61" w:anchor="chapter-d1e21977" w:history="1">
        <w:r w:rsidR="003D5430" w:rsidRPr="00FE7549">
          <w:t>16. So</w:t>
        </w:r>
        <w:bookmarkStart w:id="90" w:name="_Hlt140500474"/>
        <w:bookmarkStart w:id="91" w:name="_Hlt140500475"/>
        <w:r w:rsidR="003D5430" w:rsidRPr="00FE7549">
          <w:t>c</w:t>
        </w:r>
        <w:bookmarkEnd w:id="90"/>
        <w:bookmarkEnd w:id="91"/>
        <w:r w:rsidR="003D5430" w:rsidRPr="00FE7549">
          <w:t>ial Capital</w:t>
        </w:r>
        <w:r w:rsidR="00135DEA">
          <w:t>’</w:t>
        </w:r>
      </w:hyperlink>
      <w:r w:rsidR="003D5430">
        <w:t xml:space="preserve">, </w:t>
      </w:r>
      <w:r w:rsidR="003D5430">
        <w:rPr>
          <w:i/>
          <w:iCs/>
        </w:rPr>
        <w:t>How</w:t>
      </w:r>
      <w:r w:rsidR="00135DEA">
        <w:rPr>
          <w:i/>
          <w:iCs/>
        </w:rPr>
        <w:t>’</w:t>
      </w:r>
      <w:r w:rsidR="003D5430">
        <w:rPr>
          <w:i/>
          <w:iCs/>
        </w:rPr>
        <w:t>s life 2020 Measuring Well</w:t>
      </w:r>
      <w:r w:rsidR="00135DEA">
        <w:rPr>
          <w:i/>
          <w:iCs/>
        </w:rPr>
        <w:noBreakHyphen/>
      </w:r>
      <w:r w:rsidR="003D5430">
        <w:rPr>
          <w:i/>
          <w:iCs/>
        </w:rPr>
        <w:t>being</w:t>
      </w:r>
      <w:r w:rsidR="003D5430">
        <w:t xml:space="preserve">, </w:t>
      </w:r>
      <w:r w:rsidR="00FE7549">
        <w:t>OECD</w:t>
      </w:r>
      <w:r w:rsidR="00637731">
        <w:t xml:space="preserve"> website</w:t>
      </w:r>
      <w:r w:rsidR="00FE7549">
        <w:t>, accessed 11 July 2023</w:t>
      </w:r>
      <w:r w:rsidR="00281AA0">
        <w:t>.</w:t>
      </w:r>
    </w:p>
  </w:endnote>
  <w:endnote w:id="66">
    <w:p w14:paraId="596C3309" w14:textId="117871D9" w:rsidR="009E0F68" w:rsidRDefault="009E0F68" w:rsidP="001A6F70">
      <w:pPr>
        <w:pStyle w:val="FootnoteText"/>
      </w:pPr>
      <w:r>
        <w:endnoteRef/>
      </w:r>
      <w:r>
        <w:t xml:space="preserve"> </w:t>
      </w:r>
      <w:r w:rsidR="008D3829">
        <w:tab/>
      </w:r>
      <w:r w:rsidR="00591FB1">
        <w:t>Commonwealth</w:t>
      </w:r>
      <w:r>
        <w:t xml:space="preserve"> </w:t>
      </w:r>
      <w:r w:rsidR="00EE75D3">
        <w:t>parliamentary library (2023)</w:t>
      </w:r>
      <w:r w:rsidR="00591FB1">
        <w:t xml:space="preserve"> </w:t>
      </w:r>
      <w:r w:rsidR="00135DEA">
        <w:t>‘</w:t>
      </w:r>
      <w:r w:rsidR="00591FB1" w:rsidRPr="00185EEF">
        <w:t>Gender composition in Australian parliaments by party and chamber: As at 1 May 2023</w:t>
      </w:r>
      <w:r w:rsidR="00135DEA">
        <w:t>’</w:t>
      </w:r>
      <w:r w:rsidR="00591FB1" w:rsidRPr="006A09BE">
        <w:t>,</w:t>
      </w:r>
      <w:r w:rsidR="00591FB1">
        <w:t xml:space="preserve"> </w:t>
      </w:r>
      <w:hyperlink r:id="rId62" w:history="1">
        <w:r w:rsidR="00D61439" w:rsidRPr="00185EEF">
          <w:rPr>
            <w:i/>
          </w:rPr>
          <w:t>Gender composition of Au</w:t>
        </w:r>
        <w:bookmarkStart w:id="92" w:name="_Hlt140500718"/>
        <w:bookmarkStart w:id="93" w:name="_Hlt140500719"/>
        <w:r w:rsidR="00D61439" w:rsidRPr="00185EEF">
          <w:rPr>
            <w:i/>
          </w:rPr>
          <w:t>s</w:t>
        </w:r>
        <w:bookmarkEnd w:id="92"/>
        <w:bookmarkEnd w:id="93"/>
        <w:r w:rsidR="00D61439" w:rsidRPr="00185EEF">
          <w:rPr>
            <w:i/>
          </w:rPr>
          <w:t>tralian parliaments by party: a quick guide</w:t>
        </w:r>
      </w:hyperlink>
      <w:r w:rsidR="006A09BE">
        <w:t xml:space="preserve">, </w:t>
      </w:r>
      <w:r w:rsidR="0029471E">
        <w:t xml:space="preserve">Parliament of Australia </w:t>
      </w:r>
      <w:r w:rsidR="00E753D5">
        <w:t>website</w:t>
      </w:r>
    </w:p>
  </w:endnote>
  <w:endnote w:id="67">
    <w:p w14:paraId="65E86F70" w14:textId="229316D2" w:rsidR="00735243" w:rsidRDefault="00735243" w:rsidP="001A6F70">
      <w:pPr>
        <w:pStyle w:val="FootnoteText"/>
      </w:pPr>
      <w:r>
        <w:endnoteRef/>
      </w:r>
      <w:r>
        <w:t xml:space="preserve"> </w:t>
      </w:r>
      <w:r w:rsidR="008D3829">
        <w:tab/>
      </w:r>
      <w:r w:rsidR="00DE3F60">
        <w:t>Organisation for Economic Co</w:t>
      </w:r>
      <w:r w:rsidR="00135DEA">
        <w:noBreakHyphen/>
      </w:r>
      <w:r w:rsidR="00DE3F60">
        <w:t xml:space="preserve">operation and Development, (2023) </w:t>
      </w:r>
      <w:hyperlink r:id="rId63" w:history="1">
        <w:r w:rsidR="00DE3F60" w:rsidRPr="00A17238">
          <w:rPr>
            <w:i/>
            <w:iCs/>
          </w:rPr>
          <w:t>Women in po</w:t>
        </w:r>
        <w:bookmarkStart w:id="94" w:name="_Hlt140500735"/>
        <w:bookmarkStart w:id="95" w:name="_Hlt140500736"/>
        <w:r w:rsidR="00DE3F60" w:rsidRPr="00A17238">
          <w:rPr>
            <w:i/>
            <w:iCs/>
          </w:rPr>
          <w:t>l</w:t>
        </w:r>
        <w:bookmarkEnd w:id="94"/>
        <w:bookmarkEnd w:id="95"/>
        <w:r w:rsidR="00DE3F60" w:rsidRPr="00A17238">
          <w:rPr>
            <w:i/>
            <w:iCs/>
          </w:rPr>
          <w:t>itics (indicator)</w:t>
        </w:r>
        <w:r w:rsidR="00DE3F60" w:rsidRPr="00A17238">
          <w:t>,</w:t>
        </w:r>
      </w:hyperlink>
      <w:r w:rsidR="00DE3F60">
        <w:t xml:space="preserve"> OECD website, accessed 10 July 2023.</w:t>
      </w:r>
    </w:p>
  </w:endnote>
  <w:endnote w:id="68">
    <w:p w14:paraId="1FE54FBA" w14:textId="76E70941" w:rsidR="000C67F9" w:rsidRPr="006B5813" w:rsidRDefault="000C67F9" w:rsidP="001A6F70">
      <w:pPr>
        <w:pStyle w:val="FootnoteText"/>
      </w:pPr>
      <w:r w:rsidRPr="006B5813">
        <w:endnoteRef/>
      </w:r>
      <w:r w:rsidRPr="006B5813">
        <w:t xml:space="preserve"> </w:t>
      </w:r>
      <w:r w:rsidR="008D3829">
        <w:tab/>
      </w:r>
      <w:r w:rsidR="007D3F6E">
        <w:t>Percapita (2019)</w:t>
      </w:r>
      <w:r w:rsidR="00B75EC5">
        <w:t>,</w:t>
      </w:r>
      <w:r w:rsidR="007D3F6E">
        <w:t xml:space="preserve"> </w:t>
      </w:r>
      <w:hyperlink r:id="rId64" w:history="1">
        <w:r w:rsidR="00B75EC5" w:rsidRPr="00B75EC5">
          <w:t>C</w:t>
        </w:r>
        <w:r w:rsidRPr="00B75EC5">
          <w:t>omparative research study on Federal parliamentarians cultural diversity, gender, and a number of other demographics</w:t>
        </w:r>
      </w:hyperlink>
      <w:r w:rsidR="00D674E6">
        <w:t>, accessed 10 July 2023.</w:t>
      </w:r>
      <w:r w:rsidR="008D3829">
        <w:br/>
      </w:r>
      <w:r w:rsidR="00D674E6">
        <w:t xml:space="preserve">Percapita (2022), </w:t>
      </w:r>
      <w:hyperlink r:id="rId65" w:history="1">
        <w:r w:rsidR="00D674E6" w:rsidRPr="00B75EC5">
          <w:t>Comparative research study on Federal parliamentarians cultural diversity, gender, and a number of other demographics</w:t>
        </w:r>
      </w:hyperlink>
      <w:r w:rsidR="00D674E6">
        <w:t>, accessed 10 July 2023.</w:t>
      </w:r>
    </w:p>
  </w:endnote>
  <w:endnote w:id="69">
    <w:p w14:paraId="37EF110E" w14:textId="02C39BC0" w:rsidR="002F6209" w:rsidRPr="00470153" w:rsidRDefault="002F6209" w:rsidP="001A6F70">
      <w:pPr>
        <w:pStyle w:val="FootnoteText"/>
        <w:rPr>
          <w:i/>
        </w:rPr>
      </w:pPr>
      <w:r>
        <w:endnoteRef/>
      </w:r>
      <w:r>
        <w:t xml:space="preserve"> </w:t>
      </w:r>
      <w:r w:rsidR="008D3829">
        <w:tab/>
      </w:r>
      <w:r w:rsidRPr="00C22730">
        <w:t>Taskforce Community Agency</w:t>
      </w:r>
      <w:r>
        <w:t xml:space="preserve"> (2023) </w:t>
      </w:r>
      <w:hyperlink r:id="rId66" w:history="1">
        <w:r w:rsidRPr="00470153">
          <w:rPr>
            <w:i/>
            <w:iCs/>
          </w:rPr>
          <w:t>Measuring What Matters Submission by Task</w:t>
        </w:r>
        <w:r>
          <w:rPr>
            <w:i/>
            <w:iCs/>
          </w:rPr>
          <w:t>f</w:t>
        </w:r>
        <w:r w:rsidRPr="00470153">
          <w:rPr>
            <w:i/>
            <w:iCs/>
          </w:rPr>
          <w:t>orce Community Agency</w:t>
        </w:r>
      </w:hyperlink>
      <w:r>
        <w:t>,</w:t>
      </w:r>
      <w:r w:rsidRPr="00470153">
        <w:rPr>
          <w:i/>
          <w:iCs/>
        </w:rPr>
        <w:t xml:space="preserve"> </w:t>
      </w:r>
      <w:r>
        <w:t xml:space="preserve">Submission to </w:t>
      </w:r>
      <w:r w:rsidRPr="00E310D9">
        <w:rPr>
          <w:i/>
        </w:rPr>
        <w:t>Measuring What Matters</w:t>
      </w:r>
      <w:r>
        <w:t xml:space="preserve">, Department of Treasury, accessed 28 June 2023. </w:t>
      </w:r>
    </w:p>
  </w:endnote>
  <w:endnote w:id="70">
    <w:p w14:paraId="40DD9038" w14:textId="33852582" w:rsidR="00486B54" w:rsidRDefault="00486B54" w:rsidP="001A6F70">
      <w:pPr>
        <w:pStyle w:val="FootnoteText"/>
      </w:pPr>
      <w:r>
        <w:endnoteRef/>
      </w:r>
      <w:r>
        <w:t xml:space="preserve"> </w:t>
      </w:r>
      <w:r w:rsidR="008D3829">
        <w:tab/>
      </w:r>
      <w:r w:rsidR="00CC0CF6">
        <w:t>Organisation for Economic Co</w:t>
      </w:r>
      <w:r w:rsidR="00135DEA">
        <w:noBreakHyphen/>
      </w:r>
      <w:r w:rsidR="00CC0CF6">
        <w:t>operation and Development</w:t>
      </w:r>
      <w:r>
        <w:t xml:space="preserve"> Data (2020) </w:t>
      </w:r>
      <w:hyperlink r:id="rId67" w:history="1">
        <w:r w:rsidRPr="00964778">
          <w:rPr>
            <w:i/>
          </w:rPr>
          <w:t>Incom</w:t>
        </w:r>
        <w:bookmarkStart w:id="99" w:name="_Hlt140500799"/>
        <w:bookmarkStart w:id="100" w:name="_Hlt140500800"/>
        <w:r w:rsidRPr="00964778">
          <w:rPr>
            <w:i/>
          </w:rPr>
          <w:t>e</w:t>
        </w:r>
        <w:bookmarkEnd w:id="99"/>
        <w:bookmarkEnd w:id="100"/>
        <w:r w:rsidRPr="00964778">
          <w:rPr>
            <w:i/>
          </w:rPr>
          <w:t xml:space="preserve"> inequality</w:t>
        </w:r>
      </w:hyperlink>
      <w:r>
        <w:t xml:space="preserve">, </w:t>
      </w:r>
      <w:r w:rsidR="002D74B8">
        <w:t>OECD</w:t>
      </w:r>
      <w:r w:rsidR="006E2F61">
        <w:t xml:space="preserve"> website</w:t>
      </w:r>
      <w:r w:rsidR="002D74B8">
        <w:t xml:space="preserve">, </w:t>
      </w:r>
      <w:r>
        <w:t>accessed 03 July 2023.</w:t>
      </w:r>
    </w:p>
  </w:endnote>
  <w:endnote w:id="71">
    <w:p w14:paraId="72737BA8" w14:textId="57E5330F" w:rsidR="00AB06E2" w:rsidRDefault="00AB06E2" w:rsidP="001A6F70">
      <w:pPr>
        <w:pStyle w:val="FootnoteText"/>
      </w:pPr>
      <w:r>
        <w:endnoteRef/>
      </w:r>
      <w:r w:rsidR="00BE29BF">
        <w:t xml:space="preserve"> </w:t>
      </w:r>
      <w:r w:rsidR="008D3829">
        <w:tab/>
      </w:r>
      <w:r w:rsidR="00BE29BF">
        <w:t xml:space="preserve">Australian Early Development Census National Report (2021) </w:t>
      </w:r>
      <w:hyperlink r:id="rId68" w:history="1">
        <w:r w:rsidR="00BE29BF" w:rsidRPr="004F0DA3">
          <w:rPr>
            <w:i/>
            <w:iCs/>
          </w:rPr>
          <w:t>AEDC 2021 National Report</w:t>
        </w:r>
      </w:hyperlink>
      <w:r w:rsidR="00BE29BF" w:rsidRPr="002B6B68">
        <w:rPr>
          <w:i/>
          <w:iCs/>
        </w:rPr>
        <w:t>,</w:t>
      </w:r>
      <w:r w:rsidR="00BE29BF">
        <w:t xml:space="preserve"> </w:t>
      </w:r>
      <w:r w:rsidR="006F1C32">
        <w:t>AEDC</w:t>
      </w:r>
      <w:r w:rsidR="00F74ABD">
        <w:t xml:space="preserve"> website, </w:t>
      </w:r>
      <w:r w:rsidR="00BE29BF">
        <w:t>accessed 22 June 2023.</w:t>
      </w:r>
    </w:p>
  </w:endnote>
  <w:endnote w:id="72">
    <w:p w14:paraId="550C8195" w14:textId="54028299" w:rsidR="00995CD7" w:rsidRDefault="00995CD7" w:rsidP="001A6F70">
      <w:pPr>
        <w:pStyle w:val="FootnoteText"/>
      </w:pPr>
      <w:r>
        <w:endnoteRef/>
      </w:r>
      <w:r>
        <w:t xml:space="preserve"> </w:t>
      </w:r>
      <w:r w:rsidR="008D3829">
        <w:tab/>
      </w:r>
      <w:r w:rsidR="005C172E">
        <w:t xml:space="preserve">Productivity Commission notes that </w:t>
      </w:r>
      <w:r w:rsidR="00135DEA">
        <w:t>“</w:t>
      </w:r>
      <w:r w:rsidR="005C172E">
        <w:t>declines in Australia</w:t>
      </w:r>
      <w:r w:rsidR="00135DEA">
        <w:t>’</w:t>
      </w:r>
      <w:r w:rsidR="005C172E">
        <w:t>s results in international testing of reading and mathematics among 15 year old students likely overstate the deterioration of these skills among that age group</w:t>
      </w:r>
      <w:r w:rsidR="00135DEA">
        <w:t>”</w:t>
      </w:r>
      <w:r w:rsidR="005C172E">
        <w:t xml:space="preserve"> because of these changes. </w:t>
      </w:r>
      <w:r w:rsidR="009030E2">
        <w:t xml:space="preserve">See </w:t>
      </w:r>
      <w:r>
        <w:t xml:space="preserve">Productivity Commission (2022), </w:t>
      </w:r>
      <w:hyperlink r:id="rId69" w:history="1">
        <w:r w:rsidRPr="004F0DA3">
          <w:rPr>
            <w:i/>
          </w:rPr>
          <w:t>Study report</w:t>
        </w:r>
        <w:r w:rsidR="00135DEA">
          <w:rPr>
            <w:i/>
          </w:rPr>
          <w:t xml:space="preserve"> – </w:t>
        </w:r>
        <w:r w:rsidRPr="004F0DA3">
          <w:rPr>
            <w:i/>
          </w:rPr>
          <w:t>Review of the National School Reform Agreement</w:t>
        </w:r>
      </w:hyperlink>
      <w:r>
        <w:t xml:space="preserve">, </w:t>
      </w:r>
      <w:r w:rsidR="001C702B">
        <w:t>PC website</w:t>
      </w:r>
      <w:r>
        <w:t>.</w:t>
      </w:r>
    </w:p>
  </w:endnote>
  <w:endnote w:id="73">
    <w:p w14:paraId="122E5583" w14:textId="7354F9DC" w:rsidR="00A0364F" w:rsidRDefault="00A0364F" w:rsidP="001A6F70">
      <w:pPr>
        <w:pStyle w:val="FootnoteText"/>
      </w:pPr>
      <w:r>
        <w:endnoteRef/>
      </w:r>
      <w:r>
        <w:t xml:space="preserve"> </w:t>
      </w:r>
      <w:r w:rsidR="008D3829">
        <w:tab/>
      </w:r>
      <w:hyperlink r:id="rId70" w:history="1">
        <w:r w:rsidRPr="004F0DA3">
          <w:rPr>
            <w:i/>
            <w:iCs/>
            <w:shd w:val="clear" w:color="auto" w:fill="FFFFFF"/>
            <w:lang w:val="en-GB"/>
          </w:rPr>
          <w:t>Australian Digital Inclusion Index</w:t>
        </w:r>
      </w:hyperlink>
      <w:r w:rsidR="00D65933">
        <w:rPr>
          <w:shd w:val="clear" w:color="auto" w:fill="FFFFFF"/>
          <w:lang w:val="en-GB"/>
        </w:rPr>
        <w:t xml:space="preserve">, </w:t>
      </w:r>
      <w:r w:rsidR="00AC15EA">
        <w:rPr>
          <w:shd w:val="clear" w:color="auto" w:fill="FFFFFF"/>
          <w:lang w:val="en-GB"/>
        </w:rPr>
        <w:t xml:space="preserve">ADII website, access </w:t>
      </w:r>
      <w:r w:rsidR="00FA6070">
        <w:rPr>
          <w:shd w:val="clear" w:color="auto" w:fill="FFFFFF"/>
          <w:lang w:val="en-GB"/>
        </w:rPr>
        <w:t>19</w:t>
      </w:r>
      <w:r w:rsidR="00AC15EA">
        <w:rPr>
          <w:shd w:val="clear" w:color="auto" w:fill="FFFFFF"/>
          <w:lang w:val="en-GB"/>
        </w:rPr>
        <w:t xml:space="preserve"> July 2023</w:t>
      </w:r>
      <w:r w:rsidR="00C554B5">
        <w:rPr>
          <w:shd w:val="clear" w:color="auto" w:fill="FFFFFF"/>
          <w:lang w:val="en-GB"/>
        </w:rPr>
        <w:t>.</w:t>
      </w:r>
    </w:p>
  </w:endnote>
  <w:endnote w:id="74">
    <w:p w14:paraId="486F30DC" w14:textId="401EFDEC" w:rsidR="00F50170" w:rsidRPr="00737F3B" w:rsidRDefault="00F50170" w:rsidP="001A6F70">
      <w:pPr>
        <w:pStyle w:val="FootnoteText"/>
      </w:pPr>
      <w:r>
        <w:endnoteRef/>
      </w:r>
      <w:r w:rsidRPr="00737F3B">
        <w:t xml:space="preserve"> </w:t>
      </w:r>
      <w:r w:rsidR="008D3829">
        <w:tab/>
      </w:r>
      <w:r w:rsidR="00E454E1" w:rsidRPr="00737F3B">
        <w:t xml:space="preserve">Australian </w:t>
      </w:r>
      <w:r w:rsidR="00555F60" w:rsidRPr="00737F3B">
        <w:t>S</w:t>
      </w:r>
      <w:r w:rsidR="00E454E1" w:rsidRPr="00737F3B">
        <w:t>mall Busin</w:t>
      </w:r>
      <w:r w:rsidR="00555F60" w:rsidRPr="00737F3B">
        <w:t xml:space="preserve">ess and Family </w:t>
      </w:r>
      <w:r w:rsidR="00944F04" w:rsidRPr="00737F3B">
        <w:t xml:space="preserve">Enterprise Ombudsman (2023), </w:t>
      </w:r>
      <w:hyperlink r:id="rId71" w:history="1">
        <w:r w:rsidR="00944F04" w:rsidRPr="00197490">
          <w:rPr>
            <w:i/>
          </w:rPr>
          <w:t>Small Business Matters</w:t>
        </w:r>
      </w:hyperlink>
      <w:r w:rsidR="00197490">
        <w:rPr>
          <w:iCs/>
        </w:rPr>
        <w:t>,</w:t>
      </w:r>
      <w:r w:rsidR="00A94D27">
        <w:rPr>
          <w:iCs/>
        </w:rPr>
        <w:t xml:space="preserve"> ASB</w:t>
      </w:r>
      <w:r w:rsidR="00C63229">
        <w:rPr>
          <w:iCs/>
        </w:rPr>
        <w:t>FEO website</w:t>
      </w:r>
      <w:r w:rsidR="00C36B90" w:rsidRPr="00737F3B">
        <w:t>.</w:t>
      </w:r>
    </w:p>
  </w:endnote>
  <w:endnote w:id="75">
    <w:p w14:paraId="6613C2FA" w14:textId="0E3F4E78" w:rsidR="006B61DD" w:rsidRDefault="006B61DD" w:rsidP="001A6F70">
      <w:pPr>
        <w:pStyle w:val="FootnoteText"/>
      </w:pPr>
      <w:r>
        <w:endnoteRef/>
      </w:r>
      <w:r>
        <w:t xml:space="preserve"> </w:t>
      </w:r>
      <w:r w:rsidR="008D3829">
        <w:tab/>
      </w:r>
      <w:r w:rsidR="00CC0CF6">
        <w:t>Organisation for Economic Co</w:t>
      </w:r>
      <w:r w:rsidR="00135DEA">
        <w:noBreakHyphen/>
      </w:r>
      <w:r w:rsidR="00CC0CF6">
        <w:t>operation and Development</w:t>
      </w:r>
      <w:r>
        <w:t xml:space="preserve"> (2021), </w:t>
      </w:r>
      <w:hyperlink r:id="rId72" w:history="1">
        <w:r w:rsidRPr="004F0DA3">
          <w:rPr>
            <w:i/>
          </w:rPr>
          <w:t>Measuring What Matters for Child Well</w:t>
        </w:r>
        <w:r w:rsidR="00135DEA">
          <w:rPr>
            <w:i/>
          </w:rPr>
          <w:noBreakHyphen/>
        </w:r>
        <w:r w:rsidRPr="004F0DA3">
          <w:rPr>
            <w:i/>
          </w:rPr>
          <w:t>being and Policies</w:t>
        </w:r>
      </w:hyperlink>
      <w:r w:rsidR="00311738">
        <w:t>, OECD website</w:t>
      </w:r>
    </w:p>
  </w:endnote>
  <w:endnote w:id="76">
    <w:p w14:paraId="29CA0916" w14:textId="0C611B14" w:rsidR="00445342" w:rsidRDefault="00445342" w:rsidP="001A6F70">
      <w:pPr>
        <w:pStyle w:val="FootnoteText"/>
      </w:pPr>
      <w:r>
        <w:endnoteRef/>
      </w:r>
      <w:r>
        <w:t xml:space="preserve"> </w:t>
      </w:r>
      <w:r w:rsidR="003D3424">
        <w:tab/>
      </w:r>
      <w:r w:rsidR="00726F36" w:rsidRPr="00561C73">
        <w:t>Australian Research Alliance for Children and Youth</w:t>
      </w:r>
      <w:r w:rsidR="00726F36" w:rsidRPr="00561C73" w:rsidDel="00561C73">
        <w:t xml:space="preserve"> </w:t>
      </w:r>
      <w:r w:rsidR="00726F36">
        <w:t xml:space="preserve">and UNICEF Australia (2023), </w:t>
      </w:r>
      <w:hyperlink r:id="rId73" w:history="1">
        <w:r w:rsidR="00726F36" w:rsidRPr="004F0DA3">
          <w:rPr>
            <w:i/>
          </w:rPr>
          <w:t>The We</w:t>
        </w:r>
        <w:bookmarkStart w:id="107" w:name="_Hlt140501188"/>
        <w:bookmarkStart w:id="108" w:name="_Hlt140501189"/>
        <w:r w:rsidR="00726F36" w:rsidRPr="004F0DA3">
          <w:rPr>
            <w:i/>
          </w:rPr>
          <w:t>l</w:t>
        </w:r>
        <w:bookmarkEnd w:id="107"/>
        <w:bookmarkEnd w:id="108"/>
        <w:r w:rsidR="00726F36" w:rsidRPr="004F0DA3">
          <w:rPr>
            <w:i/>
          </w:rPr>
          <w:t>lbeing of Australia</w:t>
        </w:r>
        <w:r w:rsidR="00135DEA">
          <w:rPr>
            <w:i/>
          </w:rPr>
          <w:t>’</w:t>
        </w:r>
        <w:r w:rsidR="00726F36" w:rsidRPr="004F0DA3">
          <w:rPr>
            <w:i/>
          </w:rPr>
          <w:t>s Children</w:t>
        </w:r>
      </w:hyperlink>
      <w:r w:rsidR="00726F36">
        <w:t>, UNICEF website</w:t>
      </w:r>
    </w:p>
  </w:endnote>
  <w:endnote w:id="77">
    <w:p w14:paraId="76DA8D14" w14:textId="11B611B6" w:rsidR="00FA1413" w:rsidRDefault="00FA1413" w:rsidP="001A6F70">
      <w:pPr>
        <w:pStyle w:val="FootnoteText"/>
      </w:pPr>
      <w:r>
        <w:endnoteRef/>
      </w:r>
      <w:r>
        <w:t xml:space="preserve"> </w:t>
      </w:r>
      <w:r w:rsidR="008D3829">
        <w:tab/>
      </w:r>
      <w:r w:rsidR="001524A0">
        <w:t>New Zealand</w:t>
      </w:r>
      <w:r w:rsidR="00726F36">
        <w:t xml:space="preserve"> Government (2019), </w:t>
      </w:r>
      <w:hyperlink r:id="rId74" w:history="1">
        <w:r w:rsidR="00726F36" w:rsidRPr="004F0DA3">
          <w:rPr>
            <w:i/>
          </w:rPr>
          <w:t>Child and Youth Wellb</w:t>
        </w:r>
        <w:bookmarkStart w:id="109" w:name="_Hlt140501203"/>
        <w:bookmarkStart w:id="110" w:name="_Hlt140501204"/>
        <w:r w:rsidR="00726F36" w:rsidRPr="004F0DA3">
          <w:rPr>
            <w:i/>
          </w:rPr>
          <w:t>e</w:t>
        </w:r>
        <w:bookmarkEnd w:id="109"/>
        <w:bookmarkEnd w:id="110"/>
        <w:r w:rsidR="00726F36" w:rsidRPr="004F0DA3">
          <w:rPr>
            <w:i/>
          </w:rPr>
          <w:t>ing Strategy</w:t>
        </w:r>
      </w:hyperlink>
      <w:r w:rsidR="00726F36">
        <w:t xml:space="preserve">, DPM&amp;C </w:t>
      </w:r>
      <w:r w:rsidR="001524A0">
        <w:t>New Zealand</w:t>
      </w:r>
      <w:r w:rsidR="00726F36">
        <w:t xml:space="preserve"> website;</w:t>
      </w:r>
    </w:p>
  </w:endnote>
  <w:endnote w:id="78">
    <w:p w14:paraId="51E34EFA" w14:textId="260A79BA" w:rsidR="00FA1413" w:rsidRDefault="00FA1413" w:rsidP="001A6F70">
      <w:pPr>
        <w:pStyle w:val="FootnoteText"/>
      </w:pPr>
      <w:r>
        <w:endnoteRef/>
      </w:r>
      <w:r>
        <w:t xml:space="preserve"> </w:t>
      </w:r>
      <w:r w:rsidR="008D3829">
        <w:tab/>
      </w:r>
      <w:r w:rsidR="00726F36">
        <w:t xml:space="preserve">Commissioner for Children and Young People Western Australia (n.d.), </w:t>
      </w:r>
      <w:hyperlink r:id="rId75" w:history="1">
        <w:r w:rsidR="00726F36" w:rsidRPr="004F0DA3">
          <w:rPr>
            <w:i/>
          </w:rPr>
          <w:t>Indicators of W</w:t>
        </w:r>
        <w:bookmarkStart w:id="111" w:name="_Hlt140501300"/>
        <w:bookmarkStart w:id="112" w:name="_Hlt140501301"/>
        <w:r w:rsidR="00726F36" w:rsidRPr="004F0DA3">
          <w:rPr>
            <w:i/>
          </w:rPr>
          <w:t>e</w:t>
        </w:r>
        <w:bookmarkEnd w:id="111"/>
        <w:bookmarkEnd w:id="112"/>
        <w:r w:rsidR="00726F36" w:rsidRPr="004F0DA3">
          <w:rPr>
            <w:i/>
          </w:rPr>
          <w:t>llbeing</w:t>
        </w:r>
      </w:hyperlink>
      <w:r w:rsidR="00726F36">
        <w:t>,</w:t>
      </w:r>
      <w:r w:rsidR="00F00A11" w:rsidRPr="00F00A11">
        <w:t xml:space="preserve"> </w:t>
      </w:r>
      <w:r w:rsidR="00F00A11">
        <w:t xml:space="preserve">CCYP webpage, accessed 25 June 2023; Queensland Government (2020), </w:t>
      </w:r>
      <w:hyperlink r:id="rId76" w:history="1">
        <w:r w:rsidR="00F00A11" w:rsidRPr="004F0DA3">
          <w:rPr>
            <w:i/>
            <w:iCs/>
          </w:rPr>
          <w:t>Early Years Plan</w:t>
        </w:r>
      </w:hyperlink>
      <w:r w:rsidR="00F00A11">
        <w:t xml:space="preserve">, </w:t>
      </w:r>
      <w:r w:rsidR="00F00A11" w:rsidRPr="00F00A11">
        <w:t>Education Qld website.</w:t>
      </w:r>
    </w:p>
  </w:endnote>
  <w:endnote w:id="79">
    <w:p w14:paraId="7D0887AB" w14:textId="092412A8" w:rsidR="00783157" w:rsidRDefault="00783157" w:rsidP="001A6F70">
      <w:pPr>
        <w:pStyle w:val="FootnoteText"/>
      </w:pPr>
      <w:r>
        <w:endnoteRef/>
      </w:r>
      <w:r>
        <w:t xml:space="preserve"> </w:t>
      </w:r>
      <w:r w:rsidR="008D3829">
        <w:tab/>
      </w:r>
      <w:r w:rsidR="00D3306B">
        <w:t xml:space="preserve">Department of Health and Aged Care (2023), </w:t>
      </w:r>
      <w:hyperlink r:id="rId77" w:history="1">
        <w:r w:rsidR="00D3306B" w:rsidRPr="004F0DA3">
          <w:rPr>
            <w:i/>
          </w:rPr>
          <w:t>Childhood im</w:t>
        </w:r>
        <w:bookmarkStart w:id="113" w:name="_Hlt140501506"/>
        <w:bookmarkStart w:id="114" w:name="_Hlt140501507"/>
        <w:r w:rsidR="00D3306B" w:rsidRPr="004F0DA3">
          <w:rPr>
            <w:i/>
          </w:rPr>
          <w:t>m</w:t>
        </w:r>
        <w:bookmarkEnd w:id="113"/>
        <w:bookmarkEnd w:id="114"/>
        <w:r w:rsidR="00D3306B" w:rsidRPr="004F0DA3">
          <w:rPr>
            <w:i/>
          </w:rPr>
          <w:t>unisation coverage</w:t>
        </w:r>
      </w:hyperlink>
      <w:r w:rsidR="00D3306B">
        <w:t xml:space="preserve">, </w:t>
      </w:r>
      <w:r w:rsidR="003B2F8D">
        <w:t>Health website</w:t>
      </w:r>
      <w:r w:rsidR="009F1247">
        <w:t>,</w:t>
      </w:r>
      <w:r w:rsidR="00D3306B">
        <w:t xml:space="preserve"> accessed 25 June 2023</w:t>
      </w:r>
    </w:p>
  </w:endnote>
  <w:endnote w:id="80">
    <w:p w14:paraId="2E0766F7" w14:textId="6266D68B" w:rsidR="00FF1308" w:rsidRDefault="00FF1308" w:rsidP="001A6F70">
      <w:pPr>
        <w:pStyle w:val="FootnoteText"/>
      </w:pPr>
      <w:r>
        <w:endnoteRef/>
      </w:r>
      <w:r>
        <w:t xml:space="preserve"> </w:t>
      </w:r>
      <w:r w:rsidR="008D3829">
        <w:tab/>
      </w:r>
      <w:r w:rsidRPr="00EC2757">
        <w:t>Australian Institute of Health and Welfare</w:t>
      </w:r>
      <w:r w:rsidRPr="00EC2757" w:rsidDel="00EC2757">
        <w:t xml:space="preserve"> </w:t>
      </w:r>
      <w:r>
        <w:t xml:space="preserve">(2022), </w:t>
      </w:r>
      <w:hyperlink r:id="rId78" w:history="1">
        <w:r w:rsidRPr="004F0DA3">
          <w:rPr>
            <w:i/>
          </w:rPr>
          <w:t>Australi</w:t>
        </w:r>
        <w:bookmarkStart w:id="115" w:name="_Hlt140501849"/>
        <w:bookmarkStart w:id="116" w:name="_Hlt140501850"/>
        <w:r w:rsidRPr="004F0DA3">
          <w:rPr>
            <w:i/>
          </w:rPr>
          <w:t>a</w:t>
        </w:r>
        <w:bookmarkEnd w:id="115"/>
        <w:bookmarkEnd w:id="116"/>
        <w:r w:rsidR="00135DEA">
          <w:rPr>
            <w:i/>
          </w:rPr>
          <w:t>’</w:t>
        </w:r>
        <w:r w:rsidRPr="004F0DA3">
          <w:rPr>
            <w:i/>
          </w:rPr>
          <w:t>s mothers and babies</w:t>
        </w:r>
      </w:hyperlink>
      <w:r>
        <w:t>, accessed 25</w:t>
      </w:r>
      <w:r w:rsidR="00A80D08">
        <w:t> </w:t>
      </w:r>
      <w:r>
        <w:t>June 2023.</w:t>
      </w:r>
    </w:p>
  </w:endnote>
  <w:endnote w:id="81">
    <w:p w14:paraId="641A6D41" w14:textId="55B10DF9" w:rsidR="00A83D84" w:rsidRDefault="00A83D84" w:rsidP="003D3424">
      <w:pPr>
        <w:pStyle w:val="FootnoteText"/>
      </w:pPr>
      <w:r>
        <w:endnoteRef/>
      </w:r>
      <w:r>
        <w:t xml:space="preserve"> </w:t>
      </w:r>
      <w:r w:rsidR="008D3829">
        <w:tab/>
      </w:r>
      <w:r w:rsidR="00DA57A6">
        <w:t>Australian Bureau of Statistics</w:t>
      </w:r>
      <w:r w:rsidR="00DA57A6" w:rsidDel="00DA57A6">
        <w:t xml:space="preserve"> </w:t>
      </w:r>
      <w:r>
        <w:t xml:space="preserve">(2018), </w:t>
      </w:r>
      <w:r w:rsidR="00135DEA">
        <w:t>‘</w:t>
      </w:r>
      <w:r>
        <w:t>table 17.3 C</w:t>
      </w:r>
      <w:r w:rsidRPr="00B928E3">
        <w:t>hildren</w:t>
      </w:r>
      <w:r w:rsidR="00135DEA">
        <w:t>’</w:t>
      </w:r>
      <w:r w:rsidRPr="00B928E3">
        <w:t>s consumption of fruit, vegetables, and selected sugar sweetened and diet drinks</w:t>
      </w:r>
      <w:r>
        <w:t>.</w:t>
      </w:r>
      <w:r w:rsidR="00135DEA">
        <w:t>’</w:t>
      </w:r>
      <w:r w:rsidR="009C0381">
        <w:t xml:space="preserve"> </w:t>
      </w:r>
      <w:hyperlink r:id="rId79" w:anchor="key-statistics" w:history="1">
        <w:r w:rsidR="00A821AE" w:rsidRPr="004F0DA3">
          <w:rPr>
            <w:i/>
          </w:rPr>
          <w:t>National Health Survey 2017</w:t>
        </w:r>
        <w:r w:rsidR="00135DEA">
          <w:rPr>
            <w:i/>
          </w:rPr>
          <w:noBreakHyphen/>
        </w:r>
        <w:r w:rsidR="00A821AE" w:rsidRPr="004F0DA3">
          <w:rPr>
            <w:i/>
          </w:rPr>
          <w:t>18</w:t>
        </w:r>
      </w:hyperlink>
      <w:r w:rsidR="00A821AE">
        <w:t>,</w:t>
      </w:r>
      <w:r w:rsidR="00DA57A6" w:rsidRPr="00DA57A6">
        <w:t xml:space="preserve"> </w:t>
      </w:r>
      <w:r w:rsidR="000A11BE">
        <w:t>ABS website,</w:t>
      </w:r>
      <w:r w:rsidR="00DA57A6" w:rsidRPr="00DA57A6">
        <w:t xml:space="preserve"> </w:t>
      </w:r>
      <w:r w:rsidR="00DA57A6">
        <w:t>accessed 25 June 2023.</w:t>
      </w:r>
    </w:p>
  </w:endnote>
  <w:endnote w:id="82">
    <w:p w14:paraId="4AFEC4E2" w14:textId="3944940B" w:rsidR="00636E1D" w:rsidRDefault="00636E1D" w:rsidP="003D3424">
      <w:pPr>
        <w:pStyle w:val="FootnoteText"/>
      </w:pPr>
      <w:r>
        <w:endnoteRef/>
      </w:r>
      <w:r>
        <w:t xml:space="preserve"> </w:t>
      </w:r>
      <w:r w:rsidR="008D3829">
        <w:tab/>
      </w:r>
      <w:r w:rsidR="00D068A2" w:rsidRPr="00D068A2">
        <w:t>Australian Institute of Health and Welfare</w:t>
      </w:r>
      <w:r w:rsidR="00620078">
        <w:t xml:space="preserve"> </w:t>
      </w:r>
      <w:r w:rsidR="00873315">
        <w:t>(2022), Australia</w:t>
      </w:r>
      <w:r w:rsidR="00135DEA">
        <w:t>’</w:t>
      </w:r>
      <w:r w:rsidR="00873315">
        <w:t xml:space="preserve">s children, </w:t>
      </w:r>
      <w:hyperlink r:id="rId80" w:history="1">
        <w:r w:rsidR="00873315" w:rsidRPr="004F0DA3">
          <w:rPr>
            <w:i/>
          </w:rPr>
          <w:t>Early learning: reading to children</w:t>
        </w:r>
      </w:hyperlink>
      <w:r w:rsidR="00873315">
        <w:t xml:space="preserve">, </w:t>
      </w:r>
      <w:r w:rsidR="000A11BE">
        <w:t xml:space="preserve">AIHW website, </w:t>
      </w:r>
      <w:r w:rsidR="00873315">
        <w:t>accessed 25 June 2023.</w:t>
      </w:r>
    </w:p>
  </w:endnote>
  <w:endnote w:id="83">
    <w:p w14:paraId="642C5917" w14:textId="2C356CCD" w:rsidR="000C29BD" w:rsidRDefault="000C29BD" w:rsidP="003D3424">
      <w:pPr>
        <w:pStyle w:val="FootnoteText"/>
      </w:pPr>
      <w:r>
        <w:endnoteRef/>
      </w:r>
      <w:r>
        <w:t xml:space="preserve"> </w:t>
      </w:r>
      <w:r w:rsidR="008D3829">
        <w:tab/>
      </w:r>
      <w:r w:rsidR="00A1467E" w:rsidRPr="00A1467E">
        <w:t>Australian Children</w:t>
      </w:r>
      <w:r w:rsidR="00135DEA">
        <w:t>’</w:t>
      </w:r>
      <w:r w:rsidR="00A1467E" w:rsidRPr="00A1467E">
        <w:t xml:space="preserve">s Education </w:t>
      </w:r>
      <w:r w:rsidR="00A1467E">
        <w:t>and</w:t>
      </w:r>
      <w:r w:rsidR="00A1467E" w:rsidRPr="00A1467E">
        <w:t xml:space="preserve"> Care Quality Authority</w:t>
      </w:r>
      <w:r>
        <w:t xml:space="preserve"> </w:t>
      </w:r>
      <w:r w:rsidR="00E912BC">
        <w:t xml:space="preserve">(2023), </w:t>
      </w:r>
      <w:hyperlink r:id="rId81" w:history="1">
        <w:r w:rsidRPr="004F0DA3">
          <w:rPr>
            <w:i/>
          </w:rPr>
          <w:t>89% of c</w:t>
        </w:r>
        <w:bookmarkStart w:id="117" w:name="_Hlt140501634"/>
        <w:bookmarkStart w:id="118" w:name="_Hlt140501635"/>
        <w:r w:rsidRPr="004F0DA3">
          <w:rPr>
            <w:i/>
          </w:rPr>
          <w:t>h</w:t>
        </w:r>
        <w:bookmarkEnd w:id="117"/>
        <w:bookmarkEnd w:id="118"/>
        <w:r w:rsidRPr="004F0DA3">
          <w:rPr>
            <w:i/>
          </w:rPr>
          <w:t>ildren</w:t>
        </w:r>
        <w:r w:rsidR="00135DEA">
          <w:rPr>
            <w:i/>
          </w:rPr>
          <w:t>’</w:t>
        </w:r>
        <w:r w:rsidRPr="004F0DA3">
          <w:rPr>
            <w:i/>
          </w:rPr>
          <w:t>s education</w:t>
        </w:r>
        <w:r w:rsidR="00E912BC" w:rsidRPr="004F0DA3">
          <w:rPr>
            <w:i/>
          </w:rPr>
          <w:t xml:space="preserve"> </w:t>
        </w:r>
        <w:r w:rsidRPr="004F0DA3">
          <w:rPr>
            <w:i/>
          </w:rPr>
          <w:t>and</w:t>
        </w:r>
        <w:r w:rsidR="00E912BC" w:rsidRPr="004F0DA3">
          <w:rPr>
            <w:i/>
          </w:rPr>
          <w:t xml:space="preserve"> </w:t>
        </w:r>
        <w:r w:rsidRPr="004F0DA3">
          <w:rPr>
            <w:i/>
          </w:rPr>
          <w:t>care</w:t>
        </w:r>
        <w:r w:rsidR="00E912BC" w:rsidRPr="004F0DA3">
          <w:rPr>
            <w:i/>
          </w:rPr>
          <w:t xml:space="preserve"> </w:t>
        </w:r>
        <w:r w:rsidRPr="004F0DA3">
          <w:rPr>
            <w:i/>
          </w:rPr>
          <w:t>services</w:t>
        </w:r>
        <w:r w:rsidR="00E912BC" w:rsidRPr="004F0DA3">
          <w:rPr>
            <w:i/>
          </w:rPr>
          <w:t xml:space="preserve"> </w:t>
        </w:r>
        <w:r w:rsidRPr="004F0DA3">
          <w:rPr>
            <w:i/>
          </w:rPr>
          <w:t>meeting</w:t>
        </w:r>
        <w:r w:rsidR="00E912BC" w:rsidRPr="004F0DA3">
          <w:rPr>
            <w:i/>
          </w:rPr>
          <w:t xml:space="preserve"> </w:t>
        </w:r>
        <w:r w:rsidRPr="004F0DA3">
          <w:rPr>
            <w:i/>
          </w:rPr>
          <w:t>or</w:t>
        </w:r>
        <w:r w:rsidR="00E912BC" w:rsidRPr="004F0DA3">
          <w:rPr>
            <w:i/>
          </w:rPr>
          <w:t xml:space="preserve"> </w:t>
        </w:r>
        <w:r w:rsidRPr="004F0DA3">
          <w:rPr>
            <w:i/>
          </w:rPr>
          <w:t>exceeding</w:t>
        </w:r>
        <w:r w:rsidR="00E912BC" w:rsidRPr="004F0DA3">
          <w:rPr>
            <w:i/>
          </w:rPr>
          <w:t xml:space="preserve"> </w:t>
        </w:r>
        <w:r w:rsidRPr="004F0DA3">
          <w:rPr>
            <w:i/>
          </w:rPr>
          <w:t>standards</w:t>
        </w:r>
      </w:hyperlink>
      <w:r w:rsidR="00E912BC">
        <w:t>,</w:t>
      </w:r>
      <w:r>
        <w:t xml:space="preserve"> </w:t>
      </w:r>
      <w:r w:rsidR="002136AD">
        <w:t xml:space="preserve">ACECQA website, </w:t>
      </w:r>
      <w:r>
        <w:t>accessed 25 June 2023.</w:t>
      </w:r>
    </w:p>
  </w:endnote>
  <w:endnote w:id="84">
    <w:p w14:paraId="27293FF6" w14:textId="24DA9852" w:rsidR="00D05A71" w:rsidRDefault="00D05A71" w:rsidP="003D3424">
      <w:pPr>
        <w:pStyle w:val="FootnoteText"/>
      </w:pPr>
      <w:r>
        <w:endnoteRef/>
      </w:r>
      <w:r>
        <w:t xml:space="preserve"> </w:t>
      </w:r>
      <w:r w:rsidR="008D3829">
        <w:tab/>
      </w:r>
      <w:r>
        <w:t xml:space="preserve">Australian Early Development Census National Report (2021) </w:t>
      </w:r>
      <w:hyperlink r:id="rId82" w:history="1">
        <w:r w:rsidRPr="004F0DA3">
          <w:rPr>
            <w:i/>
            <w:iCs/>
          </w:rPr>
          <w:t>AEDC 2021 National Report</w:t>
        </w:r>
      </w:hyperlink>
      <w:r w:rsidRPr="002B6B68">
        <w:rPr>
          <w:i/>
          <w:iCs/>
        </w:rPr>
        <w:t>,</w:t>
      </w:r>
      <w:r>
        <w:t xml:space="preserve"> </w:t>
      </w:r>
      <w:r w:rsidR="002136AD">
        <w:t>AEDC website</w:t>
      </w:r>
      <w:r>
        <w:t>.</w:t>
      </w:r>
    </w:p>
  </w:endnote>
  <w:endnote w:id="85">
    <w:p w14:paraId="55739530" w14:textId="416A760B" w:rsidR="00F63735" w:rsidRDefault="00F63735" w:rsidP="003D3424">
      <w:pPr>
        <w:pStyle w:val="FootnoteText"/>
      </w:pPr>
      <w:r>
        <w:endnoteRef/>
      </w:r>
      <w:r>
        <w:t xml:space="preserve"> </w:t>
      </w:r>
      <w:r w:rsidR="008D3829">
        <w:tab/>
      </w:r>
      <w:r w:rsidR="003B2B79">
        <w:t>Organisation for Economic Co</w:t>
      </w:r>
      <w:r w:rsidR="00135DEA">
        <w:noBreakHyphen/>
      </w:r>
      <w:r w:rsidR="003B2B79">
        <w:t>operation and Development</w:t>
      </w:r>
      <w:r>
        <w:t xml:space="preserve"> </w:t>
      </w:r>
      <w:r w:rsidRPr="00224E4A">
        <w:t xml:space="preserve">(2011), </w:t>
      </w:r>
      <w:r w:rsidR="00135DEA">
        <w:t>‘</w:t>
      </w:r>
      <w:hyperlink r:id="rId83" w:history="1">
        <w:r w:rsidRPr="00A65B98">
          <w:t>Compe</w:t>
        </w:r>
        <w:bookmarkStart w:id="134" w:name="_Hlt140501905"/>
        <w:bookmarkStart w:id="135" w:name="_Hlt140501906"/>
        <w:r w:rsidRPr="00A65B98">
          <w:t>n</w:t>
        </w:r>
        <w:bookmarkEnd w:id="134"/>
        <w:bookmarkEnd w:id="135"/>
        <w:r w:rsidRPr="00A65B98">
          <w:t>dium of</w:t>
        </w:r>
        <w:bookmarkStart w:id="136" w:name="_Hlt140501709"/>
        <w:r w:rsidRPr="00A65B98">
          <w:t xml:space="preserve"> </w:t>
        </w:r>
        <w:bookmarkEnd w:id="136"/>
        <w:r w:rsidRPr="00A65B98">
          <w:t>OECD Well</w:t>
        </w:r>
        <w:r w:rsidR="00135DEA">
          <w:noBreakHyphen/>
        </w:r>
        <w:r w:rsidRPr="00A65B98">
          <w:t>being indicators</w:t>
        </w:r>
      </w:hyperlink>
      <w:r w:rsidR="00135DEA">
        <w:t>‘</w:t>
      </w:r>
      <w:r w:rsidR="004E37F2">
        <w:t>, OECD website</w:t>
      </w:r>
      <w:r w:rsidRPr="00224E4A">
        <w:t>;</w:t>
      </w:r>
    </w:p>
  </w:endnote>
  <w:endnote w:id="86">
    <w:p w14:paraId="3E8DC566" w14:textId="3F9955F7" w:rsidR="00916B9B" w:rsidRDefault="00916B9B" w:rsidP="003D3424">
      <w:pPr>
        <w:pStyle w:val="FootnoteText"/>
      </w:pPr>
      <w:r>
        <w:endnoteRef/>
      </w:r>
      <w:r>
        <w:t xml:space="preserve"> </w:t>
      </w:r>
      <w:r w:rsidR="008D3829">
        <w:tab/>
      </w:r>
      <w:r w:rsidR="006F4CA5" w:rsidRPr="00224E4A">
        <w:t xml:space="preserve">Civitas (2020), </w:t>
      </w:r>
      <w:r w:rsidR="00135DEA">
        <w:t>‘</w:t>
      </w:r>
      <w:hyperlink r:id="rId84" w:history="1">
        <w:r w:rsidR="006F4CA5" w:rsidRPr="00A65B98">
          <w:t>CIVITAS 2020 process and impact evaluation framework</w:t>
        </w:r>
      </w:hyperlink>
      <w:r w:rsidR="00135DEA">
        <w:t>‘</w:t>
      </w:r>
      <w:r w:rsidR="006F4CA5">
        <w:t>, European Union website.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06CB" w14:textId="255128AE" w:rsidR="00B55B04" w:rsidRDefault="00B55B04" w:rsidP="00EE1447">
    <w:r>
      <w:rPr>
        <w:noProof/>
      </w:rPr>
      <w:drawing>
        <wp:anchor distT="0" distB="0" distL="114300" distR="114300" simplePos="0" relativeHeight="251658240" behindDoc="1" locked="0" layoutInCell="1" allowOverlap="0" wp14:anchorId="1F20E386" wp14:editId="33CA4C45">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093B61">
        <w:rPr>
          <w:noProof/>
        </w:rPr>
        <w:t>Contents</w:t>
      </w:r>
    </w:fldSimple>
    <w:r>
      <w:t xml:space="preserve"> | </w:t>
    </w:r>
    <w:r>
      <w:ptab w:relativeTo="margin" w:alignment="center" w:leader="none"/>
    </w:r>
    <w:r>
      <w:ptab w:relativeTo="margin" w:alignment="right" w:leader="none"/>
    </w:r>
    <w:fldSimple w:instr="STYLEREF  &quot;Heading 1&quot;  \* MERGEFORMAT">
      <w:r w:rsidR="00093B61">
        <w:rPr>
          <w:noProof/>
        </w:rPr>
        <w:t>Contents</w:t>
      </w:r>
    </w:fldSimple>
    <w:r>
      <w:t xml:space="preserve"> | </w:t>
    </w:r>
    <w:r>
      <w:fldChar w:fldCharType="begin"/>
    </w:r>
    <w:r>
      <w:instrText xml:space="preserve"> PAGE   \* MERGEFORMAT </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26D3" w14:textId="11169829" w:rsidR="00A85AB4" w:rsidRPr="00C239AD" w:rsidRDefault="00A85AB4" w:rsidP="005E4281">
    <w:pPr>
      <w:pStyle w:val="FooterOdd"/>
      <w:rPr>
        <w:color w:val="216364"/>
      </w:rPr>
    </w:pPr>
    <w:r>
      <w:fldChar w:fldCharType="begin"/>
    </w:r>
    <w:r>
      <w:instrText>STYLEREF  "Heading 1"</w:instrText>
    </w:r>
    <w:r>
      <w:fldChar w:fldCharType="separate"/>
    </w:r>
    <w:r w:rsidR="005B4BF5">
      <w:rPr>
        <w:noProof/>
      </w:rPr>
      <w:t>Executive Summary</w:t>
    </w:r>
    <w:r>
      <w:fldChar w:fldCharType="end"/>
    </w:r>
    <w:r>
      <w:t xml:space="preserve"> | </w:t>
    </w:r>
    <w:r w:rsidRPr="00C239AD">
      <w:rPr>
        <w:b/>
        <w:bCs/>
        <w:color w:val="216364"/>
      </w:rPr>
      <w:fldChar w:fldCharType="begin"/>
    </w:r>
    <w:r w:rsidRPr="00C239AD">
      <w:rPr>
        <w:b/>
        <w:bCs/>
        <w:color w:val="216364"/>
      </w:rPr>
      <w:instrText xml:space="preserve"> PAGE   \* MERGEFORMAT </w:instrText>
    </w:r>
    <w:r w:rsidRPr="00C239AD">
      <w:rPr>
        <w:b/>
        <w:bCs/>
        <w:color w:val="216364"/>
      </w:rPr>
      <w:fldChar w:fldCharType="separate"/>
    </w:r>
    <w:r w:rsidRPr="00C239AD">
      <w:rPr>
        <w:b/>
        <w:bCs/>
        <w:color w:val="216364"/>
      </w:rPr>
      <w:t>1</w:t>
    </w:r>
    <w:r w:rsidRPr="00C239AD">
      <w:rPr>
        <w:b/>
        <w:bCs/>
        <w:color w:val="21636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28BD" w14:textId="0E04DD36" w:rsidR="00B55B04" w:rsidRDefault="00B55B04" w:rsidP="00962ACF">
    <w:r>
      <w:t xml:space="preserve">| </w:t>
    </w:r>
    <w:r>
      <w:fldChar w:fldCharType="begin"/>
    </w:r>
    <w:r>
      <w:instrText xml:space="preserve"> PAGE   \* MERGEFORMAT </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450A" w14:textId="78EEA715" w:rsidR="00B22F72" w:rsidRDefault="00B22F72" w:rsidP="00B22F72">
    <w:r>
      <w:t xml:space="preserve">| </w:t>
    </w:r>
    <w:r w:rsidR="00786432">
      <w:fldChar w:fldCharType="begin"/>
    </w:r>
    <w:r w:rsidR="00786432">
      <w:instrText xml:space="preserve"> PAGE   \* MERGEFORMAT </w:instrText>
    </w:r>
    <w:r w:rsidR="00786432">
      <w:fldChar w:fldCharType="separate"/>
    </w:r>
    <w:r w:rsidR="00786432">
      <w:t>1</w:t>
    </w:r>
    <w:r w:rsidR="0078643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A6E7" w14:textId="7A3EDAC8" w:rsidR="001C17AB" w:rsidRPr="00C7108E" w:rsidRDefault="001C17AB" w:rsidP="00C7108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F8D1" w14:textId="7E76DD7B" w:rsidR="003A0920" w:rsidRPr="00C239AD" w:rsidRDefault="003A0920" w:rsidP="005E4281">
    <w:pPr>
      <w:pStyle w:val="FooterOdd"/>
      <w:rPr>
        <w:color w:val="216364"/>
      </w:rPr>
    </w:pPr>
    <w:r>
      <w:fldChar w:fldCharType="begin"/>
    </w:r>
    <w:r>
      <w:instrText>STYLEREF  "Heading 1"</w:instrText>
    </w:r>
    <w:r>
      <w:fldChar w:fldCharType="separate"/>
    </w:r>
    <w:r w:rsidR="005B4BF5">
      <w:rPr>
        <w:noProof/>
      </w:rPr>
      <w:t>Sustainable</w:t>
    </w:r>
    <w:r>
      <w:fldChar w:fldCharType="end"/>
    </w:r>
    <w:r>
      <w:t xml:space="preserve"> | </w:t>
    </w:r>
    <w:r w:rsidR="00324DFF">
      <w:rPr>
        <w:b/>
        <w:bCs/>
        <w:color w:val="216364"/>
      </w:rPr>
      <w:fldChar w:fldCharType="begin"/>
    </w:r>
    <w:r w:rsidR="00324DFF">
      <w:rPr>
        <w:b/>
        <w:bCs/>
        <w:color w:val="216364"/>
      </w:rPr>
      <w:instrText xml:space="preserve"> PAGE  \* Arabic \* MERGEFORMAT </w:instrText>
    </w:r>
    <w:r w:rsidR="00324DFF">
      <w:rPr>
        <w:b/>
        <w:bCs/>
        <w:color w:val="216364"/>
      </w:rPr>
      <w:fldChar w:fldCharType="separate"/>
    </w:r>
    <w:r w:rsidR="00324DFF">
      <w:rPr>
        <w:b/>
        <w:bCs/>
        <w:noProof/>
        <w:color w:val="216364"/>
      </w:rPr>
      <w:t>2</w:t>
    </w:r>
    <w:r w:rsidR="00324DFF">
      <w:rPr>
        <w:b/>
        <w:bCs/>
        <w:color w:val="21636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225D" w14:textId="77777777" w:rsidR="00B426B5" w:rsidRDefault="00B426B5" w:rsidP="00BC6E69">
    <w:pPr>
      <w:jc w:val="both"/>
    </w:pPr>
    <w:r>
      <w:t xml:space="preserve"> </w:t>
    </w:r>
    <w:r>
      <w:fldChar w:fldCharType="begin"/>
    </w:r>
    <w:r>
      <w:instrText xml:space="preserve"> PAGE   \* MERGEFORMAT </w:instrText>
    </w:r>
    <w:r>
      <w:fldChar w:fldCharType="separate"/>
    </w:r>
    <w:r>
      <w:t>2</w:t>
    </w:r>
    <w:r>
      <w:fldChar w:fldCharType="end"/>
    </w:r>
    <w:r>
      <w:t xml:space="preserve"> |</w:t>
    </w:r>
  </w:p>
  <w:p w14:paraId="048579AD" w14:textId="77777777" w:rsidR="00B426B5" w:rsidRDefault="00B426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348C" w14:textId="5FE16C4D" w:rsidR="00B426B5" w:rsidRPr="00C7108E" w:rsidRDefault="00B426B5" w:rsidP="00C71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C2A94" w14:textId="77777777" w:rsidR="001D6D8B" w:rsidRPr="00ED5A20" w:rsidRDefault="001D6D8B" w:rsidP="000F6233">
      <w:r w:rsidRPr="00ED5A20">
        <w:separator/>
      </w:r>
    </w:p>
    <w:p w14:paraId="754A32D3" w14:textId="77777777" w:rsidR="001D6D8B" w:rsidRPr="00ED5A20" w:rsidRDefault="001D6D8B" w:rsidP="000F6233"/>
  </w:footnote>
  <w:footnote w:type="continuationSeparator" w:id="0">
    <w:p w14:paraId="438707F6" w14:textId="77777777" w:rsidR="001D6D8B" w:rsidRPr="00B737EB" w:rsidRDefault="001D6D8B" w:rsidP="0069427E">
      <w:r w:rsidRPr="00B737EB">
        <w:continuationSeparator/>
      </w:r>
    </w:p>
    <w:p w14:paraId="2E4945BB" w14:textId="77777777" w:rsidR="001D6D8B" w:rsidRPr="00B737EB" w:rsidRDefault="001D6D8B" w:rsidP="0069427E"/>
  </w:footnote>
  <w:footnote w:type="continuationNotice" w:id="1">
    <w:p w14:paraId="70B31A58" w14:textId="77777777" w:rsidR="001D6D8B" w:rsidRDefault="001D6D8B" w:rsidP="0069427E"/>
    <w:p w14:paraId="2206A82B" w14:textId="77777777" w:rsidR="001D6D8B" w:rsidRDefault="001D6D8B" w:rsidP="006942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686C" w14:textId="54AE93DE" w:rsidR="00095D88" w:rsidRPr="00C7108E" w:rsidRDefault="00095D88" w:rsidP="00C710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2A9A" w14:textId="075B4D3B" w:rsidR="00095D88" w:rsidRPr="00C7108E" w:rsidRDefault="00095D88" w:rsidP="00C7108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6D66" w14:textId="213E02F4" w:rsidR="00095D88" w:rsidRPr="00C7108E" w:rsidRDefault="00095D88" w:rsidP="00C7108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C8DA" w14:textId="5396B06B" w:rsidR="001C17AB" w:rsidRPr="007E2555" w:rsidRDefault="00961AEF" w:rsidP="00C7108E">
    <w:r w:rsidRPr="007E2555">
      <w:t>Measuring What Matters | July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06A3" w14:textId="6022AD02" w:rsidR="001C17AB" w:rsidRPr="00C239AD" w:rsidRDefault="007E2555" w:rsidP="005E4281">
    <w:pPr>
      <w:pStyle w:val="HeaderOdd"/>
      <w:rPr>
        <w:b/>
        <w:bCs/>
        <w:color w:val="216364"/>
      </w:rPr>
    </w:pPr>
    <w:r w:rsidRPr="007E2555">
      <w:t xml:space="preserve">Measuring What Matters | </w:t>
    </w:r>
    <w:r w:rsidRPr="00C239AD">
      <w:rPr>
        <w:b/>
        <w:bCs/>
        <w:color w:val="216364"/>
      </w:rPr>
      <w:t>July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FBC1" w14:textId="4753F084" w:rsidR="001C17AB" w:rsidRPr="00C7108E" w:rsidRDefault="001C17AB" w:rsidP="00C7108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41C6" w14:textId="59BEF5E2" w:rsidR="00B426B5" w:rsidRPr="00C7108E" w:rsidRDefault="00B426B5" w:rsidP="00C710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AA62" w14:textId="1F7B7FC5" w:rsidR="00B426B5" w:rsidRPr="00C7108E" w:rsidRDefault="00B426B5" w:rsidP="00C71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59121C"/>
    <w:multiLevelType w:val="hybridMultilevel"/>
    <w:tmpl w:val="38EE6B1C"/>
    <w:lvl w:ilvl="0" w:tplc="78885C10">
      <w:start w:val="1"/>
      <w:numFmt w:val="decimal"/>
      <w:lvlText w:val="%1."/>
      <w:lvlJc w:val="left"/>
      <w:pPr>
        <w:ind w:left="720" w:hanging="360"/>
      </w:pPr>
      <w:rPr>
        <w:rFonts w:eastAsia="Times New Roman" w:hint="default"/>
        <w:color w:val="2C384A"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51286C"/>
    <w:multiLevelType w:val="multilevel"/>
    <w:tmpl w:val="C756EB8C"/>
    <w:name w:val="StandardNumberedList"/>
    <w:lvl w:ilvl="0">
      <w:start w:val="1"/>
      <w:numFmt w:val="decimal"/>
      <w:lvlText w:val="%1."/>
      <w:lvlJc w:val="left"/>
      <w:pPr>
        <w:tabs>
          <w:tab w:val="num" w:pos="472"/>
        </w:tabs>
        <w:ind w:left="472" w:hanging="472"/>
      </w:pPr>
    </w:lvl>
    <w:lvl w:ilvl="1">
      <w:start w:val="1"/>
      <w:numFmt w:val="decimal"/>
      <w:lvlText w:val="%1.%2."/>
      <w:lvlJc w:val="left"/>
      <w:pPr>
        <w:tabs>
          <w:tab w:val="num" w:pos="944"/>
        </w:tabs>
        <w:ind w:left="944" w:hanging="472"/>
      </w:pPr>
    </w:lvl>
    <w:lvl w:ilvl="2">
      <w:start w:val="1"/>
      <w:numFmt w:val="decimal"/>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C181079"/>
    <w:multiLevelType w:val="multilevel"/>
    <w:tmpl w:val="1850F784"/>
    <w:lvl w:ilvl="0">
      <w:start w:val="1"/>
      <w:numFmt w:val="bullet"/>
      <w:pStyle w:val="Bullet"/>
      <w:lvlText w:val="•"/>
      <w:lvlJc w:val="left"/>
      <w:pPr>
        <w:ind w:left="284" w:hanging="284"/>
      </w:p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14486182">
    <w:abstractNumId w:val="5"/>
  </w:num>
  <w:num w:numId="2" w16cid:durableId="989671363">
    <w:abstractNumId w:val="0"/>
  </w:num>
  <w:num w:numId="3" w16cid:durableId="341204012">
    <w:abstractNumId w:val="10"/>
  </w:num>
  <w:num w:numId="4" w16cid:durableId="1418551629">
    <w:abstractNumId w:val="3"/>
  </w:num>
  <w:num w:numId="5" w16cid:durableId="456608145">
    <w:abstractNumId w:val="6"/>
  </w:num>
  <w:num w:numId="6" w16cid:durableId="681669425">
    <w:abstractNumId w:val="7"/>
  </w:num>
  <w:num w:numId="7" w16cid:durableId="462844742">
    <w:abstractNumId w:val="4"/>
  </w:num>
  <w:num w:numId="8" w16cid:durableId="560361770">
    <w:abstractNumId w:val="8"/>
  </w:num>
  <w:num w:numId="9" w16cid:durableId="780538383">
    <w:abstractNumId w:val="1"/>
  </w:num>
  <w:num w:numId="10" w16cid:durableId="6199989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657A72"/>
    <w:rsid w:val="00000013"/>
    <w:rsid w:val="00000039"/>
    <w:rsid w:val="00000062"/>
    <w:rsid w:val="000000B7"/>
    <w:rsid w:val="0000010D"/>
    <w:rsid w:val="00000141"/>
    <w:rsid w:val="0000014C"/>
    <w:rsid w:val="000001E6"/>
    <w:rsid w:val="00000219"/>
    <w:rsid w:val="00000232"/>
    <w:rsid w:val="00000293"/>
    <w:rsid w:val="00000317"/>
    <w:rsid w:val="00000381"/>
    <w:rsid w:val="000003EE"/>
    <w:rsid w:val="0000043D"/>
    <w:rsid w:val="0000047D"/>
    <w:rsid w:val="00000489"/>
    <w:rsid w:val="000004A9"/>
    <w:rsid w:val="000004AB"/>
    <w:rsid w:val="000004DF"/>
    <w:rsid w:val="000005AA"/>
    <w:rsid w:val="000005AB"/>
    <w:rsid w:val="000005DF"/>
    <w:rsid w:val="00000675"/>
    <w:rsid w:val="0000069C"/>
    <w:rsid w:val="0000069D"/>
    <w:rsid w:val="000006C5"/>
    <w:rsid w:val="000006F8"/>
    <w:rsid w:val="00000702"/>
    <w:rsid w:val="0000070F"/>
    <w:rsid w:val="00000740"/>
    <w:rsid w:val="000007B9"/>
    <w:rsid w:val="000007D9"/>
    <w:rsid w:val="000007EB"/>
    <w:rsid w:val="000007FB"/>
    <w:rsid w:val="00000837"/>
    <w:rsid w:val="00000872"/>
    <w:rsid w:val="0000089C"/>
    <w:rsid w:val="000008EC"/>
    <w:rsid w:val="00000986"/>
    <w:rsid w:val="000009A7"/>
    <w:rsid w:val="00000A62"/>
    <w:rsid w:val="00000B2B"/>
    <w:rsid w:val="00000B4B"/>
    <w:rsid w:val="00000B5F"/>
    <w:rsid w:val="00000B87"/>
    <w:rsid w:val="00000BA7"/>
    <w:rsid w:val="00000BB6"/>
    <w:rsid w:val="00000BD5"/>
    <w:rsid w:val="00000C3A"/>
    <w:rsid w:val="00000C86"/>
    <w:rsid w:val="00000C9C"/>
    <w:rsid w:val="00000D56"/>
    <w:rsid w:val="00000D5F"/>
    <w:rsid w:val="00000E21"/>
    <w:rsid w:val="00000E4A"/>
    <w:rsid w:val="00000E4E"/>
    <w:rsid w:val="00000EAB"/>
    <w:rsid w:val="00000F14"/>
    <w:rsid w:val="00000F19"/>
    <w:rsid w:val="00000FF6"/>
    <w:rsid w:val="00001067"/>
    <w:rsid w:val="000010BB"/>
    <w:rsid w:val="000010C0"/>
    <w:rsid w:val="00001109"/>
    <w:rsid w:val="00001189"/>
    <w:rsid w:val="000011DD"/>
    <w:rsid w:val="000011DF"/>
    <w:rsid w:val="000011E4"/>
    <w:rsid w:val="000012CA"/>
    <w:rsid w:val="000012E3"/>
    <w:rsid w:val="000013CC"/>
    <w:rsid w:val="000013E2"/>
    <w:rsid w:val="0000140C"/>
    <w:rsid w:val="0000143C"/>
    <w:rsid w:val="00001452"/>
    <w:rsid w:val="00001518"/>
    <w:rsid w:val="00001550"/>
    <w:rsid w:val="000015B7"/>
    <w:rsid w:val="00001635"/>
    <w:rsid w:val="00001654"/>
    <w:rsid w:val="000017F5"/>
    <w:rsid w:val="00001869"/>
    <w:rsid w:val="00001899"/>
    <w:rsid w:val="000018D0"/>
    <w:rsid w:val="00001916"/>
    <w:rsid w:val="00001942"/>
    <w:rsid w:val="00001983"/>
    <w:rsid w:val="000019CD"/>
    <w:rsid w:val="000019FF"/>
    <w:rsid w:val="00001A60"/>
    <w:rsid w:val="00001A6B"/>
    <w:rsid w:val="00001A6D"/>
    <w:rsid w:val="00001B22"/>
    <w:rsid w:val="00001BF6"/>
    <w:rsid w:val="00001C22"/>
    <w:rsid w:val="00001C89"/>
    <w:rsid w:val="00001CBA"/>
    <w:rsid w:val="00001CC0"/>
    <w:rsid w:val="00001CCA"/>
    <w:rsid w:val="00001D33"/>
    <w:rsid w:val="00001DD7"/>
    <w:rsid w:val="00001E2F"/>
    <w:rsid w:val="00001E3D"/>
    <w:rsid w:val="00001ECA"/>
    <w:rsid w:val="00001F62"/>
    <w:rsid w:val="00001FC7"/>
    <w:rsid w:val="00001FD3"/>
    <w:rsid w:val="00002035"/>
    <w:rsid w:val="0000204F"/>
    <w:rsid w:val="0000206D"/>
    <w:rsid w:val="000020C3"/>
    <w:rsid w:val="000020C4"/>
    <w:rsid w:val="000020DB"/>
    <w:rsid w:val="00002173"/>
    <w:rsid w:val="0000217D"/>
    <w:rsid w:val="00002299"/>
    <w:rsid w:val="00002305"/>
    <w:rsid w:val="00002344"/>
    <w:rsid w:val="000024D7"/>
    <w:rsid w:val="0000250E"/>
    <w:rsid w:val="00002549"/>
    <w:rsid w:val="00002665"/>
    <w:rsid w:val="0000274B"/>
    <w:rsid w:val="0000274C"/>
    <w:rsid w:val="00002818"/>
    <w:rsid w:val="000028DB"/>
    <w:rsid w:val="0000290F"/>
    <w:rsid w:val="00002915"/>
    <w:rsid w:val="0000295C"/>
    <w:rsid w:val="00002977"/>
    <w:rsid w:val="00002982"/>
    <w:rsid w:val="000029B3"/>
    <w:rsid w:val="000029E3"/>
    <w:rsid w:val="00002AF7"/>
    <w:rsid w:val="00002B8B"/>
    <w:rsid w:val="00002BAB"/>
    <w:rsid w:val="00002BE5"/>
    <w:rsid w:val="00002C17"/>
    <w:rsid w:val="00002C2A"/>
    <w:rsid w:val="00002C55"/>
    <w:rsid w:val="00002C99"/>
    <w:rsid w:val="00002DAC"/>
    <w:rsid w:val="00002EBA"/>
    <w:rsid w:val="00002EE3"/>
    <w:rsid w:val="00002F27"/>
    <w:rsid w:val="00002F6F"/>
    <w:rsid w:val="00002F70"/>
    <w:rsid w:val="00002F76"/>
    <w:rsid w:val="00002FA8"/>
    <w:rsid w:val="0000301C"/>
    <w:rsid w:val="000030FD"/>
    <w:rsid w:val="0000317F"/>
    <w:rsid w:val="000031F2"/>
    <w:rsid w:val="00003226"/>
    <w:rsid w:val="000032E3"/>
    <w:rsid w:val="000032E9"/>
    <w:rsid w:val="00003327"/>
    <w:rsid w:val="000033A5"/>
    <w:rsid w:val="000033EF"/>
    <w:rsid w:val="000034A2"/>
    <w:rsid w:val="00003591"/>
    <w:rsid w:val="000035BD"/>
    <w:rsid w:val="000035CD"/>
    <w:rsid w:val="00003732"/>
    <w:rsid w:val="00003736"/>
    <w:rsid w:val="00003738"/>
    <w:rsid w:val="00003822"/>
    <w:rsid w:val="00003897"/>
    <w:rsid w:val="000038B7"/>
    <w:rsid w:val="000038DE"/>
    <w:rsid w:val="000038EF"/>
    <w:rsid w:val="00003903"/>
    <w:rsid w:val="0000398D"/>
    <w:rsid w:val="00003997"/>
    <w:rsid w:val="000039C2"/>
    <w:rsid w:val="000039F2"/>
    <w:rsid w:val="00003A3F"/>
    <w:rsid w:val="00003A41"/>
    <w:rsid w:val="00003A59"/>
    <w:rsid w:val="00003ACB"/>
    <w:rsid w:val="00003B4F"/>
    <w:rsid w:val="00003BCC"/>
    <w:rsid w:val="00003CB8"/>
    <w:rsid w:val="00003D04"/>
    <w:rsid w:val="00003D5F"/>
    <w:rsid w:val="00003DF5"/>
    <w:rsid w:val="00003E35"/>
    <w:rsid w:val="00003E72"/>
    <w:rsid w:val="00003F2D"/>
    <w:rsid w:val="00003F52"/>
    <w:rsid w:val="00003FB1"/>
    <w:rsid w:val="00003FE2"/>
    <w:rsid w:val="00004074"/>
    <w:rsid w:val="0000409D"/>
    <w:rsid w:val="000040A6"/>
    <w:rsid w:val="000040AC"/>
    <w:rsid w:val="000040B0"/>
    <w:rsid w:val="000040B5"/>
    <w:rsid w:val="00004109"/>
    <w:rsid w:val="00004139"/>
    <w:rsid w:val="0000414E"/>
    <w:rsid w:val="0000415A"/>
    <w:rsid w:val="000041A7"/>
    <w:rsid w:val="000041D7"/>
    <w:rsid w:val="000041DB"/>
    <w:rsid w:val="0000426B"/>
    <w:rsid w:val="0000428C"/>
    <w:rsid w:val="000042AC"/>
    <w:rsid w:val="0000434D"/>
    <w:rsid w:val="00004362"/>
    <w:rsid w:val="0000437E"/>
    <w:rsid w:val="000044B7"/>
    <w:rsid w:val="0000454A"/>
    <w:rsid w:val="00004573"/>
    <w:rsid w:val="0000457F"/>
    <w:rsid w:val="000045C7"/>
    <w:rsid w:val="0000466A"/>
    <w:rsid w:val="000046FD"/>
    <w:rsid w:val="00004704"/>
    <w:rsid w:val="000047AE"/>
    <w:rsid w:val="0000480A"/>
    <w:rsid w:val="00004843"/>
    <w:rsid w:val="0000489E"/>
    <w:rsid w:val="00004906"/>
    <w:rsid w:val="00004924"/>
    <w:rsid w:val="0000495D"/>
    <w:rsid w:val="00004965"/>
    <w:rsid w:val="0000496E"/>
    <w:rsid w:val="00004985"/>
    <w:rsid w:val="00004997"/>
    <w:rsid w:val="00004998"/>
    <w:rsid w:val="000049B2"/>
    <w:rsid w:val="00004A3F"/>
    <w:rsid w:val="00004A9F"/>
    <w:rsid w:val="00004B60"/>
    <w:rsid w:val="00004BC1"/>
    <w:rsid w:val="00004BD4"/>
    <w:rsid w:val="00004BE4"/>
    <w:rsid w:val="00004C55"/>
    <w:rsid w:val="00004C89"/>
    <w:rsid w:val="00004D1C"/>
    <w:rsid w:val="00004D28"/>
    <w:rsid w:val="00004D3C"/>
    <w:rsid w:val="00004D6B"/>
    <w:rsid w:val="00004E0B"/>
    <w:rsid w:val="00004E45"/>
    <w:rsid w:val="00004ED9"/>
    <w:rsid w:val="00004EF8"/>
    <w:rsid w:val="00004EFD"/>
    <w:rsid w:val="00004FB7"/>
    <w:rsid w:val="00004FE2"/>
    <w:rsid w:val="0000501C"/>
    <w:rsid w:val="0000502A"/>
    <w:rsid w:val="00005034"/>
    <w:rsid w:val="000050C2"/>
    <w:rsid w:val="00005134"/>
    <w:rsid w:val="00005151"/>
    <w:rsid w:val="0000516F"/>
    <w:rsid w:val="00005183"/>
    <w:rsid w:val="0000519F"/>
    <w:rsid w:val="000051C4"/>
    <w:rsid w:val="0000533D"/>
    <w:rsid w:val="0000537D"/>
    <w:rsid w:val="0000540B"/>
    <w:rsid w:val="00005439"/>
    <w:rsid w:val="000054AE"/>
    <w:rsid w:val="000054BE"/>
    <w:rsid w:val="0000550F"/>
    <w:rsid w:val="0000565A"/>
    <w:rsid w:val="000056CC"/>
    <w:rsid w:val="00005736"/>
    <w:rsid w:val="0000575B"/>
    <w:rsid w:val="00005790"/>
    <w:rsid w:val="00005791"/>
    <w:rsid w:val="000057B9"/>
    <w:rsid w:val="000057D0"/>
    <w:rsid w:val="000057E3"/>
    <w:rsid w:val="000057FC"/>
    <w:rsid w:val="00005854"/>
    <w:rsid w:val="000058CC"/>
    <w:rsid w:val="000058DE"/>
    <w:rsid w:val="0000593C"/>
    <w:rsid w:val="0000595E"/>
    <w:rsid w:val="0000598E"/>
    <w:rsid w:val="000059E9"/>
    <w:rsid w:val="00005A09"/>
    <w:rsid w:val="00005A30"/>
    <w:rsid w:val="00005B03"/>
    <w:rsid w:val="00005B68"/>
    <w:rsid w:val="00005BCE"/>
    <w:rsid w:val="00005D62"/>
    <w:rsid w:val="00005DD1"/>
    <w:rsid w:val="00005DD5"/>
    <w:rsid w:val="00005E5C"/>
    <w:rsid w:val="00005EAE"/>
    <w:rsid w:val="00005F14"/>
    <w:rsid w:val="00005F30"/>
    <w:rsid w:val="00005F5E"/>
    <w:rsid w:val="00005F5F"/>
    <w:rsid w:val="0000603D"/>
    <w:rsid w:val="00006112"/>
    <w:rsid w:val="0000619E"/>
    <w:rsid w:val="000061B7"/>
    <w:rsid w:val="000061BF"/>
    <w:rsid w:val="0000621B"/>
    <w:rsid w:val="0000625D"/>
    <w:rsid w:val="00006309"/>
    <w:rsid w:val="00006322"/>
    <w:rsid w:val="000063D2"/>
    <w:rsid w:val="0000643A"/>
    <w:rsid w:val="0000643B"/>
    <w:rsid w:val="00006458"/>
    <w:rsid w:val="0000646C"/>
    <w:rsid w:val="000064F0"/>
    <w:rsid w:val="00006565"/>
    <w:rsid w:val="00006612"/>
    <w:rsid w:val="0000666F"/>
    <w:rsid w:val="0000667B"/>
    <w:rsid w:val="00006691"/>
    <w:rsid w:val="00006750"/>
    <w:rsid w:val="00006770"/>
    <w:rsid w:val="00006855"/>
    <w:rsid w:val="000068C4"/>
    <w:rsid w:val="0000698E"/>
    <w:rsid w:val="000069C1"/>
    <w:rsid w:val="000069F6"/>
    <w:rsid w:val="00006AAF"/>
    <w:rsid w:val="00006B08"/>
    <w:rsid w:val="00006C44"/>
    <w:rsid w:val="00006C80"/>
    <w:rsid w:val="00006CBE"/>
    <w:rsid w:val="00006CDC"/>
    <w:rsid w:val="00006D9B"/>
    <w:rsid w:val="00006E8B"/>
    <w:rsid w:val="00006ED2"/>
    <w:rsid w:val="00006F1D"/>
    <w:rsid w:val="00006F46"/>
    <w:rsid w:val="00006F5E"/>
    <w:rsid w:val="00006FCD"/>
    <w:rsid w:val="00007005"/>
    <w:rsid w:val="00007012"/>
    <w:rsid w:val="00007078"/>
    <w:rsid w:val="000070E0"/>
    <w:rsid w:val="00007103"/>
    <w:rsid w:val="00007111"/>
    <w:rsid w:val="00007150"/>
    <w:rsid w:val="00007173"/>
    <w:rsid w:val="00007181"/>
    <w:rsid w:val="000071C1"/>
    <w:rsid w:val="000071D6"/>
    <w:rsid w:val="00007251"/>
    <w:rsid w:val="00007258"/>
    <w:rsid w:val="000072F1"/>
    <w:rsid w:val="0000730A"/>
    <w:rsid w:val="00007336"/>
    <w:rsid w:val="00007357"/>
    <w:rsid w:val="000073A4"/>
    <w:rsid w:val="000073B1"/>
    <w:rsid w:val="000073ED"/>
    <w:rsid w:val="00007442"/>
    <w:rsid w:val="00007512"/>
    <w:rsid w:val="0000756E"/>
    <w:rsid w:val="0000757B"/>
    <w:rsid w:val="00007591"/>
    <w:rsid w:val="000075CE"/>
    <w:rsid w:val="0000760B"/>
    <w:rsid w:val="0000765B"/>
    <w:rsid w:val="00007693"/>
    <w:rsid w:val="000076B2"/>
    <w:rsid w:val="000076F5"/>
    <w:rsid w:val="00007818"/>
    <w:rsid w:val="00007878"/>
    <w:rsid w:val="0000787C"/>
    <w:rsid w:val="000078E5"/>
    <w:rsid w:val="000078EF"/>
    <w:rsid w:val="00007943"/>
    <w:rsid w:val="00007946"/>
    <w:rsid w:val="0000797C"/>
    <w:rsid w:val="00007987"/>
    <w:rsid w:val="00007A19"/>
    <w:rsid w:val="00007A8F"/>
    <w:rsid w:val="00007AB0"/>
    <w:rsid w:val="00007B09"/>
    <w:rsid w:val="00007B23"/>
    <w:rsid w:val="00007B51"/>
    <w:rsid w:val="00007B6C"/>
    <w:rsid w:val="00007B6D"/>
    <w:rsid w:val="00007C39"/>
    <w:rsid w:val="00007CA9"/>
    <w:rsid w:val="00007CE6"/>
    <w:rsid w:val="00007E97"/>
    <w:rsid w:val="00007EA3"/>
    <w:rsid w:val="00007ECD"/>
    <w:rsid w:val="00007F0A"/>
    <w:rsid w:val="00007F2A"/>
    <w:rsid w:val="00007F3A"/>
    <w:rsid w:val="00010108"/>
    <w:rsid w:val="0001014F"/>
    <w:rsid w:val="000101A4"/>
    <w:rsid w:val="000101B5"/>
    <w:rsid w:val="00010293"/>
    <w:rsid w:val="000102CF"/>
    <w:rsid w:val="000103B1"/>
    <w:rsid w:val="000103FB"/>
    <w:rsid w:val="0001043D"/>
    <w:rsid w:val="00010477"/>
    <w:rsid w:val="0001047F"/>
    <w:rsid w:val="00010483"/>
    <w:rsid w:val="000104B7"/>
    <w:rsid w:val="000104BB"/>
    <w:rsid w:val="000104D0"/>
    <w:rsid w:val="00010534"/>
    <w:rsid w:val="000105B7"/>
    <w:rsid w:val="000105BF"/>
    <w:rsid w:val="00010609"/>
    <w:rsid w:val="00010640"/>
    <w:rsid w:val="000106B4"/>
    <w:rsid w:val="000106BD"/>
    <w:rsid w:val="000106E0"/>
    <w:rsid w:val="00010792"/>
    <w:rsid w:val="000107F8"/>
    <w:rsid w:val="00010800"/>
    <w:rsid w:val="00010811"/>
    <w:rsid w:val="0001081D"/>
    <w:rsid w:val="00010866"/>
    <w:rsid w:val="00010881"/>
    <w:rsid w:val="0001089A"/>
    <w:rsid w:val="00010970"/>
    <w:rsid w:val="00010981"/>
    <w:rsid w:val="00010A41"/>
    <w:rsid w:val="00010AF1"/>
    <w:rsid w:val="00010B1A"/>
    <w:rsid w:val="00010B34"/>
    <w:rsid w:val="00010B73"/>
    <w:rsid w:val="00010BA4"/>
    <w:rsid w:val="00010C31"/>
    <w:rsid w:val="00010C39"/>
    <w:rsid w:val="00010C4B"/>
    <w:rsid w:val="00010C74"/>
    <w:rsid w:val="00010C96"/>
    <w:rsid w:val="00010DD6"/>
    <w:rsid w:val="00010DF3"/>
    <w:rsid w:val="00010E1C"/>
    <w:rsid w:val="00010EB0"/>
    <w:rsid w:val="00010F28"/>
    <w:rsid w:val="00010F29"/>
    <w:rsid w:val="0001102D"/>
    <w:rsid w:val="0001108C"/>
    <w:rsid w:val="00011090"/>
    <w:rsid w:val="00011191"/>
    <w:rsid w:val="000111A7"/>
    <w:rsid w:val="000111A8"/>
    <w:rsid w:val="0001120B"/>
    <w:rsid w:val="00011246"/>
    <w:rsid w:val="00011256"/>
    <w:rsid w:val="00011292"/>
    <w:rsid w:val="000112C4"/>
    <w:rsid w:val="000112EB"/>
    <w:rsid w:val="00011350"/>
    <w:rsid w:val="0001139A"/>
    <w:rsid w:val="000113DB"/>
    <w:rsid w:val="000113FC"/>
    <w:rsid w:val="0001145B"/>
    <w:rsid w:val="00011470"/>
    <w:rsid w:val="000114C3"/>
    <w:rsid w:val="000114CC"/>
    <w:rsid w:val="0001150E"/>
    <w:rsid w:val="00011551"/>
    <w:rsid w:val="0001155B"/>
    <w:rsid w:val="0001158E"/>
    <w:rsid w:val="00011605"/>
    <w:rsid w:val="00011678"/>
    <w:rsid w:val="000116EA"/>
    <w:rsid w:val="00011725"/>
    <w:rsid w:val="0001179D"/>
    <w:rsid w:val="000117C4"/>
    <w:rsid w:val="000117C8"/>
    <w:rsid w:val="000117D9"/>
    <w:rsid w:val="0001180F"/>
    <w:rsid w:val="0001186D"/>
    <w:rsid w:val="00011887"/>
    <w:rsid w:val="00011936"/>
    <w:rsid w:val="0001194E"/>
    <w:rsid w:val="0001198E"/>
    <w:rsid w:val="00011A4E"/>
    <w:rsid w:val="00011A60"/>
    <w:rsid w:val="00011AB8"/>
    <w:rsid w:val="00011AD8"/>
    <w:rsid w:val="00011AF6"/>
    <w:rsid w:val="00011AFF"/>
    <w:rsid w:val="00011B34"/>
    <w:rsid w:val="00011B35"/>
    <w:rsid w:val="00011BCB"/>
    <w:rsid w:val="00011BF1"/>
    <w:rsid w:val="00011C18"/>
    <w:rsid w:val="00011C38"/>
    <w:rsid w:val="00011CEE"/>
    <w:rsid w:val="00011D11"/>
    <w:rsid w:val="00011D47"/>
    <w:rsid w:val="00011D50"/>
    <w:rsid w:val="00011DE5"/>
    <w:rsid w:val="00011E8D"/>
    <w:rsid w:val="00011FA8"/>
    <w:rsid w:val="00011FB1"/>
    <w:rsid w:val="0001202F"/>
    <w:rsid w:val="00012065"/>
    <w:rsid w:val="0001206D"/>
    <w:rsid w:val="00012101"/>
    <w:rsid w:val="00012193"/>
    <w:rsid w:val="000121B7"/>
    <w:rsid w:val="000121CA"/>
    <w:rsid w:val="000121CF"/>
    <w:rsid w:val="00012235"/>
    <w:rsid w:val="0001223F"/>
    <w:rsid w:val="0001224F"/>
    <w:rsid w:val="000122B6"/>
    <w:rsid w:val="000122BC"/>
    <w:rsid w:val="00012309"/>
    <w:rsid w:val="00012431"/>
    <w:rsid w:val="000124E1"/>
    <w:rsid w:val="000125F3"/>
    <w:rsid w:val="00012604"/>
    <w:rsid w:val="00012642"/>
    <w:rsid w:val="00012699"/>
    <w:rsid w:val="000126A0"/>
    <w:rsid w:val="000126A6"/>
    <w:rsid w:val="0001272C"/>
    <w:rsid w:val="00012785"/>
    <w:rsid w:val="000127B7"/>
    <w:rsid w:val="000127C2"/>
    <w:rsid w:val="000127D5"/>
    <w:rsid w:val="0001284C"/>
    <w:rsid w:val="0001285C"/>
    <w:rsid w:val="000128C4"/>
    <w:rsid w:val="000128E8"/>
    <w:rsid w:val="00012945"/>
    <w:rsid w:val="000129A3"/>
    <w:rsid w:val="000129C3"/>
    <w:rsid w:val="00012A33"/>
    <w:rsid w:val="00012A59"/>
    <w:rsid w:val="00012A95"/>
    <w:rsid w:val="00012AC0"/>
    <w:rsid w:val="00012AD6"/>
    <w:rsid w:val="00012B06"/>
    <w:rsid w:val="00012BE5"/>
    <w:rsid w:val="00012BFC"/>
    <w:rsid w:val="00012C24"/>
    <w:rsid w:val="00012C27"/>
    <w:rsid w:val="00012C37"/>
    <w:rsid w:val="00012C62"/>
    <w:rsid w:val="00012C9B"/>
    <w:rsid w:val="00012CAB"/>
    <w:rsid w:val="00012CCF"/>
    <w:rsid w:val="00012DDD"/>
    <w:rsid w:val="00012DEA"/>
    <w:rsid w:val="00012E04"/>
    <w:rsid w:val="00012E77"/>
    <w:rsid w:val="00012E89"/>
    <w:rsid w:val="00012EB1"/>
    <w:rsid w:val="00012EDB"/>
    <w:rsid w:val="00012EDD"/>
    <w:rsid w:val="00012F53"/>
    <w:rsid w:val="0001300A"/>
    <w:rsid w:val="00013035"/>
    <w:rsid w:val="00013075"/>
    <w:rsid w:val="00013084"/>
    <w:rsid w:val="0001308C"/>
    <w:rsid w:val="000130A3"/>
    <w:rsid w:val="000130E0"/>
    <w:rsid w:val="00013120"/>
    <w:rsid w:val="0001312B"/>
    <w:rsid w:val="00013166"/>
    <w:rsid w:val="000131C2"/>
    <w:rsid w:val="000131D1"/>
    <w:rsid w:val="00013243"/>
    <w:rsid w:val="00013280"/>
    <w:rsid w:val="00013291"/>
    <w:rsid w:val="000132A0"/>
    <w:rsid w:val="000132A1"/>
    <w:rsid w:val="0001336E"/>
    <w:rsid w:val="00013375"/>
    <w:rsid w:val="00013378"/>
    <w:rsid w:val="0001337F"/>
    <w:rsid w:val="000133C0"/>
    <w:rsid w:val="000133F6"/>
    <w:rsid w:val="000133F8"/>
    <w:rsid w:val="00013407"/>
    <w:rsid w:val="00013488"/>
    <w:rsid w:val="0001348B"/>
    <w:rsid w:val="000134B6"/>
    <w:rsid w:val="00013544"/>
    <w:rsid w:val="000135A8"/>
    <w:rsid w:val="00013727"/>
    <w:rsid w:val="00013742"/>
    <w:rsid w:val="00013770"/>
    <w:rsid w:val="00013800"/>
    <w:rsid w:val="0001380E"/>
    <w:rsid w:val="0001382B"/>
    <w:rsid w:val="000138F0"/>
    <w:rsid w:val="00013924"/>
    <w:rsid w:val="0001396A"/>
    <w:rsid w:val="000139E6"/>
    <w:rsid w:val="00013A29"/>
    <w:rsid w:val="00013AFE"/>
    <w:rsid w:val="00013B04"/>
    <w:rsid w:val="00013B38"/>
    <w:rsid w:val="00013B71"/>
    <w:rsid w:val="00013B73"/>
    <w:rsid w:val="00013B7A"/>
    <w:rsid w:val="00013BBF"/>
    <w:rsid w:val="00013BC7"/>
    <w:rsid w:val="00013BC8"/>
    <w:rsid w:val="00013C07"/>
    <w:rsid w:val="00013C5F"/>
    <w:rsid w:val="00013CE3"/>
    <w:rsid w:val="00013D3F"/>
    <w:rsid w:val="00013DF3"/>
    <w:rsid w:val="00013EBD"/>
    <w:rsid w:val="0001402B"/>
    <w:rsid w:val="00014031"/>
    <w:rsid w:val="000140D4"/>
    <w:rsid w:val="00014109"/>
    <w:rsid w:val="00014126"/>
    <w:rsid w:val="0001415A"/>
    <w:rsid w:val="00014197"/>
    <w:rsid w:val="0001420F"/>
    <w:rsid w:val="0001424B"/>
    <w:rsid w:val="000142B3"/>
    <w:rsid w:val="000143D5"/>
    <w:rsid w:val="000143E1"/>
    <w:rsid w:val="00014414"/>
    <w:rsid w:val="00014451"/>
    <w:rsid w:val="0001447A"/>
    <w:rsid w:val="00014513"/>
    <w:rsid w:val="000145DC"/>
    <w:rsid w:val="0001470D"/>
    <w:rsid w:val="000148A4"/>
    <w:rsid w:val="000148A5"/>
    <w:rsid w:val="00014965"/>
    <w:rsid w:val="0001496D"/>
    <w:rsid w:val="00014973"/>
    <w:rsid w:val="00014A2B"/>
    <w:rsid w:val="00014A60"/>
    <w:rsid w:val="00014AA3"/>
    <w:rsid w:val="00014AC5"/>
    <w:rsid w:val="00014ADB"/>
    <w:rsid w:val="00014B09"/>
    <w:rsid w:val="00014B35"/>
    <w:rsid w:val="00014C39"/>
    <w:rsid w:val="00014C46"/>
    <w:rsid w:val="00014CA8"/>
    <w:rsid w:val="00014CFC"/>
    <w:rsid w:val="00014DEB"/>
    <w:rsid w:val="00014E8A"/>
    <w:rsid w:val="00014EA9"/>
    <w:rsid w:val="00014F0A"/>
    <w:rsid w:val="00014F24"/>
    <w:rsid w:val="00014FFD"/>
    <w:rsid w:val="0001505B"/>
    <w:rsid w:val="0001509B"/>
    <w:rsid w:val="000150B8"/>
    <w:rsid w:val="000150DD"/>
    <w:rsid w:val="00015138"/>
    <w:rsid w:val="000151A7"/>
    <w:rsid w:val="000151D8"/>
    <w:rsid w:val="00015226"/>
    <w:rsid w:val="00015263"/>
    <w:rsid w:val="00015348"/>
    <w:rsid w:val="00015374"/>
    <w:rsid w:val="00015375"/>
    <w:rsid w:val="000153F9"/>
    <w:rsid w:val="0001540C"/>
    <w:rsid w:val="00015437"/>
    <w:rsid w:val="000154C5"/>
    <w:rsid w:val="00015568"/>
    <w:rsid w:val="000155A3"/>
    <w:rsid w:val="000156C8"/>
    <w:rsid w:val="000156D4"/>
    <w:rsid w:val="0001576D"/>
    <w:rsid w:val="000157D2"/>
    <w:rsid w:val="000157E3"/>
    <w:rsid w:val="00015924"/>
    <w:rsid w:val="0001596B"/>
    <w:rsid w:val="00015A39"/>
    <w:rsid w:val="00015BC4"/>
    <w:rsid w:val="00015BE2"/>
    <w:rsid w:val="00015C0F"/>
    <w:rsid w:val="00015C29"/>
    <w:rsid w:val="00015CAC"/>
    <w:rsid w:val="00015CC1"/>
    <w:rsid w:val="00015CF1"/>
    <w:rsid w:val="00015F14"/>
    <w:rsid w:val="00015F46"/>
    <w:rsid w:val="00015F6C"/>
    <w:rsid w:val="00015FD8"/>
    <w:rsid w:val="0001607B"/>
    <w:rsid w:val="0001609D"/>
    <w:rsid w:val="000160B8"/>
    <w:rsid w:val="000160D7"/>
    <w:rsid w:val="00016115"/>
    <w:rsid w:val="00016125"/>
    <w:rsid w:val="0001614E"/>
    <w:rsid w:val="00016189"/>
    <w:rsid w:val="000161E9"/>
    <w:rsid w:val="00016200"/>
    <w:rsid w:val="00016241"/>
    <w:rsid w:val="00016246"/>
    <w:rsid w:val="000162B6"/>
    <w:rsid w:val="000162BB"/>
    <w:rsid w:val="000162D8"/>
    <w:rsid w:val="00016349"/>
    <w:rsid w:val="0001636D"/>
    <w:rsid w:val="00016378"/>
    <w:rsid w:val="000164AC"/>
    <w:rsid w:val="000164D1"/>
    <w:rsid w:val="00016504"/>
    <w:rsid w:val="00016515"/>
    <w:rsid w:val="00016534"/>
    <w:rsid w:val="00016539"/>
    <w:rsid w:val="00016592"/>
    <w:rsid w:val="000165DA"/>
    <w:rsid w:val="00016601"/>
    <w:rsid w:val="0001661B"/>
    <w:rsid w:val="0001667E"/>
    <w:rsid w:val="000166D9"/>
    <w:rsid w:val="000166F0"/>
    <w:rsid w:val="0001671F"/>
    <w:rsid w:val="0001673C"/>
    <w:rsid w:val="000168A0"/>
    <w:rsid w:val="000168A3"/>
    <w:rsid w:val="00016967"/>
    <w:rsid w:val="000169A1"/>
    <w:rsid w:val="000169AD"/>
    <w:rsid w:val="00016A15"/>
    <w:rsid w:val="00016A47"/>
    <w:rsid w:val="00016ACF"/>
    <w:rsid w:val="00016B11"/>
    <w:rsid w:val="00016B21"/>
    <w:rsid w:val="00016B73"/>
    <w:rsid w:val="00016BDB"/>
    <w:rsid w:val="00016C04"/>
    <w:rsid w:val="00016CBE"/>
    <w:rsid w:val="00016D0C"/>
    <w:rsid w:val="00016D15"/>
    <w:rsid w:val="00016D4C"/>
    <w:rsid w:val="00016D5B"/>
    <w:rsid w:val="00016D8A"/>
    <w:rsid w:val="00016DB3"/>
    <w:rsid w:val="00016E8F"/>
    <w:rsid w:val="00016F6A"/>
    <w:rsid w:val="00016F82"/>
    <w:rsid w:val="00016FAA"/>
    <w:rsid w:val="00016FAE"/>
    <w:rsid w:val="00016FED"/>
    <w:rsid w:val="00017187"/>
    <w:rsid w:val="000171AF"/>
    <w:rsid w:val="000171DB"/>
    <w:rsid w:val="00017373"/>
    <w:rsid w:val="0001739D"/>
    <w:rsid w:val="000173C0"/>
    <w:rsid w:val="000173D5"/>
    <w:rsid w:val="00017547"/>
    <w:rsid w:val="00017565"/>
    <w:rsid w:val="00017568"/>
    <w:rsid w:val="0001756C"/>
    <w:rsid w:val="00017582"/>
    <w:rsid w:val="00017585"/>
    <w:rsid w:val="00017594"/>
    <w:rsid w:val="000175AB"/>
    <w:rsid w:val="000175C4"/>
    <w:rsid w:val="000176D4"/>
    <w:rsid w:val="00017742"/>
    <w:rsid w:val="00017749"/>
    <w:rsid w:val="00017788"/>
    <w:rsid w:val="000178CA"/>
    <w:rsid w:val="0001796E"/>
    <w:rsid w:val="0001798E"/>
    <w:rsid w:val="00017A19"/>
    <w:rsid w:val="00017A51"/>
    <w:rsid w:val="00017AA2"/>
    <w:rsid w:val="00017AAF"/>
    <w:rsid w:val="00017AB8"/>
    <w:rsid w:val="00017AC5"/>
    <w:rsid w:val="00017B44"/>
    <w:rsid w:val="00017BB0"/>
    <w:rsid w:val="00017C15"/>
    <w:rsid w:val="00017CE8"/>
    <w:rsid w:val="00017CF2"/>
    <w:rsid w:val="00017D47"/>
    <w:rsid w:val="00017D9A"/>
    <w:rsid w:val="00017E15"/>
    <w:rsid w:val="00017E5C"/>
    <w:rsid w:val="00017E8A"/>
    <w:rsid w:val="00017F00"/>
    <w:rsid w:val="00017F63"/>
    <w:rsid w:val="00017FA2"/>
    <w:rsid w:val="0002004A"/>
    <w:rsid w:val="0002005A"/>
    <w:rsid w:val="00020116"/>
    <w:rsid w:val="0002018D"/>
    <w:rsid w:val="00020267"/>
    <w:rsid w:val="000202B5"/>
    <w:rsid w:val="000202DA"/>
    <w:rsid w:val="00020411"/>
    <w:rsid w:val="00020471"/>
    <w:rsid w:val="0002048D"/>
    <w:rsid w:val="00020500"/>
    <w:rsid w:val="00020524"/>
    <w:rsid w:val="000205E5"/>
    <w:rsid w:val="0002062F"/>
    <w:rsid w:val="000206A2"/>
    <w:rsid w:val="00020882"/>
    <w:rsid w:val="000208CC"/>
    <w:rsid w:val="000208E9"/>
    <w:rsid w:val="00020944"/>
    <w:rsid w:val="000209CE"/>
    <w:rsid w:val="000209E3"/>
    <w:rsid w:val="00020AB3"/>
    <w:rsid w:val="00020B47"/>
    <w:rsid w:val="00020B7A"/>
    <w:rsid w:val="00020BD0"/>
    <w:rsid w:val="00020BFD"/>
    <w:rsid w:val="00020C27"/>
    <w:rsid w:val="00020CC6"/>
    <w:rsid w:val="00020D2D"/>
    <w:rsid w:val="00020D68"/>
    <w:rsid w:val="00020DAE"/>
    <w:rsid w:val="00020DC8"/>
    <w:rsid w:val="00020DEA"/>
    <w:rsid w:val="00020DED"/>
    <w:rsid w:val="00020E4D"/>
    <w:rsid w:val="00020EFA"/>
    <w:rsid w:val="00020F46"/>
    <w:rsid w:val="00020F53"/>
    <w:rsid w:val="00020F8F"/>
    <w:rsid w:val="00020FA5"/>
    <w:rsid w:val="00020FA9"/>
    <w:rsid w:val="00021019"/>
    <w:rsid w:val="000210A6"/>
    <w:rsid w:val="000210DE"/>
    <w:rsid w:val="00021152"/>
    <w:rsid w:val="0002116A"/>
    <w:rsid w:val="000211BC"/>
    <w:rsid w:val="000211C1"/>
    <w:rsid w:val="000211D7"/>
    <w:rsid w:val="000211EA"/>
    <w:rsid w:val="000211F0"/>
    <w:rsid w:val="000211FE"/>
    <w:rsid w:val="000212AB"/>
    <w:rsid w:val="000212E6"/>
    <w:rsid w:val="0002132D"/>
    <w:rsid w:val="000213AE"/>
    <w:rsid w:val="000213E7"/>
    <w:rsid w:val="000214A7"/>
    <w:rsid w:val="000214C2"/>
    <w:rsid w:val="000214D6"/>
    <w:rsid w:val="000214E8"/>
    <w:rsid w:val="00021518"/>
    <w:rsid w:val="000215B9"/>
    <w:rsid w:val="000215D0"/>
    <w:rsid w:val="00021636"/>
    <w:rsid w:val="00021673"/>
    <w:rsid w:val="000216A2"/>
    <w:rsid w:val="000216E5"/>
    <w:rsid w:val="000216F5"/>
    <w:rsid w:val="0002174A"/>
    <w:rsid w:val="00021881"/>
    <w:rsid w:val="00021884"/>
    <w:rsid w:val="000218D3"/>
    <w:rsid w:val="00021913"/>
    <w:rsid w:val="00021963"/>
    <w:rsid w:val="00021967"/>
    <w:rsid w:val="000219B8"/>
    <w:rsid w:val="000219E6"/>
    <w:rsid w:val="00021A87"/>
    <w:rsid w:val="00021AE3"/>
    <w:rsid w:val="00021B45"/>
    <w:rsid w:val="00021BC6"/>
    <w:rsid w:val="00021D03"/>
    <w:rsid w:val="00021E3C"/>
    <w:rsid w:val="00021E70"/>
    <w:rsid w:val="00021ECA"/>
    <w:rsid w:val="00021F12"/>
    <w:rsid w:val="00022100"/>
    <w:rsid w:val="00022105"/>
    <w:rsid w:val="00022152"/>
    <w:rsid w:val="00022179"/>
    <w:rsid w:val="00022192"/>
    <w:rsid w:val="000221B4"/>
    <w:rsid w:val="000221BD"/>
    <w:rsid w:val="000221D2"/>
    <w:rsid w:val="000222A1"/>
    <w:rsid w:val="000222BC"/>
    <w:rsid w:val="000222BF"/>
    <w:rsid w:val="000222F4"/>
    <w:rsid w:val="000223C5"/>
    <w:rsid w:val="0002244A"/>
    <w:rsid w:val="00022457"/>
    <w:rsid w:val="0002245C"/>
    <w:rsid w:val="000224BB"/>
    <w:rsid w:val="000224CC"/>
    <w:rsid w:val="00022507"/>
    <w:rsid w:val="0002250D"/>
    <w:rsid w:val="00022520"/>
    <w:rsid w:val="00022549"/>
    <w:rsid w:val="0002254F"/>
    <w:rsid w:val="000225BE"/>
    <w:rsid w:val="000225D4"/>
    <w:rsid w:val="000225F9"/>
    <w:rsid w:val="00022605"/>
    <w:rsid w:val="00022626"/>
    <w:rsid w:val="000226A5"/>
    <w:rsid w:val="00022717"/>
    <w:rsid w:val="0002271B"/>
    <w:rsid w:val="00022733"/>
    <w:rsid w:val="0002274F"/>
    <w:rsid w:val="0002277E"/>
    <w:rsid w:val="000227BB"/>
    <w:rsid w:val="00022867"/>
    <w:rsid w:val="0002288E"/>
    <w:rsid w:val="000228AE"/>
    <w:rsid w:val="000228BE"/>
    <w:rsid w:val="00022989"/>
    <w:rsid w:val="0002299E"/>
    <w:rsid w:val="00022AED"/>
    <w:rsid w:val="00022B22"/>
    <w:rsid w:val="00022BAE"/>
    <w:rsid w:val="00022BB3"/>
    <w:rsid w:val="00022BF8"/>
    <w:rsid w:val="00022C30"/>
    <w:rsid w:val="00022C38"/>
    <w:rsid w:val="00022CEA"/>
    <w:rsid w:val="00022CF3"/>
    <w:rsid w:val="00022D17"/>
    <w:rsid w:val="00022D59"/>
    <w:rsid w:val="00022DF9"/>
    <w:rsid w:val="00023086"/>
    <w:rsid w:val="00023137"/>
    <w:rsid w:val="0002323E"/>
    <w:rsid w:val="00023250"/>
    <w:rsid w:val="00023264"/>
    <w:rsid w:val="00023280"/>
    <w:rsid w:val="0002328E"/>
    <w:rsid w:val="0002331E"/>
    <w:rsid w:val="00023324"/>
    <w:rsid w:val="00023356"/>
    <w:rsid w:val="00023399"/>
    <w:rsid w:val="000233DE"/>
    <w:rsid w:val="00023401"/>
    <w:rsid w:val="000234CD"/>
    <w:rsid w:val="000234E6"/>
    <w:rsid w:val="00023509"/>
    <w:rsid w:val="000235DB"/>
    <w:rsid w:val="00023618"/>
    <w:rsid w:val="00023674"/>
    <w:rsid w:val="000236CD"/>
    <w:rsid w:val="000236F1"/>
    <w:rsid w:val="0002372E"/>
    <w:rsid w:val="00023779"/>
    <w:rsid w:val="0002379A"/>
    <w:rsid w:val="000237F2"/>
    <w:rsid w:val="00023896"/>
    <w:rsid w:val="000238BB"/>
    <w:rsid w:val="00023916"/>
    <w:rsid w:val="00023932"/>
    <w:rsid w:val="0002396F"/>
    <w:rsid w:val="00023987"/>
    <w:rsid w:val="0002398C"/>
    <w:rsid w:val="00023A06"/>
    <w:rsid w:val="00023A08"/>
    <w:rsid w:val="00023A95"/>
    <w:rsid w:val="00023AAA"/>
    <w:rsid w:val="00023BA3"/>
    <w:rsid w:val="00023BF4"/>
    <w:rsid w:val="00023BF5"/>
    <w:rsid w:val="00023C32"/>
    <w:rsid w:val="00023C72"/>
    <w:rsid w:val="00023CBE"/>
    <w:rsid w:val="00023CDE"/>
    <w:rsid w:val="00023D4C"/>
    <w:rsid w:val="00023D4E"/>
    <w:rsid w:val="00023D60"/>
    <w:rsid w:val="00023EA1"/>
    <w:rsid w:val="00023F25"/>
    <w:rsid w:val="00023F2D"/>
    <w:rsid w:val="00023FB6"/>
    <w:rsid w:val="00023FCF"/>
    <w:rsid w:val="00024018"/>
    <w:rsid w:val="0002408A"/>
    <w:rsid w:val="00024158"/>
    <w:rsid w:val="00024236"/>
    <w:rsid w:val="00024259"/>
    <w:rsid w:val="00024273"/>
    <w:rsid w:val="00024275"/>
    <w:rsid w:val="00024302"/>
    <w:rsid w:val="00024322"/>
    <w:rsid w:val="0002438D"/>
    <w:rsid w:val="000244E9"/>
    <w:rsid w:val="00024525"/>
    <w:rsid w:val="00024539"/>
    <w:rsid w:val="000245D4"/>
    <w:rsid w:val="000245DD"/>
    <w:rsid w:val="0002461E"/>
    <w:rsid w:val="00024679"/>
    <w:rsid w:val="000246F0"/>
    <w:rsid w:val="00024795"/>
    <w:rsid w:val="000247AE"/>
    <w:rsid w:val="000247D8"/>
    <w:rsid w:val="0002482B"/>
    <w:rsid w:val="00024853"/>
    <w:rsid w:val="000248C2"/>
    <w:rsid w:val="00024983"/>
    <w:rsid w:val="000249AD"/>
    <w:rsid w:val="000249EF"/>
    <w:rsid w:val="000249F0"/>
    <w:rsid w:val="00024A3B"/>
    <w:rsid w:val="00024A61"/>
    <w:rsid w:val="00024AA2"/>
    <w:rsid w:val="00024ABC"/>
    <w:rsid w:val="00024ADC"/>
    <w:rsid w:val="00024B1C"/>
    <w:rsid w:val="00024B27"/>
    <w:rsid w:val="00024B5B"/>
    <w:rsid w:val="00024B61"/>
    <w:rsid w:val="00024BD5"/>
    <w:rsid w:val="00024BE1"/>
    <w:rsid w:val="00024BE7"/>
    <w:rsid w:val="00024C4A"/>
    <w:rsid w:val="00024C61"/>
    <w:rsid w:val="00024DB0"/>
    <w:rsid w:val="00024DD0"/>
    <w:rsid w:val="00024DE6"/>
    <w:rsid w:val="00024E8A"/>
    <w:rsid w:val="00024E9A"/>
    <w:rsid w:val="00024F0F"/>
    <w:rsid w:val="00024F62"/>
    <w:rsid w:val="00024FA0"/>
    <w:rsid w:val="00025011"/>
    <w:rsid w:val="00025044"/>
    <w:rsid w:val="00025050"/>
    <w:rsid w:val="00025063"/>
    <w:rsid w:val="0002506D"/>
    <w:rsid w:val="00025076"/>
    <w:rsid w:val="00025106"/>
    <w:rsid w:val="0002510B"/>
    <w:rsid w:val="0002512A"/>
    <w:rsid w:val="00025137"/>
    <w:rsid w:val="00025159"/>
    <w:rsid w:val="0002519C"/>
    <w:rsid w:val="000251BD"/>
    <w:rsid w:val="0002524D"/>
    <w:rsid w:val="0002528F"/>
    <w:rsid w:val="00025303"/>
    <w:rsid w:val="0002534F"/>
    <w:rsid w:val="000253D0"/>
    <w:rsid w:val="000253F7"/>
    <w:rsid w:val="000253FA"/>
    <w:rsid w:val="0002542E"/>
    <w:rsid w:val="0002544D"/>
    <w:rsid w:val="00025472"/>
    <w:rsid w:val="00025474"/>
    <w:rsid w:val="0002555E"/>
    <w:rsid w:val="00025579"/>
    <w:rsid w:val="000255D0"/>
    <w:rsid w:val="000255FF"/>
    <w:rsid w:val="000256A4"/>
    <w:rsid w:val="000256AF"/>
    <w:rsid w:val="00025758"/>
    <w:rsid w:val="00025767"/>
    <w:rsid w:val="0002578D"/>
    <w:rsid w:val="00025822"/>
    <w:rsid w:val="00025899"/>
    <w:rsid w:val="000258E5"/>
    <w:rsid w:val="000258F9"/>
    <w:rsid w:val="00025900"/>
    <w:rsid w:val="00025982"/>
    <w:rsid w:val="000259C0"/>
    <w:rsid w:val="00025A3D"/>
    <w:rsid w:val="00025A7F"/>
    <w:rsid w:val="00025AAB"/>
    <w:rsid w:val="00025ABA"/>
    <w:rsid w:val="00025AD1"/>
    <w:rsid w:val="00025BD9"/>
    <w:rsid w:val="00025BF9"/>
    <w:rsid w:val="00025C21"/>
    <w:rsid w:val="00025C61"/>
    <w:rsid w:val="00025C85"/>
    <w:rsid w:val="00025CCF"/>
    <w:rsid w:val="00025D1E"/>
    <w:rsid w:val="00025E62"/>
    <w:rsid w:val="00025EE3"/>
    <w:rsid w:val="00025F9D"/>
    <w:rsid w:val="00025FE3"/>
    <w:rsid w:val="00025FF6"/>
    <w:rsid w:val="00025FFB"/>
    <w:rsid w:val="0002604B"/>
    <w:rsid w:val="000260AC"/>
    <w:rsid w:val="000261B3"/>
    <w:rsid w:val="00026228"/>
    <w:rsid w:val="00026266"/>
    <w:rsid w:val="00026316"/>
    <w:rsid w:val="0002636C"/>
    <w:rsid w:val="00026388"/>
    <w:rsid w:val="000263DF"/>
    <w:rsid w:val="00026409"/>
    <w:rsid w:val="00026420"/>
    <w:rsid w:val="0002649D"/>
    <w:rsid w:val="00026517"/>
    <w:rsid w:val="00026521"/>
    <w:rsid w:val="0002653D"/>
    <w:rsid w:val="00026655"/>
    <w:rsid w:val="000266D7"/>
    <w:rsid w:val="00026811"/>
    <w:rsid w:val="000268B9"/>
    <w:rsid w:val="000268DC"/>
    <w:rsid w:val="00026922"/>
    <w:rsid w:val="00026955"/>
    <w:rsid w:val="0002696B"/>
    <w:rsid w:val="000269A9"/>
    <w:rsid w:val="000269D7"/>
    <w:rsid w:val="00026A2F"/>
    <w:rsid w:val="00026A3A"/>
    <w:rsid w:val="00026AF3"/>
    <w:rsid w:val="00026B02"/>
    <w:rsid w:val="00026B16"/>
    <w:rsid w:val="00026B40"/>
    <w:rsid w:val="00026BAB"/>
    <w:rsid w:val="00026BD2"/>
    <w:rsid w:val="00026BED"/>
    <w:rsid w:val="00026C32"/>
    <w:rsid w:val="00026CA8"/>
    <w:rsid w:val="00026CAE"/>
    <w:rsid w:val="00026CB6"/>
    <w:rsid w:val="00026D1B"/>
    <w:rsid w:val="00026DB9"/>
    <w:rsid w:val="00026FE7"/>
    <w:rsid w:val="00026FF5"/>
    <w:rsid w:val="000270FF"/>
    <w:rsid w:val="0002710A"/>
    <w:rsid w:val="0002710E"/>
    <w:rsid w:val="00027129"/>
    <w:rsid w:val="00027193"/>
    <w:rsid w:val="000271C1"/>
    <w:rsid w:val="00027292"/>
    <w:rsid w:val="000272AE"/>
    <w:rsid w:val="00027315"/>
    <w:rsid w:val="00027330"/>
    <w:rsid w:val="000273F5"/>
    <w:rsid w:val="0002745F"/>
    <w:rsid w:val="0002746D"/>
    <w:rsid w:val="00027562"/>
    <w:rsid w:val="00027593"/>
    <w:rsid w:val="00027655"/>
    <w:rsid w:val="000276B3"/>
    <w:rsid w:val="000276EB"/>
    <w:rsid w:val="000276FA"/>
    <w:rsid w:val="00027708"/>
    <w:rsid w:val="0002770F"/>
    <w:rsid w:val="00027721"/>
    <w:rsid w:val="0002775B"/>
    <w:rsid w:val="00027765"/>
    <w:rsid w:val="0002781A"/>
    <w:rsid w:val="00027838"/>
    <w:rsid w:val="0002784A"/>
    <w:rsid w:val="0002785B"/>
    <w:rsid w:val="0002786D"/>
    <w:rsid w:val="00027884"/>
    <w:rsid w:val="000278A0"/>
    <w:rsid w:val="000278AC"/>
    <w:rsid w:val="000278D6"/>
    <w:rsid w:val="000278E9"/>
    <w:rsid w:val="0002793E"/>
    <w:rsid w:val="00027AB8"/>
    <w:rsid w:val="00027B36"/>
    <w:rsid w:val="00027BA7"/>
    <w:rsid w:val="00027BE1"/>
    <w:rsid w:val="00027BF6"/>
    <w:rsid w:val="00027C17"/>
    <w:rsid w:val="00027C54"/>
    <w:rsid w:val="00027CB1"/>
    <w:rsid w:val="00027CC2"/>
    <w:rsid w:val="00027CC5"/>
    <w:rsid w:val="00027DC5"/>
    <w:rsid w:val="00027E42"/>
    <w:rsid w:val="00027E4C"/>
    <w:rsid w:val="00027ED2"/>
    <w:rsid w:val="00027F89"/>
    <w:rsid w:val="00027FEF"/>
    <w:rsid w:val="00030033"/>
    <w:rsid w:val="00030036"/>
    <w:rsid w:val="00030086"/>
    <w:rsid w:val="000300D3"/>
    <w:rsid w:val="00030159"/>
    <w:rsid w:val="0003018D"/>
    <w:rsid w:val="0003019E"/>
    <w:rsid w:val="000301A6"/>
    <w:rsid w:val="000301BC"/>
    <w:rsid w:val="000301FA"/>
    <w:rsid w:val="00030279"/>
    <w:rsid w:val="000302A8"/>
    <w:rsid w:val="0003033D"/>
    <w:rsid w:val="0003038C"/>
    <w:rsid w:val="000303B0"/>
    <w:rsid w:val="000303EA"/>
    <w:rsid w:val="00030411"/>
    <w:rsid w:val="00030417"/>
    <w:rsid w:val="0003042E"/>
    <w:rsid w:val="00030506"/>
    <w:rsid w:val="0003052C"/>
    <w:rsid w:val="0003057B"/>
    <w:rsid w:val="000305BC"/>
    <w:rsid w:val="00030642"/>
    <w:rsid w:val="0003066B"/>
    <w:rsid w:val="00030753"/>
    <w:rsid w:val="00030776"/>
    <w:rsid w:val="00030821"/>
    <w:rsid w:val="000308C3"/>
    <w:rsid w:val="000308D1"/>
    <w:rsid w:val="000309A5"/>
    <w:rsid w:val="00030B64"/>
    <w:rsid w:val="00030C90"/>
    <w:rsid w:val="00030D09"/>
    <w:rsid w:val="00030D1F"/>
    <w:rsid w:val="00030DB8"/>
    <w:rsid w:val="00030EBA"/>
    <w:rsid w:val="00030EE8"/>
    <w:rsid w:val="00030F15"/>
    <w:rsid w:val="00030F41"/>
    <w:rsid w:val="00030FD4"/>
    <w:rsid w:val="00030FE1"/>
    <w:rsid w:val="0003104E"/>
    <w:rsid w:val="00031099"/>
    <w:rsid w:val="00031130"/>
    <w:rsid w:val="00031155"/>
    <w:rsid w:val="00031181"/>
    <w:rsid w:val="00031184"/>
    <w:rsid w:val="000311DA"/>
    <w:rsid w:val="0003123A"/>
    <w:rsid w:val="0003124A"/>
    <w:rsid w:val="0003126D"/>
    <w:rsid w:val="00031271"/>
    <w:rsid w:val="0003128C"/>
    <w:rsid w:val="000312D7"/>
    <w:rsid w:val="000312F9"/>
    <w:rsid w:val="00031358"/>
    <w:rsid w:val="00031383"/>
    <w:rsid w:val="0003147C"/>
    <w:rsid w:val="00031500"/>
    <w:rsid w:val="00031555"/>
    <w:rsid w:val="00031560"/>
    <w:rsid w:val="000315CD"/>
    <w:rsid w:val="0003160B"/>
    <w:rsid w:val="00031648"/>
    <w:rsid w:val="0003167F"/>
    <w:rsid w:val="00031687"/>
    <w:rsid w:val="000316FE"/>
    <w:rsid w:val="00031808"/>
    <w:rsid w:val="00031813"/>
    <w:rsid w:val="000318EE"/>
    <w:rsid w:val="00031946"/>
    <w:rsid w:val="000319B4"/>
    <w:rsid w:val="000319C5"/>
    <w:rsid w:val="000319F4"/>
    <w:rsid w:val="00031A31"/>
    <w:rsid w:val="00031AEB"/>
    <w:rsid w:val="00031B0F"/>
    <w:rsid w:val="00031B9D"/>
    <w:rsid w:val="00031BB2"/>
    <w:rsid w:val="00031BC7"/>
    <w:rsid w:val="00031C08"/>
    <w:rsid w:val="00031CAE"/>
    <w:rsid w:val="00031CAF"/>
    <w:rsid w:val="00031D18"/>
    <w:rsid w:val="00031D56"/>
    <w:rsid w:val="00031D97"/>
    <w:rsid w:val="00031DA4"/>
    <w:rsid w:val="00031E08"/>
    <w:rsid w:val="00031E4E"/>
    <w:rsid w:val="00031F15"/>
    <w:rsid w:val="00031F45"/>
    <w:rsid w:val="00031F81"/>
    <w:rsid w:val="00031F9C"/>
    <w:rsid w:val="00031FB0"/>
    <w:rsid w:val="0003202D"/>
    <w:rsid w:val="00032091"/>
    <w:rsid w:val="000320A9"/>
    <w:rsid w:val="0003216A"/>
    <w:rsid w:val="00032198"/>
    <w:rsid w:val="00032203"/>
    <w:rsid w:val="0003224A"/>
    <w:rsid w:val="000322D2"/>
    <w:rsid w:val="000322D7"/>
    <w:rsid w:val="00032358"/>
    <w:rsid w:val="0003245B"/>
    <w:rsid w:val="00032468"/>
    <w:rsid w:val="0003246C"/>
    <w:rsid w:val="00032485"/>
    <w:rsid w:val="00032496"/>
    <w:rsid w:val="00032504"/>
    <w:rsid w:val="00032557"/>
    <w:rsid w:val="0003257D"/>
    <w:rsid w:val="000325B0"/>
    <w:rsid w:val="000326C8"/>
    <w:rsid w:val="000326F9"/>
    <w:rsid w:val="00032732"/>
    <w:rsid w:val="00032734"/>
    <w:rsid w:val="00032790"/>
    <w:rsid w:val="000327A8"/>
    <w:rsid w:val="00032899"/>
    <w:rsid w:val="000328C8"/>
    <w:rsid w:val="00032914"/>
    <w:rsid w:val="0003296D"/>
    <w:rsid w:val="00032A04"/>
    <w:rsid w:val="00032A15"/>
    <w:rsid w:val="00032A55"/>
    <w:rsid w:val="00032A73"/>
    <w:rsid w:val="00032ABC"/>
    <w:rsid w:val="00032B1B"/>
    <w:rsid w:val="00032B81"/>
    <w:rsid w:val="00032CE0"/>
    <w:rsid w:val="00032D6A"/>
    <w:rsid w:val="00032DBE"/>
    <w:rsid w:val="00032DDA"/>
    <w:rsid w:val="00032DFF"/>
    <w:rsid w:val="00032E23"/>
    <w:rsid w:val="00032E52"/>
    <w:rsid w:val="00032E86"/>
    <w:rsid w:val="00032EAB"/>
    <w:rsid w:val="00032FD9"/>
    <w:rsid w:val="00033089"/>
    <w:rsid w:val="0003308D"/>
    <w:rsid w:val="00033091"/>
    <w:rsid w:val="00033195"/>
    <w:rsid w:val="000332EE"/>
    <w:rsid w:val="0003346E"/>
    <w:rsid w:val="000334D1"/>
    <w:rsid w:val="00033511"/>
    <w:rsid w:val="00033633"/>
    <w:rsid w:val="0003368C"/>
    <w:rsid w:val="000336C9"/>
    <w:rsid w:val="000336ED"/>
    <w:rsid w:val="00033702"/>
    <w:rsid w:val="00033726"/>
    <w:rsid w:val="0003397F"/>
    <w:rsid w:val="000339DA"/>
    <w:rsid w:val="000339E5"/>
    <w:rsid w:val="00033A11"/>
    <w:rsid w:val="00033A9D"/>
    <w:rsid w:val="00033B64"/>
    <w:rsid w:val="00033BAA"/>
    <w:rsid w:val="00033C79"/>
    <w:rsid w:val="00033CCE"/>
    <w:rsid w:val="00033CDE"/>
    <w:rsid w:val="00033D4A"/>
    <w:rsid w:val="00033DD7"/>
    <w:rsid w:val="00033E11"/>
    <w:rsid w:val="00033E21"/>
    <w:rsid w:val="00033E47"/>
    <w:rsid w:val="00033F09"/>
    <w:rsid w:val="00033FDE"/>
    <w:rsid w:val="0003400A"/>
    <w:rsid w:val="00034067"/>
    <w:rsid w:val="0003419A"/>
    <w:rsid w:val="00034222"/>
    <w:rsid w:val="00034243"/>
    <w:rsid w:val="0003427E"/>
    <w:rsid w:val="00034284"/>
    <w:rsid w:val="000342B8"/>
    <w:rsid w:val="00034328"/>
    <w:rsid w:val="0003434B"/>
    <w:rsid w:val="00034375"/>
    <w:rsid w:val="0003450E"/>
    <w:rsid w:val="0003458D"/>
    <w:rsid w:val="000345BC"/>
    <w:rsid w:val="00034612"/>
    <w:rsid w:val="0003463C"/>
    <w:rsid w:val="0003464B"/>
    <w:rsid w:val="0003467F"/>
    <w:rsid w:val="000346F2"/>
    <w:rsid w:val="000347A0"/>
    <w:rsid w:val="00034864"/>
    <w:rsid w:val="00034889"/>
    <w:rsid w:val="000348F5"/>
    <w:rsid w:val="0003492F"/>
    <w:rsid w:val="00034937"/>
    <w:rsid w:val="00034967"/>
    <w:rsid w:val="000349A9"/>
    <w:rsid w:val="00034A05"/>
    <w:rsid w:val="00034A1D"/>
    <w:rsid w:val="00034A8E"/>
    <w:rsid w:val="00034AE2"/>
    <w:rsid w:val="00034B1F"/>
    <w:rsid w:val="00034B3F"/>
    <w:rsid w:val="00034B4C"/>
    <w:rsid w:val="00034BD3"/>
    <w:rsid w:val="00034C80"/>
    <w:rsid w:val="00034CB1"/>
    <w:rsid w:val="00034CD8"/>
    <w:rsid w:val="00034DF4"/>
    <w:rsid w:val="00034EC3"/>
    <w:rsid w:val="00034EC9"/>
    <w:rsid w:val="00034F14"/>
    <w:rsid w:val="0003501B"/>
    <w:rsid w:val="00035023"/>
    <w:rsid w:val="00035050"/>
    <w:rsid w:val="0003508D"/>
    <w:rsid w:val="000350F8"/>
    <w:rsid w:val="000352A5"/>
    <w:rsid w:val="000352BE"/>
    <w:rsid w:val="000353A2"/>
    <w:rsid w:val="000353B6"/>
    <w:rsid w:val="000353D3"/>
    <w:rsid w:val="0003541D"/>
    <w:rsid w:val="0003543B"/>
    <w:rsid w:val="00035466"/>
    <w:rsid w:val="00035519"/>
    <w:rsid w:val="00035544"/>
    <w:rsid w:val="00035545"/>
    <w:rsid w:val="00035573"/>
    <w:rsid w:val="000355A8"/>
    <w:rsid w:val="000355BD"/>
    <w:rsid w:val="00035607"/>
    <w:rsid w:val="00035617"/>
    <w:rsid w:val="00035647"/>
    <w:rsid w:val="000356B5"/>
    <w:rsid w:val="000356C5"/>
    <w:rsid w:val="00035714"/>
    <w:rsid w:val="0003592C"/>
    <w:rsid w:val="00035942"/>
    <w:rsid w:val="000359C9"/>
    <w:rsid w:val="000359D6"/>
    <w:rsid w:val="00035A19"/>
    <w:rsid w:val="00035AF8"/>
    <w:rsid w:val="00035B13"/>
    <w:rsid w:val="00035B59"/>
    <w:rsid w:val="00035B93"/>
    <w:rsid w:val="00035BFF"/>
    <w:rsid w:val="00035D1B"/>
    <w:rsid w:val="00035E3F"/>
    <w:rsid w:val="00035E90"/>
    <w:rsid w:val="00035EEF"/>
    <w:rsid w:val="00035FC5"/>
    <w:rsid w:val="00035FCF"/>
    <w:rsid w:val="00036015"/>
    <w:rsid w:val="0003601E"/>
    <w:rsid w:val="0003608C"/>
    <w:rsid w:val="0003609F"/>
    <w:rsid w:val="000360D0"/>
    <w:rsid w:val="000360F7"/>
    <w:rsid w:val="0003616D"/>
    <w:rsid w:val="00036179"/>
    <w:rsid w:val="000361F3"/>
    <w:rsid w:val="00036243"/>
    <w:rsid w:val="0003625D"/>
    <w:rsid w:val="0003630C"/>
    <w:rsid w:val="0003633F"/>
    <w:rsid w:val="00036344"/>
    <w:rsid w:val="00036345"/>
    <w:rsid w:val="00036403"/>
    <w:rsid w:val="00036459"/>
    <w:rsid w:val="0003645F"/>
    <w:rsid w:val="000364D9"/>
    <w:rsid w:val="000365F2"/>
    <w:rsid w:val="000365F3"/>
    <w:rsid w:val="0003663F"/>
    <w:rsid w:val="000367D4"/>
    <w:rsid w:val="00036857"/>
    <w:rsid w:val="0003686B"/>
    <w:rsid w:val="000368D4"/>
    <w:rsid w:val="0003694C"/>
    <w:rsid w:val="0003696F"/>
    <w:rsid w:val="00036972"/>
    <w:rsid w:val="000369D5"/>
    <w:rsid w:val="00036A7B"/>
    <w:rsid w:val="00036A8B"/>
    <w:rsid w:val="00036A94"/>
    <w:rsid w:val="00036AB7"/>
    <w:rsid w:val="00036B75"/>
    <w:rsid w:val="00036C01"/>
    <w:rsid w:val="00036D19"/>
    <w:rsid w:val="00036D51"/>
    <w:rsid w:val="00036D5D"/>
    <w:rsid w:val="00036D6D"/>
    <w:rsid w:val="00036D79"/>
    <w:rsid w:val="00036DD3"/>
    <w:rsid w:val="00036DDE"/>
    <w:rsid w:val="00036E0C"/>
    <w:rsid w:val="00036E1F"/>
    <w:rsid w:val="00036E7B"/>
    <w:rsid w:val="00036EEC"/>
    <w:rsid w:val="00036F52"/>
    <w:rsid w:val="00036F76"/>
    <w:rsid w:val="00036FC8"/>
    <w:rsid w:val="00037020"/>
    <w:rsid w:val="00037122"/>
    <w:rsid w:val="00037130"/>
    <w:rsid w:val="000371ED"/>
    <w:rsid w:val="0003720F"/>
    <w:rsid w:val="00037293"/>
    <w:rsid w:val="00037332"/>
    <w:rsid w:val="00037345"/>
    <w:rsid w:val="0003737A"/>
    <w:rsid w:val="00037404"/>
    <w:rsid w:val="0003742F"/>
    <w:rsid w:val="000374D1"/>
    <w:rsid w:val="000374FF"/>
    <w:rsid w:val="00037522"/>
    <w:rsid w:val="000375D4"/>
    <w:rsid w:val="000375E3"/>
    <w:rsid w:val="00037653"/>
    <w:rsid w:val="0003767F"/>
    <w:rsid w:val="00037694"/>
    <w:rsid w:val="000376E0"/>
    <w:rsid w:val="0003771D"/>
    <w:rsid w:val="00037755"/>
    <w:rsid w:val="0003779E"/>
    <w:rsid w:val="00037813"/>
    <w:rsid w:val="00037874"/>
    <w:rsid w:val="000378C6"/>
    <w:rsid w:val="000378D2"/>
    <w:rsid w:val="000378F9"/>
    <w:rsid w:val="00037963"/>
    <w:rsid w:val="00037980"/>
    <w:rsid w:val="000379A3"/>
    <w:rsid w:val="000379AE"/>
    <w:rsid w:val="000379B1"/>
    <w:rsid w:val="000379BE"/>
    <w:rsid w:val="00037A66"/>
    <w:rsid w:val="00037A76"/>
    <w:rsid w:val="00037AFA"/>
    <w:rsid w:val="00037B02"/>
    <w:rsid w:val="00037B30"/>
    <w:rsid w:val="00037C02"/>
    <w:rsid w:val="00037C15"/>
    <w:rsid w:val="00037C32"/>
    <w:rsid w:val="00037C5F"/>
    <w:rsid w:val="00037C64"/>
    <w:rsid w:val="00037D38"/>
    <w:rsid w:val="00037D44"/>
    <w:rsid w:val="00037D6A"/>
    <w:rsid w:val="00037E34"/>
    <w:rsid w:val="00037E58"/>
    <w:rsid w:val="00037F6E"/>
    <w:rsid w:val="00040000"/>
    <w:rsid w:val="00040064"/>
    <w:rsid w:val="000400C2"/>
    <w:rsid w:val="000401F2"/>
    <w:rsid w:val="000401FC"/>
    <w:rsid w:val="00040306"/>
    <w:rsid w:val="0004032F"/>
    <w:rsid w:val="00040364"/>
    <w:rsid w:val="000403AD"/>
    <w:rsid w:val="000403CE"/>
    <w:rsid w:val="00040406"/>
    <w:rsid w:val="0004042E"/>
    <w:rsid w:val="0004046F"/>
    <w:rsid w:val="00040502"/>
    <w:rsid w:val="000405CE"/>
    <w:rsid w:val="000405E2"/>
    <w:rsid w:val="00040602"/>
    <w:rsid w:val="00040689"/>
    <w:rsid w:val="00040769"/>
    <w:rsid w:val="000407F3"/>
    <w:rsid w:val="00040801"/>
    <w:rsid w:val="00040833"/>
    <w:rsid w:val="0004086C"/>
    <w:rsid w:val="000408F8"/>
    <w:rsid w:val="00040A58"/>
    <w:rsid w:val="00040A6E"/>
    <w:rsid w:val="00040A76"/>
    <w:rsid w:val="00040A99"/>
    <w:rsid w:val="00040AE1"/>
    <w:rsid w:val="00040B24"/>
    <w:rsid w:val="00040B8A"/>
    <w:rsid w:val="00040C77"/>
    <w:rsid w:val="00040CA5"/>
    <w:rsid w:val="00040D71"/>
    <w:rsid w:val="00040D92"/>
    <w:rsid w:val="00040DE1"/>
    <w:rsid w:val="00040E0F"/>
    <w:rsid w:val="00040E6D"/>
    <w:rsid w:val="00040EC3"/>
    <w:rsid w:val="00040FA3"/>
    <w:rsid w:val="00041037"/>
    <w:rsid w:val="000410C9"/>
    <w:rsid w:val="00041142"/>
    <w:rsid w:val="00041144"/>
    <w:rsid w:val="0004116D"/>
    <w:rsid w:val="000411DC"/>
    <w:rsid w:val="000411EE"/>
    <w:rsid w:val="0004120B"/>
    <w:rsid w:val="000412B6"/>
    <w:rsid w:val="00041376"/>
    <w:rsid w:val="00041470"/>
    <w:rsid w:val="00041589"/>
    <w:rsid w:val="000415B8"/>
    <w:rsid w:val="000415DF"/>
    <w:rsid w:val="0004163A"/>
    <w:rsid w:val="000416FA"/>
    <w:rsid w:val="0004173F"/>
    <w:rsid w:val="00041798"/>
    <w:rsid w:val="000417A9"/>
    <w:rsid w:val="0004181C"/>
    <w:rsid w:val="00041848"/>
    <w:rsid w:val="00041855"/>
    <w:rsid w:val="000418AF"/>
    <w:rsid w:val="000418B1"/>
    <w:rsid w:val="000418ED"/>
    <w:rsid w:val="0004193C"/>
    <w:rsid w:val="000419AE"/>
    <w:rsid w:val="000419E6"/>
    <w:rsid w:val="00041A42"/>
    <w:rsid w:val="00041A79"/>
    <w:rsid w:val="00041B94"/>
    <w:rsid w:val="00041BC8"/>
    <w:rsid w:val="00041C38"/>
    <w:rsid w:val="00041C91"/>
    <w:rsid w:val="00041D61"/>
    <w:rsid w:val="00041D9C"/>
    <w:rsid w:val="00041E30"/>
    <w:rsid w:val="00041E3C"/>
    <w:rsid w:val="00041E5E"/>
    <w:rsid w:val="00041E62"/>
    <w:rsid w:val="00041F02"/>
    <w:rsid w:val="00041F47"/>
    <w:rsid w:val="00041F88"/>
    <w:rsid w:val="0004208D"/>
    <w:rsid w:val="000420B6"/>
    <w:rsid w:val="0004210F"/>
    <w:rsid w:val="0004211B"/>
    <w:rsid w:val="00042126"/>
    <w:rsid w:val="0004216A"/>
    <w:rsid w:val="00042194"/>
    <w:rsid w:val="0004226D"/>
    <w:rsid w:val="00042386"/>
    <w:rsid w:val="000423A6"/>
    <w:rsid w:val="0004243F"/>
    <w:rsid w:val="000424E1"/>
    <w:rsid w:val="000425F3"/>
    <w:rsid w:val="00042605"/>
    <w:rsid w:val="00042731"/>
    <w:rsid w:val="0004274D"/>
    <w:rsid w:val="000427B7"/>
    <w:rsid w:val="00042822"/>
    <w:rsid w:val="0004286B"/>
    <w:rsid w:val="000428C2"/>
    <w:rsid w:val="00042910"/>
    <w:rsid w:val="00042915"/>
    <w:rsid w:val="00042977"/>
    <w:rsid w:val="00042982"/>
    <w:rsid w:val="00042A6C"/>
    <w:rsid w:val="00042B89"/>
    <w:rsid w:val="00042BBB"/>
    <w:rsid w:val="00042D3C"/>
    <w:rsid w:val="00042DF9"/>
    <w:rsid w:val="00042EEF"/>
    <w:rsid w:val="00042F22"/>
    <w:rsid w:val="00042F73"/>
    <w:rsid w:val="00042F84"/>
    <w:rsid w:val="00042F93"/>
    <w:rsid w:val="00043001"/>
    <w:rsid w:val="0004301F"/>
    <w:rsid w:val="0004303F"/>
    <w:rsid w:val="00043049"/>
    <w:rsid w:val="000430A8"/>
    <w:rsid w:val="000430D0"/>
    <w:rsid w:val="00043100"/>
    <w:rsid w:val="000431B7"/>
    <w:rsid w:val="000431DD"/>
    <w:rsid w:val="000431DE"/>
    <w:rsid w:val="00043245"/>
    <w:rsid w:val="000432E1"/>
    <w:rsid w:val="00043309"/>
    <w:rsid w:val="00043317"/>
    <w:rsid w:val="0004331A"/>
    <w:rsid w:val="00043342"/>
    <w:rsid w:val="00043348"/>
    <w:rsid w:val="00043358"/>
    <w:rsid w:val="00043523"/>
    <w:rsid w:val="00043537"/>
    <w:rsid w:val="00043544"/>
    <w:rsid w:val="0004354F"/>
    <w:rsid w:val="00043575"/>
    <w:rsid w:val="0004360F"/>
    <w:rsid w:val="0004369D"/>
    <w:rsid w:val="000436F9"/>
    <w:rsid w:val="000437C5"/>
    <w:rsid w:val="00043858"/>
    <w:rsid w:val="0004386E"/>
    <w:rsid w:val="000438D8"/>
    <w:rsid w:val="000438FA"/>
    <w:rsid w:val="00043903"/>
    <w:rsid w:val="00043933"/>
    <w:rsid w:val="000439C0"/>
    <w:rsid w:val="000439E4"/>
    <w:rsid w:val="000439E7"/>
    <w:rsid w:val="00043AC7"/>
    <w:rsid w:val="00043AC8"/>
    <w:rsid w:val="00043AC9"/>
    <w:rsid w:val="00043ADA"/>
    <w:rsid w:val="00043ADB"/>
    <w:rsid w:val="00043B28"/>
    <w:rsid w:val="00043B56"/>
    <w:rsid w:val="00043BA7"/>
    <w:rsid w:val="00043BBD"/>
    <w:rsid w:val="00043C25"/>
    <w:rsid w:val="00043C40"/>
    <w:rsid w:val="00043C74"/>
    <w:rsid w:val="00043CAE"/>
    <w:rsid w:val="00043D23"/>
    <w:rsid w:val="00043D6E"/>
    <w:rsid w:val="00043DA2"/>
    <w:rsid w:val="00043E01"/>
    <w:rsid w:val="00043E3A"/>
    <w:rsid w:val="00043E83"/>
    <w:rsid w:val="00043EB3"/>
    <w:rsid w:val="00043EDC"/>
    <w:rsid w:val="00043F3D"/>
    <w:rsid w:val="00043F44"/>
    <w:rsid w:val="00043FB7"/>
    <w:rsid w:val="00044052"/>
    <w:rsid w:val="00044103"/>
    <w:rsid w:val="00044187"/>
    <w:rsid w:val="000441CC"/>
    <w:rsid w:val="00044205"/>
    <w:rsid w:val="00044228"/>
    <w:rsid w:val="000442C5"/>
    <w:rsid w:val="00044353"/>
    <w:rsid w:val="00044364"/>
    <w:rsid w:val="00044458"/>
    <w:rsid w:val="0004459B"/>
    <w:rsid w:val="000445E8"/>
    <w:rsid w:val="00044683"/>
    <w:rsid w:val="00044686"/>
    <w:rsid w:val="000446E5"/>
    <w:rsid w:val="000446FC"/>
    <w:rsid w:val="000447D5"/>
    <w:rsid w:val="000447F8"/>
    <w:rsid w:val="0004483F"/>
    <w:rsid w:val="000448CC"/>
    <w:rsid w:val="000448FD"/>
    <w:rsid w:val="0004494C"/>
    <w:rsid w:val="00044A00"/>
    <w:rsid w:val="00044A53"/>
    <w:rsid w:val="00044B22"/>
    <w:rsid w:val="00044B34"/>
    <w:rsid w:val="00044B58"/>
    <w:rsid w:val="00044B76"/>
    <w:rsid w:val="00044BB2"/>
    <w:rsid w:val="00044BD7"/>
    <w:rsid w:val="00044BF0"/>
    <w:rsid w:val="00044BF6"/>
    <w:rsid w:val="00044BFC"/>
    <w:rsid w:val="00044C55"/>
    <w:rsid w:val="00044C70"/>
    <w:rsid w:val="00044CA6"/>
    <w:rsid w:val="00044CE7"/>
    <w:rsid w:val="00044CF7"/>
    <w:rsid w:val="00044D28"/>
    <w:rsid w:val="00044D37"/>
    <w:rsid w:val="00044DDC"/>
    <w:rsid w:val="00044DE0"/>
    <w:rsid w:val="00044E03"/>
    <w:rsid w:val="00044E44"/>
    <w:rsid w:val="00044EA1"/>
    <w:rsid w:val="00044EA7"/>
    <w:rsid w:val="00044EAD"/>
    <w:rsid w:val="00044EF5"/>
    <w:rsid w:val="00044F13"/>
    <w:rsid w:val="00044F4F"/>
    <w:rsid w:val="00044F56"/>
    <w:rsid w:val="00044F9E"/>
    <w:rsid w:val="00044FEB"/>
    <w:rsid w:val="00045081"/>
    <w:rsid w:val="00045093"/>
    <w:rsid w:val="000450A6"/>
    <w:rsid w:val="000450A9"/>
    <w:rsid w:val="000450C8"/>
    <w:rsid w:val="000450E3"/>
    <w:rsid w:val="000450EA"/>
    <w:rsid w:val="00045113"/>
    <w:rsid w:val="00045277"/>
    <w:rsid w:val="00045281"/>
    <w:rsid w:val="0004529E"/>
    <w:rsid w:val="000452D2"/>
    <w:rsid w:val="000452E9"/>
    <w:rsid w:val="00045379"/>
    <w:rsid w:val="00045414"/>
    <w:rsid w:val="0004541C"/>
    <w:rsid w:val="00045470"/>
    <w:rsid w:val="0004547C"/>
    <w:rsid w:val="00045495"/>
    <w:rsid w:val="000454A9"/>
    <w:rsid w:val="0004550E"/>
    <w:rsid w:val="00045564"/>
    <w:rsid w:val="000455AE"/>
    <w:rsid w:val="00045622"/>
    <w:rsid w:val="00045680"/>
    <w:rsid w:val="000456B9"/>
    <w:rsid w:val="00045745"/>
    <w:rsid w:val="000457BF"/>
    <w:rsid w:val="00045812"/>
    <w:rsid w:val="0004585F"/>
    <w:rsid w:val="000458AF"/>
    <w:rsid w:val="000458F2"/>
    <w:rsid w:val="0004591D"/>
    <w:rsid w:val="0004595F"/>
    <w:rsid w:val="00045978"/>
    <w:rsid w:val="000459DD"/>
    <w:rsid w:val="00045A30"/>
    <w:rsid w:val="00045A9A"/>
    <w:rsid w:val="00045AF6"/>
    <w:rsid w:val="00045B1E"/>
    <w:rsid w:val="00045B37"/>
    <w:rsid w:val="00045B88"/>
    <w:rsid w:val="00045BB7"/>
    <w:rsid w:val="00045CB4"/>
    <w:rsid w:val="00045CDC"/>
    <w:rsid w:val="00045CF4"/>
    <w:rsid w:val="00045D1B"/>
    <w:rsid w:val="00045DAE"/>
    <w:rsid w:val="00045DC4"/>
    <w:rsid w:val="00045E1C"/>
    <w:rsid w:val="00045EF8"/>
    <w:rsid w:val="00045F86"/>
    <w:rsid w:val="000460D7"/>
    <w:rsid w:val="000460F6"/>
    <w:rsid w:val="000460FA"/>
    <w:rsid w:val="00046187"/>
    <w:rsid w:val="000461BF"/>
    <w:rsid w:val="000461C5"/>
    <w:rsid w:val="000461E0"/>
    <w:rsid w:val="00046227"/>
    <w:rsid w:val="00046260"/>
    <w:rsid w:val="000462C3"/>
    <w:rsid w:val="0004631F"/>
    <w:rsid w:val="000463B9"/>
    <w:rsid w:val="000463DB"/>
    <w:rsid w:val="00046402"/>
    <w:rsid w:val="000464F5"/>
    <w:rsid w:val="00046620"/>
    <w:rsid w:val="000466DC"/>
    <w:rsid w:val="00046737"/>
    <w:rsid w:val="000467AF"/>
    <w:rsid w:val="00046824"/>
    <w:rsid w:val="00046872"/>
    <w:rsid w:val="0004693B"/>
    <w:rsid w:val="0004693D"/>
    <w:rsid w:val="0004694D"/>
    <w:rsid w:val="0004694F"/>
    <w:rsid w:val="00046956"/>
    <w:rsid w:val="0004697D"/>
    <w:rsid w:val="00046A0A"/>
    <w:rsid w:val="00046A32"/>
    <w:rsid w:val="00046A46"/>
    <w:rsid w:val="00046AA3"/>
    <w:rsid w:val="00046AD9"/>
    <w:rsid w:val="00046B3E"/>
    <w:rsid w:val="00046B52"/>
    <w:rsid w:val="00046BD1"/>
    <w:rsid w:val="00046C72"/>
    <w:rsid w:val="00046C9B"/>
    <w:rsid w:val="00046CB4"/>
    <w:rsid w:val="00046CCD"/>
    <w:rsid w:val="00046D42"/>
    <w:rsid w:val="00046D7E"/>
    <w:rsid w:val="00046DAE"/>
    <w:rsid w:val="00046EF2"/>
    <w:rsid w:val="00046F34"/>
    <w:rsid w:val="00046F3A"/>
    <w:rsid w:val="00046FA2"/>
    <w:rsid w:val="00047035"/>
    <w:rsid w:val="0004704B"/>
    <w:rsid w:val="00047240"/>
    <w:rsid w:val="00047245"/>
    <w:rsid w:val="0004725E"/>
    <w:rsid w:val="00047266"/>
    <w:rsid w:val="0004729A"/>
    <w:rsid w:val="000472CF"/>
    <w:rsid w:val="000472EE"/>
    <w:rsid w:val="0004737B"/>
    <w:rsid w:val="0004738A"/>
    <w:rsid w:val="000473DE"/>
    <w:rsid w:val="0004741A"/>
    <w:rsid w:val="0004747C"/>
    <w:rsid w:val="000474A3"/>
    <w:rsid w:val="00047518"/>
    <w:rsid w:val="00047569"/>
    <w:rsid w:val="00047593"/>
    <w:rsid w:val="0004768C"/>
    <w:rsid w:val="000476BB"/>
    <w:rsid w:val="000476BC"/>
    <w:rsid w:val="0004770D"/>
    <w:rsid w:val="00047742"/>
    <w:rsid w:val="000477EE"/>
    <w:rsid w:val="00047812"/>
    <w:rsid w:val="0004782A"/>
    <w:rsid w:val="00047861"/>
    <w:rsid w:val="00047910"/>
    <w:rsid w:val="000479FE"/>
    <w:rsid w:val="00047A32"/>
    <w:rsid w:val="00047A60"/>
    <w:rsid w:val="00047A72"/>
    <w:rsid w:val="00047A88"/>
    <w:rsid w:val="00047AB1"/>
    <w:rsid w:val="00047B26"/>
    <w:rsid w:val="00047B69"/>
    <w:rsid w:val="00047B99"/>
    <w:rsid w:val="00047BAF"/>
    <w:rsid w:val="00047BB4"/>
    <w:rsid w:val="00047C17"/>
    <w:rsid w:val="00047C22"/>
    <w:rsid w:val="00047C28"/>
    <w:rsid w:val="00047C3A"/>
    <w:rsid w:val="00047C8D"/>
    <w:rsid w:val="00047D34"/>
    <w:rsid w:val="00047D85"/>
    <w:rsid w:val="00047DBA"/>
    <w:rsid w:val="00047E71"/>
    <w:rsid w:val="00047E8A"/>
    <w:rsid w:val="00047E93"/>
    <w:rsid w:val="00047F0B"/>
    <w:rsid w:val="00047F34"/>
    <w:rsid w:val="00047F57"/>
    <w:rsid w:val="00047FE2"/>
    <w:rsid w:val="00050019"/>
    <w:rsid w:val="00050035"/>
    <w:rsid w:val="000500AF"/>
    <w:rsid w:val="00050123"/>
    <w:rsid w:val="00050149"/>
    <w:rsid w:val="000501CE"/>
    <w:rsid w:val="00050256"/>
    <w:rsid w:val="00050337"/>
    <w:rsid w:val="000503E1"/>
    <w:rsid w:val="000503F6"/>
    <w:rsid w:val="00050440"/>
    <w:rsid w:val="00050445"/>
    <w:rsid w:val="00050468"/>
    <w:rsid w:val="00050481"/>
    <w:rsid w:val="00050497"/>
    <w:rsid w:val="000504B2"/>
    <w:rsid w:val="000504F4"/>
    <w:rsid w:val="00050561"/>
    <w:rsid w:val="00050567"/>
    <w:rsid w:val="0005057A"/>
    <w:rsid w:val="00050597"/>
    <w:rsid w:val="0005062A"/>
    <w:rsid w:val="00050635"/>
    <w:rsid w:val="0005064F"/>
    <w:rsid w:val="000506F2"/>
    <w:rsid w:val="000506F5"/>
    <w:rsid w:val="00050751"/>
    <w:rsid w:val="000507DB"/>
    <w:rsid w:val="00050821"/>
    <w:rsid w:val="0005083E"/>
    <w:rsid w:val="000508D3"/>
    <w:rsid w:val="0005093B"/>
    <w:rsid w:val="000509AA"/>
    <w:rsid w:val="000509F7"/>
    <w:rsid w:val="00050B4B"/>
    <w:rsid w:val="00050BDB"/>
    <w:rsid w:val="00050BE8"/>
    <w:rsid w:val="00050C0E"/>
    <w:rsid w:val="00050C3F"/>
    <w:rsid w:val="00050C48"/>
    <w:rsid w:val="00050C57"/>
    <w:rsid w:val="00050C88"/>
    <w:rsid w:val="00050C89"/>
    <w:rsid w:val="00050C94"/>
    <w:rsid w:val="00050CF8"/>
    <w:rsid w:val="00050D06"/>
    <w:rsid w:val="00050D2B"/>
    <w:rsid w:val="00050D93"/>
    <w:rsid w:val="00050E24"/>
    <w:rsid w:val="00050E77"/>
    <w:rsid w:val="00050E7D"/>
    <w:rsid w:val="00050F26"/>
    <w:rsid w:val="00050F3B"/>
    <w:rsid w:val="00050FEA"/>
    <w:rsid w:val="00050FFE"/>
    <w:rsid w:val="00051019"/>
    <w:rsid w:val="000510B4"/>
    <w:rsid w:val="000510E7"/>
    <w:rsid w:val="000510FF"/>
    <w:rsid w:val="0005118A"/>
    <w:rsid w:val="0005118F"/>
    <w:rsid w:val="000511A6"/>
    <w:rsid w:val="000511F7"/>
    <w:rsid w:val="0005122A"/>
    <w:rsid w:val="00051299"/>
    <w:rsid w:val="000512B9"/>
    <w:rsid w:val="0005138B"/>
    <w:rsid w:val="000513E5"/>
    <w:rsid w:val="000514D3"/>
    <w:rsid w:val="0005152A"/>
    <w:rsid w:val="0005152D"/>
    <w:rsid w:val="00051544"/>
    <w:rsid w:val="0005159D"/>
    <w:rsid w:val="000515A7"/>
    <w:rsid w:val="000515C3"/>
    <w:rsid w:val="00051624"/>
    <w:rsid w:val="000516CF"/>
    <w:rsid w:val="00051758"/>
    <w:rsid w:val="0005176A"/>
    <w:rsid w:val="000517D1"/>
    <w:rsid w:val="00051974"/>
    <w:rsid w:val="000519EA"/>
    <w:rsid w:val="00051A77"/>
    <w:rsid w:val="00051AFA"/>
    <w:rsid w:val="00051B45"/>
    <w:rsid w:val="00051B49"/>
    <w:rsid w:val="00051B5C"/>
    <w:rsid w:val="00051B76"/>
    <w:rsid w:val="00051BBA"/>
    <w:rsid w:val="00051C2A"/>
    <w:rsid w:val="00051D36"/>
    <w:rsid w:val="00051DE1"/>
    <w:rsid w:val="00051E22"/>
    <w:rsid w:val="00051E60"/>
    <w:rsid w:val="00051E62"/>
    <w:rsid w:val="00051E7C"/>
    <w:rsid w:val="00051EBB"/>
    <w:rsid w:val="00051F58"/>
    <w:rsid w:val="00051F9E"/>
    <w:rsid w:val="00051FBA"/>
    <w:rsid w:val="00052038"/>
    <w:rsid w:val="00052055"/>
    <w:rsid w:val="000520A0"/>
    <w:rsid w:val="0005215A"/>
    <w:rsid w:val="000521C8"/>
    <w:rsid w:val="0005226C"/>
    <w:rsid w:val="000522B7"/>
    <w:rsid w:val="000522F4"/>
    <w:rsid w:val="000523D3"/>
    <w:rsid w:val="000523FC"/>
    <w:rsid w:val="00052431"/>
    <w:rsid w:val="00052508"/>
    <w:rsid w:val="0005251D"/>
    <w:rsid w:val="00052586"/>
    <w:rsid w:val="000525D4"/>
    <w:rsid w:val="00052654"/>
    <w:rsid w:val="000526F4"/>
    <w:rsid w:val="00052828"/>
    <w:rsid w:val="00052858"/>
    <w:rsid w:val="00052893"/>
    <w:rsid w:val="000528A8"/>
    <w:rsid w:val="000528CC"/>
    <w:rsid w:val="00052923"/>
    <w:rsid w:val="00052997"/>
    <w:rsid w:val="000529E4"/>
    <w:rsid w:val="00052AEF"/>
    <w:rsid w:val="00052B47"/>
    <w:rsid w:val="00052BA1"/>
    <w:rsid w:val="00052BA3"/>
    <w:rsid w:val="00052C2A"/>
    <w:rsid w:val="00052C37"/>
    <w:rsid w:val="00052C67"/>
    <w:rsid w:val="00052D73"/>
    <w:rsid w:val="00052D7B"/>
    <w:rsid w:val="00052DC2"/>
    <w:rsid w:val="00052E59"/>
    <w:rsid w:val="00052EA5"/>
    <w:rsid w:val="00052F05"/>
    <w:rsid w:val="00052F21"/>
    <w:rsid w:val="00052F37"/>
    <w:rsid w:val="00052F56"/>
    <w:rsid w:val="0005300D"/>
    <w:rsid w:val="0005308B"/>
    <w:rsid w:val="000530C2"/>
    <w:rsid w:val="00053118"/>
    <w:rsid w:val="00053142"/>
    <w:rsid w:val="00053149"/>
    <w:rsid w:val="00053160"/>
    <w:rsid w:val="00053176"/>
    <w:rsid w:val="00053185"/>
    <w:rsid w:val="000531EE"/>
    <w:rsid w:val="000532A6"/>
    <w:rsid w:val="000532AD"/>
    <w:rsid w:val="000532DA"/>
    <w:rsid w:val="00053419"/>
    <w:rsid w:val="000534C8"/>
    <w:rsid w:val="00053504"/>
    <w:rsid w:val="000535AF"/>
    <w:rsid w:val="0005363A"/>
    <w:rsid w:val="0005363F"/>
    <w:rsid w:val="00053677"/>
    <w:rsid w:val="000536B2"/>
    <w:rsid w:val="000536B7"/>
    <w:rsid w:val="000536CD"/>
    <w:rsid w:val="000536DD"/>
    <w:rsid w:val="0005370C"/>
    <w:rsid w:val="00053717"/>
    <w:rsid w:val="0005374D"/>
    <w:rsid w:val="0005375E"/>
    <w:rsid w:val="000537B4"/>
    <w:rsid w:val="00053823"/>
    <w:rsid w:val="000538ED"/>
    <w:rsid w:val="00053945"/>
    <w:rsid w:val="00053994"/>
    <w:rsid w:val="00053AF4"/>
    <w:rsid w:val="00053BD2"/>
    <w:rsid w:val="00053C03"/>
    <w:rsid w:val="00053C0B"/>
    <w:rsid w:val="00053C26"/>
    <w:rsid w:val="00053C36"/>
    <w:rsid w:val="00053E45"/>
    <w:rsid w:val="00053E46"/>
    <w:rsid w:val="00053E7B"/>
    <w:rsid w:val="00053E88"/>
    <w:rsid w:val="00053E94"/>
    <w:rsid w:val="00053EF8"/>
    <w:rsid w:val="00053FEC"/>
    <w:rsid w:val="00054015"/>
    <w:rsid w:val="000540B9"/>
    <w:rsid w:val="000540D4"/>
    <w:rsid w:val="0005414D"/>
    <w:rsid w:val="00054198"/>
    <w:rsid w:val="00054228"/>
    <w:rsid w:val="0005427B"/>
    <w:rsid w:val="00054284"/>
    <w:rsid w:val="00054290"/>
    <w:rsid w:val="000542AD"/>
    <w:rsid w:val="00054321"/>
    <w:rsid w:val="00054404"/>
    <w:rsid w:val="00054487"/>
    <w:rsid w:val="000544B1"/>
    <w:rsid w:val="00054579"/>
    <w:rsid w:val="000545B4"/>
    <w:rsid w:val="000545BB"/>
    <w:rsid w:val="000545E2"/>
    <w:rsid w:val="000545FA"/>
    <w:rsid w:val="00054618"/>
    <w:rsid w:val="0005461F"/>
    <w:rsid w:val="00054654"/>
    <w:rsid w:val="00054685"/>
    <w:rsid w:val="0005471A"/>
    <w:rsid w:val="00054721"/>
    <w:rsid w:val="00054725"/>
    <w:rsid w:val="00054738"/>
    <w:rsid w:val="000547F3"/>
    <w:rsid w:val="000547F5"/>
    <w:rsid w:val="0005486C"/>
    <w:rsid w:val="0005487B"/>
    <w:rsid w:val="000548E0"/>
    <w:rsid w:val="00054958"/>
    <w:rsid w:val="000549AA"/>
    <w:rsid w:val="00054A07"/>
    <w:rsid w:val="00054A47"/>
    <w:rsid w:val="00054A61"/>
    <w:rsid w:val="00054A8B"/>
    <w:rsid w:val="00054AA1"/>
    <w:rsid w:val="00054AA9"/>
    <w:rsid w:val="00054AB0"/>
    <w:rsid w:val="00054BDC"/>
    <w:rsid w:val="00054CB2"/>
    <w:rsid w:val="00054CCB"/>
    <w:rsid w:val="00054DFD"/>
    <w:rsid w:val="00054E29"/>
    <w:rsid w:val="00054E7E"/>
    <w:rsid w:val="00054F3D"/>
    <w:rsid w:val="00054F8F"/>
    <w:rsid w:val="00054F97"/>
    <w:rsid w:val="00054FC2"/>
    <w:rsid w:val="00055004"/>
    <w:rsid w:val="00055065"/>
    <w:rsid w:val="000550C3"/>
    <w:rsid w:val="000550D4"/>
    <w:rsid w:val="000550E3"/>
    <w:rsid w:val="000551BD"/>
    <w:rsid w:val="00055249"/>
    <w:rsid w:val="000552AC"/>
    <w:rsid w:val="000552B6"/>
    <w:rsid w:val="000552ED"/>
    <w:rsid w:val="00055316"/>
    <w:rsid w:val="000553A8"/>
    <w:rsid w:val="000553B9"/>
    <w:rsid w:val="00055419"/>
    <w:rsid w:val="00055573"/>
    <w:rsid w:val="00055585"/>
    <w:rsid w:val="000555D5"/>
    <w:rsid w:val="000555F8"/>
    <w:rsid w:val="00055606"/>
    <w:rsid w:val="00055617"/>
    <w:rsid w:val="000556D5"/>
    <w:rsid w:val="000556DE"/>
    <w:rsid w:val="000557A3"/>
    <w:rsid w:val="000557D5"/>
    <w:rsid w:val="00055962"/>
    <w:rsid w:val="00055999"/>
    <w:rsid w:val="000559A7"/>
    <w:rsid w:val="000559D5"/>
    <w:rsid w:val="000559E7"/>
    <w:rsid w:val="00055A32"/>
    <w:rsid w:val="00055A59"/>
    <w:rsid w:val="00055A85"/>
    <w:rsid w:val="00055ABF"/>
    <w:rsid w:val="00055AD3"/>
    <w:rsid w:val="00055C45"/>
    <w:rsid w:val="00055C72"/>
    <w:rsid w:val="00055CE0"/>
    <w:rsid w:val="00055D20"/>
    <w:rsid w:val="00055D27"/>
    <w:rsid w:val="00055D35"/>
    <w:rsid w:val="00055E13"/>
    <w:rsid w:val="00055EC0"/>
    <w:rsid w:val="00055F2E"/>
    <w:rsid w:val="00055F56"/>
    <w:rsid w:val="00055FC0"/>
    <w:rsid w:val="00055FDB"/>
    <w:rsid w:val="0005603C"/>
    <w:rsid w:val="00056104"/>
    <w:rsid w:val="00056153"/>
    <w:rsid w:val="0005618B"/>
    <w:rsid w:val="000561A8"/>
    <w:rsid w:val="000562B1"/>
    <w:rsid w:val="00056340"/>
    <w:rsid w:val="00056350"/>
    <w:rsid w:val="000563A7"/>
    <w:rsid w:val="000563FE"/>
    <w:rsid w:val="00056482"/>
    <w:rsid w:val="00056535"/>
    <w:rsid w:val="000565B9"/>
    <w:rsid w:val="000566D5"/>
    <w:rsid w:val="000566FD"/>
    <w:rsid w:val="0005675C"/>
    <w:rsid w:val="00056880"/>
    <w:rsid w:val="0005688B"/>
    <w:rsid w:val="00056A12"/>
    <w:rsid w:val="00056AE5"/>
    <w:rsid w:val="00056B3F"/>
    <w:rsid w:val="00056B74"/>
    <w:rsid w:val="00056BEE"/>
    <w:rsid w:val="00056C1B"/>
    <w:rsid w:val="00056C42"/>
    <w:rsid w:val="00056C7B"/>
    <w:rsid w:val="00056DBE"/>
    <w:rsid w:val="00056DDD"/>
    <w:rsid w:val="00056FFE"/>
    <w:rsid w:val="0005701A"/>
    <w:rsid w:val="0005718C"/>
    <w:rsid w:val="000571DD"/>
    <w:rsid w:val="000571EF"/>
    <w:rsid w:val="00057228"/>
    <w:rsid w:val="0005724E"/>
    <w:rsid w:val="0005735E"/>
    <w:rsid w:val="00057402"/>
    <w:rsid w:val="0005747F"/>
    <w:rsid w:val="00057495"/>
    <w:rsid w:val="00057510"/>
    <w:rsid w:val="000575AF"/>
    <w:rsid w:val="00057647"/>
    <w:rsid w:val="00057662"/>
    <w:rsid w:val="00057666"/>
    <w:rsid w:val="00057764"/>
    <w:rsid w:val="00057776"/>
    <w:rsid w:val="00057778"/>
    <w:rsid w:val="000577FA"/>
    <w:rsid w:val="00057841"/>
    <w:rsid w:val="00057869"/>
    <w:rsid w:val="0005788D"/>
    <w:rsid w:val="000578B7"/>
    <w:rsid w:val="00057931"/>
    <w:rsid w:val="0005794E"/>
    <w:rsid w:val="00057A2A"/>
    <w:rsid w:val="00057A5C"/>
    <w:rsid w:val="00057AA2"/>
    <w:rsid w:val="00057AD1"/>
    <w:rsid w:val="00057B03"/>
    <w:rsid w:val="00057BEC"/>
    <w:rsid w:val="00057D43"/>
    <w:rsid w:val="00057DA3"/>
    <w:rsid w:val="00057E42"/>
    <w:rsid w:val="00057E5B"/>
    <w:rsid w:val="00057E5C"/>
    <w:rsid w:val="00057EBC"/>
    <w:rsid w:val="00057EDE"/>
    <w:rsid w:val="00057F12"/>
    <w:rsid w:val="00057FBA"/>
    <w:rsid w:val="00060037"/>
    <w:rsid w:val="000600AA"/>
    <w:rsid w:val="000600E0"/>
    <w:rsid w:val="00060172"/>
    <w:rsid w:val="0006022D"/>
    <w:rsid w:val="00060305"/>
    <w:rsid w:val="0006037C"/>
    <w:rsid w:val="000603C0"/>
    <w:rsid w:val="00060536"/>
    <w:rsid w:val="00060599"/>
    <w:rsid w:val="000605A2"/>
    <w:rsid w:val="000605ED"/>
    <w:rsid w:val="00060614"/>
    <w:rsid w:val="000606EC"/>
    <w:rsid w:val="000607C5"/>
    <w:rsid w:val="00060837"/>
    <w:rsid w:val="0006085B"/>
    <w:rsid w:val="00060866"/>
    <w:rsid w:val="000608A0"/>
    <w:rsid w:val="000608B4"/>
    <w:rsid w:val="000609D1"/>
    <w:rsid w:val="00060A58"/>
    <w:rsid w:val="00060A75"/>
    <w:rsid w:val="00060AF8"/>
    <w:rsid w:val="00060B1D"/>
    <w:rsid w:val="00060B87"/>
    <w:rsid w:val="00060BAB"/>
    <w:rsid w:val="00060C21"/>
    <w:rsid w:val="00060C2A"/>
    <w:rsid w:val="00060C86"/>
    <w:rsid w:val="00060CC1"/>
    <w:rsid w:val="00060D48"/>
    <w:rsid w:val="00060D4B"/>
    <w:rsid w:val="00060D6E"/>
    <w:rsid w:val="00060D7F"/>
    <w:rsid w:val="00060EA7"/>
    <w:rsid w:val="00060EF8"/>
    <w:rsid w:val="00060F18"/>
    <w:rsid w:val="00060F48"/>
    <w:rsid w:val="00061086"/>
    <w:rsid w:val="00061262"/>
    <w:rsid w:val="0006129C"/>
    <w:rsid w:val="000612E0"/>
    <w:rsid w:val="0006133A"/>
    <w:rsid w:val="00061370"/>
    <w:rsid w:val="00061383"/>
    <w:rsid w:val="00061393"/>
    <w:rsid w:val="00061405"/>
    <w:rsid w:val="00061481"/>
    <w:rsid w:val="00061506"/>
    <w:rsid w:val="0006156E"/>
    <w:rsid w:val="0006165B"/>
    <w:rsid w:val="000616AD"/>
    <w:rsid w:val="000616E2"/>
    <w:rsid w:val="000616F2"/>
    <w:rsid w:val="000617C7"/>
    <w:rsid w:val="000617E2"/>
    <w:rsid w:val="00061815"/>
    <w:rsid w:val="000618E2"/>
    <w:rsid w:val="00061A14"/>
    <w:rsid w:val="00061A88"/>
    <w:rsid w:val="00061AC0"/>
    <w:rsid w:val="00061AEA"/>
    <w:rsid w:val="00061AF0"/>
    <w:rsid w:val="00061B23"/>
    <w:rsid w:val="00061B2E"/>
    <w:rsid w:val="00061B81"/>
    <w:rsid w:val="00061B82"/>
    <w:rsid w:val="00061C18"/>
    <w:rsid w:val="00061D91"/>
    <w:rsid w:val="00061DF1"/>
    <w:rsid w:val="00061EC1"/>
    <w:rsid w:val="00061F28"/>
    <w:rsid w:val="00061FA3"/>
    <w:rsid w:val="0006208D"/>
    <w:rsid w:val="00062099"/>
    <w:rsid w:val="000620E5"/>
    <w:rsid w:val="000620EB"/>
    <w:rsid w:val="00062145"/>
    <w:rsid w:val="000621BA"/>
    <w:rsid w:val="000621C0"/>
    <w:rsid w:val="000621C3"/>
    <w:rsid w:val="00062232"/>
    <w:rsid w:val="00062262"/>
    <w:rsid w:val="000622A9"/>
    <w:rsid w:val="000622BA"/>
    <w:rsid w:val="000622E5"/>
    <w:rsid w:val="000622EA"/>
    <w:rsid w:val="0006234F"/>
    <w:rsid w:val="0006239B"/>
    <w:rsid w:val="000623D5"/>
    <w:rsid w:val="0006242D"/>
    <w:rsid w:val="00062540"/>
    <w:rsid w:val="00062551"/>
    <w:rsid w:val="0006256D"/>
    <w:rsid w:val="00062608"/>
    <w:rsid w:val="00062616"/>
    <w:rsid w:val="0006264E"/>
    <w:rsid w:val="00062651"/>
    <w:rsid w:val="00062682"/>
    <w:rsid w:val="000626CD"/>
    <w:rsid w:val="00062729"/>
    <w:rsid w:val="000627A5"/>
    <w:rsid w:val="000627EC"/>
    <w:rsid w:val="000628BE"/>
    <w:rsid w:val="000628DB"/>
    <w:rsid w:val="00062A31"/>
    <w:rsid w:val="00062A72"/>
    <w:rsid w:val="00062A93"/>
    <w:rsid w:val="00062AC0"/>
    <w:rsid w:val="00062B02"/>
    <w:rsid w:val="00062B7F"/>
    <w:rsid w:val="00062B9E"/>
    <w:rsid w:val="00062BEA"/>
    <w:rsid w:val="00062C14"/>
    <w:rsid w:val="00062C30"/>
    <w:rsid w:val="00062C32"/>
    <w:rsid w:val="00062C99"/>
    <w:rsid w:val="00062CEA"/>
    <w:rsid w:val="00062CED"/>
    <w:rsid w:val="00062D22"/>
    <w:rsid w:val="00062D2A"/>
    <w:rsid w:val="00062D44"/>
    <w:rsid w:val="00062D83"/>
    <w:rsid w:val="00062DCD"/>
    <w:rsid w:val="00062DCF"/>
    <w:rsid w:val="00062DD2"/>
    <w:rsid w:val="00062E17"/>
    <w:rsid w:val="00062EB5"/>
    <w:rsid w:val="00062EE3"/>
    <w:rsid w:val="00062EE7"/>
    <w:rsid w:val="00062F3E"/>
    <w:rsid w:val="00062F8A"/>
    <w:rsid w:val="00062FF3"/>
    <w:rsid w:val="0006301E"/>
    <w:rsid w:val="000630AC"/>
    <w:rsid w:val="000630C0"/>
    <w:rsid w:val="000630C8"/>
    <w:rsid w:val="000630F9"/>
    <w:rsid w:val="00063164"/>
    <w:rsid w:val="0006325B"/>
    <w:rsid w:val="00063295"/>
    <w:rsid w:val="000632E0"/>
    <w:rsid w:val="00063316"/>
    <w:rsid w:val="00063386"/>
    <w:rsid w:val="000633F0"/>
    <w:rsid w:val="00063427"/>
    <w:rsid w:val="000634A6"/>
    <w:rsid w:val="000634B8"/>
    <w:rsid w:val="000634C7"/>
    <w:rsid w:val="000634F3"/>
    <w:rsid w:val="0006362B"/>
    <w:rsid w:val="00063680"/>
    <w:rsid w:val="00063695"/>
    <w:rsid w:val="00063711"/>
    <w:rsid w:val="0006372D"/>
    <w:rsid w:val="0006373D"/>
    <w:rsid w:val="0006380A"/>
    <w:rsid w:val="0006387E"/>
    <w:rsid w:val="00063900"/>
    <w:rsid w:val="00063A84"/>
    <w:rsid w:val="00063A89"/>
    <w:rsid w:val="00063A95"/>
    <w:rsid w:val="00063AF1"/>
    <w:rsid w:val="00063B0B"/>
    <w:rsid w:val="00063B5F"/>
    <w:rsid w:val="00063B68"/>
    <w:rsid w:val="00063B9E"/>
    <w:rsid w:val="00063BA3"/>
    <w:rsid w:val="00063BAC"/>
    <w:rsid w:val="00063BD6"/>
    <w:rsid w:val="00063C53"/>
    <w:rsid w:val="00063C62"/>
    <w:rsid w:val="00063C84"/>
    <w:rsid w:val="00063D29"/>
    <w:rsid w:val="00063D3C"/>
    <w:rsid w:val="00063D89"/>
    <w:rsid w:val="00063D8D"/>
    <w:rsid w:val="00063D9F"/>
    <w:rsid w:val="00063E9F"/>
    <w:rsid w:val="00063EA8"/>
    <w:rsid w:val="00063F2E"/>
    <w:rsid w:val="00063FBE"/>
    <w:rsid w:val="00063FF7"/>
    <w:rsid w:val="00064025"/>
    <w:rsid w:val="00064031"/>
    <w:rsid w:val="00064037"/>
    <w:rsid w:val="0006405B"/>
    <w:rsid w:val="00064072"/>
    <w:rsid w:val="00064098"/>
    <w:rsid w:val="000640E5"/>
    <w:rsid w:val="00064106"/>
    <w:rsid w:val="00064127"/>
    <w:rsid w:val="000641E4"/>
    <w:rsid w:val="00064238"/>
    <w:rsid w:val="00064264"/>
    <w:rsid w:val="000642EB"/>
    <w:rsid w:val="00064329"/>
    <w:rsid w:val="0006433B"/>
    <w:rsid w:val="000643A5"/>
    <w:rsid w:val="000643B1"/>
    <w:rsid w:val="000643BC"/>
    <w:rsid w:val="00064403"/>
    <w:rsid w:val="00064428"/>
    <w:rsid w:val="00064431"/>
    <w:rsid w:val="000644FA"/>
    <w:rsid w:val="00064507"/>
    <w:rsid w:val="00064542"/>
    <w:rsid w:val="0006457F"/>
    <w:rsid w:val="0006458A"/>
    <w:rsid w:val="000646AE"/>
    <w:rsid w:val="000646CB"/>
    <w:rsid w:val="000646D7"/>
    <w:rsid w:val="000646FC"/>
    <w:rsid w:val="00064716"/>
    <w:rsid w:val="00064732"/>
    <w:rsid w:val="0006478F"/>
    <w:rsid w:val="000647E7"/>
    <w:rsid w:val="00064802"/>
    <w:rsid w:val="0006481E"/>
    <w:rsid w:val="0006489B"/>
    <w:rsid w:val="000648AC"/>
    <w:rsid w:val="000648E7"/>
    <w:rsid w:val="00064959"/>
    <w:rsid w:val="000649DC"/>
    <w:rsid w:val="000649E1"/>
    <w:rsid w:val="00064A43"/>
    <w:rsid w:val="00064A80"/>
    <w:rsid w:val="00064C0C"/>
    <w:rsid w:val="00064C28"/>
    <w:rsid w:val="00064CCB"/>
    <w:rsid w:val="00064D70"/>
    <w:rsid w:val="00064E2D"/>
    <w:rsid w:val="00064E80"/>
    <w:rsid w:val="00064EC8"/>
    <w:rsid w:val="00064EF3"/>
    <w:rsid w:val="00064F0A"/>
    <w:rsid w:val="00064F2A"/>
    <w:rsid w:val="00064F30"/>
    <w:rsid w:val="00065060"/>
    <w:rsid w:val="0006507B"/>
    <w:rsid w:val="0006507E"/>
    <w:rsid w:val="00065087"/>
    <w:rsid w:val="000650F3"/>
    <w:rsid w:val="000651CF"/>
    <w:rsid w:val="000651E1"/>
    <w:rsid w:val="000651EA"/>
    <w:rsid w:val="0006526B"/>
    <w:rsid w:val="000652FF"/>
    <w:rsid w:val="0006541F"/>
    <w:rsid w:val="00065422"/>
    <w:rsid w:val="0006553A"/>
    <w:rsid w:val="0006563D"/>
    <w:rsid w:val="000656D0"/>
    <w:rsid w:val="0006581B"/>
    <w:rsid w:val="00065908"/>
    <w:rsid w:val="00065939"/>
    <w:rsid w:val="00065A16"/>
    <w:rsid w:val="00065A26"/>
    <w:rsid w:val="00065AB4"/>
    <w:rsid w:val="00065C93"/>
    <w:rsid w:val="00065D08"/>
    <w:rsid w:val="00065D25"/>
    <w:rsid w:val="00065D51"/>
    <w:rsid w:val="00065D85"/>
    <w:rsid w:val="00065DF9"/>
    <w:rsid w:val="00065F50"/>
    <w:rsid w:val="00065F5A"/>
    <w:rsid w:val="00066019"/>
    <w:rsid w:val="0006603F"/>
    <w:rsid w:val="00066086"/>
    <w:rsid w:val="000660A6"/>
    <w:rsid w:val="0006615D"/>
    <w:rsid w:val="0006617F"/>
    <w:rsid w:val="000661AF"/>
    <w:rsid w:val="000662D4"/>
    <w:rsid w:val="000662D9"/>
    <w:rsid w:val="000662FB"/>
    <w:rsid w:val="0006632A"/>
    <w:rsid w:val="0006632C"/>
    <w:rsid w:val="00066342"/>
    <w:rsid w:val="0006638E"/>
    <w:rsid w:val="000663AA"/>
    <w:rsid w:val="000663BF"/>
    <w:rsid w:val="000663DA"/>
    <w:rsid w:val="000663F9"/>
    <w:rsid w:val="00066426"/>
    <w:rsid w:val="0006646D"/>
    <w:rsid w:val="00066555"/>
    <w:rsid w:val="0006669D"/>
    <w:rsid w:val="000666D1"/>
    <w:rsid w:val="000666D4"/>
    <w:rsid w:val="0006674D"/>
    <w:rsid w:val="00066784"/>
    <w:rsid w:val="00066831"/>
    <w:rsid w:val="0006684C"/>
    <w:rsid w:val="00066877"/>
    <w:rsid w:val="0006692E"/>
    <w:rsid w:val="00066986"/>
    <w:rsid w:val="00066999"/>
    <w:rsid w:val="000669B4"/>
    <w:rsid w:val="000669FB"/>
    <w:rsid w:val="00066A32"/>
    <w:rsid w:val="00066A36"/>
    <w:rsid w:val="00066A39"/>
    <w:rsid w:val="00066B10"/>
    <w:rsid w:val="00066BF0"/>
    <w:rsid w:val="00066C16"/>
    <w:rsid w:val="00066C81"/>
    <w:rsid w:val="00066CF4"/>
    <w:rsid w:val="00066D2D"/>
    <w:rsid w:val="00066D31"/>
    <w:rsid w:val="00066E2A"/>
    <w:rsid w:val="00066E78"/>
    <w:rsid w:val="00066EA0"/>
    <w:rsid w:val="00066F08"/>
    <w:rsid w:val="00066F6A"/>
    <w:rsid w:val="00066F7C"/>
    <w:rsid w:val="00066FBC"/>
    <w:rsid w:val="0006705F"/>
    <w:rsid w:val="0006713F"/>
    <w:rsid w:val="00067149"/>
    <w:rsid w:val="00067169"/>
    <w:rsid w:val="000671D0"/>
    <w:rsid w:val="000672CE"/>
    <w:rsid w:val="000672FD"/>
    <w:rsid w:val="00067369"/>
    <w:rsid w:val="0006739E"/>
    <w:rsid w:val="000673C1"/>
    <w:rsid w:val="000673E1"/>
    <w:rsid w:val="0006740C"/>
    <w:rsid w:val="0006741B"/>
    <w:rsid w:val="0006743C"/>
    <w:rsid w:val="000674D0"/>
    <w:rsid w:val="000674E3"/>
    <w:rsid w:val="00067510"/>
    <w:rsid w:val="0006752F"/>
    <w:rsid w:val="00067554"/>
    <w:rsid w:val="00067577"/>
    <w:rsid w:val="000675D1"/>
    <w:rsid w:val="00067692"/>
    <w:rsid w:val="000676EF"/>
    <w:rsid w:val="0006778A"/>
    <w:rsid w:val="00067819"/>
    <w:rsid w:val="000678B0"/>
    <w:rsid w:val="00067937"/>
    <w:rsid w:val="00067991"/>
    <w:rsid w:val="000679F8"/>
    <w:rsid w:val="00067A5F"/>
    <w:rsid w:val="00067A7E"/>
    <w:rsid w:val="00067A8C"/>
    <w:rsid w:val="00067B9E"/>
    <w:rsid w:val="00067BEA"/>
    <w:rsid w:val="00067C69"/>
    <w:rsid w:val="00067DA0"/>
    <w:rsid w:val="00067DA7"/>
    <w:rsid w:val="00067E85"/>
    <w:rsid w:val="00067EE2"/>
    <w:rsid w:val="00067F46"/>
    <w:rsid w:val="00067F8F"/>
    <w:rsid w:val="00067FA1"/>
    <w:rsid w:val="00070021"/>
    <w:rsid w:val="0007004E"/>
    <w:rsid w:val="0007005A"/>
    <w:rsid w:val="00070084"/>
    <w:rsid w:val="00070114"/>
    <w:rsid w:val="00070140"/>
    <w:rsid w:val="00070175"/>
    <w:rsid w:val="0007017B"/>
    <w:rsid w:val="00070203"/>
    <w:rsid w:val="00070243"/>
    <w:rsid w:val="0007028A"/>
    <w:rsid w:val="00070303"/>
    <w:rsid w:val="00070307"/>
    <w:rsid w:val="0007032D"/>
    <w:rsid w:val="000703C8"/>
    <w:rsid w:val="000703D1"/>
    <w:rsid w:val="000703ED"/>
    <w:rsid w:val="00070430"/>
    <w:rsid w:val="0007044B"/>
    <w:rsid w:val="000704FF"/>
    <w:rsid w:val="00070554"/>
    <w:rsid w:val="000705C2"/>
    <w:rsid w:val="00070649"/>
    <w:rsid w:val="00070701"/>
    <w:rsid w:val="00070708"/>
    <w:rsid w:val="00070734"/>
    <w:rsid w:val="00070772"/>
    <w:rsid w:val="000707D5"/>
    <w:rsid w:val="000707DC"/>
    <w:rsid w:val="0007083F"/>
    <w:rsid w:val="0007084B"/>
    <w:rsid w:val="000708F0"/>
    <w:rsid w:val="00070975"/>
    <w:rsid w:val="00070A4B"/>
    <w:rsid w:val="00070ADF"/>
    <w:rsid w:val="00070B11"/>
    <w:rsid w:val="00070B79"/>
    <w:rsid w:val="00070BB1"/>
    <w:rsid w:val="00070BF7"/>
    <w:rsid w:val="00070BFC"/>
    <w:rsid w:val="00070D2F"/>
    <w:rsid w:val="00070D5D"/>
    <w:rsid w:val="00070DDC"/>
    <w:rsid w:val="00070DF3"/>
    <w:rsid w:val="00070E61"/>
    <w:rsid w:val="00070E77"/>
    <w:rsid w:val="00070E85"/>
    <w:rsid w:val="00070E89"/>
    <w:rsid w:val="00070E95"/>
    <w:rsid w:val="00070ED9"/>
    <w:rsid w:val="00070F67"/>
    <w:rsid w:val="00070F8A"/>
    <w:rsid w:val="00071027"/>
    <w:rsid w:val="00071067"/>
    <w:rsid w:val="000710B2"/>
    <w:rsid w:val="00071138"/>
    <w:rsid w:val="0007113A"/>
    <w:rsid w:val="0007120E"/>
    <w:rsid w:val="00071213"/>
    <w:rsid w:val="000712E8"/>
    <w:rsid w:val="000712F2"/>
    <w:rsid w:val="0007131A"/>
    <w:rsid w:val="0007138A"/>
    <w:rsid w:val="0007141E"/>
    <w:rsid w:val="000714BA"/>
    <w:rsid w:val="000714C6"/>
    <w:rsid w:val="000714E8"/>
    <w:rsid w:val="00071586"/>
    <w:rsid w:val="000715AC"/>
    <w:rsid w:val="000715CF"/>
    <w:rsid w:val="000716DC"/>
    <w:rsid w:val="000716DF"/>
    <w:rsid w:val="000716F9"/>
    <w:rsid w:val="000717AC"/>
    <w:rsid w:val="000717E3"/>
    <w:rsid w:val="00071832"/>
    <w:rsid w:val="00071845"/>
    <w:rsid w:val="0007193A"/>
    <w:rsid w:val="00071996"/>
    <w:rsid w:val="000719D2"/>
    <w:rsid w:val="00071A66"/>
    <w:rsid w:val="00071AD8"/>
    <w:rsid w:val="00071B18"/>
    <w:rsid w:val="00071BEA"/>
    <w:rsid w:val="00071BEE"/>
    <w:rsid w:val="00071C7D"/>
    <w:rsid w:val="00071CF6"/>
    <w:rsid w:val="00071D43"/>
    <w:rsid w:val="00071E09"/>
    <w:rsid w:val="00071E75"/>
    <w:rsid w:val="00071F24"/>
    <w:rsid w:val="00071FAF"/>
    <w:rsid w:val="000720D5"/>
    <w:rsid w:val="000720F1"/>
    <w:rsid w:val="0007215B"/>
    <w:rsid w:val="00072162"/>
    <w:rsid w:val="000721DD"/>
    <w:rsid w:val="00072341"/>
    <w:rsid w:val="00072473"/>
    <w:rsid w:val="00072563"/>
    <w:rsid w:val="000725CF"/>
    <w:rsid w:val="000725E4"/>
    <w:rsid w:val="000725F8"/>
    <w:rsid w:val="000726DC"/>
    <w:rsid w:val="000726E6"/>
    <w:rsid w:val="00072706"/>
    <w:rsid w:val="00072717"/>
    <w:rsid w:val="000727A1"/>
    <w:rsid w:val="00072834"/>
    <w:rsid w:val="00072842"/>
    <w:rsid w:val="0007288D"/>
    <w:rsid w:val="000728A1"/>
    <w:rsid w:val="0007290B"/>
    <w:rsid w:val="00072920"/>
    <w:rsid w:val="000729CD"/>
    <w:rsid w:val="00072A0B"/>
    <w:rsid w:val="00072A5B"/>
    <w:rsid w:val="00072A60"/>
    <w:rsid w:val="00072A71"/>
    <w:rsid w:val="00072AF5"/>
    <w:rsid w:val="00072B3A"/>
    <w:rsid w:val="00072B8F"/>
    <w:rsid w:val="00072C07"/>
    <w:rsid w:val="00072C3A"/>
    <w:rsid w:val="00072C8D"/>
    <w:rsid w:val="00072CBA"/>
    <w:rsid w:val="00072CE7"/>
    <w:rsid w:val="00072DBA"/>
    <w:rsid w:val="00072DD8"/>
    <w:rsid w:val="00072E70"/>
    <w:rsid w:val="00072EC9"/>
    <w:rsid w:val="00072ED1"/>
    <w:rsid w:val="00072EF4"/>
    <w:rsid w:val="00072F1E"/>
    <w:rsid w:val="00072F9F"/>
    <w:rsid w:val="00072FA6"/>
    <w:rsid w:val="00072FAA"/>
    <w:rsid w:val="00072FAF"/>
    <w:rsid w:val="00073017"/>
    <w:rsid w:val="000730BD"/>
    <w:rsid w:val="00073136"/>
    <w:rsid w:val="000731A3"/>
    <w:rsid w:val="0007325D"/>
    <w:rsid w:val="00073288"/>
    <w:rsid w:val="00073340"/>
    <w:rsid w:val="000733E7"/>
    <w:rsid w:val="00073403"/>
    <w:rsid w:val="00073410"/>
    <w:rsid w:val="00073432"/>
    <w:rsid w:val="00073458"/>
    <w:rsid w:val="00073464"/>
    <w:rsid w:val="0007346B"/>
    <w:rsid w:val="000734BE"/>
    <w:rsid w:val="0007351B"/>
    <w:rsid w:val="00073521"/>
    <w:rsid w:val="00073573"/>
    <w:rsid w:val="00073688"/>
    <w:rsid w:val="00073695"/>
    <w:rsid w:val="000736CB"/>
    <w:rsid w:val="0007370B"/>
    <w:rsid w:val="0007370F"/>
    <w:rsid w:val="00073784"/>
    <w:rsid w:val="00073864"/>
    <w:rsid w:val="000738B7"/>
    <w:rsid w:val="000739A5"/>
    <w:rsid w:val="000739AB"/>
    <w:rsid w:val="000739BD"/>
    <w:rsid w:val="000739CF"/>
    <w:rsid w:val="000739DB"/>
    <w:rsid w:val="00073A1C"/>
    <w:rsid w:val="00073A47"/>
    <w:rsid w:val="00073A5B"/>
    <w:rsid w:val="00073AAB"/>
    <w:rsid w:val="00073AC3"/>
    <w:rsid w:val="00073B58"/>
    <w:rsid w:val="00073B7E"/>
    <w:rsid w:val="00073BA9"/>
    <w:rsid w:val="00073BF5"/>
    <w:rsid w:val="00073C4E"/>
    <w:rsid w:val="00073C6E"/>
    <w:rsid w:val="00073D5C"/>
    <w:rsid w:val="00073D67"/>
    <w:rsid w:val="00073DAD"/>
    <w:rsid w:val="00073DF3"/>
    <w:rsid w:val="00073E68"/>
    <w:rsid w:val="00073F9A"/>
    <w:rsid w:val="00073FA8"/>
    <w:rsid w:val="00073FC9"/>
    <w:rsid w:val="00074016"/>
    <w:rsid w:val="0007407B"/>
    <w:rsid w:val="000740A4"/>
    <w:rsid w:val="000740EB"/>
    <w:rsid w:val="000740F3"/>
    <w:rsid w:val="0007412F"/>
    <w:rsid w:val="00074182"/>
    <w:rsid w:val="0007423A"/>
    <w:rsid w:val="00074315"/>
    <w:rsid w:val="00074334"/>
    <w:rsid w:val="00074384"/>
    <w:rsid w:val="000743C2"/>
    <w:rsid w:val="00074480"/>
    <w:rsid w:val="0007452C"/>
    <w:rsid w:val="000745B6"/>
    <w:rsid w:val="000745DB"/>
    <w:rsid w:val="000746BD"/>
    <w:rsid w:val="000746C3"/>
    <w:rsid w:val="000746D4"/>
    <w:rsid w:val="000746EB"/>
    <w:rsid w:val="0007477C"/>
    <w:rsid w:val="000747C3"/>
    <w:rsid w:val="000748E7"/>
    <w:rsid w:val="0007490F"/>
    <w:rsid w:val="00074A5E"/>
    <w:rsid w:val="00074ACA"/>
    <w:rsid w:val="00074B52"/>
    <w:rsid w:val="00074B66"/>
    <w:rsid w:val="00074BAD"/>
    <w:rsid w:val="00074BB2"/>
    <w:rsid w:val="00074BF9"/>
    <w:rsid w:val="00074BFF"/>
    <w:rsid w:val="00074C2C"/>
    <w:rsid w:val="00074C4E"/>
    <w:rsid w:val="00074C6F"/>
    <w:rsid w:val="00074CFD"/>
    <w:rsid w:val="00074D0A"/>
    <w:rsid w:val="00074D23"/>
    <w:rsid w:val="00074E8F"/>
    <w:rsid w:val="00074FC1"/>
    <w:rsid w:val="000750F6"/>
    <w:rsid w:val="0007510C"/>
    <w:rsid w:val="0007512E"/>
    <w:rsid w:val="000751D2"/>
    <w:rsid w:val="00075207"/>
    <w:rsid w:val="000752A7"/>
    <w:rsid w:val="00075308"/>
    <w:rsid w:val="00075468"/>
    <w:rsid w:val="000754DA"/>
    <w:rsid w:val="00075662"/>
    <w:rsid w:val="00075695"/>
    <w:rsid w:val="0007569B"/>
    <w:rsid w:val="000756AB"/>
    <w:rsid w:val="00075773"/>
    <w:rsid w:val="00075792"/>
    <w:rsid w:val="000757CC"/>
    <w:rsid w:val="000757FA"/>
    <w:rsid w:val="00075854"/>
    <w:rsid w:val="00075930"/>
    <w:rsid w:val="000759D0"/>
    <w:rsid w:val="000759E5"/>
    <w:rsid w:val="00075A6A"/>
    <w:rsid w:val="00075AAB"/>
    <w:rsid w:val="00075AD5"/>
    <w:rsid w:val="00075B2B"/>
    <w:rsid w:val="00075B53"/>
    <w:rsid w:val="00075B6E"/>
    <w:rsid w:val="00075BB2"/>
    <w:rsid w:val="00075C43"/>
    <w:rsid w:val="00075C48"/>
    <w:rsid w:val="00075CC6"/>
    <w:rsid w:val="00075D1E"/>
    <w:rsid w:val="00075D32"/>
    <w:rsid w:val="00075D3F"/>
    <w:rsid w:val="00075D4F"/>
    <w:rsid w:val="00075DD1"/>
    <w:rsid w:val="00075E2F"/>
    <w:rsid w:val="00075F31"/>
    <w:rsid w:val="00075FDF"/>
    <w:rsid w:val="00076028"/>
    <w:rsid w:val="0007605C"/>
    <w:rsid w:val="00076081"/>
    <w:rsid w:val="0007619C"/>
    <w:rsid w:val="000761BD"/>
    <w:rsid w:val="0007620B"/>
    <w:rsid w:val="00076210"/>
    <w:rsid w:val="00076249"/>
    <w:rsid w:val="00076252"/>
    <w:rsid w:val="00076294"/>
    <w:rsid w:val="00076299"/>
    <w:rsid w:val="000762E4"/>
    <w:rsid w:val="0007634D"/>
    <w:rsid w:val="0007638A"/>
    <w:rsid w:val="000763BA"/>
    <w:rsid w:val="000763EE"/>
    <w:rsid w:val="00076425"/>
    <w:rsid w:val="00076441"/>
    <w:rsid w:val="0007644F"/>
    <w:rsid w:val="0007648E"/>
    <w:rsid w:val="0007649C"/>
    <w:rsid w:val="000764FA"/>
    <w:rsid w:val="00076599"/>
    <w:rsid w:val="00076618"/>
    <w:rsid w:val="000766A1"/>
    <w:rsid w:val="000766B4"/>
    <w:rsid w:val="000766BD"/>
    <w:rsid w:val="000767B6"/>
    <w:rsid w:val="0007686F"/>
    <w:rsid w:val="0007689A"/>
    <w:rsid w:val="000768CA"/>
    <w:rsid w:val="0007693D"/>
    <w:rsid w:val="00076A73"/>
    <w:rsid w:val="00076A97"/>
    <w:rsid w:val="00076B11"/>
    <w:rsid w:val="00076C1C"/>
    <w:rsid w:val="00076C27"/>
    <w:rsid w:val="00076C2A"/>
    <w:rsid w:val="00076CFE"/>
    <w:rsid w:val="00076D78"/>
    <w:rsid w:val="00076DBC"/>
    <w:rsid w:val="00076DC4"/>
    <w:rsid w:val="00076DDA"/>
    <w:rsid w:val="00076E00"/>
    <w:rsid w:val="00076ECB"/>
    <w:rsid w:val="00076F81"/>
    <w:rsid w:val="00076F84"/>
    <w:rsid w:val="00076FFE"/>
    <w:rsid w:val="0007700C"/>
    <w:rsid w:val="0007703D"/>
    <w:rsid w:val="0007705D"/>
    <w:rsid w:val="00077078"/>
    <w:rsid w:val="00077079"/>
    <w:rsid w:val="00077082"/>
    <w:rsid w:val="000770A8"/>
    <w:rsid w:val="00077172"/>
    <w:rsid w:val="00077194"/>
    <w:rsid w:val="000771D2"/>
    <w:rsid w:val="0007724A"/>
    <w:rsid w:val="00077274"/>
    <w:rsid w:val="000772B3"/>
    <w:rsid w:val="000772ED"/>
    <w:rsid w:val="00077357"/>
    <w:rsid w:val="0007744C"/>
    <w:rsid w:val="000774CC"/>
    <w:rsid w:val="000774D2"/>
    <w:rsid w:val="000774EA"/>
    <w:rsid w:val="000774F5"/>
    <w:rsid w:val="00077581"/>
    <w:rsid w:val="000775DE"/>
    <w:rsid w:val="00077615"/>
    <w:rsid w:val="00077618"/>
    <w:rsid w:val="00077638"/>
    <w:rsid w:val="0007763E"/>
    <w:rsid w:val="000776AC"/>
    <w:rsid w:val="00077733"/>
    <w:rsid w:val="000777E8"/>
    <w:rsid w:val="00077857"/>
    <w:rsid w:val="0007788B"/>
    <w:rsid w:val="00077994"/>
    <w:rsid w:val="000779B7"/>
    <w:rsid w:val="000779E7"/>
    <w:rsid w:val="00077B6F"/>
    <w:rsid w:val="00077B81"/>
    <w:rsid w:val="00077CC9"/>
    <w:rsid w:val="00077D14"/>
    <w:rsid w:val="00077D33"/>
    <w:rsid w:val="00077D47"/>
    <w:rsid w:val="00077D78"/>
    <w:rsid w:val="00077DE8"/>
    <w:rsid w:val="00077DF2"/>
    <w:rsid w:val="00077DF9"/>
    <w:rsid w:val="00077E29"/>
    <w:rsid w:val="00077E74"/>
    <w:rsid w:val="00077EA7"/>
    <w:rsid w:val="00077ECD"/>
    <w:rsid w:val="00077F24"/>
    <w:rsid w:val="00077F84"/>
    <w:rsid w:val="00077FF1"/>
    <w:rsid w:val="0008001F"/>
    <w:rsid w:val="00080062"/>
    <w:rsid w:val="000800A3"/>
    <w:rsid w:val="000800BF"/>
    <w:rsid w:val="000800E3"/>
    <w:rsid w:val="000800F5"/>
    <w:rsid w:val="000801DF"/>
    <w:rsid w:val="0008023D"/>
    <w:rsid w:val="0008026C"/>
    <w:rsid w:val="000802CD"/>
    <w:rsid w:val="0008030B"/>
    <w:rsid w:val="00080339"/>
    <w:rsid w:val="000803CE"/>
    <w:rsid w:val="00080403"/>
    <w:rsid w:val="0008040C"/>
    <w:rsid w:val="00080411"/>
    <w:rsid w:val="00080446"/>
    <w:rsid w:val="000804B4"/>
    <w:rsid w:val="00080560"/>
    <w:rsid w:val="0008056F"/>
    <w:rsid w:val="000805AA"/>
    <w:rsid w:val="0008062C"/>
    <w:rsid w:val="0008065E"/>
    <w:rsid w:val="00080771"/>
    <w:rsid w:val="00080814"/>
    <w:rsid w:val="000808E7"/>
    <w:rsid w:val="00080932"/>
    <w:rsid w:val="00080966"/>
    <w:rsid w:val="0008098A"/>
    <w:rsid w:val="00080A7C"/>
    <w:rsid w:val="00080ADE"/>
    <w:rsid w:val="00080AF7"/>
    <w:rsid w:val="00080AFF"/>
    <w:rsid w:val="00080BBE"/>
    <w:rsid w:val="00080BC0"/>
    <w:rsid w:val="00080BCB"/>
    <w:rsid w:val="00080C6F"/>
    <w:rsid w:val="00080CC2"/>
    <w:rsid w:val="00080DB6"/>
    <w:rsid w:val="00080E3E"/>
    <w:rsid w:val="00080EF4"/>
    <w:rsid w:val="00080EF9"/>
    <w:rsid w:val="00080F3A"/>
    <w:rsid w:val="00080FC7"/>
    <w:rsid w:val="0008106E"/>
    <w:rsid w:val="0008108F"/>
    <w:rsid w:val="00081092"/>
    <w:rsid w:val="00081095"/>
    <w:rsid w:val="00081167"/>
    <w:rsid w:val="000811EB"/>
    <w:rsid w:val="000811FF"/>
    <w:rsid w:val="00081205"/>
    <w:rsid w:val="00081243"/>
    <w:rsid w:val="00081310"/>
    <w:rsid w:val="0008131F"/>
    <w:rsid w:val="000813C3"/>
    <w:rsid w:val="00081432"/>
    <w:rsid w:val="00081479"/>
    <w:rsid w:val="00081523"/>
    <w:rsid w:val="0008153C"/>
    <w:rsid w:val="00081562"/>
    <w:rsid w:val="00081568"/>
    <w:rsid w:val="000815E1"/>
    <w:rsid w:val="00081609"/>
    <w:rsid w:val="00081638"/>
    <w:rsid w:val="0008164F"/>
    <w:rsid w:val="0008167F"/>
    <w:rsid w:val="000816AA"/>
    <w:rsid w:val="00081726"/>
    <w:rsid w:val="00081739"/>
    <w:rsid w:val="00081750"/>
    <w:rsid w:val="00081831"/>
    <w:rsid w:val="00081896"/>
    <w:rsid w:val="000818AC"/>
    <w:rsid w:val="000818BC"/>
    <w:rsid w:val="000818C0"/>
    <w:rsid w:val="00081914"/>
    <w:rsid w:val="000819B1"/>
    <w:rsid w:val="000819FD"/>
    <w:rsid w:val="00081A0C"/>
    <w:rsid w:val="00081AC7"/>
    <w:rsid w:val="00081B7A"/>
    <w:rsid w:val="00081C6B"/>
    <w:rsid w:val="00081CE6"/>
    <w:rsid w:val="00081DBF"/>
    <w:rsid w:val="00081E3F"/>
    <w:rsid w:val="00081F4C"/>
    <w:rsid w:val="00081FB2"/>
    <w:rsid w:val="00081FB5"/>
    <w:rsid w:val="00081FB6"/>
    <w:rsid w:val="00081FC2"/>
    <w:rsid w:val="00081FEE"/>
    <w:rsid w:val="00082039"/>
    <w:rsid w:val="00082058"/>
    <w:rsid w:val="000820DC"/>
    <w:rsid w:val="00082111"/>
    <w:rsid w:val="0008211A"/>
    <w:rsid w:val="0008214E"/>
    <w:rsid w:val="00082155"/>
    <w:rsid w:val="00082183"/>
    <w:rsid w:val="0008222D"/>
    <w:rsid w:val="00082259"/>
    <w:rsid w:val="0008225C"/>
    <w:rsid w:val="00082261"/>
    <w:rsid w:val="00082268"/>
    <w:rsid w:val="000822B4"/>
    <w:rsid w:val="000822B7"/>
    <w:rsid w:val="000822F5"/>
    <w:rsid w:val="00082331"/>
    <w:rsid w:val="00082359"/>
    <w:rsid w:val="000824B7"/>
    <w:rsid w:val="000824EC"/>
    <w:rsid w:val="00082512"/>
    <w:rsid w:val="000825AE"/>
    <w:rsid w:val="00082644"/>
    <w:rsid w:val="0008269F"/>
    <w:rsid w:val="00082724"/>
    <w:rsid w:val="00082736"/>
    <w:rsid w:val="0008277E"/>
    <w:rsid w:val="00082794"/>
    <w:rsid w:val="000827CF"/>
    <w:rsid w:val="000828B0"/>
    <w:rsid w:val="00082908"/>
    <w:rsid w:val="0008298D"/>
    <w:rsid w:val="00082A11"/>
    <w:rsid w:val="00082A42"/>
    <w:rsid w:val="00082B53"/>
    <w:rsid w:val="00082C52"/>
    <w:rsid w:val="00082CBF"/>
    <w:rsid w:val="00082E35"/>
    <w:rsid w:val="00082E87"/>
    <w:rsid w:val="00082EAC"/>
    <w:rsid w:val="00082ED3"/>
    <w:rsid w:val="00082EEE"/>
    <w:rsid w:val="00082F13"/>
    <w:rsid w:val="00082F86"/>
    <w:rsid w:val="00082FE5"/>
    <w:rsid w:val="00083023"/>
    <w:rsid w:val="00083042"/>
    <w:rsid w:val="00083073"/>
    <w:rsid w:val="0008309A"/>
    <w:rsid w:val="00083220"/>
    <w:rsid w:val="000832BD"/>
    <w:rsid w:val="000832DB"/>
    <w:rsid w:val="000832E3"/>
    <w:rsid w:val="0008340D"/>
    <w:rsid w:val="0008344F"/>
    <w:rsid w:val="000834FC"/>
    <w:rsid w:val="000834FD"/>
    <w:rsid w:val="00083533"/>
    <w:rsid w:val="00083557"/>
    <w:rsid w:val="00083564"/>
    <w:rsid w:val="00083643"/>
    <w:rsid w:val="0008364C"/>
    <w:rsid w:val="0008364D"/>
    <w:rsid w:val="0008366C"/>
    <w:rsid w:val="00083771"/>
    <w:rsid w:val="000837B0"/>
    <w:rsid w:val="000837B9"/>
    <w:rsid w:val="000837E1"/>
    <w:rsid w:val="00083831"/>
    <w:rsid w:val="000838E8"/>
    <w:rsid w:val="000838FC"/>
    <w:rsid w:val="00083931"/>
    <w:rsid w:val="00083959"/>
    <w:rsid w:val="0008397E"/>
    <w:rsid w:val="000839F5"/>
    <w:rsid w:val="00083AA4"/>
    <w:rsid w:val="00083AC2"/>
    <w:rsid w:val="00083B13"/>
    <w:rsid w:val="00083BDA"/>
    <w:rsid w:val="00083BE3"/>
    <w:rsid w:val="00083C97"/>
    <w:rsid w:val="00083D0B"/>
    <w:rsid w:val="00083DDA"/>
    <w:rsid w:val="00083E3E"/>
    <w:rsid w:val="00083E6F"/>
    <w:rsid w:val="00083EFC"/>
    <w:rsid w:val="00083F08"/>
    <w:rsid w:val="00083F9E"/>
    <w:rsid w:val="0008401C"/>
    <w:rsid w:val="0008402F"/>
    <w:rsid w:val="0008411E"/>
    <w:rsid w:val="000841B2"/>
    <w:rsid w:val="000841F7"/>
    <w:rsid w:val="000841F9"/>
    <w:rsid w:val="00084218"/>
    <w:rsid w:val="0008426D"/>
    <w:rsid w:val="000842A6"/>
    <w:rsid w:val="000842CE"/>
    <w:rsid w:val="00084347"/>
    <w:rsid w:val="000843B5"/>
    <w:rsid w:val="000844B9"/>
    <w:rsid w:val="000844F0"/>
    <w:rsid w:val="00084508"/>
    <w:rsid w:val="00084516"/>
    <w:rsid w:val="00084546"/>
    <w:rsid w:val="0008454F"/>
    <w:rsid w:val="00084555"/>
    <w:rsid w:val="00084573"/>
    <w:rsid w:val="000845A3"/>
    <w:rsid w:val="00084649"/>
    <w:rsid w:val="00084736"/>
    <w:rsid w:val="000847B0"/>
    <w:rsid w:val="000847E8"/>
    <w:rsid w:val="00084822"/>
    <w:rsid w:val="0008491B"/>
    <w:rsid w:val="0008492C"/>
    <w:rsid w:val="00084A42"/>
    <w:rsid w:val="00084A78"/>
    <w:rsid w:val="00084B74"/>
    <w:rsid w:val="00084B76"/>
    <w:rsid w:val="00084BF3"/>
    <w:rsid w:val="00084BF5"/>
    <w:rsid w:val="00084C61"/>
    <w:rsid w:val="00084C73"/>
    <w:rsid w:val="00084DA8"/>
    <w:rsid w:val="00084E05"/>
    <w:rsid w:val="00084E15"/>
    <w:rsid w:val="00084E8F"/>
    <w:rsid w:val="00084EC3"/>
    <w:rsid w:val="00084ED8"/>
    <w:rsid w:val="00084F3B"/>
    <w:rsid w:val="00084FD2"/>
    <w:rsid w:val="00084FFE"/>
    <w:rsid w:val="00085047"/>
    <w:rsid w:val="00085083"/>
    <w:rsid w:val="00085152"/>
    <w:rsid w:val="00085165"/>
    <w:rsid w:val="00085168"/>
    <w:rsid w:val="00085286"/>
    <w:rsid w:val="000852F8"/>
    <w:rsid w:val="00085381"/>
    <w:rsid w:val="000853CA"/>
    <w:rsid w:val="000853E9"/>
    <w:rsid w:val="00085414"/>
    <w:rsid w:val="0008543D"/>
    <w:rsid w:val="00085448"/>
    <w:rsid w:val="00085458"/>
    <w:rsid w:val="00085478"/>
    <w:rsid w:val="0008550B"/>
    <w:rsid w:val="0008551C"/>
    <w:rsid w:val="000855CF"/>
    <w:rsid w:val="000855F3"/>
    <w:rsid w:val="00085630"/>
    <w:rsid w:val="00085683"/>
    <w:rsid w:val="00085794"/>
    <w:rsid w:val="000857B6"/>
    <w:rsid w:val="0008584F"/>
    <w:rsid w:val="0008586B"/>
    <w:rsid w:val="00085895"/>
    <w:rsid w:val="0008589B"/>
    <w:rsid w:val="000858B9"/>
    <w:rsid w:val="00085976"/>
    <w:rsid w:val="000859A0"/>
    <w:rsid w:val="000859C8"/>
    <w:rsid w:val="00085A2F"/>
    <w:rsid w:val="00085A3F"/>
    <w:rsid w:val="00085AA0"/>
    <w:rsid w:val="00085BDE"/>
    <w:rsid w:val="00085CA7"/>
    <w:rsid w:val="00085D21"/>
    <w:rsid w:val="00085D28"/>
    <w:rsid w:val="00085DD6"/>
    <w:rsid w:val="00085E48"/>
    <w:rsid w:val="00085E6D"/>
    <w:rsid w:val="00085E8F"/>
    <w:rsid w:val="00085F01"/>
    <w:rsid w:val="00085F53"/>
    <w:rsid w:val="00085FA7"/>
    <w:rsid w:val="00085FAA"/>
    <w:rsid w:val="00085FE2"/>
    <w:rsid w:val="00086017"/>
    <w:rsid w:val="00086024"/>
    <w:rsid w:val="0008603E"/>
    <w:rsid w:val="00086074"/>
    <w:rsid w:val="000860F7"/>
    <w:rsid w:val="0008613B"/>
    <w:rsid w:val="00086169"/>
    <w:rsid w:val="0008628C"/>
    <w:rsid w:val="00086298"/>
    <w:rsid w:val="000862F6"/>
    <w:rsid w:val="00086331"/>
    <w:rsid w:val="00086339"/>
    <w:rsid w:val="000863EB"/>
    <w:rsid w:val="000864C5"/>
    <w:rsid w:val="00086594"/>
    <w:rsid w:val="000865CB"/>
    <w:rsid w:val="0008660E"/>
    <w:rsid w:val="0008661D"/>
    <w:rsid w:val="00086819"/>
    <w:rsid w:val="00086855"/>
    <w:rsid w:val="000868D8"/>
    <w:rsid w:val="00086908"/>
    <w:rsid w:val="0008698F"/>
    <w:rsid w:val="000869D5"/>
    <w:rsid w:val="000869EE"/>
    <w:rsid w:val="00086A21"/>
    <w:rsid w:val="00086A81"/>
    <w:rsid w:val="00086A91"/>
    <w:rsid w:val="00086ACF"/>
    <w:rsid w:val="00086AEC"/>
    <w:rsid w:val="00086B7B"/>
    <w:rsid w:val="00086C58"/>
    <w:rsid w:val="00086C6E"/>
    <w:rsid w:val="00086CAE"/>
    <w:rsid w:val="00086EC7"/>
    <w:rsid w:val="00086EDD"/>
    <w:rsid w:val="00086EEA"/>
    <w:rsid w:val="00086EFB"/>
    <w:rsid w:val="00086F39"/>
    <w:rsid w:val="00086FBD"/>
    <w:rsid w:val="00086FE8"/>
    <w:rsid w:val="0008703E"/>
    <w:rsid w:val="00087132"/>
    <w:rsid w:val="00087189"/>
    <w:rsid w:val="00087196"/>
    <w:rsid w:val="000871E1"/>
    <w:rsid w:val="0008727D"/>
    <w:rsid w:val="000872E5"/>
    <w:rsid w:val="000872FC"/>
    <w:rsid w:val="0008730F"/>
    <w:rsid w:val="0008731B"/>
    <w:rsid w:val="00087345"/>
    <w:rsid w:val="00087384"/>
    <w:rsid w:val="000873AA"/>
    <w:rsid w:val="00087436"/>
    <w:rsid w:val="00087478"/>
    <w:rsid w:val="00087554"/>
    <w:rsid w:val="000876D0"/>
    <w:rsid w:val="000876E0"/>
    <w:rsid w:val="000876F4"/>
    <w:rsid w:val="00087765"/>
    <w:rsid w:val="000877D7"/>
    <w:rsid w:val="0008791C"/>
    <w:rsid w:val="0008792C"/>
    <w:rsid w:val="00087959"/>
    <w:rsid w:val="000879B0"/>
    <w:rsid w:val="000879E5"/>
    <w:rsid w:val="00087ACB"/>
    <w:rsid w:val="00087B2F"/>
    <w:rsid w:val="00087BFB"/>
    <w:rsid w:val="00087C0A"/>
    <w:rsid w:val="00087D9D"/>
    <w:rsid w:val="00087DC0"/>
    <w:rsid w:val="00087E10"/>
    <w:rsid w:val="00087FAF"/>
    <w:rsid w:val="00087FC6"/>
    <w:rsid w:val="00087FE8"/>
    <w:rsid w:val="0009000E"/>
    <w:rsid w:val="00090018"/>
    <w:rsid w:val="0009005F"/>
    <w:rsid w:val="000900C5"/>
    <w:rsid w:val="0009011B"/>
    <w:rsid w:val="00090168"/>
    <w:rsid w:val="00090194"/>
    <w:rsid w:val="00090236"/>
    <w:rsid w:val="0009023E"/>
    <w:rsid w:val="00090281"/>
    <w:rsid w:val="00090456"/>
    <w:rsid w:val="0009046D"/>
    <w:rsid w:val="000904BE"/>
    <w:rsid w:val="0009055E"/>
    <w:rsid w:val="0009064D"/>
    <w:rsid w:val="00090655"/>
    <w:rsid w:val="000906B7"/>
    <w:rsid w:val="000906C1"/>
    <w:rsid w:val="000906E3"/>
    <w:rsid w:val="00090707"/>
    <w:rsid w:val="0009075C"/>
    <w:rsid w:val="00090767"/>
    <w:rsid w:val="000907AE"/>
    <w:rsid w:val="000908F7"/>
    <w:rsid w:val="0009093F"/>
    <w:rsid w:val="00090A08"/>
    <w:rsid w:val="00090A37"/>
    <w:rsid w:val="00090AD3"/>
    <w:rsid w:val="00090AD5"/>
    <w:rsid w:val="00090AD7"/>
    <w:rsid w:val="00090AD9"/>
    <w:rsid w:val="00090AFF"/>
    <w:rsid w:val="00090B66"/>
    <w:rsid w:val="00090BA2"/>
    <w:rsid w:val="00090BBD"/>
    <w:rsid w:val="00090BD7"/>
    <w:rsid w:val="00090C38"/>
    <w:rsid w:val="00090CB7"/>
    <w:rsid w:val="00090D2B"/>
    <w:rsid w:val="00090D2C"/>
    <w:rsid w:val="00090D54"/>
    <w:rsid w:val="00090D6C"/>
    <w:rsid w:val="00090D87"/>
    <w:rsid w:val="00090D97"/>
    <w:rsid w:val="00090DAD"/>
    <w:rsid w:val="00090E2A"/>
    <w:rsid w:val="00090E42"/>
    <w:rsid w:val="00090EDB"/>
    <w:rsid w:val="00090EEB"/>
    <w:rsid w:val="00090F6F"/>
    <w:rsid w:val="00090FBC"/>
    <w:rsid w:val="00091001"/>
    <w:rsid w:val="00091090"/>
    <w:rsid w:val="0009109B"/>
    <w:rsid w:val="000910C5"/>
    <w:rsid w:val="000910F3"/>
    <w:rsid w:val="0009117D"/>
    <w:rsid w:val="000911B9"/>
    <w:rsid w:val="00091200"/>
    <w:rsid w:val="0009123D"/>
    <w:rsid w:val="00091340"/>
    <w:rsid w:val="00091395"/>
    <w:rsid w:val="0009143B"/>
    <w:rsid w:val="000914CB"/>
    <w:rsid w:val="00091553"/>
    <w:rsid w:val="00091582"/>
    <w:rsid w:val="000915D5"/>
    <w:rsid w:val="0009168A"/>
    <w:rsid w:val="000916E7"/>
    <w:rsid w:val="000916F6"/>
    <w:rsid w:val="0009170B"/>
    <w:rsid w:val="00091764"/>
    <w:rsid w:val="000917B1"/>
    <w:rsid w:val="000918D3"/>
    <w:rsid w:val="0009192B"/>
    <w:rsid w:val="0009195F"/>
    <w:rsid w:val="000919C4"/>
    <w:rsid w:val="00091AFC"/>
    <w:rsid w:val="00091B7B"/>
    <w:rsid w:val="00091B91"/>
    <w:rsid w:val="00091BC5"/>
    <w:rsid w:val="00091C38"/>
    <w:rsid w:val="00091C3C"/>
    <w:rsid w:val="00091C6D"/>
    <w:rsid w:val="00091C9F"/>
    <w:rsid w:val="00091D0F"/>
    <w:rsid w:val="00091D52"/>
    <w:rsid w:val="00091D5D"/>
    <w:rsid w:val="00091DAE"/>
    <w:rsid w:val="00091DD8"/>
    <w:rsid w:val="00091E02"/>
    <w:rsid w:val="00091E03"/>
    <w:rsid w:val="00091E1F"/>
    <w:rsid w:val="00091E3E"/>
    <w:rsid w:val="00091E60"/>
    <w:rsid w:val="00091E9C"/>
    <w:rsid w:val="00091EEB"/>
    <w:rsid w:val="00091F78"/>
    <w:rsid w:val="00091FD7"/>
    <w:rsid w:val="00091FEF"/>
    <w:rsid w:val="00092010"/>
    <w:rsid w:val="00092033"/>
    <w:rsid w:val="0009205F"/>
    <w:rsid w:val="00092083"/>
    <w:rsid w:val="0009208E"/>
    <w:rsid w:val="0009210A"/>
    <w:rsid w:val="00092177"/>
    <w:rsid w:val="0009217E"/>
    <w:rsid w:val="000921EB"/>
    <w:rsid w:val="0009230D"/>
    <w:rsid w:val="0009234D"/>
    <w:rsid w:val="00092456"/>
    <w:rsid w:val="00092462"/>
    <w:rsid w:val="0009253A"/>
    <w:rsid w:val="00092581"/>
    <w:rsid w:val="00092643"/>
    <w:rsid w:val="000926C8"/>
    <w:rsid w:val="000927BA"/>
    <w:rsid w:val="000927DE"/>
    <w:rsid w:val="000927E7"/>
    <w:rsid w:val="0009283E"/>
    <w:rsid w:val="000928B4"/>
    <w:rsid w:val="000928BB"/>
    <w:rsid w:val="00092960"/>
    <w:rsid w:val="00092961"/>
    <w:rsid w:val="00092989"/>
    <w:rsid w:val="00092A21"/>
    <w:rsid w:val="00092B07"/>
    <w:rsid w:val="00092B93"/>
    <w:rsid w:val="00092BAD"/>
    <w:rsid w:val="00092BFB"/>
    <w:rsid w:val="00092C80"/>
    <w:rsid w:val="00092D4C"/>
    <w:rsid w:val="00092D7A"/>
    <w:rsid w:val="00092DF9"/>
    <w:rsid w:val="00092E5A"/>
    <w:rsid w:val="00092E79"/>
    <w:rsid w:val="00092EC9"/>
    <w:rsid w:val="00092F9C"/>
    <w:rsid w:val="00092FE8"/>
    <w:rsid w:val="00093003"/>
    <w:rsid w:val="0009302D"/>
    <w:rsid w:val="00093030"/>
    <w:rsid w:val="00093123"/>
    <w:rsid w:val="00093162"/>
    <w:rsid w:val="00093215"/>
    <w:rsid w:val="0009328A"/>
    <w:rsid w:val="00093297"/>
    <w:rsid w:val="000932D6"/>
    <w:rsid w:val="000932E7"/>
    <w:rsid w:val="000932E8"/>
    <w:rsid w:val="0009337E"/>
    <w:rsid w:val="0009340E"/>
    <w:rsid w:val="00093424"/>
    <w:rsid w:val="00093468"/>
    <w:rsid w:val="00093498"/>
    <w:rsid w:val="000934DA"/>
    <w:rsid w:val="000934DE"/>
    <w:rsid w:val="00093555"/>
    <w:rsid w:val="0009355C"/>
    <w:rsid w:val="00093621"/>
    <w:rsid w:val="0009362C"/>
    <w:rsid w:val="00093658"/>
    <w:rsid w:val="00093674"/>
    <w:rsid w:val="00093812"/>
    <w:rsid w:val="00093880"/>
    <w:rsid w:val="00093971"/>
    <w:rsid w:val="000939D1"/>
    <w:rsid w:val="00093A17"/>
    <w:rsid w:val="00093A1F"/>
    <w:rsid w:val="00093A93"/>
    <w:rsid w:val="00093B19"/>
    <w:rsid w:val="00093B44"/>
    <w:rsid w:val="00093B61"/>
    <w:rsid w:val="00093B80"/>
    <w:rsid w:val="00093B98"/>
    <w:rsid w:val="00093BDC"/>
    <w:rsid w:val="00093BE4"/>
    <w:rsid w:val="00093C08"/>
    <w:rsid w:val="00093C34"/>
    <w:rsid w:val="00093C9A"/>
    <w:rsid w:val="00093CFE"/>
    <w:rsid w:val="00093D08"/>
    <w:rsid w:val="00093D2B"/>
    <w:rsid w:val="00093D32"/>
    <w:rsid w:val="00093D54"/>
    <w:rsid w:val="00093DFB"/>
    <w:rsid w:val="00093E4E"/>
    <w:rsid w:val="00093F2B"/>
    <w:rsid w:val="00093F79"/>
    <w:rsid w:val="00093F94"/>
    <w:rsid w:val="00093FA1"/>
    <w:rsid w:val="00093FDF"/>
    <w:rsid w:val="0009406E"/>
    <w:rsid w:val="000940F7"/>
    <w:rsid w:val="00094293"/>
    <w:rsid w:val="000942B4"/>
    <w:rsid w:val="000942FB"/>
    <w:rsid w:val="00094318"/>
    <w:rsid w:val="00094322"/>
    <w:rsid w:val="0009433B"/>
    <w:rsid w:val="00094395"/>
    <w:rsid w:val="00094472"/>
    <w:rsid w:val="00094501"/>
    <w:rsid w:val="0009452A"/>
    <w:rsid w:val="00094572"/>
    <w:rsid w:val="00094575"/>
    <w:rsid w:val="00094680"/>
    <w:rsid w:val="0009469B"/>
    <w:rsid w:val="00094798"/>
    <w:rsid w:val="000947B2"/>
    <w:rsid w:val="000947E6"/>
    <w:rsid w:val="000947FF"/>
    <w:rsid w:val="00094812"/>
    <w:rsid w:val="0009484A"/>
    <w:rsid w:val="0009486E"/>
    <w:rsid w:val="00094895"/>
    <w:rsid w:val="00094909"/>
    <w:rsid w:val="00094938"/>
    <w:rsid w:val="00094A26"/>
    <w:rsid w:val="00094A39"/>
    <w:rsid w:val="00094A74"/>
    <w:rsid w:val="00094A80"/>
    <w:rsid w:val="00094A90"/>
    <w:rsid w:val="00094AEF"/>
    <w:rsid w:val="00094B10"/>
    <w:rsid w:val="00094B40"/>
    <w:rsid w:val="00094B71"/>
    <w:rsid w:val="00094BE9"/>
    <w:rsid w:val="00094D05"/>
    <w:rsid w:val="00094DF2"/>
    <w:rsid w:val="00094E37"/>
    <w:rsid w:val="00094E4C"/>
    <w:rsid w:val="00094E58"/>
    <w:rsid w:val="00094E71"/>
    <w:rsid w:val="00094EDC"/>
    <w:rsid w:val="00094FC9"/>
    <w:rsid w:val="00094FF0"/>
    <w:rsid w:val="00095021"/>
    <w:rsid w:val="00095087"/>
    <w:rsid w:val="000950AF"/>
    <w:rsid w:val="000950B5"/>
    <w:rsid w:val="000950E2"/>
    <w:rsid w:val="0009511A"/>
    <w:rsid w:val="00095157"/>
    <w:rsid w:val="0009515D"/>
    <w:rsid w:val="0009517A"/>
    <w:rsid w:val="000951B3"/>
    <w:rsid w:val="000951EC"/>
    <w:rsid w:val="00095231"/>
    <w:rsid w:val="000952A1"/>
    <w:rsid w:val="00095381"/>
    <w:rsid w:val="000953A5"/>
    <w:rsid w:val="00095499"/>
    <w:rsid w:val="00095512"/>
    <w:rsid w:val="0009558F"/>
    <w:rsid w:val="000955FE"/>
    <w:rsid w:val="000956E1"/>
    <w:rsid w:val="000956EA"/>
    <w:rsid w:val="00095944"/>
    <w:rsid w:val="00095968"/>
    <w:rsid w:val="00095982"/>
    <w:rsid w:val="00095A76"/>
    <w:rsid w:val="00095AB4"/>
    <w:rsid w:val="00095C37"/>
    <w:rsid w:val="00095C60"/>
    <w:rsid w:val="00095C87"/>
    <w:rsid w:val="00095D88"/>
    <w:rsid w:val="00095ED5"/>
    <w:rsid w:val="00095F1C"/>
    <w:rsid w:val="00095F63"/>
    <w:rsid w:val="00095F9C"/>
    <w:rsid w:val="00096085"/>
    <w:rsid w:val="000960C1"/>
    <w:rsid w:val="00096119"/>
    <w:rsid w:val="00096181"/>
    <w:rsid w:val="00096209"/>
    <w:rsid w:val="00096217"/>
    <w:rsid w:val="00096265"/>
    <w:rsid w:val="000962AE"/>
    <w:rsid w:val="000962F5"/>
    <w:rsid w:val="00096347"/>
    <w:rsid w:val="000963DB"/>
    <w:rsid w:val="00096426"/>
    <w:rsid w:val="0009642C"/>
    <w:rsid w:val="00096493"/>
    <w:rsid w:val="0009650B"/>
    <w:rsid w:val="00096548"/>
    <w:rsid w:val="0009665C"/>
    <w:rsid w:val="0009674F"/>
    <w:rsid w:val="000967AA"/>
    <w:rsid w:val="000967AD"/>
    <w:rsid w:val="000968AE"/>
    <w:rsid w:val="00096928"/>
    <w:rsid w:val="0009696D"/>
    <w:rsid w:val="00096983"/>
    <w:rsid w:val="000969B8"/>
    <w:rsid w:val="00096ADE"/>
    <w:rsid w:val="00096B2A"/>
    <w:rsid w:val="00096B63"/>
    <w:rsid w:val="00096C57"/>
    <w:rsid w:val="00096D24"/>
    <w:rsid w:val="00096EC0"/>
    <w:rsid w:val="00096ED0"/>
    <w:rsid w:val="00096EFB"/>
    <w:rsid w:val="00096F00"/>
    <w:rsid w:val="00096F10"/>
    <w:rsid w:val="00096F30"/>
    <w:rsid w:val="00096F6D"/>
    <w:rsid w:val="00096F9F"/>
    <w:rsid w:val="00096FB7"/>
    <w:rsid w:val="0009701C"/>
    <w:rsid w:val="00097037"/>
    <w:rsid w:val="00097091"/>
    <w:rsid w:val="00097108"/>
    <w:rsid w:val="0009710C"/>
    <w:rsid w:val="000971CB"/>
    <w:rsid w:val="0009726E"/>
    <w:rsid w:val="0009728E"/>
    <w:rsid w:val="00097304"/>
    <w:rsid w:val="00097445"/>
    <w:rsid w:val="000974E5"/>
    <w:rsid w:val="000974F5"/>
    <w:rsid w:val="00097569"/>
    <w:rsid w:val="0009757A"/>
    <w:rsid w:val="000975AA"/>
    <w:rsid w:val="000975FD"/>
    <w:rsid w:val="00097622"/>
    <w:rsid w:val="00097658"/>
    <w:rsid w:val="00097712"/>
    <w:rsid w:val="00097713"/>
    <w:rsid w:val="0009771B"/>
    <w:rsid w:val="0009774D"/>
    <w:rsid w:val="0009783E"/>
    <w:rsid w:val="00097865"/>
    <w:rsid w:val="0009789B"/>
    <w:rsid w:val="000978C9"/>
    <w:rsid w:val="000978EC"/>
    <w:rsid w:val="00097908"/>
    <w:rsid w:val="00097950"/>
    <w:rsid w:val="0009796E"/>
    <w:rsid w:val="000979FF"/>
    <w:rsid w:val="00097A0B"/>
    <w:rsid w:val="00097A37"/>
    <w:rsid w:val="00097AA4"/>
    <w:rsid w:val="00097B2C"/>
    <w:rsid w:val="00097B48"/>
    <w:rsid w:val="00097C1F"/>
    <w:rsid w:val="00097C7C"/>
    <w:rsid w:val="00097CF4"/>
    <w:rsid w:val="00097D32"/>
    <w:rsid w:val="00097DA6"/>
    <w:rsid w:val="00097DD7"/>
    <w:rsid w:val="00097E37"/>
    <w:rsid w:val="00097EB2"/>
    <w:rsid w:val="00097EEB"/>
    <w:rsid w:val="00097F06"/>
    <w:rsid w:val="00097F4C"/>
    <w:rsid w:val="00097F60"/>
    <w:rsid w:val="00097FB7"/>
    <w:rsid w:val="000A006D"/>
    <w:rsid w:val="000A0089"/>
    <w:rsid w:val="000A00EC"/>
    <w:rsid w:val="000A01E1"/>
    <w:rsid w:val="000A01FF"/>
    <w:rsid w:val="000A0208"/>
    <w:rsid w:val="000A0218"/>
    <w:rsid w:val="000A02A4"/>
    <w:rsid w:val="000A02AF"/>
    <w:rsid w:val="000A02F0"/>
    <w:rsid w:val="000A02F7"/>
    <w:rsid w:val="000A0320"/>
    <w:rsid w:val="000A0322"/>
    <w:rsid w:val="000A0331"/>
    <w:rsid w:val="000A0368"/>
    <w:rsid w:val="000A05C3"/>
    <w:rsid w:val="000A06C5"/>
    <w:rsid w:val="000A06D2"/>
    <w:rsid w:val="000A06F2"/>
    <w:rsid w:val="000A0766"/>
    <w:rsid w:val="000A07A5"/>
    <w:rsid w:val="000A07D0"/>
    <w:rsid w:val="000A0907"/>
    <w:rsid w:val="000A090A"/>
    <w:rsid w:val="000A09C1"/>
    <w:rsid w:val="000A0A5F"/>
    <w:rsid w:val="000A0A73"/>
    <w:rsid w:val="000A0ABE"/>
    <w:rsid w:val="000A0AC8"/>
    <w:rsid w:val="000A0AEC"/>
    <w:rsid w:val="000A0B0B"/>
    <w:rsid w:val="000A0B33"/>
    <w:rsid w:val="000A0B62"/>
    <w:rsid w:val="000A0B7A"/>
    <w:rsid w:val="000A0C29"/>
    <w:rsid w:val="000A0D0C"/>
    <w:rsid w:val="000A0DA9"/>
    <w:rsid w:val="000A0DB8"/>
    <w:rsid w:val="000A0E09"/>
    <w:rsid w:val="000A0E4E"/>
    <w:rsid w:val="000A0EA1"/>
    <w:rsid w:val="000A0EAA"/>
    <w:rsid w:val="000A0ECD"/>
    <w:rsid w:val="000A0ED1"/>
    <w:rsid w:val="000A0F18"/>
    <w:rsid w:val="000A0F25"/>
    <w:rsid w:val="000A0F57"/>
    <w:rsid w:val="000A0F86"/>
    <w:rsid w:val="000A104B"/>
    <w:rsid w:val="000A1057"/>
    <w:rsid w:val="000A1075"/>
    <w:rsid w:val="000A10AF"/>
    <w:rsid w:val="000A10C5"/>
    <w:rsid w:val="000A10F9"/>
    <w:rsid w:val="000A117C"/>
    <w:rsid w:val="000A11BA"/>
    <w:rsid w:val="000A11BD"/>
    <w:rsid w:val="000A11BE"/>
    <w:rsid w:val="000A121E"/>
    <w:rsid w:val="000A12A9"/>
    <w:rsid w:val="000A12B5"/>
    <w:rsid w:val="000A1324"/>
    <w:rsid w:val="000A1416"/>
    <w:rsid w:val="000A1456"/>
    <w:rsid w:val="000A148C"/>
    <w:rsid w:val="000A153E"/>
    <w:rsid w:val="000A1546"/>
    <w:rsid w:val="000A1580"/>
    <w:rsid w:val="000A159A"/>
    <w:rsid w:val="000A1654"/>
    <w:rsid w:val="000A1675"/>
    <w:rsid w:val="000A1691"/>
    <w:rsid w:val="000A16A8"/>
    <w:rsid w:val="000A1738"/>
    <w:rsid w:val="000A1763"/>
    <w:rsid w:val="000A177F"/>
    <w:rsid w:val="000A1822"/>
    <w:rsid w:val="000A1860"/>
    <w:rsid w:val="000A1867"/>
    <w:rsid w:val="000A1920"/>
    <w:rsid w:val="000A1962"/>
    <w:rsid w:val="000A1978"/>
    <w:rsid w:val="000A19BC"/>
    <w:rsid w:val="000A19EF"/>
    <w:rsid w:val="000A1A0F"/>
    <w:rsid w:val="000A1A44"/>
    <w:rsid w:val="000A1A57"/>
    <w:rsid w:val="000A1AB7"/>
    <w:rsid w:val="000A1B09"/>
    <w:rsid w:val="000A1B1D"/>
    <w:rsid w:val="000A1B47"/>
    <w:rsid w:val="000A1BD8"/>
    <w:rsid w:val="000A1CDC"/>
    <w:rsid w:val="000A1CEC"/>
    <w:rsid w:val="000A1D92"/>
    <w:rsid w:val="000A1DCB"/>
    <w:rsid w:val="000A1E50"/>
    <w:rsid w:val="000A1E7E"/>
    <w:rsid w:val="000A1F26"/>
    <w:rsid w:val="000A1FC3"/>
    <w:rsid w:val="000A2003"/>
    <w:rsid w:val="000A2081"/>
    <w:rsid w:val="000A2091"/>
    <w:rsid w:val="000A20E1"/>
    <w:rsid w:val="000A20FD"/>
    <w:rsid w:val="000A222B"/>
    <w:rsid w:val="000A2234"/>
    <w:rsid w:val="000A224C"/>
    <w:rsid w:val="000A2261"/>
    <w:rsid w:val="000A2269"/>
    <w:rsid w:val="000A228B"/>
    <w:rsid w:val="000A22A0"/>
    <w:rsid w:val="000A22F6"/>
    <w:rsid w:val="000A239D"/>
    <w:rsid w:val="000A23AE"/>
    <w:rsid w:val="000A23F2"/>
    <w:rsid w:val="000A241D"/>
    <w:rsid w:val="000A24DA"/>
    <w:rsid w:val="000A2523"/>
    <w:rsid w:val="000A256E"/>
    <w:rsid w:val="000A2592"/>
    <w:rsid w:val="000A262D"/>
    <w:rsid w:val="000A2649"/>
    <w:rsid w:val="000A2678"/>
    <w:rsid w:val="000A2742"/>
    <w:rsid w:val="000A2873"/>
    <w:rsid w:val="000A28C9"/>
    <w:rsid w:val="000A28D9"/>
    <w:rsid w:val="000A2910"/>
    <w:rsid w:val="000A2919"/>
    <w:rsid w:val="000A298C"/>
    <w:rsid w:val="000A2990"/>
    <w:rsid w:val="000A299B"/>
    <w:rsid w:val="000A2A2C"/>
    <w:rsid w:val="000A2A7D"/>
    <w:rsid w:val="000A2AD1"/>
    <w:rsid w:val="000A2ADA"/>
    <w:rsid w:val="000A2B3B"/>
    <w:rsid w:val="000A2B4E"/>
    <w:rsid w:val="000A2BE0"/>
    <w:rsid w:val="000A2BE6"/>
    <w:rsid w:val="000A2C62"/>
    <w:rsid w:val="000A2C7D"/>
    <w:rsid w:val="000A2CDF"/>
    <w:rsid w:val="000A2D04"/>
    <w:rsid w:val="000A2DAD"/>
    <w:rsid w:val="000A2DBD"/>
    <w:rsid w:val="000A2DBE"/>
    <w:rsid w:val="000A2E01"/>
    <w:rsid w:val="000A2E0A"/>
    <w:rsid w:val="000A2E54"/>
    <w:rsid w:val="000A3038"/>
    <w:rsid w:val="000A3116"/>
    <w:rsid w:val="000A31A0"/>
    <w:rsid w:val="000A31BC"/>
    <w:rsid w:val="000A31CF"/>
    <w:rsid w:val="000A32F3"/>
    <w:rsid w:val="000A3318"/>
    <w:rsid w:val="000A3332"/>
    <w:rsid w:val="000A3348"/>
    <w:rsid w:val="000A3393"/>
    <w:rsid w:val="000A33B4"/>
    <w:rsid w:val="000A33D1"/>
    <w:rsid w:val="000A33E7"/>
    <w:rsid w:val="000A33EF"/>
    <w:rsid w:val="000A349D"/>
    <w:rsid w:val="000A34C7"/>
    <w:rsid w:val="000A34CF"/>
    <w:rsid w:val="000A34D4"/>
    <w:rsid w:val="000A353C"/>
    <w:rsid w:val="000A35BD"/>
    <w:rsid w:val="000A35CF"/>
    <w:rsid w:val="000A35E3"/>
    <w:rsid w:val="000A36A2"/>
    <w:rsid w:val="000A36DC"/>
    <w:rsid w:val="000A37A0"/>
    <w:rsid w:val="000A37B0"/>
    <w:rsid w:val="000A3970"/>
    <w:rsid w:val="000A39F9"/>
    <w:rsid w:val="000A3A80"/>
    <w:rsid w:val="000A3A9C"/>
    <w:rsid w:val="000A3B16"/>
    <w:rsid w:val="000A3B1E"/>
    <w:rsid w:val="000A3B77"/>
    <w:rsid w:val="000A3C7C"/>
    <w:rsid w:val="000A3C93"/>
    <w:rsid w:val="000A3CCD"/>
    <w:rsid w:val="000A3D40"/>
    <w:rsid w:val="000A3DCD"/>
    <w:rsid w:val="000A3E3B"/>
    <w:rsid w:val="000A4067"/>
    <w:rsid w:val="000A40CB"/>
    <w:rsid w:val="000A4107"/>
    <w:rsid w:val="000A4220"/>
    <w:rsid w:val="000A42CB"/>
    <w:rsid w:val="000A42CE"/>
    <w:rsid w:val="000A42F8"/>
    <w:rsid w:val="000A4385"/>
    <w:rsid w:val="000A446B"/>
    <w:rsid w:val="000A44DF"/>
    <w:rsid w:val="000A451B"/>
    <w:rsid w:val="000A451E"/>
    <w:rsid w:val="000A452D"/>
    <w:rsid w:val="000A466B"/>
    <w:rsid w:val="000A4689"/>
    <w:rsid w:val="000A46A9"/>
    <w:rsid w:val="000A4706"/>
    <w:rsid w:val="000A4770"/>
    <w:rsid w:val="000A479B"/>
    <w:rsid w:val="000A47AE"/>
    <w:rsid w:val="000A47CA"/>
    <w:rsid w:val="000A48B3"/>
    <w:rsid w:val="000A495B"/>
    <w:rsid w:val="000A4A4F"/>
    <w:rsid w:val="000A4A8C"/>
    <w:rsid w:val="000A4A8E"/>
    <w:rsid w:val="000A4AD8"/>
    <w:rsid w:val="000A4B44"/>
    <w:rsid w:val="000A4B58"/>
    <w:rsid w:val="000A4B84"/>
    <w:rsid w:val="000A4B8D"/>
    <w:rsid w:val="000A4BB7"/>
    <w:rsid w:val="000A4C17"/>
    <w:rsid w:val="000A4CB1"/>
    <w:rsid w:val="000A4D3B"/>
    <w:rsid w:val="000A4E10"/>
    <w:rsid w:val="000A4E9C"/>
    <w:rsid w:val="000A4F19"/>
    <w:rsid w:val="000A4F90"/>
    <w:rsid w:val="000A5024"/>
    <w:rsid w:val="000A5047"/>
    <w:rsid w:val="000A5124"/>
    <w:rsid w:val="000A5144"/>
    <w:rsid w:val="000A5193"/>
    <w:rsid w:val="000A51D0"/>
    <w:rsid w:val="000A529F"/>
    <w:rsid w:val="000A5311"/>
    <w:rsid w:val="000A53BD"/>
    <w:rsid w:val="000A53F5"/>
    <w:rsid w:val="000A554E"/>
    <w:rsid w:val="000A556F"/>
    <w:rsid w:val="000A5686"/>
    <w:rsid w:val="000A56B6"/>
    <w:rsid w:val="000A56BB"/>
    <w:rsid w:val="000A57A9"/>
    <w:rsid w:val="000A58A3"/>
    <w:rsid w:val="000A590C"/>
    <w:rsid w:val="000A5951"/>
    <w:rsid w:val="000A5960"/>
    <w:rsid w:val="000A597C"/>
    <w:rsid w:val="000A59A5"/>
    <w:rsid w:val="000A59B1"/>
    <w:rsid w:val="000A59D7"/>
    <w:rsid w:val="000A59DE"/>
    <w:rsid w:val="000A5A50"/>
    <w:rsid w:val="000A5B24"/>
    <w:rsid w:val="000A5BFD"/>
    <w:rsid w:val="000A5C09"/>
    <w:rsid w:val="000A5C4F"/>
    <w:rsid w:val="000A5C9B"/>
    <w:rsid w:val="000A5CBC"/>
    <w:rsid w:val="000A5D52"/>
    <w:rsid w:val="000A5D62"/>
    <w:rsid w:val="000A5DE8"/>
    <w:rsid w:val="000A5DFC"/>
    <w:rsid w:val="000A5E13"/>
    <w:rsid w:val="000A5E47"/>
    <w:rsid w:val="000A5E6D"/>
    <w:rsid w:val="000A5E90"/>
    <w:rsid w:val="000A5EAE"/>
    <w:rsid w:val="000A5EEE"/>
    <w:rsid w:val="000A5F64"/>
    <w:rsid w:val="000A5F86"/>
    <w:rsid w:val="000A5FB6"/>
    <w:rsid w:val="000A5FD4"/>
    <w:rsid w:val="000A6024"/>
    <w:rsid w:val="000A60AC"/>
    <w:rsid w:val="000A60C3"/>
    <w:rsid w:val="000A615B"/>
    <w:rsid w:val="000A61F4"/>
    <w:rsid w:val="000A6227"/>
    <w:rsid w:val="000A626E"/>
    <w:rsid w:val="000A628E"/>
    <w:rsid w:val="000A6306"/>
    <w:rsid w:val="000A631B"/>
    <w:rsid w:val="000A635B"/>
    <w:rsid w:val="000A64A9"/>
    <w:rsid w:val="000A6589"/>
    <w:rsid w:val="000A6624"/>
    <w:rsid w:val="000A662A"/>
    <w:rsid w:val="000A6649"/>
    <w:rsid w:val="000A676C"/>
    <w:rsid w:val="000A67C4"/>
    <w:rsid w:val="000A68A3"/>
    <w:rsid w:val="000A68B9"/>
    <w:rsid w:val="000A68D0"/>
    <w:rsid w:val="000A68F9"/>
    <w:rsid w:val="000A6959"/>
    <w:rsid w:val="000A6969"/>
    <w:rsid w:val="000A6A4E"/>
    <w:rsid w:val="000A6A5E"/>
    <w:rsid w:val="000A6A68"/>
    <w:rsid w:val="000A6B54"/>
    <w:rsid w:val="000A6BBC"/>
    <w:rsid w:val="000A6BC5"/>
    <w:rsid w:val="000A6C2E"/>
    <w:rsid w:val="000A6C6E"/>
    <w:rsid w:val="000A6CF9"/>
    <w:rsid w:val="000A6D64"/>
    <w:rsid w:val="000A6DBB"/>
    <w:rsid w:val="000A6E57"/>
    <w:rsid w:val="000A6E65"/>
    <w:rsid w:val="000A6EFF"/>
    <w:rsid w:val="000A6F18"/>
    <w:rsid w:val="000A6F34"/>
    <w:rsid w:val="000A700F"/>
    <w:rsid w:val="000A70AD"/>
    <w:rsid w:val="000A70CC"/>
    <w:rsid w:val="000A70FD"/>
    <w:rsid w:val="000A7108"/>
    <w:rsid w:val="000A7112"/>
    <w:rsid w:val="000A711D"/>
    <w:rsid w:val="000A713B"/>
    <w:rsid w:val="000A7150"/>
    <w:rsid w:val="000A718C"/>
    <w:rsid w:val="000A7220"/>
    <w:rsid w:val="000A7225"/>
    <w:rsid w:val="000A733B"/>
    <w:rsid w:val="000A73B4"/>
    <w:rsid w:val="000A7419"/>
    <w:rsid w:val="000A742F"/>
    <w:rsid w:val="000A74BA"/>
    <w:rsid w:val="000A7540"/>
    <w:rsid w:val="000A758A"/>
    <w:rsid w:val="000A75C9"/>
    <w:rsid w:val="000A7602"/>
    <w:rsid w:val="000A7612"/>
    <w:rsid w:val="000A7699"/>
    <w:rsid w:val="000A76A9"/>
    <w:rsid w:val="000A76ED"/>
    <w:rsid w:val="000A7745"/>
    <w:rsid w:val="000A7778"/>
    <w:rsid w:val="000A7780"/>
    <w:rsid w:val="000A7797"/>
    <w:rsid w:val="000A78B5"/>
    <w:rsid w:val="000A78D7"/>
    <w:rsid w:val="000A7927"/>
    <w:rsid w:val="000A795E"/>
    <w:rsid w:val="000A795F"/>
    <w:rsid w:val="000A799A"/>
    <w:rsid w:val="000A79CC"/>
    <w:rsid w:val="000A79F1"/>
    <w:rsid w:val="000A7ABF"/>
    <w:rsid w:val="000A7BA1"/>
    <w:rsid w:val="000A7BDF"/>
    <w:rsid w:val="000A7C38"/>
    <w:rsid w:val="000A7C4C"/>
    <w:rsid w:val="000A7CB3"/>
    <w:rsid w:val="000A7D99"/>
    <w:rsid w:val="000A7DB7"/>
    <w:rsid w:val="000A7E03"/>
    <w:rsid w:val="000A7E43"/>
    <w:rsid w:val="000A7EC8"/>
    <w:rsid w:val="000A7F4E"/>
    <w:rsid w:val="000B003A"/>
    <w:rsid w:val="000B0055"/>
    <w:rsid w:val="000B0065"/>
    <w:rsid w:val="000B015D"/>
    <w:rsid w:val="000B01CB"/>
    <w:rsid w:val="000B01E2"/>
    <w:rsid w:val="000B01F2"/>
    <w:rsid w:val="000B0200"/>
    <w:rsid w:val="000B037A"/>
    <w:rsid w:val="000B039A"/>
    <w:rsid w:val="000B0491"/>
    <w:rsid w:val="000B0493"/>
    <w:rsid w:val="000B04A7"/>
    <w:rsid w:val="000B0503"/>
    <w:rsid w:val="000B0508"/>
    <w:rsid w:val="000B0556"/>
    <w:rsid w:val="000B0572"/>
    <w:rsid w:val="000B05B7"/>
    <w:rsid w:val="000B05DA"/>
    <w:rsid w:val="000B067D"/>
    <w:rsid w:val="000B06AB"/>
    <w:rsid w:val="000B06C8"/>
    <w:rsid w:val="000B06E1"/>
    <w:rsid w:val="000B076F"/>
    <w:rsid w:val="000B07F8"/>
    <w:rsid w:val="000B0805"/>
    <w:rsid w:val="000B08DE"/>
    <w:rsid w:val="000B090B"/>
    <w:rsid w:val="000B093F"/>
    <w:rsid w:val="000B098F"/>
    <w:rsid w:val="000B0A5E"/>
    <w:rsid w:val="000B0A82"/>
    <w:rsid w:val="000B0A8E"/>
    <w:rsid w:val="000B0ACA"/>
    <w:rsid w:val="000B0ACC"/>
    <w:rsid w:val="000B0B48"/>
    <w:rsid w:val="000B0B7B"/>
    <w:rsid w:val="000B0BF5"/>
    <w:rsid w:val="000B0C0F"/>
    <w:rsid w:val="000B0C1C"/>
    <w:rsid w:val="000B0C6C"/>
    <w:rsid w:val="000B0CD4"/>
    <w:rsid w:val="000B0CD7"/>
    <w:rsid w:val="000B0D0A"/>
    <w:rsid w:val="000B0DA6"/>
    <w:rsid w:val="000B0E76"/>
    <w:rsid w:val="000B0E94"/>
    <w:rsid w:val="000B0EB7"/>
    <w:rsid w:val="000B0F0F"/>
    <w:rsid w:val="000B0F57"/>
    <w:rsid w:val="000B0F77"/>
    <w:rsid w:val="000B0F8E"/>
    <w:rsid w:val="000B0F91"/>
    <w:rsid w:val="000B10BA"/>
    <w:rsid w:val="000B1145"/>
    <w:rsid w:val="000B11EC"/>
    <w:rsid w:val="000B1201"/>
    <w:rsid w:val="000B1257"/>
    <w:rsid w:val="000B12E5"/>
    <w:rsid w:val="000B1338"/>
    <w:rsid w:val="000B13B6"/>
    <w:rsid w:val="000B13CA"/>
    <w:rsid w:val="000B144B"/>
    <w:rsid w:val="000B14EE"/>
    <w:rsid w:val="000B14FF"/>
    <w:rsid w:val="000B1659"/>
    <w:rsid w:val="000B1663"/>
    <w:rsid w:val="000B16E0"/>
    <w:rsid w:val="000B16FA"/>
    <w:rsid w:val="000B1716"/>
    <w:rsid w:val="000B1799"/>
    <w:rsid w:val="000B1844"/>
    <w:rsid w:val="000B188F"/>
    <w:rsid w:val="000B1895"/>
    <w:rsid w:val="000B189B"/>
    <w:rsid w:val="000B18F0"/>
    <w:rsid w:val="000B1905"/>
    <w:rsid w:val="000B1910"/>
    <w:rsid w:val="000B19C6"/>
    <w:rsid w:val="000B1A04"/>
    <w:rsid w:val="000B1A52"/>
    <w:rsid w:val="000B1A99"/>
    <w:rsid w:val="000B1A9A"/>
    <w:rsid w:val="000B1ADC"/>
    <w:rsid w:val="000B1AF2"/>
    <w:rsid w:val="000B1C2E"/>
    <w:rsid w:val="000B1C9B"/>
    <w:rsid w:val="000B1D44"/>
    <w:rsid w:val="000B1D4B"/>
    <w:rsid w:val="000B1D51"/>
    <w:rsid w:val="000B1DAF"/>
    <w:rsid w:val="000B1DE5"/>
    <w:rsid w:val="000B1E0D"/>
    <w:rsid w:val="000B1F18"/>
    <w:rsid w:val="000B1F4C"/>
    <w:rsid w:val="000B202C"/>
    <w:rsid w:val="000B2030"/>
    <w:rsid w:val="000B2094"/>
    <w:rsid w:val="000B214C"/>
    <w:rsid w:val="000B226D"/>
    <w:rsid w:val="000B2280"/>
    <w:rsid w:val="000B22CF"/>
    <w:rsid w:val="000B22E2"/>
    <w:rsid w:val="000B237E"/>
    <w:rsid w:val="000B239B"/>
    <w:rsid w:val="000B23AD"/>
    <w:rsid w:val="000B241E"/>
    <w:rsid w:val="000B2473"/>
    <w:rsid w:val="000B2475"/>
    <w:rsid w:val="000B2480"/>
    <w:rsid w:val="000B24AE"/>
    <w:rsid w:val="000B24BB"/>
    <w:rsid w:val="000B2583"/>
    <w:rsid w:val="000B264D"/>
    <w:rsid w:val="000B26C3"/>
    <w:rsid w:val="000B26D5"/>
    <w:rsid w:val="000B270D"/>
    <w:rsid w:val="000B271C"/>
    <w:rsid w:val="000B2727"/>
    <w:rsid w:val="000B2757"/>
    <w:rsid w:val="000B27EA"/>
    <w:rsid w:val="000B2826"/>
    <w:rsid w:val="000B2842"/>
    <w:rsid w:val="000B2879"/>
    <w:rsid w:val="000B289F"/>
    <w:rsid w:val="000B28FF"/>
    <w:rsid w:val="000B2907"/>
    <w:rsid w:val="000B2914"/>
    <w:rsid w:val="000B2AED"/>
    <w:rsid w:val="000B2B24"/>
    <w:rsid w:val="000B2BB7"/>
    <w:rsid w:val="000B2BB9"/>
    <w:rsid w:val="000B2C49"/>
    <w:rsid w:val="000B2D2C"/>
    <w:rsid w:val="000B2D60"/>
    <w:rsid w:val="000B2DFE"/>
    <w:rsid w:val="000B2E07"/>
    <w:rsid w:val="000B2E36"/>
    <w:rsid w:val="000B2E67"/>
    <w:rsid w:val="000B2E87"/>
    <w:rsid w:val="000B2EA7"/>
    <w:rsid w:val="000B2EB5"/>
    <w:rsid w:val="000B2FAA"/>
    <w:rsid w:val="000B2FBB"/>
    <w:rsid w:val="000B300D"/>
    <w:rsid w:val="000B301E"/>
    <w:rsid w:val="000B302A"/>
    <w:rsid w:val="000B303A"/>
    <w:rsid w:val="000B30D2"/>
    <w:rsid w:val="000B30E8"/>
    <w:rsid w:val="000B30F8"/>
    <w:rsid w:val="000B313E"/>
    <w:rsid w:val="000B31A3"/>
    <w:rsid w:val="000B321C"/>
    <w:rsid w:val="000B3226"/>
    <w:rsid w:val="000B3237"/>
    <w:rsid w:val="000B3256"/>
    <w:rsid w:val="000B325B"/>
    <w:rsid w:val="000B328C"/>
    <w:rsid w:val="000B32B2"/>
    <w:rsid w:val="000B32C2"/>
    <w:rsid w:val="000B338B"/>
    <w:rsid w:val="000B339B"/>
    <w:rsid w:val="000B33F7"/>
    <w:rsid w:val="000B3413"/>
    <w:rsid w:val="000B3463"/>
    <w:rsid w:val="000B34B2"/>
    <w:rsid w:val="000B34C3"/>
    <w:rsid w:val="000B358D"/>
    <w:rsid w:val="000B3594"/>
    <w:rsid w:val="000B3599"/>
    <w:rsid w:val="000B3643"/>
    <w:rsid w:val="000B37AA"/>
    <w:rsid w:val="000B3825"/>
    <w:rsid w:val="000B3855"/>
    <w:rsid w:val="000B38A8"/>
    <w:rsid w:val="000B3967"/>
    <w:rsid w:val="000B3B04"/>
    <w:rsid w:val="000B3B8E"/>
    <w:rsid w:val="000B3BED"/>
    <w:rsid w:val="000B3C7F"/>
    <w:rsid w:val="000B3C96"/>
    <w:rsid w:val="000B3DA9"/>
    <w:rsid w:val="000B3DDA"/>
    <w:rsid w:val="000B3E3B"/>
    <w:rsid w:val="000B3EA8"/>
    <w:rsid w:val="000B3EF5"/>
    <w:rsid w:val="000B3F47"/>
    <w:rsid w:val="000B3F5A"/>
    <w:rsid w:val="000B3F64"/>
    <w:rsid w:val="000B3FA6"/>
    <w:rsid w:val="000B3FD8"/>
    <w:rsid w:val="000B3FEC"/>
    <w:rsid w:val="000B401E"/>
    <w:rsid w:val="000B401F"/>
    <w:rsid w:val="000B404A"/>
    <w:rsid w:val="000B40D2"/>
    <w:rsid w:val="000B4125"/>
    <w:rsid w:val="000B419C"/>
    <w:rsid w:val="000B41BE"/>
    <w:rsid w:val="000B422C"/>
    <w:rsid w:val="000B4306"/>
    <w:rsid w:val="000B43AF"/>
    <w:rsid w:val="000B4435"/>
    <w:rsid w:val="000B4461"/>
    <w:rsid w:val="000B448B"/>
    <w:rsid w:val="000B44FA"/>
    <w:rsid w:val="000B45B5"/>
    <w:rsid w:val="000B4636"/>
    <w:rsid w:val="000B4659"/>
    <w:rsid w:val="000B46FB"/>
    <w:rsid w:val="000B47BA"/>
    <w:rsid w:val="000B47F4"/>
    <w:rsid w:val="000B47F6"/>
    <w:rsid w:val="000B4830"/>
    <w:rsid w:val="000B4843"/>
    <w:rsid w:val="000B4863"/>
    <w:rsid w:val="000B487F"/>
    <w:rsid w:val="000B48AF"/>
    <w:rsid w:val="000B496B"/>
    <w:rsid w:val="000B4A58"/>
    <w:rsid w:val="000B4A95"/>
    <w:rsid w:val="000B4AD4"/>
    <w:rsid w:val="000B4AFB"/>
    <w:rsid w:val="000B4B36"/>
    <w:rsid w:val="000B4BED"/>
    <w:rsid w:val="000B4C4D"/>
    <w:rsid w:val="000B4CC3"/>
    <w:rsid w:val="000B4CE7"/>
    <w:rsid w:val="000B4D02"/>
    <w:rsid w:val="000B4D63"/>
    <w:rsid w:val="000B4D85"/>
    <w:rsid w:val="000B4E30"/>
    <w:rsid w:val="000B4E80"/>
    <w:rsid w:val="000B4E81"/>
    <w:rsid w:val="000B4EBD"/>
    <w:rsid w:val="000B4EBE"/>
    <w:rsid w:val="000B4ECF"/>
    <w:rsid w:val="000B4F7E"/>
    <w:rsid w:val="000B5008"/>
    <w:rsid w:val="000B502A"/>
    <w:rsid w:val="000B502B"/>
    <w:rsid w:val="000B5095"/>
    <w:rsid w:val="000B51C2"/>
    <w:rsid w:val="000B51C9"/>
    <w:rsid w:val="000B5200"/>
    <w:rsid w:val="000B5260"/>
    <w:rsid w:val="000B5268"/>
    <w:rsid w:val="000B52AE"/>
    <w:rsid w:val="000B52B1"/>
    <w:rsid w:val="000B52B8"/>
    <w:rsid w:val="000B540F"/>
    <w:rsid w:val="000B5425"/>
    <w:rsid w:val="000B5470"/>
    <w:rsid w:val="000B54B0"/>
    <w:rsid w:val="000B5516"/>
    <w:rsid w:val="000B5550"/>
    <w:rsid w:val="000B555A"/>
    <w:rsid w:val="000B557E"/>
    <w:rsid w:val="000B5596"/>
    <w:rsid w:val="000B56A2"/>
    <w:rsid w:val="000B57E0"/>
    <w:rsid w:val="000B5889"/>
    <w:rsid w:val="000B59DD"/>
    <w:rsid w:val="000B5A1D"/>
    <w:rsid w:val="000B5A29"/>
    <w:rsid w:val="000B5A5C"/>
    <w:rsid w:val="000B5B9E"/>
    <w:rsid w:val="000B5BA4"/>
    <w:rsid w:val="000B5C4D"/>
    <w:rsid w:val="000B5CA3"/>
    <w:rsid w:val="000B5CD2"/>
    <w:rsid w:val="000B5CF6"/>
    <w:rsid w:val="000B5D5F"/>
    <w:rsid w:val="000B5E9A"/>
    <w:rsid w:val="000B5E9E"/>
    <w:rsid w:val="000B5ED9"/>
    <w:rsid w:val="000B5F41"/>
    <w:rsid w:val="000B5F73"/>
    <w:rsid w:val="000B5FAE"/>
    <w:rsid w:val="000B5FB2"/>
    <w:rsid w:val="000B6013"/>
    <w:rsid w:val="000B6085"/>
    <w:rsid w:val="000B6127"/>
    <w:rsid w:val="000B617C"/>
    <w:rsid w:val="000B61A2"/>
    <w:rsid w:val="000B61C8"/>
    <w:rsid w:val="000B61D7"/>
    <w:rsid w:val="000B61DA"/>
    <w:rsid w:val="000B626C"/>
    <w:rsid w:val="000B62AA"/>
    <w:rsid w:val="000B62B0"/>
    <w:rsid w:val="000B6386"/>
    <w:rsid w:val="000B64A3"/>
    <w:rsid w:val="000B64D4"/>
    <w:rsid w:val="000B650D"/>
    <w:rsid w:val="000B652D"/>
    <w:rsid w:val="000B654E"/>
    <w:rsid w:val="000B6578"/>
    <w:rsid w:val="000B65CF"/>
    <w:rsid w:val="000B6604"/>
    <w:rsid w:val="000B6614"/>
    <w:rsid w:val="000B669F"/>
    <w:rsid w:val="000B66F4"/>
    <w:rsid w:val="000B6715"/>
    <w:rsid w:val="000B6749"/>
    <w:rsid w:val="000B6778"/>
    <w:rsid w:val="000B6830"/>
    <w:rsid w:val="000B6904"/>
    <w:rsid w:val="000B692A"/>
    <w:rsid w:val="000B6960"/>
    <w:rsid w:val="000B6986"/>
    <w:rsid w:val="000B69ED"/>
    <w:rsid w:val="000B6A26"/>
    <w:rsid w:val="000B6AAF"/>
    <w:rsid w:val="000B6AE6"/>
    <w:rsid w:val="000B6B7C"/>
    <w:rsid w:val="000B6C69"/>
    <w:rsid w:val="000B6CA2"/>
    <w:rsid w:val="000B6CC7"/>
    <w:rsid w:val="000B6D38"/>
    <w:rsid w:val="000B6EB1"/>
    <w:rsid w:val="000B6F3E"/>
    <w:rsid w:val="000B6F5A"/>
    <w:rsid w:val="000B6FA7"/>
    <w:rsid w:val="000B6FAC"/>
    <w:rsid w:val="000B6FE4"/>
    <w:rsid w:val="000B7013"/>
    <w:rsid w:val="000B70D9"/>
    <w:rsid w:val="000B70F3"/>
    <w:rsid w:val="000B7114"/>
    <w:rsid w:val="000B7150"/>
    <w:rsid w:val="000B7190"/>
    <w:rsid w:val="000B7234"/>
    <w:rsid w:val="000B7296"/>
    <w:rsid w:val="000B7300"/>
    <w:rsid w:val="000B737A"/>
    <w:rsid w:val="000B7396"/>
    <w:rsid w:val="000B73D2"/>
    <w:rsid w:val="000B73FD"/>
    <w:rsid w:val="000B740F"/>
    <w:rsid w:val="000B7422"/>
    <w:rsid w:val="000B750D"/>
    <w:rsid w:val="000B7565"/>
    <w:rsid w:val="000B757D"/>
    <w:rsid w:val="000B759F"/>
    <w:rsid w:val="000B75E7"/>
    <w:rsid w:val="000B7617"/>
    <w:rsid w:val="000B7650"/>
    <w:rsid w:val="000B7675"/>
    <w:rsid w:val="000B7679"/>
    <w:rsid w:val="000B769F"/>
    <w:rsid w:val="000B76A7"/>
    <w:rsid w:val="000B76ED"/>
    <w:rsid w:val="000B771F"/>
    <w:rsid w:val="000B7728"/>
    <w:rsid w:val="000B7778"/>
    <w:rsid w:val="000B77A6"/>
    <w:rsid w:val="000B782C"/>
    <w:rsid w:val="000B784E"/>
    <w:rsid w:val="000B7917"/>
    <w:rsid w:val="000B792B"/>
    <w:rsid w:val="000B7931"/>
    <w:rsid w:val="000B797A"/>
    <w:rsid w:val="000B799C"/>
    <w:rsid w:val="000B79FA"/>
    <w:rsid w:val="000B7A19"/>
    <w:rsid w:val="000B7A7A"/>
    <w:rsid w:val="000B7B2A"/>
    <w:rsid w:val="000B7B4C"/>
    <w:rsid w:val="000B7BB0"/>
    <w:rsid w:val="000B7C50"/>
    <w:rsid w:val="000B7C67"/>
    <w:rsid w:val="000B7D08"/>
    <w:rsid w:val="000B7D0E"/>
    <w:rsid w:val="000B7D35"/>
    <w:rsid w:val="000B7D6A"/>
    <w:rsid w:val="000B7D9E"/>
    <w:rsid w:val="000B7DDC"/>
    <w:rsid w:val="000B7E26"/>
    <w:rsid w:val="000B7EFC"/>
    <w:rsid w:val="000B7F2D"/>
    <w:rsid w:val="000B7F3A"/>
    <w:rsid w:val="000B7F69"/>
    <w:rsid w:val="000B7F94"/>
    <w:rsid w:val="000C0020"/>
    <w:rsid w:val="000C00A5"/>
    <w:rsid w:val="000C00DB"/>
    <w:rsid w:val="000C00DC"/>
    <w:rsid w:val="000C00E2"/>
    <w:rsid w:val="000C00E7"/>
    <w:rsid w:val="000C0135"/>
    <w:rsid w:val="000C0139"/>
    <w:rsid w:val="000C014E"/>
    <w:rsid w:val="000C016C"/>
    <w:rsid w:val="000C01D5"/>
    <w:rsid w:val="000C01EA"/>
    <w:rsid w:val="000C01FE"/>
    <w:rsid w:val="000C0292"/>
    <w:rsid w:val="000C0294"/>
    <w:rsid w:val="000C02CE"/>
    <w:rsid w:val="000C030C"/>
    <w:rsid w:val="000C03CE"/>
    <w:rsid w:val="000C0425"/>
    <w:rsid w:val="000C04A9"/>
    <w:rsid w:val="000C04B3"/>
    <w:rsid w:val="000C0627"/>
    <w:rsid w:val="000C0637"/>
    <w:rsid w:val="000C06DA"/>
    <w:rsid w:val="000C0718"/>
    <w:rsid w:val="000C076A"/>
    <w:rsid w:val="000C07C0"/>
    <w:rsid w:val="000C07DF"/>
    <w:rsid w:val="000C07E0"/>
    <w:rsid w:val="000C084C"/>
    <w:rsid w:val="000C087C"/>
    <w:rsid w:val="000C08C1"/>
    <w:rsid w:val="000C096F"/>
    <w:rsid w:val="000C0A63"/>
    <w:rsid w:val="000C0B17"/>
    <w:rsid w:val="000C0B1A"/>
    <w:rsid w:val="000C0B99"/>
    <w:rsid w:val="000C0C17"/>
    <w:rsid w:val="000C0C34"/>
    <w:rsid w:val="000C0CE2"/>
    <w:rsid w:val="000C0D0D"/>
    <w:rsid w:val="000C0D3B"/>
    <w:rsid w:val="000C0D48"/>
    <w:rsid w:val="000C0D94"/>
    <w:rsid w:val="000C0EBF"/>
    <w:rsid w:val="000C0F86"/>
    <w:rsid w:val="000C0FBC"/>
    <w:rsid w:val="000C0FBD"/>
    <w:rsid w:val="000C0FCB"/>
    <w:rsid w:val="000C0FCD"/>
    <w:rsid w:val="000C1011"/>
    <w:rsid w:val="000C1023"/>
    <w:rsid w:val="000C102C"/>
    <w:rsid w:val="000C10E3"/>
    <w:rsid w:val="000C111C"/>
    <w:rsid w:val="000C11EA"/>
    <w:rsid w:val="000C1245"/>
    <w:rsid w:val="000C131B"/>
    <w:rsid w:val="000C1330"/>
    <w:rsid w:val="000C1364"/>
    <w:rsid w:val="000C1368"/>
    <w:rsid w:val="000C13C8"/>
    <w:rsid w:val="000C13F9"/>
    <w:rsid w:val="000C141D"/>
    <w:rsid w:val="000C14C5"/>
    <w:rsid w:val="000C14CB"/>
    <w:rsid w:val="000C15D2"/>
    <w:rsid w:val="000C163C"/>
    <w:rsid w:val="000C1663"/>
    <w:rsid w:val="000C1677"/>
    <w:rsid w:val="000C169A"/>
    <w:rsid w:val="000C16C3"/>
    <w:rsid w:val="000C1719"/>
    <w:rsid w:val="000C174B"/>
    <w:rsid w:val="000C1754"/>
    <w:rsid w:val="000C17AB"/>
    <w:rsid w:val="000C17AE"/>
    <w:rsid w:val="000C17F1"/>
    <w:rsid w:val="000C18B6"/>
    <w:rsid w:val="000C1978"/>
    <w:rsid w:val="000C1989"/>
    <w:rsid w:val="000C1AE2"/>
    <w:rsid w:val="000C1B9F"/>
    <w:rsid w:val="000C1D3E"/>
    <w:rsid w:val="000C1D6F"/>
    <w:rsid w:val="000C1DCD"/>
    <w:rsid w:val="000C1DE1"/>
    <w:rsid w:val="000C1E10"/>
    <w:rsid w:val="000C1E70"/>
    <w:rsid w:val="000C1E7A"/>
    <w:rsid w:val="000C1EC3"/>
    <w:rsid w:val="000C1F28"/>
    <w:rsid w:val="000C1F3B"/>
    <w:rsid w:val="000C1F3D"/>
    <w:rsid w:val="000C1FBF"/>
    <w:rsid w:val="000C208B"/>
    <w:rsid w:val="000C2098"/>
    <w:rsid w:val="000C20BE"/>
    <w:rsid w:val="000C21CB"/>
    <w:rsid w:val="000C21CE"/>
    <w:rsid w:val="000C222E"/>
    <w:rsid w:val="000C239C"/>
    <w:rsid w:val="000C23D7"/>
    <w:rsid w:val="000C23EF"/>
    <w:rsid w:val="000C2401"/>
    <w:rsid w:val="000C2476"/>
    <w:rsid w:val="000C255E"/>
    <w:rsid w:val="000C25E0"/>
    <w:rsid w:val="000C264F"/>
    <w:rsid w:val="000C26A5"/>
    <w:rsid w:val="000C26B3"/>
    <w:rsid w:val="000C2847"/>
    <w:rsid w:val="000C2876"/>
    <w:rsid w:val="000C28A4"/>
    <w:rsid w:val="000C28AF"/>
    <w:rsid w:val="000C2936"/>
    <w:rsid w:val="000C29A3"/>
    <w:rsid w:val="000C29BD"/>
    <w:rsid w:val="000C29DC"/>
    <w:rsid w:val="000C29ED"/>
    <w:rsid w:val="000C2AA6"/>
    <w:rsid w:val="000C2B9D"/>
    <w:rsid w:val="000C2BB7"/>
    <w:rsid w:val="000C2BC4"/>
    <w:rsid w:val="000C2BCF"/>
    <w:rsid w:val="000C2C7A"/>
    <w:rsid w:val="000C2DB9"/>
    <w:rsid w:val="000C2DDB"/>
    <w:rsid w:val="000C2DF5"/>
    <w:rsid w:val="000C2E1B"/>
    <w:rsid w:val="000C2E8B"/>
    <w:rsid w:val="000C2EC4"/>
    <w:rsid w:val="000C2EC8"/>
    <w:rsid w:val="000C2EFB"/>
    <w:rsid w:val="000C2F28"/>
    <w:rsid w:val="000C2F71"/>
    <w:rsid w:val="000C2FFE"/>
    <w:rsid w:val="000C305E"/>
    <w:rsid w:val="000C3082"/>
    <w:rsid w:val="000C309B"/>
    <w:rsid w:val="000C3121"/>
    <w:rsid w:val="000C319B"/>
    <w:rsid w:val="000C321B"/>
    <w:rsid w:val="000C3319"/>
    <w:rsid w:val="000C3392"/>
    <w:rsid w:val="000C347F"/>
    <w:rsid w:val="000C351F"/>
    <w:rsid w:val="000C355A"/>
    <w:rsid w:val="000C355F"/>
    <w:rsid w:val="000C3576"/>
    <w:rsid w:val="000C35ED"/>
    <w:rsid w:val="000C36A3"/>
    <w:rsid w:val="000C36B8"/>
    <w:rsid w:val="000C3756"/>
    <w:rsid w:val="000C3761"/>
    <w:rsid w:val="000C38B1"/>
    <w:rsid w:val="000C38CD"/>
    <w:rsid w:val="000C397C"/>
    <w:rsid w:val="000C39A9"/>
    <w:rsid w:val="000C3A3D"/>
    <w:rsid w:val="000C3A87"/>
    <w:rsid w:val="000C3ACF"/>
    <w:rsid w:val="000C3AD5"/>
    <w:rsid w:val="000C3B9F"/>
    <w:rsid w:val="000C3BCD"/>
    <w:rsid w:val="000C3C5F"/>
    <w:rsid w:val="000C3C60"/>
    <w:rsid w:val="000C3CED"/>
    <w:rsid w:val="000C3CF0"/>
    <w:rsid w:val="000C3D3A"/>
    <w:rsid w:val="000C3D9B"/>
    <w:rsid w:val="000C3DAD"/>
    <w:rsid w:val="000C3DBA"/>
    <w:rsid w:val="000C3EB0"/>
    <w:rsid w:val="000C3EDC"/>
    <w:rsid w:val="000C3F1B"/>
    <w:rsid w:val="000C3F95"/>
    <w:rsid w:val="000C4012"/>
    <w:rsid w:val="000C4108"/>
    <w:rsid w:val="000C415D"/>
    <w:rsid w:val="000C418A"/>
    <w:rsid w:val="000C4197"/>
    <w:rsid w:val="000C422E"/>
    <w:rsid w:val="000C4290"/>
    <w:rsid w:val="000C4294"/>
    <w:rsid w:val="000C4296"/>
    <w:rsid w:val="000C42A3"/>
    <w:rsid w:val="000C434C"/>
    <w:rsid w:val="000C435A"/>
    <w:rsid w:val="000C43A3"/>
    <w:rsid w:val="000C43B8"/>
    <w:rsid w:val="000C43E2"/>
    <w:rsid w:val="000C43EC"/>
    <w:rsid w:val="000C4417"/>
    <w:rsid w:val="000C4445"/>
    <w:rsid w:val="000C45AA"/>
    <w:rsid w:val="000C45B8"/>
    <w:rsid w:val="000C4680"/>
    <w:rsid w:val="000C4686"/>
    <w:rsid w:val="000C46DA"/>
    <w:rsid w:val="000C46F1"/>
    <w:rsid w:val="000C4749"/>
    <w:rsid w:val="000C4821"/>
    <w:rsid w:val="000C487F"/>
    <w:rsid w:val="000C488D"/>
    <w:rsid w:val="000C48BB"/>
    <w:rsid w:val="000C49E8"/>
    <w:rsid w:val="000C4A09"/>
    <w:rsid w:val="000C4A0C"/>
    <w:rsid w:val="000C4A44"/>
    <w:rsid w:val="000C4A9F"/>
    <w:rsid w:val="000C4ACE"/>
    <w:rsid w:val="000C4B1D"/>
    <w:rsid w:val="000C4B4D"/>
    <w:rsid w:val="000C4B7C"/>
    <w:rsid w:val="000C4B9A"/>
    <w:rsid w:val="000C4BF4"/>
    <w:rsid w:val="000C4C3F"/>
    <w:rsid w:val="000C4C74"/>
    <w:rsid w:val="000C4C7B"/>
    <w:rsid w:val="000C4CB7"/>
    <w:rsid w:val="000C4CCE"/>
    <w:rsid w:val="000C4D18"/>
    <w:rsid w:val="000C4D23"/>
    <w:rsid w:val="000C4E78"/>
    <w:rsid w:val="000C4E7C"/>
    <w:rsid w:val="000C4E92"/>
    <w:rsid w:val="000C5078"/>
    <w:rsid w:val="000C5095"/>
    <w:rsid w:val="000C5098"/>
    <w:rsid w:val="000C509B"/>
    <w:rsid w:val="000C50E2"/>
    <w:rsid w:val="000C5137"/>
    <w:rsid w:val="000C5207"/>
    <w:rsid w:val="000C5213"/>
    <w:rsid w:val="000C521C"/>
    <w:rsid w:val="000C5233"/>
    <w:rsid w:val="000C5247"/>
    <w:rsid w:val="000C527C"/>
    <w:rsid w:val="000C52B3"/>
    <w:rsid w:val="000C52B8"/>
    <w:rsid w:val="000C52BF"/>
    <w:rsid w:val="000C52C5"/>
    <w:rsid w:val="000C53A1"/>
    <w:rsid w:val="000C53CF"/>
    <w:rsid w:val="000C5418"/>
    <w:rsid w:val="000C54BE"/>
    <w:rsid w:val="000C54F4"/>
    <w:rsid w:val="000C5504"/>
    <w:rsid w:val="000C5514"/>
    <w:rsid w:val="000C55F0"/>
    <w:rsid w:val="000C5692"/>
    <w:rsid w:val="000C56AA"/>
    <w:rsid w:val="000C571D"/>
    <w:rsid w:val="000C572A"/>
    <w:rsid w:val="000C589E"/>
    <w:rsid w:val="000C58BB"/>
    <w:rsid w:val="000C590F"/>
    <w:rsid w:val="000C5936"/>
    <w:rsid w:val="000C59AF"/>
    <w:rsid w:val="000C5A57"/>
    <w:rsid w:val="000C5A96"/>
    <w:rsid w:val="000C5AFB"/>
    <w:rsid w:val="000C5B25"/>
    <w:rsid w:val="000C5B2C"/>
    <w:rsid w:val="000C5BBB"/>
    <w:rsid w:val="000C5BC7"/>
    <w:rsid w:val="000C5C1D"/>
    <w:rsid w:val="000C5CA5"/>
    <w:rsid w:val="000C5CDD"/>
    <w:rsid w:val="000C5DB0"/>
    <w:rsid w:val="000C5DDA"/>
    <w:rsid w:val="000C5DE1"/>
    <w:rsid w:val="000C5E30"/>
    <w:rsid w:val="000C5E34"/>
    <w:rsid w:val="000C5EA8"/>
    <w:rsid w:val="000C5EAE"/>
    <w:rsid w:val="000C5F40"/>
    <w:rsid w:val="000C5FDC"/>
    <w:rsid w:val="000C600C"/>
    <w:rsid w:val="000C6020"/>
    <w:rsid w:val="000C6069"/>
    <w:rsid w:val="000C6071"/>
    <w:rsid w:val="000C6081"/>
    <w:rsid w:val="000C6085"/>
    <w:rsid w:val="000C60BA"/>
    <w:rsid w:val="000C60C5"/>
    <w:rsid w:val="000C60CD"/>
    <w:rsid w:val="000C6167"/>
    <w:rsid w:val="000C617E"/>
    <w:rsid w:val="000C6197"/>
    <w:rsid w:val="000C61BD"/>
    <w:rsid w:val="000C6272"/>
    <w:rsid w:val="000C6323"/>
    <w:rsid w:val="000C6359"/>
    <w:rsid w:val="000C6372"/>
    <w:rsid w:val="000C63E1"/>
    <w:rsid w:val="000C63EA"/>
    <w:rsid w:val="000C65F3"/>
    <w:rsid w:val="000C6600"/>
    <w:rsid w:val="000C6655"/>
    <w:rsid w:val="000C66FA"/>
    <w:rsid w:val="000C6746"/>
    <w:rsid w:val="000C675B"/>
    <w:rsid w:val="000C67F9"/>
    <w:rsid w:val="000C685D"/>
    <w:rsid w:val="000C68A1"/>
    <w:rsid w:val="000C6979"/>
    <w:rsid w:val="000C69A8"/>
    <w:rsid w:val="000C69D5"/>
    <w:rsid w:val="000C6AB5"/>
    <w:rsid w:val="000C6B0A"/>
    <w:rsid w:val="000C6B0C"/>
    <w:rsid w:val="000C6C0A"/>
    <w:rsid w:val="000C6C36"/>
    <w:rsid w:val="000C6C4E"/>
    <w:rsid w:val="000C6CBC"/>
    <w:rsid w:val="000C6D24"/>
    <w:rsid w:val="000C6D3A"/>
    <w:rsid w:val="000C6E05"/>
    <w:rsid w:val="000C6E0A"/>
    <w:rsid w:val="000C6EC7"/>
    <w:rsid w:val="000C6EEF"/>
    <w:rsid w:val="000C704F"/>
    <w:rsid w:val="000C70AC"/>
    <w:rsid w:val="000C714E"/>
    <w:rsid w:val="000C71AB"/>
    <w:rsid w:val="000C71F4"/>
    <w:rsid w:val="000C724C"/>
    <w:rsid w:val="000C72C0"/>
    <w:rsid w:val="000C7317"/>
    <w:rsid w:val="000C73B8"/>
    <w:rsid w:val="000C7415"/>
    <w:rsid w:val="000C745F"/>
    <w:rsid w:val="000C74AD"/>
    <w:rsid w:val="000C755A"/>
    <w:rsid w:val="000C7565"/>
    <w:rsid w:val="000C75A6"/>
    <w:rsid w:val="000C7651"/>
    <w:rsid w:val="000C76CB"/>
    <w:rsid w:val="000C7746"/>
    <w:rsid w:val="000C77EB"/>
    <w:rsid w:val="000C7800"/>
    <w:rsid w:val="000C7817"/>
    <w:rsid w:val="000C782E"/>
    <w:rsid w:val="000C78CD"/>
    <w:rsid w:val="000C78D7"/>
    <w:rsid w:val="000C793A"/>
    <w:rsid w:val="000C7986"/>
    <w:rsid w:val="000C79A3"/>
    <w:rsid w:val="000C79B1"/>
    <w:rsid w:val="000C79E9"/>
    <w:rsid w:val="000C7A1D"/>
    <w:rsid w:val="000C7A81"/>
    <w:rsid w:val="000C7B59"/>
    <w:rsid w:val="000C7B7A"/>
    <w:rsid w:val="000C7C4D"/>
    <w:rsid w:val="000C7C93"/>
    <w:rsid w:val="000C7CE8"/>
    <w:rsid w:val="000C7D2C"/>
    <w:rsid w:val="000C7D72"/>
    <w:rsid w:val="000C7E15"/>
    <w:rsid w:val="000C7F2B"/>
    <w:rsid w:val="000C7F68"/>
    <w:rsid w:val="000C7FDB"/>
    <w:rsid w:val="000D002F"/>
    <w:rsid w:val="000D0037"/>
    <w:rsid w:val="000D0069"/>
    <w:rsid w:val="000D00DC"/>
    <w:rsid w:val="000D00DD"/>
    <w:rsid w:val="000D0178"/>
    <w:rsid w:val="000D0256"/>
    <w:rsid w:val="000D027C"/>
    <w:rsid w:val="000D040A"/>
    <w:rsid w:val="000D040F"/>
    <w:rsid w:val="000D0412"/>
    <w:rsid w:val="000D0428"/>
    <w:rsid w:val="000D050E"/>
    <w:rsid w:val="000D058C"/>
    <w:rsid w:val="000D05BC"/>
    <w:rsid w:val="000D05D5"/>
    <w:rsid w:val="000D05D9"/>
    <w:rsid w:val="000D05DA"/>
    <w:rsid w:val="000D060B"/>
    <w:rsid w:val="000D0635"/>
    <w:rsid w:val="000D0658"/>
    <w:rsid w:val="000D06B0"/>
    <w:rsid w:val="000D0725"/>
    <w:rsid w:val="000D0739"/>
    <w:rsid w:val="000D085F"/>
    <w:rsid w:val="000D0904"/>
    <w:rsid w:val="000D090F"/>
    <w:rsid w:val="000D09FC"/>
    <w:rsid w:val="000D0A2D"/>
    <w:rsid w:val="000D0A4D"/>
    <w:rsid w:val="000D0A78"/>
    <w:rsid w:val="000D0B90"/>
    <w:rsid w:val="000D0BCA"/>
    <w:rsid w:val="000D0C3A"/>
    <w:rsid w:val="000D0C7D"/>
    <w:rsid w:val="000D0C99"/>
    <w:rsid w:val="000D0CA1"/>
    <w:rsid w:val="000D0CD4"/>
    <w:rsid w:val="000D0D0F"/>
    <w:rsid w:val="000D0DDD"/>
    <w:rsid w:val="000D0F42"/>
    <w:rsid w:val="000D0FAE"/>
    <w:rsid w:val="000D0FB2"/>
    <w:rsid w:val="000D0FDD"/>
    <w:rsid w:val="000D1024"/>
    <w:rsid w:val="000D1115"/>
    <w:rsid w:val="000D1136"/>
    <w:rsid w:val="000D1144"/>
    <w:rsid w:val="000D116F"/>
    <w:rsid w:val="000D11F8"/>
    <w:rsid w:val="000D123E"/>
    <w:rsid w:val="000D1279"/>
    <w:rsid w:val="000D1291"/>
    <w:rsid w:val="000D12A3"/>
    <w:rsid w:val="000D12EB"/>
    <w:rsid w:val="000D130B"/>
    <w:rsid w:val="000D140A"/>
    <w:rsid w:val="000D146E"/>
    <w:rsid w:val="000D1525"/>
    <w:rsid w:val="000D1557"/>
    <w:rsid w:val="000D1613"/>
    <w:rsid w:val="000D1626"/>
    <w:rsid w:val="000D1640"/>
    <w:rsid w:val="000D1732"/>
    <w:rsid w:val="000D177D"/>
    <w:rsid w:val="000D179D"/>
    <w:rsid w:val="000D17C5"/>
    <w:rsid w:val="000D181F"/>
    <w:rsid w:val="000D1858"/>
    <w:rsid w:val="000D1984"/>
    <w:rsid w:val="000D19D4"/>
    <w:rsid w:val="000D1A2D"/>
    <w:rsid w:val="000D1A75"/>
    <w:rsid w:val="000D1A91"/>
    <w:rsid w:val="000D1AE6"/>
    <w:rsid w:val="000D1B62"/>
    <w:rsid w:val="000D1C9B"/>
    <w:rsid w:val="000D1D41"/>
    <w:rsid w:val="000D1D4B"/>
    <w:rsid w:val="000D1D7B"/>
    <w:rsid w:val="000D1E00"/>
    <w:rsid w:val="000D1E69"/>
    <w:rsid w:val="000D1ED6"/>
    <w:rsid w:val="000D1FB0"/>
    <w:rsid w:val="000D2041"/>
    <w:rsid w:val="000D2068"/>
    <w:rsid w:val="000D20F2"/>
    <w:rsid w:val="000D216D"/>
    <w:rsid w:val="000D21B9"/>
    <w:rsid w:val="000D21E7"/>
    <w:rsid w:val="000D21F0"/>
    <w:rsid w:val="000D228A"/>
    <w:rsid w:val="000D22E8"/>
    <w:rsid w:val="000D2374"/>
    <w:rsid w:val="000D2377"/>
    <w:rsid w:val="000D23DF"/>
    <w:rsid w:val="000D2469"/>
    <w:rsid w:val="000D24A2"/>
    <w:rsid w:val="000D2505"/>
    <w:rsid w:val="000D25BC"/>
    <w:rsid w:val="000D2639"/>
    <w:rsid w:val="000D264D"/>
    <w:rsid w:val="000D266C"/>
    <w:rsid w:val="000D2691"/>
    <w:rsid w:val="000D276F"/>
    <w:rsid w:val="000D2881"/>
    <w:rsid w:val="000D29AC"/>
    <w:rsid w:val="000D29DF"/>
    <w:rsid w:val="000D2A0A"/>
    <w:rsid w:val="000D2A53"/>
    <w:rsid w:val="000D2B15"/>
    <w:rsid w:val="000D2B58"/>
    <w:rsid w:val="000D2B7C"/>
    <w:rsid w:val="000D2B9F"/>
    <w:rsid w:val="000D2CB5"/>
    <w:rsid w:val="000D2CC7"/>
    <w:rsid w:val="000D2CE5"/>
    <w:rsid w:val="000D2D59"/>
    <w:rsid w:val="000D2D5C"/>
    <w:rsid w:val="000D2D8A"/>
    <w:rsid w:val="000D2E52"/>
    <w:rsid w:val="000D2F00"/>
    <w:rsid w:val="000D2F45"/>
    <w:rsid w:val="000D2F4B"/>
    <w:rsid w:val="000D2F71"/>
    <w:rsid w:val="000D2F7C"/>
    <w:rsid w:val="000D2FA2"/>
    <w:rsid w:val="000D2FA9"/>
    <w:rsid w:val="000D2FCE"/>
    <w:rsid w:val="000D2FCF"/>
    <w:rsid w:val="000D2FF3"/>
    <w:rsid w:val="000D302F"/>
    <w:rsid w:val="000D3059"/>
    <w:rsid w:val="000D305B"/>
    <w:rsid w:val="000D306C"/>
    <w:rsid w:val="000D3070"/>
    <w:rsid w:val="000D307A"/>
    <w:rsid w:val="000D307B"/>
    <w:rsid w:val="000D30D9"/>
    <w:rsid w:val="000D315F"/>
    <w:rsid w:val="000D3163"/>
    <w:rsid w:val="000D31EA"/>
    <w:rsid w:val="000D32D0"/>
    <w:rsid w:val="000D32E5"/>
    <w:rsid w:val="000D333A"/>
    <w:rsid w:val="000D3372"/>
    <w:rsid w:val="000D3379"/>
    <w:rsid w:val="000D338E"/>
    <w:rsid w:val="000D33AF"/>
    <w:rsid w:val="000D33F7"/>
    <w:rsid w:val="000D3474"/>
    <w:rsid w:val="000D34D1"/>
    <w:rsid w:val="000D34E6"/>
    <w:rsid w:val="000D352E"/>
    <w:rsid w:val="000D3577"/>
    <w:rsid w:val="000D3582"/>
    <w:rsid w:val="000D35BB"/>
    <w:rsid w:val="000D368D"/>
    <w:rsid w:val="000D37D1"/>
    <w:rsid w:val="000D383D"/>
    <w:rsid w:val="000D389F"/>
    <w:rsid w:val="000D38A8"/>
    <w:rsid w:val="000D38BC"/>
    <w:rsid w:val="000D38BF"/>
    <w:rsid w:val="000D39D3"/>
    <w:rsid w:val="000D3A27"/>
    <w:rsid w:val="000D3A90"/>
    <w:rsid w:val="000D3AB0"/>
    <w:rsid w:val="000D3B6D"/>
    <w:rsid w:val="000D3C14"/>
    <w:rsid w:val="000D3C5D"/>
    <w:rsid w:val="000D3C73"/>
    <w:rsid w:val="000D3D45"/>
    <w:rsid w:val="000D3DCD"/>
    <w:rsid w:val="000D3E64"/>
    <w:rsid w:val="000D3E6D"/>
    <w:rsid w:val="000D3E7E"/>
    <w:rsid w:val="000D3EEC"/>
    <w:rsid w:val="000D3F04"/>
    <w:rsid w:val="000D4025"/>
    <w:rsid w:val="000D4102"/>
    <w:rsid w:val="000D4109"/>
    <w:rsid w:val="000D4126"/>
    <w:rsid w:val="000D41B0"/>
    <w:rsid w:val="000D41BF"/>
    <w:rsid w:val="000D41C3"/>
    <w:rsid w:val="000D41CF"/>
    <w:rsid w:val="000D41D8"/>
    <w:rsid w:val="000D41DD"/>
    <w:rsid w:val="000D420C"/>
    <w:rsid w:val="000D4217"/>
    <w:rsid w:val="000D42A1"/>
    <w:rsid w:val="000D4306"/>
    <w:rsid w:val="000D433F"/>
    <w:rsid w:val="000D44EA"/>
    <w:rsid w:val="000D4630"/>
    <w:rsid w:val="000D4677"/>
    <w:rsid w:val="000D46D8"/>
    <w:rsid w:val="000D4752"/>
    <w:rsid w:val="000D4787"/>
    <w:rsid w:val="000D47A2"/>
    <w:rsid w:val="000D47CA"/>
    <w:rsid w:val="000D47D6"/>
    <w:rsid w:val="000D4880"/>
    <w:rsid w:val="000D48EA"/>
    <w:rsid w:val="000D490F"/>
    <w:rsid w:val="000D4949"/>
    <w:rsid w:val="000D496A"/>
    <w:rsid w:val="000D496D"/>
    <w:rsid w:val="000D4AFB"/>
    <w:rsid w:val="000D4B9E"/>
    <w:rsid w:val="000D4BD0"/>
    <w:rsid w:val="000D4BFF"/>
    <w:rsid w:val="000D4C05"/>
    <w:rsid w:val="000D4C36"/>
    <w:rsid w:val="000D4CF2"/>
    <w:rsid w:val="000D4D46"/>
    <w:rsid w:val="000D4E90"/>
    <w:rsid w:val="000D4EEE"/>
    <w:rsid w:val="000D4EFE"/>
    <w:rsid w:val="000D4F10"/>
    <w:rsid w:val="000D4F21"/>
    <w:rsid w:val="000D4F27"/>
    <w:rsid w:val="000D4FB4"/>
    <w:rsid w:val="000D5030"/>
    <w:rsid w:val="000D50E9"/>
    <w:rsid w:val="000D50FA"/>
    <w:rsid w:val="000D51B4"/>
    <w:rsid w:val="000D51D0"/>
    <w:rsid w:val="000D522F"/>
    <w:rsid w:val="000D5255"/>
    <w:rsid w:val="000D525F"/>
    <w:rsid w:val="000D52BC"/>
    <w:rsid w:val="000D539C"/>
    <w:rsid w:val="000D53A4"/>
    <w:rsid w:val="000D53BF"/>
    <w:rsid w:val="000D53C9"/>
    <w:rsid w:val="000D5446"/>
    <w:rsid w:val="000D545C"/>
    <w:rsid w:val="000D5499"/>
    <w:rsid w:val="000D54B4"/>
    <w:rsid w:val="000D54BA"/>
    <w:rsid w:val="000D54E5"/>
    <w:rsid w:val="000D54EE"/>
    <w:rsid w:val="000D54F6"/>
    <w:rsid w:val="000D55DD"/>
    <w:rsid w:val="000D565A"/>
    <w:rsid w:val="000D56E7"/>
    <w:rsid w:val="000D5701"/>
    <w:rsid w:val="000D5702"/>
    <w:rsid w:val="000D572D"/>
    <w:rsid w:val="000D58A0"/>
    <w:rsid w:val="000D5986"/>
    <w:rsid w:val="000D59AB"/>
    <w:rsid w:val="000D5A01"/>
    <w:rsid w:val="000D5A92"/>
    <w:rsid w:val="000D5ABB"/>
    <w:rsid w:val="000D5AC8"/>
    <w:rsid w:val="000D5B9F"/>
    <w:rsid w:val="000D5C10"/>
    <w:rsid w:val="000D5C50"/>
    <w:rsid w:val="000D5C84"/>
    <w:rsid w:val="000D5D7F"/>
    <w:rsid w:val="000D5EB8"/>
    <w:rsid w:val="000D5EC8"/>
    <w:rsid w:val="000D5F20"/>
    <w:rsid w:val="000D5F71"/>
    <w:rsid w:val="000D5F92"/>
    <w:rsid w:val="000D5FAC"/>
    <w:rsid w:val="000D5FC3"/>
    <w:rsid w:val="000D5FEF"/>
    <w:rsid w:val="000D6006"/>
    <w:rsid w:val="000D6084"/>
    <w:rsid w:val="000D6088"/>
    <w:rsid w:val="000D608C"/>
    <w:rsid w:val="000D6093"/>
    <w:rsid w:val="000D613D"/>
    <w:rsid w:val="000D614A"/>
    <w:rsid w:val="000D6151"/>
    <w:rsid w:val="000D616C"/>
    <w:rsid w:val="000D61AD"/>
    <w:rsid w:val="000D61E6"/>
    <w:rsid w:val="000D62E4"/>
    <w:rsid w:val="000D6324"/>
    <w:rsid w:val="000D63DD"/>
    <w:rsid w:val="000D6455"/>
    <w:rsid w:val="000D648B"/>
    <w:rsid w:val="000D64C1"/>
    <w:rsid w:val="000D6541"/>
    <w:rsid w:val="000D6576"/>
    <w:rsid w:val="000D65AE"/>
    <w:rsid w:val="000D65E8"/>
    <w:rsid w:val="000D66C9"/>
    <w:rsid w:val="000D66F3"/>
    <w:rsid w:val="000D66FD"/>
    <w:rsid w:val="000D679B"/>
    <w:rsid w:val="000D67EA"/>
    <w:rsid w:val="000D6897"/>
    <w:rsid w:val="000D68C1"/>
    <w:rsid w:val="000D6901"/>
    <w:rsid w:val="000D6925"/>
    <w:rsid w:val="000D6A13"/>
    <w:rsid w:val="000D6A20"/>
    <w:rsid w:val="000D6A7F"/>
    <w:rsid w:val="000D6AC4"/>
    <w:rsid w:val="000D6B2D"/>
    <w:rsid w:val="000D6B8C"/>
    <w:rsid w:val="000D6BAB"/>
    <w:rsid w:val="000D6C5F"/>
    <w:rsid w:val="000D6C7B"/>
    <w:rsid w:val="000D6CAF"/>
    <w:rsid w:val="000D6CE4"/>
    <w:rsid w:val="000D6D32"/>
    <w:rsid w:val="000D6D76"/>
    <w:rsid w:val="000D6DB9"/>
    <w:rsid w:val="000D6DFB"/>
    <w:rsid w:val="000D6E06"/>
    <w:rsid w:val="000D6E7D"/>
    <w:rsid w:val="000D6F0F"/>
    <w:rsid w:val="000D6F1F"/>
    <w:rsid w:val="000D6F31"/>
    <w:rsid w:val="000D6F67"/>
    <w:rsid w:val="000D6F94"/>
    <w:rsid w:val="000D6FA0"/>
    <w:rsid w:val="000D6FB6"/>
    <w:rsid w:val="000D705B"/>
    <w:rsid w:val="000D705F"/>
    <w:rsid w:val="000D7065"/>
    <w:rsid w:val="000D706B"/>
    <w:rsid w:val="000D7074"/>
    <w:rsid w:val="000D70B6"/>
    <w:rsid w:val="000D70C9"/>
    <w:rsid w:val="000D713A"/>
    <w:rsid w:val="000D7163"/>
    <w:rsid w:val="000D72B6"/>
    <w:rsid w:val="000D72BF"/>
    <w:rsid w:val="000D7382"/>
    <w:rsid w:val="000D73BE"/>
    <w:rsid w:val="000D73E4"/>
    <w:rsid w:val="000D73F3"/>
    <w:rsid w:val="000D7460"/>
    <w:rsid w:val="000D74A0"/>
    <w:rsid w:val="000D74BB"/>
    <w:rsid w:val="000D74E5"/>
    <w:rsid w:val="000D7523"/>
    <w:rsid w:val="000D75A6"/>
    <w:rsid w:val="000D7665"/>
    <w:rsid w:val="000D768A"/>
    <w:rsid w:val="000D7709"/>
    <w:rsid w:val="000D77DD"/>
    <w:rsid w:val="000D7855"/>
    <w:rsid w:val="000D7856"/>
    <w:rsid w:val="000D7861"/>
    <w:rsid w:val="000D78EE"/>
    <w:rsid w:val="000D7908"/>
    <w:rsid w:val="000D7965"/>
    <w:rsid w:val="000D79A1"/>
    <w:rsid w:val="000D7A7C"/>
    <w:rsid w:val="000D7AB0"/>
    <w:rsid w:val="000D7AC1"/>
    <w:rsid w:val="000D7AE9"/>
    <w:rsid w:val="000D7AF6"/>
    <w:rsid w:val="000D7B3E"/>
    <w:rsid w:val="000D7BDD"/>
    <w:rsid w:val="000D7BF5"/>
    <w:rsid w:val="000D7CD5"/>
    <w:rsid w:val="000D7D74"/>
    <w:rsid w:val="000D7DCD"/>
    <w:rsid w:val="000D7E95"/>
    <w:rsid w:val="000D7EA3"/>
    <w:rsid w:val="000D7FAB"/>
    <w:rsid w:val="000D7FE7"/>
    <w:rsid w:val="000D7FF2"/>
    <w:rsid w:val="000E0079"/>
    <w:rsid w:val="000E0088"/>
    <w:rsid w:val="000E00F5"/>
    <w:rsid w:val="000E018B"/>
    <w:rsid w:val="000E02B4"/>
    <w:rsid w:val="000E0305"/>
    <w:rsid w:val="000E03CA"/>
    <w:rsid w:val="000E0446"/>
    <w:rsid w:val="000E04B6"/>
    <w:rsid w:val="000E05CE"/>
    <w:rsid w:val="000E05E1"/>
    <w:rsid w:val="000E05FC"/>
    <w:rsid w:val="000E062E"/>
    <w:rsid w:val="000E0689"/>
    <w:rsid w:val="000E06C6"/>
    <w:rsid w:val="000E072A"/>
    <w:rsid w:val="000E0742"/>
    <w:rsid w:val="000E07AE"/>
    <w:rsid w:val="000E07C1"/>
    <w:rsid w:val="000E07C6"/>
    <w:rsid w:val="000E07CF"/>
    <w:rsid w:val="000E080B"/>
    <w:rsid w:val="000E084F"/>
    <w:rsid w:val="000E0851"/>
    <w:rsid w:val="000E0855"/>
    <w:rsid w:val="000E08DD"/>
    <w:rsid w:val="000E08FB"/>
    <w:rsid w:val="000E091E"/>
    <w:rsid w:val="000E092E"/>
    <w:rsid w:val="000E0971"/>
    <w:rsid w:val="000E097A"/>
    <w:rsid w:val="000E09C1"/>
    <w:rsid w:val="000E0A2F"/>
    <w:rsid w:val="000E0A4C"/>
    <w:rsid w:val="000E0A7F"/>
    <w:rsid w:val="000E0B43"/>
    <w:rsid w:val="000E0B44"/>
    <w:rsid w:val="000E0B4C"/>
    <w:rsid w:val="000E0B74"/>
    <w:rsid w:val="000E0BC5"/>
    <w:rsid w:val="000E0C0B"/>
    <w:rsid w:val="000E0C36"/>
    <w:rsid w:val="000E0C51"/>
    <w:rsid w:val="000E0CB5"/>
    <w:rsid w:val="000E0CFA"/>
    <w:rsid w:val="000E0D30"/>
    <w:rsid w:val="000E0D51"/>
    <w:rsid w:val="000E0D78"/>
    <w:rsid w:val="000E0D92"/>
    <w:rsid w:val="000E0DD0"/>
    <w:rsid w:val="000E0DFC"/>
    <w:rsid w:val="000E0E1F"/>
    <w:rsid w:val="000E0E37"/>
    <w:rsid w:val="000E0E3C"/>
    <w:rsid w:val="000E0E6D"/>
    <w:rsid w:val="000E0F29"/>
    <w:rsid w:val="000E0F88"/>
    <w:rsid w:val="000E0FF1"/>
    <w:rsid w:val="000E101C"/>
    <w:rsid w:val="000E1046"/>
    <w:rsid w:val="000E105B"/>
    <w:rsid w:val="000E10B8"/>
    <w:rsid w:val="000E10CF"/>
    <w:rsid w:val="000E1130"/>
    <w:rsid w:val="000E1133"/>
    <w:rsid w:val="000E1281"/>
    <w:rsid w:val="000E12AC"/>
    <w:rsid w:val="000E130B"/>
    <w:rsid w:val="000E1352"/>
    <w:rsid w:val="000E1354"/>
    <w:rsid w:val="000E137A"/>
    <w:rsid w:val="000E13F6"/>
    <w:rsid w:val="000E1446"/>
    <w:rsid w:val="000E146D"/>
    <w:rsid w:val="000E1473"/>
    <w:rsid w:val="000E14A4"/>
    <w:rsid w:val="000E14BD"/>
    <w:rsid w:val="000E14E8"/>
    <w:rsid w:val="000E150B"/>
    <w:rsid w:val="000E1683"/>
    <w:rsid w:val="000E16CC"/>
    <w:rsid w:val="000E171C"/>
    <w:rsid w:val="000E1721"/>
    <w:rsid w:val="000E179E"/>
    <w:rsid w:val="000E1892"/>
    <w:rsid w:val="000E189B"/>
    <w:rsid w:val="000E18D1"/>
    <w:rsid w:val="000E1911"/>
    <w:rsid w:val="000E193A"/>
    <w:rsid w:val="000E193D"/>
    <w:rsid w:val="000E1998"/>
    <w:rsid w:val="000E1A1B"/>
    <w:rsid w:val="000E1A64"/>
    <w:rsid w:val="000E1AD5"/>
    <w:rsid w:val="000E1ADC"/>
    <w:rsid w:val="000E1B08"/>
    <w:rsid w:val="000E1B61"/>
    <w:rsid w:val="000E1B98"/>
    <w:rsid w:val="000E1BA0"/>
    <w:rsid w:val="000E1BB8"/>
    <w:rsid w:val="000E1BFB"/>
    <w:rsid w:val="000E1C27"/>
    <w:rsid w:val="000E1C66"/>
    <w:rsid w:val="000E1CE2"/>
    <w:rsid w:val="000E1D3E"/>
    <w:rsid w:val="000E1D52"/>
    <w:rsid w:val="000E1D9F"/>
    <w:rsid w:val="000E1E98"/>
    <w:rsid w:val="000E1EA2"/>
    <w:rsid w:val="000E1EAC"/>
    <w:rsid w:val="000E1F3F"/>
    <w:rsid w:val="000E1FDF"/>
    <w:rsid w:val="000E2007"/>
    <w:rsid w:val="000E204C"/>
    <w:rsid w:val="000E2073"/>
    <w:rsid w:val="000E2092"/>
    <w:rsid w:val="000E20AC"/>
    <w:rsid w:val="000E218D"/>
    <w:rsid w:val="000E21D3"/>
    <w:rsid w:val="000E2209"/>
    <w:rsid w:val="000E227B"/>
    <w:rsid w:val="000E2364"/>
    <w:rsid w:val="000E2466"/>
    <w:rsid w:val="000E24A1"/>
    <w:rsid w:val="000E24A9"/>
    <w:rsid w:val="000E24B1"/>
    <w:rsid w:val="000E24BF"/>
    <w:rsid w:val="000E2544"/>
    <w:rsid w:val="000E25D3"/>
    <w:rsid w:val="000E264E"/>
    <w:rsid w:val="000E2690"/>
    <w:rsid w:val="000E2735"/>
    <w:rsid w:val="000E277D"/>
    <w:rsid w:val="000E27CE"/>
    <w:rsid w:val="000E27F1"/>
    <w:rsid w:val="000E2802"/>
    <w:rsid w:val="000E285B"/>
    <w:rsid w:val="000E28D9"/>
    <w:rsid w:val="000E290D"/>
    <w:rsid w:val="000E294C"/>
    <w:rsid w:val="000E29C4"/>
    <w:rsid w:val="000E2A3E"/>
    <w:rsid w:val="000E2A5B"/>
    <w:rsid w:val="000E2B0E"/>
    <w:rsid w:val="000E2B5C"/>
    <w:rsid w:val="000E2B5D"/>
    <w:rsid w:val="000E2B6F"/>
    <w:rsid w:val="000E2BBF"/>
    <w:rsid w:val="000E2BEB"/>
    <w:rsid w:val="000E2C40"/>
    <w:rsid w:val="000E2C8A"/>
    <w:rsid w:val="000E2E0C"/>
    <w:rsid w:val="000E2EAC"/>
    <w:rsid w:val="000E2F6D"/>
    <w:rsid w:val="000E2FA8"/>
    <w:rsid w:val="000E2FC8"/>
    <w:rsid w:val="000E30B7"/>
    <w:rsid w:val="000E30E4"/>
    <w:rsid w:val="000E316D"/>
    <w:rsid w:val="000E3172"/>
    <w:rsid w:val="000E3177"/>
    <w:rsid w:val="000E31E2"/>
    <w:rsid w:val="000E31F2"/>
    <w:rsid w:val="000E31FF"/>
    <w:rsid w:val="000E3205"/>
    <w:rsid w:val="000E324E"/>
    <w:rsid w:val="000E3273"/>
    <w:rsid w:val="000E3330"/>
    <w:rsid w:val="000E3359"/>
    <w:rsid w:val="000E3373"/>
    <w:rsid w:val="000E34EF"/>
    <w:rsid w:val="000E3506"/>
    <w:rsid w:val="000E3551"/>
    <w:rsid w:val="000E3554"/>
    <w:rsid w:val="000E358A"/>
    <w:rsid w:val="000E3596"/>
    <w:rsid w:val="000E362C"/>
    <w:rsid w:val="000E3657"/>
    <w:rsid w:val="000E367C"/>
    <w:rsid w:val="000E375A"/>
    <w:rsid w:val="000E3847"/>
    <w:rsid w:val="000E3895"/>
    <w:rsid w:val="000E38B7"/>
    <w:rsid w:val="000E38D2"/>
    <w:rsid w:val="000E38DB"/>
    <w:rsid w:val="000E38E7"/>
    <w:rsid w:val="000E3905"/>
    <w:rsid w:val="000E391A"/>
    <w:rsid w:val="000E39D4"/>
    <w:rsid w:val="000E3A2D"/>
    <w:rsid w:val="000E3A65"/>
    <w:rsid w:val="000E3ABD"/>
    <w:rsid w:val="000E3AC8"/>
    <w:rsid w:val="000E3AD8"/>
    <w:rsid w:val="000E3B0F"/>
    <w:rsid w:val="000E3B1B"/>
    <w:rsid w:val="000E3BC6"/>
    <w:rsid w:val="000E3C7C"/>
    <w:rsid w:val="000E3D14"/>
    <w:rsid w:val="000E3DDA"/>
    <w:rsid w:val="000E3DF4"/>
    <w:rsid w:val="000E3E03"/>
    <w:rsid w:val="000E3E4D"/>
    <w:rsid w:val="000E3E5B"/>
    <w:rsid w:val="000E3E84"/>
    <w:rsid w:val="000E3EB0"/>
    <w:rsid w:val="000E3EE4"/>
    <w:rsid w:val="000E3F09"/>
    <w:rsid w:val="000E3F1F"/>
    <w:rsid w:val="000E3FBA"/>
    <w:rsid w:val="000E3FC4"/>
    <w:rsid w:val="000E3FDE"/>
    <w:rsid w:val="000E4048"/>
    <w:rsid w:val="000E407F"/>
    <w:rsid w:val="000E40B7"/>
    <w:rsid w:val="000E40E6"/>
    <w:rsid w:val="000E4170"/>
    <w:rsid w:val="000E4229"/>
    <w:rsid w:val="000E42D4"/>
    <w:rsid w:val="000E4332"/>
    <w:rsid w:val="000E43B4"/>
    <w:rsid w:val="000E43FA"/>
    <w:rsid w:val="000E441A"/>
    <w:rsid w:val="000E44B9"/>
    <w:rsid w:val="000E452B"/>
    <w:rsid w:val="000E45CA"/>
    <w:rsid w:val="000E45D6"/>
    <w:rsid w:val="000E4649"/>
    <w:rsid w:val="000E4660"/>
    <w:rsid w:val="000E46A4"/>
    <w:rsid w:val="000E46BB"/>
    <w:rsid w:val="000E4700"/>
    <w:rsid w:val="000E47BD"/>
    <w:rsid w:val="000E48BC"/>
    <w:rsid w:val="000E4904"/>
    <w:rsid w:val="000E4913"/>
    <w:rsid w:val="000E4975"/>
    <w:rsid w:val="000E4A3D"/>
    <w:rsid w:val="000E4ABB"/>
    <w:rsid w:val="000E4AF8"/>
    <w:rsid w:val="000E4B19"/>
    <w:rsid w:val="000E4B6D"/>
    <w:rsid w:val="000E4B9D"/>
    <w:rsid w:val="000E4BDB"/>
    <w:rsid w:val="000E4BE4"/>
    <w:rsid w:val="000E4BE8"/>
    <w:rsid w:val="000E4BF3"/>
    <w:rsid w:val="000E4BF7"/>
    <w:rsid w:val="000E4C18"/>
    <w:rsid w:val="000E4C8A"/>
    <w:rsid w:val="000E4D2E"/>
    <w:rsid w:val="000E4D3C"/>
    <w:rsid w:val="000E4D54"/>
    <w:rsid w:val="000E4D99"/>
    <w:rsid w:val="000E4DC7"/>
    <w:rsid w:val="000E4DDB"/>
    <w:rsid w:val="000E4E1D"/>
    <w:rsid w:val="000E4FA0"/>
    <w:rsid w:val="000E5056"/>
    <w:rsid w:val="000E50FB"/>
    <w:rsid w:val="000E514F"/>
    <w:rsid w:val="000E5171"/>
    <w:rsid w:val="000E51B0"/>
    <w:rsid w:val="000E51DF"/>
    <w:rsid w:val="000E520B"/>
    <w:rsid w:val="000E52EE"/>
    <w:rsid w:val="000E5357"/>
    <w:rsid w:val="000E53C6"/>
    <w:rsid w:val="000E53F5"/>
    <w:rsid w:val="000E54F6"/>
    <w:rsid w:val="000E554D"/>
    <w:rsid w:val="000E55B7"/>
    <w:rsid w:val="000E5650"/>
    <w:rsid w:val="000E56C4"/>
    <w:rsid w:val="000E56E6"/>
    <w:rsid w:val="000E56FD"/>
    <w:rsid w:val="000E5790"/>
    <w:rsid w:val="000E57E9"/>
    <w:rsid w:val="000E581D"/>
    <w:rsid w:val="000E58B8"/>
    <w:rsid w:val="000E58D3"/>
    <w:rsid w:val="000E59B7"/>
    <w:rsid w:val="000E5A17"/>
    <w:rsid w:val="000E5A71"/>
    <w:rsid w:val="000E5A9B"/>
    <w:rsid w:val="000E5AB4"/>
    <w:rsid w:val="000E5AE6"/>
    <w:rsid w:val="000E5B4B"/>
    <w:rsid w:val="000E5B93"/>
    <w:rsid w:val="000E5BDB"/>
    <w:rsid w:val="000E5BDC"/>
    <w:rsid w:val="000E5C59"/>
    <w:rsid w:val="000E5C75"/>
    <w:rsid w:val="000E5E5D"/>
    <w:rsid w:val="000E5E7A"/>
    <w:rsid w:val="000E5EF5"/>
    <w:rsid w:val="000E5F0E"/>
    <w:rsid w:val="000E5F45"/>
    <w:rsid w:val="000E5F63"/>
    <w:rsid w:val="000E5FB7"/>
    <w:rsid w:val="000E6017"/>
    <w:rsid w:val="000E601B"/>
    <w:rsid w:val="000E6037"/>
    <w:rsid w:val="000E6299"/>
    <w:rsid w:val="000E62B1"/>
    <w:rsid w:val="000E633F"/>
    <w:rsid w:val="000E6402"/>
    <w:rsid w:val="000E6422"/>
    <w:rsid w:val="000E65B6"/>
    <w:rsid w:val="000E65D0"/>
    <w:rsid w:val="000E6602"/>
    <w:rsid w:val="000E668C"/>
    <w:rsid w:val="000E66BF"/>
    <w:rsid w:val="000E66FE"/>
    <w:rsid w:val="000E670B"/>
    <w:rsid w:val="000E671B"/>
    <w:rsid w:val="000E6982"/>
    <w:rsid w:val="000E6988"/>
    <w:rsid w:val="000E69ED"/>
    <w:rsid w:val="000E6A78"/>
    <w:rsid w:val="000E6AF2"/>
    <w:rsid w:val="000E6B29"/>
    <w:rsid w:val="000E6B47"/>
    <w:rsid w:val="000E6BBA"/>
    <w:rsid w:val="000E6C14"/>
    <w:rsid w:val="000E6C24"/>
    <w:rsid w:val="000E6CC9"/>
    <w:rsid w:val="000E6D3E"/>
    <w:rsid w:val="000E6E49"/>
    <w:rsid w:val="000E6E94"/>
    <w:rsid w:val="000E6EBA"/>
    <w:rsid w:val="000E6FB9"/>
    <w:rsid w:val="000E6FFF"/>
    <w:rsid w:val="000E7053"/>
    <w:rsid w:val="000E7114"/>
    <w:rsid w:val="000E7164"/>
    <w:rsid w:val="000E7281"/>
    <w:rsid w:val="000E729A"/>
    <w:rsid w:val="000E730A"/>
    <w:rsid w:val="000E732F"/>
    <w:rsid w:val="000E73EC"/>
    <w:rsid w:val="000E7478"/>
    <w:rsid w:val="000E74CE"/>
    <w:rsid w:val="000E753A"/>
    <w:rsid w:val="000E753E"/>
    <w:rsid w:val="000E75F1"/>
    <w:rsid w:val="000E7607"/>
    <w:rsid w:val="000E7712"/>
    <w:rsid w:val="000E773A"/>
    <w:rsid w:val="000E77DB"/>
    <w:rsid w:val="000E7800"/>
    <w:rsid w:val="000E7811"/>
    <w:rsid w:val="000E785A"/>
    <w:rsid w:val="000E7860"/>
    <w:rsid w:val="000E7876"/>
    <w:rsid w:val="000E789C"/>
    <w:rsid w:val="000E7901"/>
    <w:rsid w:val="000E7A6A"/>
    <w:rsid w:val="000E7AEB"/>
    <w:rsid w:val="000E7AF9"/>
    <w:rsid w:val="000E7B67"/>
    <w:rsid w:val="000E7B88"/>
    <w:rsid w:val="000E7C0D"/>
    <w:rsid w:val="000E7CA2"/>
    <w:rsid w:val="000E7D3A"/>
    <w:rsid w:val="000E7D3B"/>
    <w:rsid w:val="000E7D88"/>
    <w:rsid w:val="000E7E04"/>
    <w:rsid w:val="000E7E5D"/>
    <w:rsid w:val="000E7F21"/>
    <w:rsid w:val="000E7F29"/>
    <w:rsid w:val="000E7F5D"/>
    <w:rsid w:val="000E7F90"/>
    <w:rsid w:val="000E7FC3"/>
    <w:rsid w:val="000F0000"/>
    <w:rsid w:val="000F001A"/>
    <w:rsid w:val="000F0046"/>
    <w:rsid w:val="000F0098"/>
    <w:rsid w:val="000F00C8"/>
    <w:rsid w:val="000F0135"/>
    <w:rsid w:val="000F0195"/>
    <w:rsid w:val="000F0199"/>
    <w:rsid w:val="000F01A9"/>
    <w:rsid w:val="000F01BD"/>
    <w:rsid w:val="000F0255"/>
    <w:rsid w:val="000F0321"/>
    <w:rsid w:val="000F033C"/>
    <w:rsid w:val="000F0396"/>
    <w:rsid w:val="000F03DC"/>
    <w:rsid w:val="000F047A"/>
    <w:rsid w:val="000F048C"/>
    <w:rsid w:val="000F04C7"/>
    <w:rsid w:val="000F0595"/>
    <w:rsid w:val="000F0613"/>
    <w:rsid w:val="000F063F"/>
    <w:rsid w:val="000F0753"/>
    <w:rsid w:val="000F0787"/>
    <w:rsid w:val="000F086E"/>
    <w:rsid w:val="000F0884"/>
    <w:rsid w:val="000F08A1"/>
    <w:rsid w:val="000F0A66"/>
    <w:rsid w:val="000F0A94"/>
    <w:rsid w:val="000F0AC2"/>
    <w:rsid w:val="000F0C3F"/>
    <w:rsid w:val="000F0C9A"/>
    <w:rsid w:val="000F0CBF"/>
    <w:rsid w:val="000F0D08"/>
    <w:rsid w:val="000F0D1F"/>
    <w:rsid w:val="000F0DA5"/>
    <w:rsid w:val="000F0DD2"/>
    <w:rsid w:val="000F0DE6"/>
    <w:rsid w:val="000F0E17"/>
    <w:rsid w:val="000F0E24"/>
    <w:rsid w:val="000F0E50"/>
    <w:rsid w:val="000F0E8F"/>
    <w:rsid w:val="000F0EAD"/>
    <w:rsid w:val="000F0F7B"/>
    <w:rsid w:val="000F0F99"/>
    <w:rsid w:val="000F0FB8"/>
    <w:rsid w:val="000F10B1"/>
    <w:rsid w:val="000F10D9"/>
    <w:rsid w:val="000F10F9"/>
    <w:rsid w:val="000F10FC"/>
    <w:rsid w:val="000F121B"/>
    <w:rsid w:val="000F13A4"/>
    <w:rsid w:val="000F13EE"/>
    <w:rsid w:val="000F13FF"/>
    <w:rsid w:val="000F140F"/>
    <w:rsid w:val="000F1430"/>
    <w:rsid w:val="000F14B3"/>
    <w:rsid w:val="000F1529"/>
    <w:rsid w:val="000F1534"/>
    <w:rsid w:val="000F1740"/>
    <w:rsid w:val="000F1746"/>
    <w:rsid w:val="000F18E6"/>
    <w:rsid w:val="000F18EA"/>
    <w:rsid w:val="000F1915"/>
    <w:rsid w:val="000F1928"/>
    <w:rsid w:val="000F1937"/>
    <w:rsid w:val="000F19D8"/>
    <w:rsid w:val="000F1A92"/>
    <w:rsid w:val="000F1AB0"/>
    <w:rsid w:val="000F1B36"/>
    <w:rsid w:val="000F1B49"/>
    <w:rsid w:val="000F1C39"/>
    <w:rsid w:val="000F1CBD"/>
    <w:rsid w:val="000F1D25"/>
    <w:rsid w:val="000F1D2B"/>
    <w:rsid w:val="000F1D53"/>
    <w:rsid w:val="000F1DF7"/>
    <w:rsid w:val="000F1EDE"/>
    <w:rsid w:val="000F1F44"/>
    <w:rsid w:val="000F1F47"/>
    <w:rsid w:val="000F1F60"/>
    <w:rsid w:val="000F1F6B"/>
    <w:rsid w:val="000F203B"/>
    <w:rsid w:val="000F20D8"/>
    <w:rsid w:val="000F212C"/>
    <w:rsid w:val="000F2197"/>
    <w:rsid w:val="000F21B3"/>
    <w:rsid w:val="000F21C4"/>
    <w:rsid w:val="000F23B6"/>
    <w:rsid w:val="000F23F1"/>
    <w:rsid w:val="000F24E7"/>
    <w:rsid w:val="000F24F6"/>
    <w:rsid w:val="000F2501"/>
    <w:rsid w:val="000F251E"/>
    <w:rsid w:val="000F2607"/>
    <w:rsid w:val="000F26A5"/>
    <w:rsid w:val="000F26DD"/>
    <w:rsid w:val="000F271B"/>
    <w:rsid w:val="000F2792"/>
    <w:rsid w:val="000F285E"/>
    <w:rsid w:val="000F289E"/>
    <w:rsid w:val="000F28F0"/>
    <w:rsid w:val="000F293A"/>
    <w:rsid w:val="000F2941"/>
    <w:rsid w:val="000F294C"/>
    <w:rsid w:val="000F2A77"/>
    <w:rsid w:val="000F2A7B"/>
    <w:rsid w:val="000F2AE4"/>
    <w:rsid w:val="000F2AEB"/>
    <w:rsid w:val="000F2B13"/>
    <w:rsid w:val="000F2B1E"/>
    <w:rsid w:val="000F2B24"/>
    <w:rsid w:val="000F2B37"/>
    <w:rsid w:val="000F2BC8"/>
    <w:rsid w:val="000F2BF1"/>
    <w:rsid w:val="000F2C0F"/>
    <w:rsid w:val="000F2CA9"/>
    <w:rsid w:val="000F2CAF"/>
    <w:rsid w:val="000F2D1E"/>
    <w:rsid w:val="000F2D53"/>
    <w:rsid w:val="000F2E05"/>
    <w:rsid w:val="000F2E1D"/>
    <w:rsid w:val="000F2E49"/>
    <w:rsid w:val="000F2E4C"/>
    <w:rsid w:val="000F2E9F"/>
    <w:rsid w:val="000F2EAD"/>
    <w:rsid w:val="000F2ECE"/>
    <w:rsid w:val="000F2EFC"/>
    <w:rsid w:val="000F2F09"/>
    <w:rsid w:val="000F2F3D"/>
    <w:rsid w:val="000F2FEA"/>
    <w:rsid w:val="000F3050"/>
    <w:rsid w:val="000F30A3"/>
    <w:rsid w:val="000F30DB"/>
    <w:rsid w:val="000F30F7"/>
    <w:rsid w:val="000F3125"/>
    <w:rsid w:val="000F3127"/>
    <w:rsid w:val="000F3132"/>
    <w:rsid w:val="000F3162"/>
    <w:rsid w:val="000F31E8"/>
    <w:rsid w:val="000F32C5"/>
    <w:rsid w:val="000F330D"/>
    <w:rsid w:val="000F33D3"/>
    <w:rsid w:val="000F33EA"/>
    <w:rsid w:val="000F33F7"/>
    <w:rsid w:val="000F3515"/>
    <w:rsid w:val="000F3597"/>
    <w:rsid w:val="000F3617"/>
    <w:rsid w:val="000F3637"/>
    <w:rsid w:val="000F36C3"/>
    <w:rsid w:val="000F377A"/>
    <w:rsid w:val="000F378F"/>
    <w:rsid w:val="000F37A9"/>
    <w:rsid w:val="000F38A4"/>
    <w:rsid w:val="000F38B2"/>
    <w:rsid w:val="000F3970"/>
    <w:rsid w:val="000F3993"/>
    <w:rsid w:val="000F39B8"/>
    <w:rsid w:val="000F39CB"/>
    <w:rsid w:val="000F3A11"/>
    <w:rsid w:val="000F3A26"/>
    <w:rsid w:val="000F3A4F"/>
    <w:rsid w:val="000F3A54"/>
    <w:rsid w:val="000F3B8F"/>
    <w:rsid w:val="000F3B93"/>
    <w:rsid w:val="000F3BA8"/>
    <w:rsid w:val="000F3C6B"/>
    <w:rsid w:val="000F3C71"/>
    <w:rsid w:val="000F3C80"/>
    <w:rsid w:val="000F3CC9"/>
    <w:rsid w:val="000F3DA8"/>
    <w:rsid w:val="000F3E89"/>
    <w:rsid w:val="000F3EC8"/>
    <w:rsid w:val="000F3EF1"/>
    <w:rsid w:val="000F3F22"/>
    <w:rsid w:val="000F3F29"/>
    <w:rsid w:val="000F3FF3"/>
    <w:rsid w:val="000F40A3"/>
    <w:rsid w:val="000F4101"/>
    <w:rsid w:val="000F417A"/>
    <w:rsid w:val="000F41FC"/>
    <w:rsid w:val="000F4265"/>
    <w:rsid w:val="000F42DE"/>
    <w:rsid w:val="000F4342"/>
    <w:rsid w:val="000F4466"/>
    <w:rsid w:val="000F44C0"/>
    <w:rsid w:val="000F455A"/>
    <w:rsid w:val="000F4589"/>
    <w:rsid w:val="000F45CD"/>
    <w:rsid w:val="000F4628"/>
    <w:rsid w:val="000F462C"/>
    <w:rsid w:val="000F4674"/>
    <w:rsid w:val="000F4710"/>
    <w:rsid w:val="000F47CE"/>
    <w:rsid w:val="000F47FF"/>
    <w:rsid w:val="000F4819"/>
    <w:rsid w:val="000F4889"/>
    <w:rsid w:val="000F48A7"/>
    <w:rsid w:val="000F48CC"/>
    <w:rsid w:val="000F4927"/>
    <w:rsid w:val="000F4929"/>
    <w:rsid w:val="000F498E"/>
    <w:rsid w:val="000F49B8"/>
    <w:rsid w:val="000F4A9C"/>
    <w:rsid w:val="000F4AAF"/>
    <w:rsid w:val="000F4ADF"/>
    <w:rsid w:val="000F4B41"/>
    <w:rsid w:val="000F4B49"/>
    <w:rsid w:val="000F4B6F"/>
    <w:rsid w:val="000F4BB8"/>
    <w:rsid w:val="000F4C7D"/>
    <w:rsid w:val="000F4CE3"/>
    <w:rsid w:val="000F4D08"/>
    <w:rsid w:val="000F4D5C"/>
    <w:rsid w:val="000F4E38"/>
    <w:rsid w:val="000F4EB8"/>
    <w:rsid w:val="000F4EF5"/>
    <w:rsid w:val="000F4F07"/>
    <w:rsid w:val="000F4F12"/>
    <w:rsid w:val="000F4F21"/>
    <w:rsid w:val="000F4F4F"/>
    <w:rsid w:val="000F4F7B"/>
    <w:rsid w:val="000F4F81"/>
    <w:rsid w:val="000F4F9D"/>
    <w:rsid w:val="000F5017"/>
    <w:rsid w:val="000F509B"/>
    <w:rsid w:val="000F50A9"/>
    <w:rsid w:val="000F5126"/>
    <w:rsid w:val="000F51B6"/>
    <w:rsid w:val="000F5263"/>
    <w:rsid w:val="000F52AC"/>
    <w:rsid w:val="000F52F2"/>
    <w:rsid w:val="000F5332"/>
    <w:rsid w:val="000F5343"/>
    <w:rsid w:val="000F5357"/>
    <w:rsid w:val="000F5376"/>
    <w:rsid w:val="000F543A"/>
    <w:rsid w:val="000F5492"/>
    <w:rsid w:val="000F5493"/>
    <w:rsid w:val="000F54C7"/>
    <w:rsid w:val="000F552A"/>
    <w:rsid w:val="000F556B"/>
    <w:rsid w:val="000F55C0"/>
    <w:rsid w:val="000F55E1"/>
    <w:rsid w:val="000F565B"/>
    <w:rsid w:val="000F5699"/>
    <w:rsid w:val="000F5731"/>
    <w:rsid w:val="000F5907"/>
    <w:rsid w:val="000F5917"/>
    <w:rsid w:val="000F593A"/>
    <w:rsid w:val="000F5A4E"/>
    <w:rsid w:val="000F5A58"/>
    <w:rsid w:val="000F5AE3"/>
    <w:rsid w:val="000F5B2B"/>
    <w:rsid w:val="000F5B8C"/>
    <w:rsid w:val="000F5BAF"/>
    <w:rsid w:val="000F5BCE"/>
    <w:rsid w:val="000F5BE6"/>
    <w:rsid w:val="000F5E58"/>
    <w:rsid w:val="000F5E6A"/>
    <w:rsid w:val="000F5E72"/>
    <w:rsid w:val="000F5EBE"/>
    <w:rsid w:val="000F5EF1"/>
    <w:rsid w:val="000F5F36"/>
    <w:rsid w:val="000F5F44"/>
    <w:rsid w:val="000F5F74"/>
    <w:rsid w:val="000F5F86"/>
    <w:rsid w:val="000F5F9C"/>
    <w:rsid w:val="000F5FAA"/>
    <w:rsid w:val="000F6015"/>
    <w:rsid w:val="000F606D"/>
    <w:rsid w:val="000F60B1"/>
    <w:rsid w:val="000F6119"/>
    <w:rsid w:val="000F6172"/>
    <w:rsid w:val="000F6233"/>
    <w:rsid w:val="000F6234"/>
    <w:rsid w:val="000F630A"/>
    <w:rsid w:val="000F632C"/>
    <w:rsid w:val="000F63BA"/>
    <w:rsid w:val="000F63EB"/>
    <w:rsid w:val="000F6474"/>
    <w:rsid w:val="000F64BE"/>
    <w:rsid w:val="000F64E3"/>
    <w:rsid w:val="000F64E7"/>
    <w:rsid w:val="000F64EA"/>
    <w:rsid w:val="000F650F"/>
    <w:rsid w:val="000F6555"/>
    <w:rsid w:val="000F65A4"/>
    <w:rsid w:val="000F65EF"/>
    <w:rsid w:val="000F664C"/>
    <w:rsid w:val="000F666D"/>
    <w:rsid w:val="000F66C4"/>
    <w:rsid w:val="000F6788"/>
    <w:rsid w:val="000F67D3"/>
    <w:rsid w:val="000F67E3"/>
    <w:rsid w:val="000F6847"/>
    <w:rsid w:val="000F68B2"/>
    <w:rsid w:val="000F68C9"/>
    <w:rsid w:val="000F68CA"/>
    <w:rsid w:val="000F692E"/>
    <w:rsid w:val="000F6974"/>
    <w:rsid w:val="000F6979"/>
    <w:rsid w:val="000F6988"/>
    <w:rsid w:val="000F698E"/>
    <w:rsid w:val="000F69C3"/>
    <w:rsid w:val="000F6B0B"/>
    <w:rsid w:val="000F6B9C"/>
    <w:rsid w:val="000F6C5C"/>
    <w:rsid w:val="000F6C8D"/>
    <w:rsid w:val="000F6DA5"/>
    <w:rsid w:val="000F6DAF"/>
    <w:rsid w:val="000F6E96"/>
    <w:rsid w:val="000F6EA3"/>
    <w:rsid w:val="000F6EE2"/>
    <w:rsid w:val="000F6EF7"/>
    <w:rsid w:val="000F6F48"/>
    <w:rsid w:val="000F6F65"/>
    <w:rsid w:val="000F6F8B"/>
    <w:rsid w:val="000F6FBF"/>
    <w:rsid w:val="000F6FC2"/>
    <w:rsid w:val="000F6FD2"/>
    <w:rsid w:val="000F702D"/>
    <w:rsid w:val="000F7033"/>
    <w:rsid w:val="000F70EE"/>
    <w:rsid w:val="000F70F4"/>
    <w:rsid w:val="000F717C"/>
    <w:rsid w:val="000F71A8"/>
    <w:rsid w:val="000F723B"/>
    <w:rsid w:val="000F7244"/>
    <w:rsid w:val="000F724E"/>
    <w:rsid w:val="000F7298"/>
    <w:rsid w:val="000F72AF"/>
    <w:rsid w:val="000F7460"/>
    <w:rsid w:val="000F751C"/>
    <w:rsid w:val="000F7593"/>
    <w:rsid w:val="000F7598"/>
    <w:rsid w:val="000F75AE"/>
    <w:rsid w:val="000F7667"/>
    <w:rsid w:val="000F766A"/>
    <w:rsid w:val="000F769C"/>
    <w:rsid w:val="000F77C6"/>
    <w:rsid w:val="000F77FF"/>
    <w:rsid w:val="000F790B"/>
    <w:rsid w:val="000F791A"/>
    <w:rsid w:val="000F79BE"/>
    <w:rsid w:val="000F7A31"/>
    <w:rsid w:val="000F7AD9"/>
    <w:rsid w:val="000F7AF6"/>
    <w:rsid w:val="000F7B2B"/>
    <w:rsid w:val="000F7B9A"/>
    <w:rsid w:val="000F7B9F"/>
    <w:rsid w:val="000F7BD1"/>
    <w:rsid w:val="000F7BD2"/>
    <w:rsid w:val="000F7D37"/>
    <w:rsid w:val="000F7D4D"/>
    <w:rsid w:val="000F7DAD"/>
    <w:rsid w:val="000F7E36"/>
    <w:rsid w:val="000F7EB9"/>
    <w:rsid w:val="000F7F78"/>
    <w:rsid w:val="000F7FA9"/>
    <w:rsid w:val="00100054"/>
    <w:rsid w:val="00100081"/>
    <w:rsid w:val="00100088"/>
    <w:rsid w:val="0010008B"/>
    <w:rsid w:val="00100121"/>
    <w:rsid w:val="001001C3"/>
    <w:rsid w:val="001001F1"/>
    <w:rsid w:val="0010028F"/>
    <w:rsid w:val="001002E2"/>
    <w:rsid w:val="00100358"/>
    <w:rsid w:val="00100380"/>
    <w:rsid w:val="001003C9"/>
    <w:rsid w:val="0010042F"/>
    <w:rsid w:val="0010044D"/>
    <w:rsid w:val="0010045E"/>
    <w:rsid w:val="0010048C"/>
    <w:rsid w:val="001004A7"/>
    <w:rsid w:val="001004B6"/>
    <w:rsid w:val="001004CD"/>
    <w:rsid w:val="00100515"/>
    <w:rsid w:val="00100527"/>
    <w:rsid w:val="00100586"/>
    <w:rsid w:val="00100591"/>
    <w:rsid w:val="00100642"/>
    <w:rsid w:val="00100644"/>
    <w:rsid w:val="00100670"/>
    <w:rsid w:val="00100724"/>
    <w:rsid w:val="00100752"/>
    <w:rsid w:val="001007B4"/>
    <w:rsid w:val="001007BB"/>
    <w:rsid w:val="001007C3"/>
    <w:rsid w:val="00100901"/>
    <w:rsid w:val="00100916"/>
    <w:rsid w:val="0010092B"/>
    <w:rsid w:val="001009BD"/>
    <w:rsid w:val="00100A29"/>
    <w:rsid w:val="00100AAE"/>
    <w:rsid w:val="00100B3D"/>
    <w:rsid w:val="00100B64"/>
    <w:rsid w:val="00100BEA"/>
    <w:rsid w:val="00100CF7"/>
    <w:rsid w:val="00100DA3"/>
    <w:rsid w:val="00100EA8"/>
    <w:rsid w:val="00100F2F"/>
    <w:rsid w:val="00100F6C"/>
    <w:rsid w:val="00100FAF"/>
    <w:rsid w:val="00100FC9"/>
    <w:rsid w:val="00100FF0"/>
    <w:rsid w:val="00100FF6"/>
    <w:rsid w:val="00101031"/>
    <w:rsid w:val="0010104C"/>
    <w:rsid w:val="0010108B"/>
    <w:rsid w:val="001010C7"/>
    <w:rsid w:val="00101212"/>
    <w:rsid w:val="0010124A"/>
    <w:rsid w:val="0010127A"/>
    <w:rsid w:val="0010128F"/>
    <w:rsid w:val="00101335"/>
    <w:rsid w:val="001013CF"/>
    <w:rsid w:val="001013E5"/>
    <w:rsid w:val="00101434"/>
    <w:rsid w:val="0010145B"/>
    <w:rsid w:val="001014BB"/>
    <w:rsid w:val="0010151C"/>
    <w:rsid w:val="0010154B"/>
    <w:rsid w:val="00101556"/>
    <w:rsid w:val="00101565"/>
    <w:rsid w:val="001015C7"/>
    <w:rsid w:val="001015E3"/>
    <w:rsid w:val="00101648"/>
    <w:rsid w:val="001016B1"/>
    <w:rsid w:val="0010176D"/>
    <w:rsid w:val="001017C5"/>
    <w:rsid w:val="00101804"/>
    <w:rsid w:val="00101811"/>
    <w:rsid w:val="0010185A"/>
    <w:rsid w:val="001018D4"/>
    <w:rsid w:val="001018D7"/>
    <w:rsid w:val="00101912"/>
    <w:rsid w:val="001019A0"/>
    <w:rsid w:val="001019A3"/>
    <w:rsid w:val="001019D0"/>
    <w:rsid w:val="00101AD4"/>
    <w:rsid w:val="00101ADF"/>
    <w:rsid w:val="00101AF8"/>
    <w:rsid w:val="00101BE9"/>
    <w:rsid w:val="00101BF3"/>
    <w:rsid w:val="00101CD3"/>
    <w:rsid w:val="00101D19"/>
    <w:rsid w:val="00101D9E"/>
    <w:rsid w:val="00101E2A"/>
    <w:rsid w:val="00101E54"/>
    <w:rsid w:val="00101E83"/>
    <w:rsid w:val="00101EA0"/>
    <w:rsid w:val="0010201F"/>
    <w:rsid w:val="00102024"/>
    <w:rsid w:val="001020FF"/>
    <w:rsid w:val="0010211B"/>
    <w:rsid w:val="0010218B"/>
    <w:rsid w:val="0010225C"/>
    <w:rsid w:val="001022BF"/>
    <w:rsid w:val="001022F7"/>
    <w:rsid w:val="0010230A"/>
    <w:rsid w:val="0010232B"/>
    <w:rsid w:val="00102349"/>
    <w:rsid w:val="00102514"/>
    <w:rsid w:val="001025D1"/>
    <w:rsid w:val="00102666"/>
    <w:rsid w:val="00102679"/>
    <w:rsid w:val="00102708"/>
    <w:rsid w:val="00102729"/>
    <w:rsid w:val="00102738"/>
    <w:rsid w:val="00102742"/>
    <w:rsid w:val="00102748"/>
    <w:rsid w:val="001027A1"/>
    <w:rsid w:val="00102852"/>
    <w:rsid w:val="0010288B"/>
    <w:rsid w:val="001028FD"/>
    <w:rsid w:val="0010292B"/>
    <w:rsid w:val="00102950"/>
    <w:rsid w:val="00102997"/>
    <w:rsid w:val="00102AB2"/>
    <w:rsid w:val="00102AE6"/>
    <w:rsid w:val="00102BE2"/>
    <w:rsid w:val="00102C6D"/>
    <w:rsid w:val="00102CF4"/>
    <w:rsid w:val="00102DBC"/>
    <w:rsid w:val="00102E11"/>
    <w:rsid w:val="00102E2F"/>
    <w:rsid w:val="00102E75"/>
    <w:rsid w:val="00102F18"/>
    <w:rsid w:val="00102F82"/>
    <w:rsid w:val="00103059"/>
    <w:rsid w:val="001030E2"/>
    <w:rsid w:val="00103111"/>
    <w:rsid w:val="0010316C"/>
    <w:rsid w:val="00103193"/>
    <w:rsid w:val="001031A8"/>
    <w:rsid w:val="001031AD"/>
    <w:rsid w:val="001031DD"/>
    <w:rsid w:val="00103293"/>
    <w:rsid w:val="0010329E"/>
    <w:rsid w:val="00103314"/>
    <w:rsid w:val="0010339A"/>
    <w:rsid w:val="0010339D"/>
    <w:rsid w:val="001033AD"/>
    <w:rsid w:val="001033D1"/>
    <w:rsid w:val="00103411"/>
    <w:rsid w:val="00103429"/>
    <w:rsid w:val="00103493"/>
    <w:rsid w:val="001034C1"/>
    <w:rsid w:val="00103611"/>
    <w:rsid w:val="0010363C"/>
    <w:rsid w:val="00103674"/>
    <w:rsid w:val="00103705"/>
    <w:rsid w:val="00103729"/>
    <w:rsid w:val="00103797"/>
    <w:rsid w:val="0010379A"/>
    <w:rsid w:val="001037AC"/>
    <w:rsid w:val="001037C1"/>
    <w:rsid w:val="00103839"/>
    <w:rsid w:val="001038B8"/>
    <w:rsid w:val="001038DE"/>
    <w:rsid w:val="001038E3"/>
    <w:rsid w:val="00103908"/>
    <w:rsid w:val="00103940"/>
    <w:rsid w:val="001039BC"/>
    <w:rsid w:val="00103AC0"/>
    <w:rsid w:val="00103B56"/>
    <w:rsid w:val="00103B8F"/>
    <w:rsid w:val="00103C1F"/>
    <w:rsid w:val="00103C20"/>
    <w:rsid w:val="00103D23"/>
    <w:rsid w:val="00103D34"/>
    <w:rsid w:val="00103D81"/>
    <w:rsid w:val="00103DB1"/>
    <w:rsid w:val="00103DB6"/>
    <w:rsid w:val="00103E23"/>
    <w:rsid w:val="00103E9E"/>
    <w:rsid w:val="00103EAD"/>
    <w:rsid w:val="00103EEA"/>
    <w:rsid w:val="00103EF3"/>
    <w:rsid w:val="00103F02"/>
    <w:rsid w:val="00103F3C"/>
    <w:rsid w:val="00103F70"/>
    <w:rsid w:val="00103F93"/>
    <w:rsid w:val="0010403A"/>
    <w:rsid w:val="001040A4"/>
    <w:rsid w:val="001040E2"/>
    <w:rsid w:val="001040FB"/>
    <w:rsid w:val="001040FF"/>
    <w:rsid w:val="0010411D"/>
    <w:rsid w:val="001041E7"/>
    <w:rsid w:val="0010422C"/>
    <w:rsid w:val="0010434D"/>
    <w:rsid w:val="001043B1"/>
    <w:rsid w:val="001043CF"/>
    <w:rsid w:val="001043DA"/>
    <w:rsid w:val="00104402"/>
    <w:rsid w:val="001044D9"/>
    <w:rsid w:val="001044EE"/>
    <w:rsid w:val="0010452B"/>
    <w:rsid w:val="00104561"/>
    <w:rsid w:val="0010457E"/>
    <w:rsid w:val="0010457F"/>
    <w:rsid w:val="001045E3"/>
    <w:rsid w:val="00104618"/>
    <w:rsid w:val="00104720"/>
    <w:rsid w:val="00104763"/>
    <w:rsid w:val="0010478F"/>
    <w:rsid w:val="001047AB"/>
    <w:rsid w:val="001047BA"/>
    <w:rsid w:val="001048E2"/>
    <w:rsid w:val="001049B3"/>
    <w:rsid w:val="00104A36"/>
    <w:rsid w:val="00104A46"/>
    <w:rsid w:val="00104A4B"/>
    <w:rsid w:val="00104BB0"/>
    <w:rsid w:val="00104C3C"/>
    <w:rsid w:val="00104C63"/>
    <w:rsid w:val="00104C68"/>
    <w:rsid w:val="00104C70"/>
    <w:rsid w:val="00104C77"/>
    <w:rsid w:val="00104C81"/>
    <w:rsid w:val="00104C93"/>
    <w:rsid w:val="00104CA4"/>
    <w:rsid w:val="00104CB6"/>
    <w:rsid w:val="00104DB4"/>
    <w:rsid w:val="00104E5E"/>
    <w:rsid w:val="00104F16"/>
    <w:rsid w:val="00104F84"/>
    <w:rsid w:val="00105052"/>
    <w:rsid w:val="0010505F"/>
    <w:rsid w:val="00105119"/>
    <w:rsid w:val="0010513E"/>
    <w:rsid w:val="0010516B"/>
    <w:rsid w:val="001051E9"/>
    <w:rsid w:val="00105287"/>
    <w:rsid w:val="00105383"/>
    <w:rsid w:val="00105412"/>
    <w:rsid w:val="00105436"/>
    <w:rsid w:val="00105443"/>
    <w:rsid w:val="001054B9"/>
    <w:rsid w:val="00105552"/>
    <w:rsid w:val="0010557F"/>
    <w:rsid w:val="001055E6"/>
    <w:rsid w:val="001056DA"/>
    <w:rsid w:val="001056F9"/>
    <w:rsid w:val="0010570A"/>
    <w:rsid w:val="00105758"/>
    <w:rsid w:val="00105769"/>
    <w:rsid w:val="0010584F"/>
    <w:rsid w:val="001058E3"/>
    <w:rsid w:val="00105905"/>
    <w:rsid w:val="00105925"/>
    <w:rsid w:val="00105946"/>
    <w:rsid w:val="0010596F"/>
    <w:rsid w:val="00105A09"/>
    <w:rsid w:val="00105AB8"/>
    <w:rsid w:val="00105B21"/>
    <w:rsid w:val="00105B27"/>
    <w:rsid w:val="00105B66"/>
    <w:rsid w:val="00105C4F"/>
    <w:rsid w:val="00105C54"/>
    <w:rsid w:val="00105C79"/>
    <w:rsid w:val="00105CB6"/>
    <w:rsid w:val="00105CBB"/>
    <w:rsid w:val="00105D2B"/>
    <w:rsid w:val="00105D50"/>
    <w:rsid w:val="00105D80"/>
    <w:rsid w:val="00105E2A"/>
    <w:rsid w:val="00105E40"/>
    <w:rsid w:val="00105E62"/>
    <w:rsid w:val="00105EAF"/>
    <w:rsid w:val="00105EC6"/>
    <w:rsid w:val="00105F0D"/>
    <w:rsid w:val="00105F9A"/>
    <w:rsid w:val="00105FEE"/>
    <w:rsid w:val="00106015"/>
    <w:rsid w:val="00106048"/>
    <w:rsid w:val="00106099"/>
    <w:rsid w:val="001060AE"/>
    <w:rsid w:val="00106128"/>
    <w:rsid w:val="00106160"/>
    <w:rsid w:val="0010617D"/>
    <w:rsid w:val="001061BF"/>
    <w:rsid w:val="001061C1"/>
    <w:rsid w:val="001061DE"/>
    <w:rsid w:val="001061E2"/>
    <w:rsid w:val="00106215"/>
    <w:rsid w:val="001062A3"/>
    <w:rsid w:val="0010630D"/>
    <w:rsid w:val="001063B0"/>
    <w:rsid w:val="001063ED"/>
    <w:rsid w:val="0010640D"/>
    <w:rsid w:val="0010641C"/>
    <w:rsid w:val="00106583"/>
    <w:rsid w:val="001065C0"/>
    <w:rsid w:val="001065DF"/>
    <w:rsid w:val="00106629"/>
    <w:rsid w:val="00106661"/>
    <w:rsid w:val="001066AC"/>
    <w:rsid w:val="0010670C"/>
    <w:rsid w:val="00106785"/>
    <w:rsid w:val="001067B5"/>
    <w:rsid w:val="001068CE"/>
    <w:rsid w:val="00106970"/>
    <w:rsid w:val="0010697D"/>
    <w:rsid w:val="00106991"/>
    <w:rsid w:val="001069AE"/>
    <w:rsid w:val="00106ADA"/>
    <w:rsid w:val="00106AF8"/>
    <w:rsid w:val="00106CDC"/>
    <w:rsid w:val="00106D34"/>
    <w:rsid w:val="00106DCF"/>
    <w:rsid w:val="00106E59"/>
    <w:rsid w:val="00106E7B"/>
    <w:rsid w:val="00106ED1"/>
    <w:rsid w:val="00106F5F"/>
    <w:rsid w:val="00106FC8"/>
    <w:rsid w:val="0010706A"/>
    <w:rsid w:val="001070BF"/>
    <w:rsid w:val="001070E7"/>
    <w:rsid w:val="00107124"/>
    <w:rsid w:val="0010713E"/>
    <w:rsid w:val="00107178"/>
    <w:rsid w:val="00107185"/>
    <w:rsid w:val="0010729C"/>
    <w:rsid w:val="0010730E"/>
    <w:rsid w:val="00107347"/>
    <w:rsid w:val="0010736E"/>
    <w:rsid w:val="00107397"/>
    <w:rsid w:val="0010752F"/>
    <w:rsid w:val="0010753B"/>
    <w:rsid w:val="0010755C"/>
    <w:rsid w:val="00107575"/>
    <w:rsid w:val="00107624"/>
    <w:rsid w:val="0010768D"/>
    <w:rsid w:val="001076B7"/>
    <w:rsid w:val="00107724"/>
    <w:rsid w:val="00107762"/>
    <w:rsid w:val="00107801"/>
    <w:rsid w:val="00107814"/>
    <w:rsid w:val="0010782E"/>
    <w:rsid w:val="00107891"/>
    <w:rsid w:val="001078EF"/>
    <w:rsid w:val="001078F9"/>
    <w:rsid w:val="00107907"/>
    <w:rsid w:val="001079A7"/>
    <w:rsid w:val="00107A4D"/>
    <w:rsid w:val="00107A56"/>
    <w:rsid w:val="00107A8C"/>
    <w:rsid w:val="00107AA1"/>
    <w:rsid w:val="00107ADA"/>
    <w:rsid w:val="00107AF3"/>
    <w:rsid w:val="00107B89"/>
    <w:rsid w:val="00107BA1"/>
    <w:rsid w:val="00107BB4"/>
    <w:rsid w:val="00107BC2"/>
    <w:rsid w:val="00107C48"/>
    <w:rsid w:val="00107C4F"/>
    <w:rsid w:val="00107CD6"/>
    <w:rsid w:val="00107D11"/>
    <w:rsid w:val="00107D29"/>
    <w:rsid w:val="00107D51"/>
    <w:rsid w:val="00107E07"/>
    <w:rsid w:val="00107E55"/>
    <w:rsid w:val="00107E7F"/>
    <w:rsid w:val="00107EA1"/>
    <w:rsid w:val="00107EE7"/>
    <w:rsid w:val="00107F72"/>
    <w:rsid w:val="00107FD7"/>
    <w:rsid w:val="00110002"/>
    <w:rsid w:val="00110031"/>
    <w:rsid w:val="00110032"/>
    <w:rsid w:val="001100D2"/>
    <w:rsid w:val="00110108"/>
    <w:rsid w:val="0011015E"/>
    <w:rsid w:val="001101A5"/>
    <w:rsid w:val="001101B9"/>
    <w:rsid w:val="001102A4"/>
    <w:rsid w:val="001102B9"/>
    <w:rsid w:val="001102FE"/>
    <w:rsid w:val="001103B1"/>
    <w:rsid w:val="001103B7"/>
    <w:rsid w:val="001103FA"/>
    <w:rsid w:val="001104BE"/>
    <w:rsid w:val="001105C2"/>
    <w:rsid w:val="001105C3"/>
    <w:rsid w:val="001105F8"/>
    <w:rsid w:val="00110624"/>
    <w:rsid w:val="00110692"/>
    <w:rsid w:val="001106A5"/>
    <w:rsid w:val="0011076A"/>
    <w:rsid w:val="0011076D"/>
    <w:rsid w:val="001107AD"/>
    <w:rsid w:val="001107B1"/>
    <w:rsid w:val="00110992"/>
    <w:rsid w:val="001109A8"/>
    <w:rsid w:val="001109BA"/>
    <w:rsid w:val="001109FD"/>
    <w:rsid w:val="00110A70"/>
    <w:rsid w:val="00110A91"/>
    <w:rsid w:val="00110AE4"/>
    <w:rsid w:val="00110B2D"/>
    <w:rsid w:val="00110B2E"/>
    <w:rsid w:val="00110B63"/>
    <w:rsid w:val="00110B8F"/>
    <w:rsid w:val="00110BCA"/>
    <w:rsid w:val="00110C8A"/>
    <w:rsid w:val="00110CBE"/>
    <w:rsid w:val="00110CF8"/>
    <w:rsid w:val="00110D1B"/>
    <w:rsid w:val="00110D8C"/>
    <w:rsid w:val="00110DA5"/>
    <w:rsid w:val="00110DB3"/>
    <w:rsid w:val="00110DBA"/>
    <w:rsid w:val="00110DBC"/>
    <w:rsid w:val="00110E1E"/>
    <w:rsid w:val="00110E69"/>
    <w:rsid w:val="00110F11"/>
    <w:rsid w:val="00110F62"/>
    <w:rsid w:val="00110F65"/>
    <w:rsid w:val="00110FC4"/>
    <w:rsid w:val="00110FE9"/>
    <w:rsid w:val="00111040"/>
    <w:rsid w:val="00111057"/>
    <w:rsid w:val="00111084"/>
    <w:rsid w:val="001110B6"/>
    <w:rsid w:val="001110BA"/>
    <w:rsid w:val="00111143"/>
    <w:rsid w:val="00111197"/>
    <w:rsid w:val="001111BC"/>
    <w:rsid w:val="001111E2"/>
    <w:rsid w:val="001111E6"/>
    <w:rsid w:val="00111276"/>
    <w:rsid w:val="0011127A"/>
    <w:rsid w:val="00111288"/>
    <w:rsid w:val="001112F2"/>
    <w:rsid w:val="00111375"/>
    <w:rsid w:val="001113FD"/>
    <w:rsid w:val="00111486"/>
    <w:rsid w:val="001114AB"/>
    <w:rsid w:val="001114C4"/>
    <w:rsid w:val="001114CB"/>
    <w:rsid w:val="001114D5"/>
    <w:rsid w:val="001114ED"/>
    <w:rsid w:val="00111538"/>
    <w:rsid w:val="00111601"/>
    <w:rsid w:val="00111604"/>
    <w:rsid w:val="00111671"/>
    <w:rsid w:val="001116CC"/>
    <w:rsid w:val="001116FE"/>
    <w:rsid w:val="00111702"/>
    <w:rsid w:val="001117DD"/>
    <w:rsid w:val="00111803"/>
    <w:rsid w:val="0011186E"/>
    <w:rsid w:val="001118BF"/>
    <w:rsid w:val="001118CB"/>
    <w:rsid w:val="001118D5"/>
    <w:rsid w:val="001118EA"/>
    <w:rsid w:val="00111933"/>
    <w:rsid w:val="00111974"/>
    <w:rsid w:val="00111A17"/>
    <w:rsid w:val="00111A35"/>
    <w:rsid w:val="00111A3E"/>
    <w:rsid w:val="00111A9C"/>
    <w:rsid w:val="00111AB6"/>
    <w:rsid w:val="00111B29"/>
    <w:rsid w:val="00111B91"/>
    <w:rsid w:val="00111CC1"/>
    <w:rsid w:val="00111CFA"/>
    <w:rsid w:val="00111D1E"/>
    <w:rsid w:val="00111D67"/>
    <w:rsid w:val="00111D86"/>
    <w:rsid w:val="00111E73"/>
    <w:rsid w:val="00111F23"/>
    <w:rsid w:val="00111FD6"/>
    <w:rsid w:val="0011200B"/>
    <w:rsid w:val="0011202C"/>
    <w:rsid w:val="0011206C"/>
    <w:rsid w:val="0011210F"/>
    <w:rsid w:val="0011212F"/>
    <w:rsid w:val="0011215A"/>
    <w:rsid w:val="00112166"/>
    <w:rsid w:val="001121A4"/>
    <w:rsid w:val="001121C1"/>
    <w:rsid w:val="001121EA"/>
    <w:rsid w:val="00112375"/>
    <w:rsid w:val="001123ED"/>
    <w:rsid w:val="00112409"/>
    <w:rsid w:val="00112418"/>
    <w:rsid w:val="0011251D"/>
    <w:rsid w:val="00112586"/>
    <w:rsid w:val="0011259E"/>
    <w:rsid w:val="00112656"/>
    <w:rsid w:val="0011274B"/>
    <w:rsid w:val="0011277F"/>
    <w:rsid w:val="00112844"/>
    <w:rsid w:val="0011289B"/>
    <w:rsid w:val="001128B4"/>
    <w:rsid w:val="001128D4"/>
    <w:rsid w:val="001128EB"/>
    <w:rsid w:val="0011299C"/>
    <w:rsid w:val="00112A75"/>
    <w:rsid w:val="00112AA6"/>
    <w:rsid w:val="00112B0C"/>
    <w:rsid w:val="00112B2B"/>
    <w:rsid w:val="00112BB3"/>
    <w:rsid w:val="00112C43"/>
    <w:rsid w:val="00112C4C"/>
    <w:rsid w:val="00112C93"/>
    <w:rsid w:val="00112CD4"/>
    <w:rsid w:val="00112CD5"/>
    <w:rsid w:val="00112D88"/>
    <w:rsid w:val="00112DAD"/>
    <w:rsid w:val="00112E6D"/>
    <w:rsid w:val="00112F7D"/>
    <w:rsid w:val="00112FBD"/>
    <w:rsid w:val="00113023"/>
    <w:rsid w:val="001130C1"/>
    <w:rsid w:val="00113100"/>
    <w:rsid w:val="00113126"/>
    <w:rsid w:val="0011318F"/>
    <w:rsid w:val="00113270"/>
    <w:rsid w:val="001132DC"/>
    <w:rsid w:val="00113302"/>
    <w:rsid w:val="00113305"/>
    <w:rsid w:val="00113374"/>
    <w:rsid w:val="00113390"/>
    <w:rsid w:val="001133A3"/>
    <w:rsid w:val="001133B0"/>
    <w:rsid w:val="001133E0"/>
    <w:rsid w:val="00113426"/>
    <w:rsid w:val="00113451"/>
    <w:rsid w:val="00113469"/>
    <w:rsid w:val="001134B2"/>
    <w:rsid w:val="001135C4"/>
    <w:rsid w:val="001135E2"/>
    <w:rsid w:val="00113635"/>
    <w:rsid w:val="0011378E"/>
    <w:rsid w:val="001138A2"/>
    <w:rsid w:val="001138DC"/>
    <w:rsid w:val="001138FA"/>
    <w:rsid w:val="0011399F"/>
    <w:rsid w:val="001139D8"/>
    <w:rsid w:val="00113A3D"/>
    <w:rsid w:val="00113B55"/>
    <w:rsid w:val="00113B7C"/>
    <w:rsid w:val="00113BAA"/>
    <w:rsid w:val="00113BAD"/>
    <w:rsid w:val="00113C16"/>
    <w:rsid w:val="00113C95"/>
    <w:rsid w:val="00113C9F"/>
    <w:rsid w:val="00113CA4"/>
    <w:rsid w:val="00113CBD"/>
    <w:rsid w:val="00113D07"/>
    <w:rsid w:val="00113E04"/>
    <w:rsid w:val="00113E12"/>
    <w:rsid w:val="00113EE0"/>
    <w:rsid w:val="00113F99"/>
    <w:rsid w:val="00113F9D"/>
    <w:rsid w:val="00113FF7"/>
    <w:rsid w:val="0011403E"/>
    <w:rsid w:val="0011421E"/>
    <w:rsid w:val="00114238"/>
    <w:rsid w:val="0011425B"/>
    <w:rsid w:val="001142A2"/>
    <w:rsid w:val="001142EF"/>
    <w:rsid w:val="00114325"/>
    <w:rsid w:val="00114433"/>
    <w:rsid w:val="001145FA"/>
    <w:rsid w:val="00114665"/>
    <w:rsid w:val="001146CE"/>
    <w:rsid w:val="001146D4"/>
    <w:rsid w:val="00114705"/>
    <w:rsid w:val="00114708"/>
    <w:rsid w:val="00114802"/>
    <w:rsid w:val="00114851"/>
    <w:rsid w:val="001148DF"/>
    <w:rsid w:val="00114980"/>
    <w:rsid w:val="001149BF"/>
    <w:rsid w:val="001149EF"/>
    <w:rsid w:val="00114A51"/>
    <w:rsid w:val="00114A83"/>
    <w:rsid w:val="00114B14"/>
    <w:rsid w:val="00114B2B"/>
    <w:rsid w:val="00114BA8"/>
    <w:rsid w:val="00114C29"/>
    <w:rsid w:val="00114C32"/>
    <w:rsid w:val="00114C5F"/>
    <w:rsid w:val="00114CA8"/>
    <w:rsid w:val="00114D09"/>
    <w:rsid w:val="00114D2D"/>
    <w:rsid w:val="00114D4A"/>
    <w:rsid w:val="00114D67"/>
    <w:rsid w:val="00114D97"/>
    <w:rsid w:val="00114DA7"/>
    <w:rsid w:val="00114DBA"/>
    <w:rsid w:val="00114DF6"/>
    <w:rsid w:val="00114E23"/>
    <w:rsid w:val="00114E24"/>
    <w:rsid w:val="00114EEA"/>
    <w:rsid w:val="0011509D"/>
    <w:rsid w:val="001150FF"/>
    <w:rsid w:val="00115111"/>
    <w:rsid w:val="001151A3"/>
    <w:rsid w:val="001151D1"/>
    <w:rsid w:val="0011522E"/>
    <w:rsid w:val="001152D5"/>
    <w:rsid w:val="00115452"/>
    <w:rsid w:val="0011545E"/>
    <w:rsid w:val="0011546D"/>
    <w:rsid w:val="00115522"/>
    <w:rsid w:val="001155DD"/>
    <w:rsid w:val="001156D4"/>
    <w:rsid w:val="00115724"/>
    <w:rsid w:val="0011576A"/>
    <w:rsid w:val="0011579B"/>
    <w:rsid w:val="001157F5"/>
    <w:rsid w:val="001158B7"/>
    <w:rsid w:val="001158D7"/>
    <w:rsid w:val="001158DA"/>
    <w:rsid w:val="00115953"/>
    <w:rsid w:val="0011596F"/>
    <w:rsid w:val="00115982"/>
    <w:rsid w:val="001159D4"/>
    <w:rsid w:val="00115AD9"/>
    <w:rsid w:val="00115AE7"/>
    <w:rsid w:val="00115B28"/>
    <w:rsid w:val="00115B62"/>
    <w:rsid w:val="00115B7F"/>
    <w:rsid w:val="00115C2A"/>
    <w:rsid w:val="00115C49"/>
    <w:rsid w:val="00115CCC"/>
    <w:rsid w:val="00115D33"/>
    <w:rsid w:val="00115D6F"/>
    <w:rsid w:val="00115DE0"/>
    <w:rsid w:val="00115EA9"/>
    <w:rsid w:val="00115EE4"/>
    <w:rsid w:val="00115EFA"/>
    <w:rsid w:val="00115F71"/>
    <w:rsid w:val="00116015"/>
    <w:rsid w:val="001160A9"/>
    <w:rsid w:val="001160EF"/>
    <w:rsid w:val="0011621F"/>
    <w:rsid w:val="0011628A"/>
    <w:rsid w:val="001162AC"/>
    <w:rsid w:val="001162BF"/>
    <w:rsid w:val="001162FB"/>
    <w:rsid w:val="0011635B"/>
    <w:rsid w:val="00116373"/>
    <w:rsid w:val="00116386"/>
    <w:rsid w:val="00116450"/>
    <w:rsid w:val="001164A7"/>
    <w:rsid w:val="001164E9"/>
    <w:rsid w:val="00116566"/>
    <w:rsid w:val="0011658B"/>
    <w:rsid w:val="001165F8"/>
    <w:rsid w:val="0011661B"/>
    <w:rsid w:val="0011662E"/>
    <w:rsid w:val="001166FC"/>
    <w:rsid w:val="00116793"/>
    <w:rsid w:val="00116797"/>
    <w:rsid w:val="001167DA"/>
    <w:rsid w:val="0011681E"/>
    <w:rsid w:val="00116834"/>
    <w:rsid w:val="00116976"/>
    <w:rsid w:val="001169BB"/>
    <w:rsid w:val="00116A63"/>
    <w:rsid w:val="00116A83"/>
    <w:rsid w:val="00116AF5"/>
    <w:rsid w:val="00116B04"/>
    <w:rsid w:val="00116B29"/>
    <w:rsid w:val="00116B96"/>
    <w:rsid w:val="00116BC7"/>
    <w:rsid w:val="00116BF5"/>
    <w:rsid w:val="00116CD1"/>
    <w:rsid w:val="00116D55"/>
    <w:rsid w:val="00116D57"/>
    <w:rsid w:val="00116E65"/>
    <w:rsid w:val="00116E75"/>
    <w:rsid w:val="00116E9E"/>
    <w:rsid w:val="00116EAA"/>
    <w:rsid w:val="00116EE7"/>
    <w:rsid w:val="00116F18"/>
    <w:rsid w:val="00116FB3"/>
    <w:rsid w:val="0011704E"/>
    <w:rsid w:val="001170C7"/>
    <w:rsid w:val="001170F5"/>
    <w:rsid w:val="00117144"/>
    <w:rsid w:val="0011714E"/>
    <w:rsid w:val="00117179"/>
    <w:rsid w:val="0011719D"/>
    <w:rsid w:val="0011719F"/>
    <w:rsid w:val="00117386"/>
    <w:rsid w:val="001173F2"/>
    <w:rsid w:val="0011743E"/>
    <w:rsid w:val="0011744E"/>
    <w:rsid w:val="00117511"/>
    <w:rsid w:val="00117567"/>
    <w:rsid w:val="0011758B"/>
    <w:rsid w:val="001175A0"/>
    <w:rsid w:val="001175A8"/>
    <w:rsid w:val="001175B2"/>
    <w:rsid w:val="001176F5"/>
    <w:rsid w:val="00117733"/>
    <w:rsid w:val="001177BE"/>
    <w:rsid w:val="001177E4"/>
    <w:rsid w:val="00117805"/>
    <w:rsid w:val="0011784B"/>
    <w:rsid w:val="00117859"/>
    <w:rsid w:val="00117904"/>
    <w:rsid w:val="00117918"/>
    <w:rsid w:val="001179BB"/>
    <w:rsid w:val="001179C6"/>
    <w:rsid w:val="001179F8"/>
    <w:rsid w:val="00117B43"/>
    <w:rsid w:val="00117B5C"/>
    <w:rsid w:val="00117C0A"/>
    <w:rsid w:val="00117C3A"/>
    <w:rsid w:val="00117C5F"/>
    <w:rsid w:val="00117C98"/>
    <w:rsid w:val="00117CFB"/>
    <w:rsid w:val="00117D0C"/>
    <w:rsid w:val="00117DC9"/>
    <w:rsid w:val="00117E40"/>
    <w:rsid w:val="00117E87"/>
    <w:rsid w:val="00117F12"/>
    <w:rsid w:val="00120000"/>
    <w:rsid w:val="0012003C"/>
    <w:rsid w:val="0012008C"/>
    <w:rsid w:val="001200F6"/>
    <w:rsid w:val="00120133"/>
    <w:rsid w:val="00120140"/>
    <w:rsid w:val="001202E5"/>
    <w:rsid w:val="001202FC"/>
    <w:rsid w:val="00120364"/>
    <w:rsid w:val="001204F9"/>
    <w:rsid w:val="0012057F"/>
    <w:rsid w:val="00120712"/>
    <w:rsid w:val="001207AA"/>
    <w:rsid w:val="001207B1"/>
    <w:rsid w:val="001207B5"/>
    <w:rsid w:val="001207F5"/>
    <w:rsid w:val="0012081B"/>
    <w:rsid w:val="00120859"/>
    <w:rsid w:val="0012085B"/>
    <w:rsid w:val="00120867"/>
    <w:rsid w:val="00120878"/>
    <w:rsid w:val="0012087B"/>
    <w:rsid w:val="001208D7"/>
    <w:rsid w:val="001208FC"/>
    <w:rsid w:val="00120991"/>
    <w:rsid w:val="0012099F"/>
    <w:rsid w:val="00120A3C"/>
    <w:rsid w:val="00120A7B"/>
    <w:rsid w:val="00120A9B"/>
    <w:rsid w:val="00120ABF"/>
    <w:rsid w:val="00120AD4"/>
    <w:rsid w:val="00120AF0"/>
    <w:rsid w:val="00120B24"/>
    <w:rsid w:val="00120B34"/>
    <w:rsid w:val="00120B65"/>
    <w:rsid w:val="00120C9E"/>
    <w:rsid w:val="00120CBE"/>
    <w:rsid w:val="00120CC9"/>
    <w:rsid w:val="00120D22"/>
    <w:rsid w:val="00120D74"/>
    <w:rsid w:val="00120E2F"/>
    <w:rsid w:val="00120E45"/>
    <w:rsid w:val="00120E5D"/>
    <w:rsid w:val="00120ECD"/>
    <w:rsid w:val="00120F06"/>
    <w:rsid w:val="00121079"/>
    <w:rsid w:val="00121080"/>
    <w:rsid w:val="001210BE"/>
    <w:rsid w:val="001210BF"/>
    <w:rsid w:val="0012110C"/>
    <w:rsid w:val="00121187"/>
    <w:rsid w:val="001211DF"/>
    <w:rsid w:val="001212CB"/>
    <w:rsid w:val="001212F9"/>
    <w:rsid w:val="00121373"/>
    <w:rsid w:val="0012137D"/>
    <w:rsid w:val="0012139F"/>
    <w:rsid w:val="001213AC"/>
    <w:rsid w:val="001213EF"/>
    <w:rsid w:val="00121415"/>
    <w:rsid w:val="00121419"/>
    <w:rsid w:val="00121442"/>
    <w:rsid w:val="0012156D"/>
    <w:rsid w:val="00121641"/>
    <w:rsid w:val="00121714"/>
    <w:rsid w:val="00121750"/>
    <w:rsid w:val="001217B5"/>
    <w:rsid w:val="001217DA"/>
    <w:rsid w:val="0012195F"/>
    <w:rsid w:val="00121A65"/>
    <w:rsid w:val="00121ACC"/>
    <w:rsid w:val="00121AFB"/>
    <w:rsid w:val="00121BDE"/>
    <w:rsid w:val="00121C30"/>
    <w:rsid w:val="00121C5F"/>
    <w:rsid w:val="00121CA7"/>
    <w:rsid w:val="00121DED"/>
    <w:rsid w:val="00121F2B"/>
    <w:rsid w:val="00121F5C"/>
    <w:rsid w:val="00121F72"/>
    <w:rsid w:val="00122073"/>
    <w:rsid w:val="00122075"/>
    <w:rsid w:val="001220D2"/>
    <w:rsid w:val="00122134"/>
    <w:rsid w:val="001221F2"/>
    <w:rsid w:val="00122255"/>
    <w:rsid w:val="0012225F"/>
    <w:rsid w:val="0012227A"/>
    <w:rsid w:val="00122293"/>
    <w:rsid w:val="001222A3"/>
    <w:rsid w:val="001222F2"/>
    <w:rsid w:val="001222F4"/>
    <w:rsid w:val="0012230C"/>
    <w:rsid w:val="0012231A"/>
    <w:rsid w:val="0012234A"/>
    <w:rsid w:val="00122380"/>
    <w:rsid w:val="0012238D"/>
    <w:rsid w:val="001223C5"/>
    <w:rsid w:val="001223D3"/>
    <w:rsid w:val="001223FF"/>
    <w:rsid w:val="00122482"/>
    <w:rsid w:val="001224A7"/>
    <w:rsid w:val="001224C3"/>
    <w:rsid w:val="00122510"/>
    <w:rsid w:val="0012256A"/>
    <w:rsid w:val="001225A9"/>
    <w:rsid w:val="00122647"/>
    <w:rsid w:val="0012266E"/>
    <w:rsid w:val="001226A0"/>
    <w:rsid w:val="001226FB"/>
    <w:rsid w:val="00122757"/>
    <w:rsid w:val="0012277F"/>
    <w:rsid w:val="001227EE"/>
    <w:rsid w:val="00122802"/>
    <w:rsid w:val="00122870"/>
    <w:rsid w:val="00122882"/>
    <w:rsid w:val="001228BA"/>
    <w:rsid w:val="001228C2"/>
    <w:rsid w:val="001228EB"/>
    <w:rsid w:val="00122922"/>
    <w:rsid w:val="001229DB"/>
    <w:rsid w:val="00122A2F"/>
    <w:rsid w:val="00122A3D"/>
    <w:rsid w:val="00122BA9"/>
    <w:rsid w:val="00122BD6"/>
    <w:rsid w:val="00122C59"/>
    <w:rsid w:val="00122C7E"/>
    <w:rsid w:val="00122CA4"/>
    <w:rsid w:val="00122CD6"/>
    <w:rsid w:val="00122E24"/>
    <w:rsid w:val="00122F5C"/>
    <w:rsid w:val="00122F64"/>
    <w:rsid w:val="00122FAA"/>
    <w:rsid w:val="00122FE3"/>
    <w:rsid w:val="00122FEC"/>
    <w:rsid w:val="0012305A"/>
    <w:rsid w:val="001230C3"/>
    <w:rsid w:val="00123178"/>
    <w:rsid w:val="0012318B"/>
    <w:rsid w:val="0012321B"/>
    <w:rsid w:val="0012325F"/>
    <w:rsid w:val="0012328A"/>
    <w:rsid w:val="001232A1"/>
    <w:rsid w:val="001232F5"/>
    <w:rsid w:val="001232FC"/>
    <w:rsid w:val="0012332F"/>
    <w:rsid w:val="001233F2"/>
    <w:rsid w:val="0012346E"/>
    <w:rsid w:val="0012347C"/>
    <w:rsid w:val="00123483"/>
    <w:rsid w:val="001234D0"/>
    <w:rsid w:val="0012361C"/>
    <w:rsid w:val="001236B2"/>
    <w:rsid w:val="001236EB"/>
    <w:rsid w:val="001237D5"/>
    <w:rsid w:val="001237E8"/>
    <w:rsid w:val="0012387A"/>
    <w:rsid w:val="001238B8"/>
    <w:rsid w:val="001238D8"/>
    <w:rsid w:val="001238D9"/>
    <w:rsid w:val="0012392E"/>
    <w:rsid w:val="00123969"/>
    <w:rsid w:val="00123986"/>
    <w:rsid w:val="001239A8"/>
    <w:rsid w:val="00123A49"/>
    <w:rsid w:val="00123A65"/>
    <w:rsid w:val="00123AF2"/>
    <w:rsid w:val="00123B20"/>
    <w:rsid w:val="00123B37"/>
    <w:rsid w:val="00123B95"/>
    <w:rsid w:val="00123BC8"/>
    <w:rsid w:val="00123C54"/>
    <w:rsid w:val="00123C77"/>
    <w:rsid w:val="00123CC9"/>
    <w:rsid w:val="00123CD1"/>
    <w:rsid w:val="00123D21"/>
    <w:rsid w:val="00123D52"/>
    <w:rsid w:val="00123D94"/>
    <w:rsid w:val="00123DBA"/>
    <w:rsid w:val="00123F08"/>
    <w:rsid w:val="00123FF0"/>
    <w:rsid w:val="00124053"/>
    <w:rsid w:val="001240A4"/>
    <w:rsid w:val="00124103"/>
    <w:rsid w:val="0012411E"/>
    <w:rsid w:val="0012414D"/>
    <w:rsid w:val="001241B9"/>
    <w:rsid w:val="00124200"/>
    <w:rsid w:val="0012420D"/>
    <w:rsid w:val="00124247"/>
    <w:rsid w:val="0012424E"/>
    <w:rsid w:val="00124285"/>
    <w:rsid w:val="0012428B"/>
    <w:rsid w:val="001242F8"/>
    <w:rsid w:val="00124344"/>
    <w:rsid w:val="00124350"/>
    <w:rsid w:val="001243E9"/>
    <w:rsid w:val="0012440B"/>
    <w:rsid w:val="00124443"/>
    <w:rsid w:val="00124503"/>
    <w:rsid w:val="0012451E"/>
    <w:rsid w:val="001245EA"/>
    <w:rsid w:val="00124631"/>
    <w:rsid w:val="00124655"/>
    <w:rsid w:val="00124661"/>
    <w:rsid w:val="0012467A"/>
    <w:rsid w:val="00124702"/>
    <w:rsid w:val="00124719"/>
    <w:rsid w:val="0012475B"/>
    <w:rsid w:val="001247A3"/>
    <w:rsid w:val="001247E2"/>
    <w:rsid w:val="00124813"/>
    <w:rsid w:val="00124839"/>
    <w:rsid w:val="0012488A"/>
    <w:rsid w:val="0012494A"/>
    <w:rsid w:val="0012496C"/>
    <w:rsid w:val="0012499B"/>
    <w:rsid w:val="001249BD"/>
    <w:rsid w:val="00124A14"/>
    <w:rsid w:val="00124A36"/>
    <w:rsid w:val="00124A64"/>
    <w:rsid w:val="00124A9D"/>
    <w:rsid w:val="00124AA5"/>
    <w:rsid w:val="00124AA9"/>
    <w:rsid w:val="00124B10"/>
    <w:rsid w:val="00124BA8"/>
    <w:rsid w:val="00124BC0"/>
    <w:rsid w:val="00124BFB"/>
    <w:rsid w:val="00124DA1"/>
    <w:rsid w:val="00124DA4"/>
    <w:rsid w:val="00124DEF"/>
    <w:rsid w:val="00124E52"/>
    <w:rsid w:val="00124E60"/>
    <w:rsid w:val="00124F02"/>
    <w:rsid w:val="00124F44"/>
    <w:rsid w:val="00124F6C"/>
    <w:rsid w:val="00124F7C"/>
    <w:rsid w:val="00124FAB"/>
    <w:rsid w:val="0012502D"/>
    <w:rsid w:val="0012505E"/>
    <w:rsid w:val="00125101"/>
    <w:rsid w:val="00125104"/>
    <w:rsid w:val="00125130"/>
    <w:rsid w:val="0012514D"/>
    <w:rsid w:val="0012516F"/>
    <w:rsid w:val="00125174"/>
    <w:rsid w:val="00125191"/>
    <w:rsid w:val="001251A8"/>
    <w:rsid w:val="001251EA"/>
    <w:rsid w:val="00125252"/>
    <w:rsid w:val="001252B0"/>
    <w:rsid w:val="00125392"/>
    <w:rsid w:val="001253F2"/>
    <w:rsid w:val="00125417"/>
    <w:rsid w:val="0012541D"/>
    <w:rsid w:val="0012548B"/>
    <w:rsid w:val="001254CC"/>
    <w:rsid w:val="00125555"/>
    <w:rsid w:val="0012556C"/>
    <w:rsid w:val="00125589"/>
    <w:rsid w:val="001255BB"/>
    <w:rsid w:val="00125627"/>
    <w:rsid w:val="00125672"/>
    <w:rsid w:val="00125680"/>
    <w:rsid w:val="001256CB"/>
    <w:rsid w:val="00125753"/>
    <w:rsid w:val="00125763"/>
    <w:rsid w:val="0012579D"/>
    <w:rsid w:val="0012581A"/>
    <w:rsid w:val="001258A5"/>
    <w:rsid w:val="0012591A"/>
    <w:rsid w:val="001259E5"/>
    <w:rsid w:val="00125AF2"/>
    <w:rsid w:val="00125B39"/>
    <w:rsid w:val="00125B4D"/>
    <w:rsid w:val="00125B4E"/>
    <w:rsid w:val="00125B5B"/>
    <w:rsid w:val="00125BDE"/>
    <w:rsid w:val="00125C00"/>
    <w:rsid w:val="00125D3E"/>
    <w:rsid w:val="00125D48"/>
    <w:rsid w:val="00125F22"/>
    <w:rsid w:val="00125F23"/>
    <w:rsid w:val="00125F2F"/>
    <w:rsid w:val="00125F3D"/>
    <w:rsid w:val="00126078"/>
    <w:rsid w:val="00126166"/>
    <w:rsid w:val="001261CC"/>
    <w:rsid w:val="00126241"/>
    <w:rsid w:val="00126255"/>
    <w:rsid w:val="0012626E"/>
    <w:rsid w:val="00126299"/>
    <w:rsid w:val="001262C6"/>
    <w:rsid w:val="001262DC"/>
    <w:rsid w:val="0012634D"/>
    <w:rsid w:val="00126410"/>
    <w:rsid w:val="0012642C"/>
    <w:rsid w:val="00126433"/>
    <w:rsid w:val="0012645A"/>
    <w:rsid w:val="0012648D"/>
    <w:rsid w:val="001264B6"/>
    <w:rsid w:val="00126537"/>
    <w:rsid w:val="00126586"/>
    <w:rsid w:val="0012658F"/>
    <w:rsid w:val="001265A8"/>
    <w:rsid w:val="001265BB"/>
    <w:rsid w:val="001265D2"/>
    <w:rsid w:val="001265F2"/>
    <w:rsid w:val="00126635"/>
    <w:rsid w:val="001266A9"/>
    <w:rsid w:val="001266E8"/>
    <w:rsid w:val="00126703"/>
    <w:rsid w:val="0012674F"/>
    <w:rsid w:val="0012675F"/>
    <w:rsid w:val="00126786"/>
    <w:rsid w:val="0012678F"/>
    <w:rsid w:val="0012685C"/>
    <w:rsid w:val="00126876"/>
    <w:rsid w:val="00126883"/>
    <w:rsid w:val="0012688A"/>
    <w:rsid w:val="001268D4"/>
    <w:rsid w:val="001268F2"/>
    <w:rsid w:val="001268F8"/>
    <w:rsid w:val="00126901"/>
    <w:rsid w:val="0012698F"/>
    <w:rsid w:val="001269A9"/>
    <w:rsid w:val="001269DA"/>
    <w:rsid w:val="00126ACE"/>
    <w:rsid w:val="00126B13"/>
    <w:rsid w:val="00126C00"/>
    <w:rsid w:val="00126C3C"/>
    <w:rsid w:val="00126CD8"/>
    <w:rsid w:val="00126CE3"/>
    <w:rsid w:val="00126CED"/>
    <w:rsid w:val="00126D76"/>
    <w:rsid w:val="00126DB7"/>
    <w:rsid w:val="00126E5A"/>
    <w:rsid w:val="00126ED9"/>
    <w:rsid w:val="00126F14"/>
    <w:rsid w:val="00126F7A"/>
    <w:rsid w:val="00127025"/>
    <w:rsid w:val="0012703B"/>
    <w:rsid w:val="00127053"/>
    <w:rsid w:val="001270B8"/>
    <w:rsid w:val="001270C1"/>
    <w:rsid w:val="001270EC"/>
    <w:rsid w:val="00127107"/>
    <w:rsid w:val="00127132"/>
    <w:rsid w:val="00127139"/>
    <w:rsid w:val="00127322"/>
    <w:rsid w:val="001273B9"/>
    <w:rsid w:val="00127425"/>
    <w:rsid w:val="00127435"/>
    <w:rsid w:val="00127472"/>
    <w:rsid w:val="001274ED"/>
    <w:rsid w:val="00127511"/>
    <w:rsid w:val="00127576"/>
    <w:rsid w:val="0012767D"/>
    <w:rsid w:val="001276AD"/>
    <w:rsid w:val="001276E9"/>
    <w:rsid w:val="0012777F"/>
    <w:rsid w:val="001277F0"/>
    <w:rsid w:val="00127854"/>
    <w:rsid w:val="00127887"/>
    <w:rsid w:val="001278C8"/>
    <w:rsid w:val="00127936"/>
    <w:rsid w:val="00127A4D"/>
    <w:rsid w:val="00127A50"/>
    <w:rsid w:val="00127A91"/>
    <w:rsid w:val="00127ADC"/>
    <w:rsid w:val="00127AE8"/>
    <w:rsid w:val="00127B62"/>
    <w:rsid w:val="00127B94"/>
    <w:rsid w:val="00127C23"/>
    <w:rsid w:val="00127C4D"/>
    <w:rsid w:val="00127C57"/>
    <w:rsid w:val="00127CB7"/>
    <w:rsid w:val="00127D8A"/>
    <w:rsid w:val="00127D99"/>
    <w:rsid w:val="00127DD4"/>
    <w:rsid w:val="00127E0F"/>
    <w:rsid w:val="00127E40"/>
    <w:rsid w:val="00127E74"/>
    <w:rsid w:val="00127F09"/>
    <w:rsid w:val="00127F36"/>
    <w:rsid w:val="00130024"/>
    <w:rsid w:val="001300A0"/>
    <w:rsid w:val="001300A1"/>
    <w:rsid w:val="001300C1"/>
    <w:rsid w:val="00130116"/>
    <w:rsid w:val="001301AD"/>
    <w:rsid w:val="00130234"/>
    <w:rsid w:val="00130257"/>
    <w:rsid w:val="00130290"/>
    <w:rsid w:val="001302C6"/>
    <w:rsid w:val="001302F5"/>
    <w:rsid w:val="00130321"/>
    <w:rsid w:val="00130323"/>
    <w:rsid w:val="0013036E"/>
    <w:rsid w:val="001303C6"/>
    <w:rsid w:val="001303D4"/>
    <w:rsid w:val="0013044C"/>
    <w:rsid w:val="0013046B"/>
    <w:rsid w:val="001304B6"/>
    <w:rsid w:val="001304F7"/>
    <w:rsid w:val="00130511"/>
    <w:rsid w:val="0013059C"/>
    <w:rsid w:val="001305A7"/>
    <w:rsid w:val="001305CB"/>
    <w:rsid w:val="0013068A"/>
    <w:rsid w:val="001306ED"/>
    <w:rsid w:val="00130728"/>
    <w:rsid w:val="0013073F"/>
    <w:rsid w:val="0013076C"/>
    <w:rsid w:val="00130780"/>
    <w:rsid w:val="001307E8"/>
    <w:rsid w:val="00130907"/>
    <w:rsid w:val="0013095C"/>
    <w:rsid w:val="00130972"/>
    <w:rsid w:val="00130A85"/>
    <w:rsid w:val="00130A89"/>
    <w:rsid w:val="00130ACD"/>
    <w:rsid w:val="00130AF5"/>
    <w:rsid w:val="00130AFF"/>
    <w:rsid w:val="00130B06"/>
    <w:rsid w:val="00130B13"/>
    <w:rsid w:val="00130B2E"/>
    <w:rsid w:val="00130C16"/>
    <w:rsid w:val="00130C6F"/>
    <w:rsid w:val="00130D61"/>
    <w:rsid w:val="00130D89"/>
    <w:rsid w:val="00130D9D"/>
    <w:rsid w:val="00130E44"/>
    <w:rsid w:val="00130F34"/>
    <w:rsid w:val="00130FD1"/>
    <w:rsid w:val="00131089"/>
    <w:rsid w:val="00131184"/>
    <w:rsid w:val="001311C7"/>
    <w:rsid w:val="001311CA"/>
    <w:rsid w:val="001312A2"/>
    <w:rsid w:val="001312B0"/>
    <w:rsid w:val="0013139B"/>
    <w:rsid w:val="001313CD"/>
    <w:rsid w:val="0013141A"/>
    <w:rsid w:val="00131454"/>
    <w:rsid w:val="001314D2"/>
    <w:rsid w:val="00131533"/>
    <w:rsid w:val="001315BC"/>
    <w:rsid w:val="00131617"/>
    <w:rsid w:val="0013166B"/>
    <w:rsid w:val="001317B7"/>
    <w:rsid w:val="00131804"/>
    <w:rsid w:val="00131841"/>
    <w:rsid w:val="001318C7"/>
    <w:rsid w:val="00131903"/>
    <w:rsid w:val="00131919"/>
    <w:rsid w:val="001319A2"/>
    <w:rsid w:val="001319B6"/>
    <w:rsid w:val="001319C4"/>
    <w:rsid w:val="001319F0"/>
    <w:rsid w:val="00131AC6"/>
    <w:rsid w:val="00131AEE"/>
    <w:rsid w:val="00131B43"/>
    <w:rsid w:val="00131BE9"/>
    <w:rsid w:val="00131C27"/>
    <w:rsid w:val="00131C8E"/>
    <w:rsid w:val="00131CC3"/>
    <w:rsid w:val="00131CDE"/>
    <w:rsid w:val="00131D06"/>
    <w:rsid w:val="00131D13"/>
    <w:rsid w:val="00131DC3"/>
    <w:rsid w:val="00131DD0"/>
    <w:rsid w:val="00131DE2"/>
    <w:rsid w:val="00131E83"/>
    <w:rsid w:val="00131EAB"/>
    <w:rsid w:val="00131EB1"/>
    <w:rsid w:val="00131EEE"/>
    <w:rsid w:val="00131EFD"/>
    <w:rsid w:val="00131F59"/>
    <w:rsid w:val="00131F7A"/>
    <w:rsid w:val="00132023"/>
    <w:rsid w:val="001320E9"/>
    <w:rsid w:val="001321BD"/>
    <w:rsid w:val="0013221A"/>
    <w:rsid w:val="0013223A"/>
    <w:rsid w:val="00132298"/>
    <w:rsid w:val="00132305"/>
    <w:rsid w:val="0013238C"/>
    <w:rsid w:val="0013238E"/>
    <w:rsid w:val="00132395"/>
    <w:rsid w:val="001323E3"/>
    <w:rsid w:val="00132405"/>
    <w:rsid w:val="0013247A"/>
    <w:rsid w:val="001324B9"/>
    <w:rsid w:val="001324D6"/>
    <w:rsid w:val="001324EA"/>
    <w:rsid w:val="00132577"/>
    <w:rsid w:val="001325A2"/>
    <w:rsid w:val="00132697"/>
    <w:rsid w:val="00132720"/>
    <w:rsid w:val="00132788"/>
    <w:rsid w:val="0013279A"/>
    <w:rsid w:val="00132900"/>
    <w:rsid w:val="001329E2"/>
    <w:rsid w:val="00132A0B"/>
    <w:rsid w:val="00132ADC"/>
    <w:rsid w:val="00132B12"/>
    <w:rsid w:val="00132BB6"/>
    <w:rsid w:val="00132CDB"/>
    <w:rsid w:val="00132D0D"/>
    <w:rsid w:val="00132D1E"/>
    <w:rsid w:val="00132D30"/>
    <w:rsid w:val="00132D4D"/>
    <w:rsid w:val="00132DB8"/>
    <w:rsid w:val="00132E5F"/>
    <w:rsid w:val="00132E78"/>
    <w:rsid w:val="00132ED3"/>
    <w:rsid w:val="00132FCD"/>
    <w:rsid w:val="00133009"/>
    <w:rsid w:val="00133014"/>
    <w:rsid w:val="0013302A"/>
    <w:rsid w:val="00133034"/>
    <w:rsid w:val="0013304B"/>
    <w:rsid w:val="001330F8"/>
    <w:rsid w:val="00133141"/>
    <w:rsid w:val="0013317B"/>
    <w:rsid w:val="00133222"/>
    <w:rsid w:val="001332B6"/>
    <w:rsid w:val="001332C7"/>
    <w:rsid w:val="001332FE"/>
    <w:rsid w:val="00133308"/>
    <w:rsid w:val="00133375"/>
    <w:rsid w:val="00133486"/>
    <w:rsid w:val="00133487"/>
    <w:rsid w:val="00133548"/>
    <w:rsid w:val="001335CA"/>
    <w:rsid w:val="001336D9"/>
    <w:rsid w:val="001336E1"/>
    <w:rsid w:val="00133731"/>
    <w:rsid w:val="0013373B"/>
    <w:rsid w:val="0013379F"/>
    <w:rsid w:val="001337BB"/>
    <w:rsid w:val="00133862"/>
    <w:rsid w:val="0013388D"/>
    <w:rsid w:val="00133892"/>
    <w:rsid w:val="001338E1"/>
    <w:rsid w:val="00133928"/>
    <w:rsid w:val="001339B2"/>
    <w:rsid w:val="00133AB8"/>
    <w:rsid w:val="00133AF5"/>
    <w:rsid w:val="00133C1F"/>
    <w:rsid w:val="00133C82"/>
    <w:rsid w:val="00133C9E"/>
    <w:rsid w:val="00133CE3"/>
    <w:rsid w:val="00133D06"/>
    <w:rsid w:val="00133D42"/>
    <w:rsid w:val="00133DB3"/>
    <w:rsid w:val="00133E47"/>
    <w:rsid w:val="00133E68"/>
    <w:rsid w:val="00133E77"/>
    <w:rsid w:val="00133E9A"/>
    <w:rsid w:val="00133F21"/>
    <w:rsid w:val="00133F90"/>
    <w:rsid w:val="00133FBC"/>
    <w:rsid w:val="00133FBD"/>
    <w:rsid w:val="00133FD8"/>
    <w:rsid w:val="00133FDD"/>
    <w:rsid w:val="00133FE7"/>
    <w:rsid w:val="00133FF2"/>
    <w:rsid w:val="00133FFC"/>
    <w:rsid w:val="0013400A"/>
    <w:rsid w:val="0013403C"/>
    <w:rsid w:val="001340A2"/>
    <w:rsid w:val="001340A4"/>
    <w:rsid w:val="001340D7"/>
    <w:rsid w:val="001340FD"/>
    <w:rsid w:val="00134189"/>
    <w:rsid w:val="001341DB"/>
    <w:rsid w:val="00134210"/>
    <w:rsid w:val="00134222"/>
    <w:rsid w:val="00134256"/>
    <w:rsid w:val="0013427D"/>
    <w:rsid w:val="001342C2"/>
    <w:rsid w:val="001342F9"/>
    <w:rsid w:val="0013433E"/>
    <w:rsid w:val="001343ED"/>
    <w:rsid w:val="00134430"/>
    <w:rsid w:val="0013448F"/>
    <w:rsid w:val="00134516"/>
    <w:rsid w:val="00134528"/>
    <w:rsid w:val="001345DF"/>
    <w:rsid w:val="0013462B"/>
    <w:rsid w:val="00134687"/>
    <w:rsid w:val="00134741"/>
    <w:rsid w:val="0013474B"/>
    <w:rsid w:val="00134765"/>
    <w:rsid w:val="00134788"/>
    <w:rsid w:val="001347C2"/>
    <w:rsid w:val="001347D2"/>
    <w:rsid w:val="00134803"/>
    <w:rsid w:val="001348E5"/>
    <w:rsid w:val="00134932"/>
    <w:rsid w:val="001349BF"/>
    <w:rsid w:val="001349D0"/>
    <w:rsid w:val="00134A6A"/>
    <w:rsid w:val="00134B1A"/>
    <w:rsid w:val="00134C37"/>
    <w:rsid w:val="00134C51"/>
    <w:rsid w:val="00134C96"/>
    <w:rsid w:val="00134CC3"/>
    <w:rsid w:val="00134D90"/>
    <w:rsid w:val="00134DA5"/>
    <w:rsid w:val="00134DCF"/>
    <w:rsid w:val="00134E10"/>
    <w:rsid w:val="00134E73"/>
    <w:rsid w:val="00134ED9"/>
    <w:rsid w:val="00134F6E"/>
    <w:rsid w:val="0013502F"/>
    <w:rsid w:val="00135030"/>
    <w:rsid w:val="0013504A"/>
    <w:rsid w:val="001350BF"/>
    <w:rsid w:val="001350D0"/>
    <w:rsid w:val="0013510F"/>
    <w:rsid w:val="0013513C"/>
    <w:rsid w:val="00135159"/>
    <w:rsid w:val="0013517C"/>
    <w:rsid w:val="0013523B"/>
    <w:rsid w:val="0013527A"/>
    <w:rsid w:val="00135382"/>
    <w:rsid w:val="001353D6"/>
    <w:rsid w:val="001353F1"/>
    <w:rsid w:val="0013549A"/>
    <w:rsid w:val="00135551"/>
    <w:rsid w:val="00135589"/>
    <w:rsid w:val="0013559F"/>
    <w:rsid w:val="001355C2"/>
    <w:rsid w:val="001355D6"/>
    <w:rsid w:val="00135610"/>
    <w:rsid w:val="001356C3"/>
    <w:rsid w:val="00135739"/>
    <w:rsid w:val="00135806"/>
    <w:rsid w:val="0013581B"/>
    <w:rsid w:val="00135884"/>
    <w:rsid w:val="001358FB"/>
    <w:rsid w:val="00135994"/>
    <w:rsid w:val="001359C4"/>
    <w:rsid w:val="00135A23"/>
    <w:rsid w:val="00135ACF"/>
    <w:rsid w:val="00135B30"/>
    <w:rsid w:val="00135B81"/>
    <w:rsid w:val="00135BA6"/>
    <w:rsid w:val="00135BB5"/>
    <w:rsid w:val="00135BB8"/>
    <w:rsid w:val="00135CA1"/>
    <w:rsid w:val="00135CA2"/>
    <w:rsid w:val="00135CE1"/>
    <w:rsid w:val="00135D38"/>
    <w:rsid w:val="00135D68"/>
    <w:rsid w:val="00135D99"/>
    <w:rsid w:val="00135DEA"/>
    <w:rsid w:val="00135DF9"/>
    <w:rsid w:val="00135E1B"/>
    <w:rsid w:val="00135E45"/>
    <w:rsid w:val="00135E4C"/>
    <w:rsid w:val="00135E9A"/>
    <w:rsid w:val="00135EFC"/>
    <w:rsid w:val="00135F86"/>
    <w:rsid w:val="00135FA9"/>
    <w:rsid w:val="00135FB1"/>
    <w:rsid w:val="00135FB4"/>
    <w:rsid w:val="00136040"/>
    <w:rsid w:val="00136058"/>
    <w:rsid w:val="0013611C"/>
    <w:rsid w:val="001361AE"/>
    <w:rsid w:val="001361D2"/>
    <w:rsid w:val="001361DF"/>
    <w:rsid w:val="00136220"/>
    <w:rsid w:val="0013623B"/>
    <w:rsid w:val="0013634B"/>
    <w:rsid w:val="00136356"/>
    <w:rsid w:val="001363BF"/>
    <w:rsid w:val="0013647C"/>
    <w:rsid w:val="0013650F"/>
    <w:rsid w:val="0013654C"/>
    <w:rsid w:val="00136571"/>
    <w:rsid w:val="001365AD"/>
    <w:rsid w:val="00136662"/>
    <w:rsid w:val="001366C5"/>
    <w:rsid w:val="001366D0"/>
    <w:rsid w:val="00136724"/>
    <w:rsid w:val="0013676D"/>
    <w:rsid w:val="0013677C"/>
    <w:rsid w:val="001367C5"/>
    <w:rsid w:val="001367F0"/>
    <w:rsid w:val="0013687E"/>
    <w:rsid w:val="001368D7"/>
    <w:rsid w:val="0013696F"/>
    <w:rsid w:val="0013697D"/>
    <w:rsid w:val="001369C8"/>
    <w:rsid w:val="00136A65"/>
    <w:rsid w:val="00136A76"/>
    <w:rsid w:val="00136A8B"/>
    <w:rsid w:val="00136A8F"/>
    <w:rsid w:val="00136BF1"/>
    <w:rsid w:val="00136C3A"/>
    <w:rsid w:val="00136CAA"/>
    <w:rsid w:val="00136E29"/>
    <w:rsid w:val="00136E41"/>
    <w:rsid w:val="00136E8F"/>
    <w:rsid w:val="00136EAC"/>
    <w:rsid w:val="00136F3B"/>
    <w:rsid w:val="00136FA0"/>
    <w:rsid w:val="00136FB7"/>
    <w:rsid w:val="001370BB"/>
    <w:rsid w:val="00137107"/>
    <w:rsid w:val="0013715E"/>
    <w:rsid w:val="00137166"/>
    <w:rsid w:val="001371D7"/>
    <w:rsid w:val="00137292"/>
    <w:rsid w:val="001372C9"/>
    <w:rsid w:val="0013732F"/>
    <w:rsid w:val="0013734A"/>
    <w:rsid w:val="001373F5"/>
    <w:rsid w:val="0013750D"/>
    <w:rsid w:val="00137584"/>
    <w:rsid w:val="00137593"/>
    <w:rsid w:val="001375BD"/>
    <w:rsid w:val="001375C2"/>
    <w:rsid w:val="00137656"/>
    <w:rsid w:val="00137665"/>
    <w:rsid w:val="001376DA"/>
    <w:rsid w:val="001376FE"/>
    <w:rsid w:val="001377D7"/>
    <w:rsid w:val="00137814"/>
    <w:rsid w:val="00137821"/>
    <w:rsid w:val="0013786E"/>
    <w:rsid w:val="001378AB"/>
    <w:rsid w:val="00137928"/>
    <w:rsid w:val="00137A56"/>
    <w:rsid w:val="00137B1A"/>
    <w:rsid w:val="00137B20"/>
    <w:rsid w:val="00137B31"/>
    <w:rsid w:val="00137B65"/>
    <w:rsid w:val="00137B9A"/>
    <w:rsid w:val="00137D7A"/>
    <w:rsid w:val="00137DAE"/>
    <w:rsid w:val="00137DC8"/>
    <w:rsid w:val="00137DE0"/>
    <w:rsid w:val="00137DE3"/>
    <w:rsid w:val="00137E14"/>
    <w:rsid w:val="00137E60"/>
    <w:rsid w:val="00137E89"/>
    <w:rsid w:val="00137EC7"/>
    <w:rsid w:val="00137EF6"/>
    <w:rsid w:val="00140023"/>
    <w:rsid w:val="0014013F"/>
    <w:rsid w:val="00140180"/>
    <w:rsid w:val="001401A7"/>
    <w:rsid w:val="001401C3"/>
    <w:rsid w:val="001401C8"/>
    <w:rsid w:val="001401DE"/>
    <w:rsid w:val="00140272"/>
    <w:rsid w:val="001403AF"/>
    <w:rsid w:val="001403B0"/>
    <w:rsid w:val="0014042B"/>
    <w:rsid w:val="0014046D"/>
    <w:rsid w:val="0014048B"/>
    <w:rsid w:val="001404A7"/>
    <w:rsid w:val="001404C6"/>
    <w:rsid w:val="00140515"/>
    <w:rsid w:val="00140552"/>
    <w:rsid w:val="00140567"/>
    <w:rsid w:val="001405FB"/>
    <w:rsid w:val="00140621"/>
    <w:rsid w:val="0014065E"/>
    <w:rsid w:val="00140697"/>
    <w:rsid w:val="001406A8"/>
    <w:rsid w:val="001406FB"/>
    <w:rsid w:val="00140707"/>
    <w:rsid w:val="001407B4"/>
    <w:rsid w:val="00140877"/>
    <w:rsid w:val="00140881"/>
    <w:rsid w:val="0014088D"/>
    <w:rsid w:val="001408B9"/>
    <w:rsid w:val="00140951"/>
    <w:rsid w:val="001409B3"/>
    <w:rsid w:val="001409C5"/>
    <w:rsid w:val="001409DB"/>
    <w:rsid w:val="00140A3D"/>
    <w:rsid w:val="00140AA6"/>
    <w:rsid w:val="00140AE1"/>
    <w:rsid w:val="00140AE6"/>
    <w:rsid w:val="00140B12"/>
    <w:rsid w:val="00140BAF"/>
    <w:rsid w:val="00140CBF"/>
    <w:rsid w:val="00140D43"/>
    <w:rsid w:val="00140E0F"/>
    <w:rsid w:val="00140E14"/>
    <w:rsid w:val="00140E25"/>
    <w:rsid w:val="00140EBB"/>
    <w:rsid w:val="00140EE2"/>
    <w:rsid w:val="00140F10"/>
    <w:rsid w:val="00140F1F"/>
    <w:rsid w:val="00140F54"/>
    <w:rsid w:val="00140FF2"/>
    <w:rsid w:val="00141021"/>
    <w:rsid w:val="001410A2"/>
    <w:rsid w:val="001410C0"/>
    <w:rsid w:val="001410E0"/>
    <w:rsid w:val="00141103"/>
    <w:rsid w:val="00141151"/>
    <w:rsid w:val="001411B9"/>
    <w:rsid w:val="00141208"/>
    <w:rsid w:val="00141310"/>
    <w:rsid w:val="00141331"/>
    <w:rsid w:val="00141345"/>
    <w:rsid w:val="0014139D"/>
    <w:rsid w:val="00141490"/>
    <w:rsid w:val="00141591"/>
    <w:rsid w:val="00141609"/>
    <w:rsid w:val="0014173F"/>
    <w:rsid w:val="00141751"/>
    <w:rsid w:val="00141753"/>
    <w:rsid w:val="0014175C"/>
    <w:rsid w:val="00141778"/>
    <w:rsid w:val="001417BB"/>
    <w:rsid w:val="001417FF"/>
    <w:rsid w:val="00141852"/>
    <w:rsid w:val="0014186D"/>
    <w:rsid w:val="00141870"/>
    <w:rsid w:val="0014194F"/>
    <w:rsid w:val="0014196B"/>
    <w:rsid w:val="0014198D"/>
    <w:rsid w:val="00141994"/>
    <w:rsid w:val="00141C9A"/>
    <w:rsid w:val="00141D2D"/>
    <w:rsid w:val="00141D2E"/>
    <w:rsid w:val="00141D32"/>
    <w:rsid w:val="00141D78"/>
    <w:rsid w:val="00141F39"/>
    <w:rsid w:val="00141F91"/>
    <w:rsid w:val="00141F94"/>
    <w:rsid w:val="00141FA7"/>
    <w:rsid w:val="00141FC8"/>
    <w:rsid w:val="00142040"/>
    <w:rsid w:val="00142047"/>
    <w:rsid w:val="0014205A"/>
    <w:rsid w:val="0014205B"/>
    <w:rsid w:val="001420CD"/>
    <w:rsid w:val="0014216D"/>
    <w:rsid w:val="0014216F"/>
    <w:rsid w:val="001421C2"/>
    <w:rsid w:val="001422A9"/>
    <w:rsid w:val="001422E5"/>
    <w:rsid w:val="001424FE"/>
    <w:rsid w:val="0014252E"/>
    <w:rsid w:val="0014264C"/>
    <w:rsid w:val="001426AF"/>
    <w:rsid w:val="00142702"/>
    <w:rsid w:val="00142707"/>
    <w:rsid w:val="00142717"/>
    <w:rsid w:val="00142719"/>
    <w:rsid w:val="001427FE"/>
    <w:rsid w:val="001428D4"/>
    <w:rsid w:val="0014294F"/>
    <w:rsid w:val="001429DD"/>
    <w:rsid w:val="00142A1F"/>
    <w:rsid w:val="00142A42"/>
    <w:rsid w:val="00142A5C"/>
    <w:rsid w:val="00142A71"/>
    <w:rsid w:val="00142AEB"/>
    <w:rsid w:val="00142AFD"/>
    <w:rsid w:val="00142B0C"/>
    <w:rsid w:val="00142BA1"/>
    <w:rsid w:val="00142BD7"/>
    <w:rsid w:val="00142BFA"/>
    <w:rsid w:val="00142BFE"/>
    <w:rsid w:val="00142C23"/>
    <w:rsid w:val="00142C4B"/>
    <w:rsid w:val="00142C91"/>
    <w:rsid w:val="00142CBA"/>
    <w:rsid w:val="00142CED"/>
    <w:rsid w:val="00142D56"/>
    <w:rsid w:val="00142DAA"/>
    <w:rsid w:val="00142E66"/>
    <w:rsid w:val="00142EBE"/>
    <w:rsid w:val="00142ED4"/>
    <w:rsid w:val="00142F19"/>
    <w:rsid w:val="00142F23"/>
    <w:rsid w:val="00142FA0"/>
    <w:rsid w:val="0014308F"/>
    <w:rsid w:val="001431E4"/>
    <w:rsid w:val="00143220"/>
    <w:rsid w:val="00143301"/>
    <w:rsid w:val="00143308"/>
    <w:rsid w:val="00143327"/>
    <w:rsid w:val="001433C9"/>
    <w:rsid w:val="00143400"/>
    <w:rsid w:val="00143431"/>
    <w:rsid w:val="0014349F"/>
    <w:rsid w:val="0014357D"/>
    <w:rsid w:val="001435E6"/>
    <w:rsid w:val="001436BB"/>
    <w:rsid w:val="0014372B"/>
    <w:rsid w:val="00143752"/>
    <w:rsid w:val="001437D1"/>
    <w:rsid w:val="001438A3"/>
    <w:rsid w:val="001438E6"/>
    <w:rsid w:val="0014391F"/>
    <w:rsid w:val="00143989"/>
    <w:rsid w:val="001439FA"/>
    <w:rsid w:val="00143A95"/>
    <w:rsid w:val="00143AAC"/>
    <w:rsid w:val="00143B39"/>
    <w:rsid w:val="00143B49"/>
    <w:rsid w:val="00143C41"/>
    <w:rsid w:val="00143CE5"/>
    <w:rsid w:val="00143D3E"/>
    <w:rsid w:val="00143DAC"/>
    <w:rsid w:val="00143E3E"/>
    <w:rsid w:val="00143EC3"/>
    <w:rsid w:val="00143EF6"/>
    <w:rsid w:val="00143F21"/>
    <w:rsid w:val="00143F2F"/>
    <w:rsid w:val="00143F45"/>
    <w:rsid w:val="00143FEB"/>
    <w:rsid w:val="00144057"/>
    <w:rsid w:val="0014406C"/>
    <w:rsid w:val="001440E4"/>
    <w:rsid w:val="00144144"/>
    <w:rsid w:val="00144154"/>
    <w:rsid w:val="00144157"/>
    <w:rsid w:val="001441A4"/>
    <w:rsid w:val="001441E2"/>
    <w:rsid w:val="001442DB"/>
    <w:rsid w:val="00144376"/>
    <w:rsid w:val="0014438B"/>
    <w:rsid w:val="001444A5"/>
    <w:rsid w:val="001444D4"/>
    <w:rsid w:val="00144506"/>
    <w:rsid w:val="0014457F"/>
    <w:rsid w:val="00144605"/>
    <w:rsid w:val="00144618"/>
    <w:rsid w:val="001446BD"/>
    <w:rsid w:val="00144702"/>
    <w:rsid w:val="001447B9"/>
    <w:rsid w:val="001447FC"/>
    <w:rsid w:val="00144820"/>
    <w:rsid w:val="00144822"/>
    <w:rsid w:val="001448CC"/>
    <w:rsid w:val="001449C4"/>
    <w:rsid w:val="00144A51"/>
    <w:rsid w:val="00144A5E"/>
    <w:rsid w:val="00144A82"/>
    <w:rsid w:val="00144B0F"/>
    <w:rsid w:val="00144B1C"/>
    <w:rsid w:val="00144B73"/>
    <w:rsid w:val="00144C12"/>
    <w:rsid w:val="00144E29"/>
    <w:rsid w:val="00144F72"/>
    <w:rsid w:val="00144F8C"/>
    <w:rsid w:val="00145032"/>
    <w:rsid w:val="0014504A"/>
    <w:rsid w:val="00145102"/>
    <w:rsid w:val="00145218"/>
    <w:rsid w:val="001452B1"/>
    <w:rsid w:val="0014530F"/>
    <w:rsid w:val="00145380"/>
    <w:rsid w:val="00145420"/>
    <w:rsid w:val="00145481"/>
    <w:rsid w:val="001454C5"/>
    <w:rsid w:val="00145520"/>
    <w:rsid w:val="00145558"/>
    <w:rsid w:val="00145664"/>
    <w:rsid w:val="0014567A"/>
    <w:rsid w:val="00145699"/>
    <w:rsid w:val="001456C2"/>
    <w:rsid w:val="00145714"/>
    <w:rsid w:val="0014571B"/>
    <w:rsid w:val="00145739"/>
    <w:rsid w:val="0014575F"/>
    <w:rsid w:val="00145775"/>
    <w:rsid w:val="0014577D"/>
    <w:rsid w:val="00145927"/>
    <w:rsid w:val="0014597E"/>
    <w:rsid w:val="0014598B"/>
    <w:rsid w:val="00145A56"/>
    <w:rsid w:val="00145B87"/>
    <w:rsid w:val="00145B90"/>
    <w:rsid w:val="00145C13"/>
    <w:rsid w:val="00145D40"/>
    <w:rsid w:val="00145D74"/>
    <w:rsid w:val="00145D90"/>
    <w:rsid w:val="00145DB1"/>
    <w:rsid w:val="00145DB4"/>
    <w:rsid w:val="00145E19"/>
    <w:rsid w:val="00145E4A"/>
    <w:rsid w:val="00145E80"/>
    <w:rsid w:val="00145F1E"/>
    <w:rsid w:val="00145F80"/>
    <w:rsid w:val="00145FD8"/>
    <w:rsid w:val="00146064"/>
    <w:rsid w:val="00146079"/>
    <w:rsid w:val="001460CF"/>
    <w:rsid w:val="001460E4"/>
    <w:rsid w:val="0014613D"/>
    <w:rsid w:val="00146168"/>
    <w:rsid w:val="0014617A"/>
    <w:rsid w:val="001461C7"/>
    <w:rsid w:val="00146203"/>
    <w:rsid w:val="001462E3"/>
    <w:rsid w:val="001462FD"/>
    <w:rsid w:val="0014630B"/>
    <w:rsid w:val="0014636B"/>
    <w:rsid w:val="0014636D"/>
    <w:rsid w:val="00146394"/>
    <w:rsid w:val="001463F9"/>
    <w:rsid w:val="00146446"/>
    <w:rsid w:val="0014646B"/>
    <w:rsid w:val="001464B8"/>
    <w:rsid w:val="001464CF"/>
    <w:rsid w:val="0014658A"/>
    <w:rsid w:val="0014658F"/>
    <w:rsid w:val="00146694"/>
    <w:rsid w:val="001466A5"/>
    <w:rsid w:val="00146727"/>
    <w:rsid w:val="00146768"/>
    <w:rsid w:val="001467B3"/>
    <w:rsid w:val="001467D7"/>
    <w:rsid w:val="0014680F"/>
    <w:rsid w:val="00146A27"/>
    <w:rsid w:val="00146B4C"/>
    <w:rsid w:val="00146C1A"/>
    <w:rsid w:val="00146CE8"/>
    <w:rsid w:val="00146D2E"/>
    <w:rsid w:val="00146D44"/>
    <w:rsid w:val="00146E76"/>
    <w:rsid w:val="00146E7D"/>
    <w:rsid w:val="00146E97"/>
    <w:rsid w:val="00146EE1"/>
    <w:rsid w:val="00146F1E"/>
    <w:rsid w:val="00146F57"/>
    <w:rsid w:val="00146FB3"/>
    <w:rsid w:val="00146FE8"/>
    <w:rsid w:val="00147074"/>
    <w:rsid w:val="001470AF"/>
    <w:rsid w:val="001470F9"/>
    <w:rsid w:val="00147115"/>
    <w:rsid w:val="0014717A"/>
    <w:rsid w:val="00147204"/>
    <w:rsid w:val="00147225"/>
    <w:rsid w:val="0014723A"/>
    <w:rsid w:val="0014725C"/>
    <w:rsid w:val="0014729A"/>
    <w:rsid w:val="001472AB"/>
    <w:rsid w:val="001472E9"/>
    <w:rsid w:val="00147390"/>
    <w:rsid w:val="001473E8"/>
    <w:rsid w:val="00147452"/>
    <w:rsid w:val="00147467"/>
    <w:rsid w:val="0014749C"/>
    <w:rsid w:val="001474A6"/>
    <w:rsid w:val="001474AE"/>
    <w:rsid w:val="001474BC"/>
    <w:rsid w:val="00147511"/>
    <w:rsid w:val="00147590"/>
    <w:rsid w:val="00147594"/>
    <w:rsid w:val="001475BE"/>
    <w:rsid w:val="0014762A"/>
    <w:rsid w:val="00147710"/>
    <w:rsid w:val="00147798"/>
    <w:rsid w:val="001477FE"/>
    <w:rsid w:val="00147810"/>
    <w:rsid w:val="0014786D"/>
    <w:rsid w:val="001478B7"/>
    <w:rsid w:val="0014791A"/>
    <w:rsid w:val="0014793C"/>
    <w:rsid w:val="00147948"/>
    <w:rsid w:val="00147997"/>
    <w:rsid w:val="001479C0"/>
    <w:rsid w:val="00147A51"/>
    <w:rsid w:val="00147A54"/>
    <w:rsid w:val="00147AA3"/>
    <w:rsid w:val="00147AD4"/>
    <w:rsid w:val="00147B03"/>
    <w:rsid w:val="00147B4D"/>
    <w:rsid w:val="00147B6F"/>
    <w:rsid w:val="00147B90"/>
    <w:rsid w:val="00147BB5"/>
    <w:rsid w:val="00147BF2"/>
    <w:rsid w:val="00147C13"/>
    <w:rsid w:val="00147D58"/>
    <w:rsid w:val="00147D7F"/>
    <w:rsid w:val="00147D82"/>
    <w:rsid w:val="00147DB3"/>
    <w:rsid w:val="00147E0A"/>
    <w:rsid w:val="00147E58"/>
    <w:rsid w:val="00147E81"/>
    <w:rsid w:val="00147E8F"/>
    <w:rsid w:val="00147EA5"/>
    <w:rsid w:val="00147EDD"/>
    <w:rsid w:val="00147F2F"/>
    <w:rsid w:val="00147F44"/>
    <w:rsid w:val="00147F5C"/>
    <w:rsid w:val="00147F99"/>
    <w:rsid w:val="00147FAB"/>
    <w:rsid w:val="00150063"/>
    <w:rsid w:val="00150064"/>
    <w:rsid w:val="001500D2"/>
    <w:rsid w:val="00150116"/>
    <w:rsid w:val="001501CC"/>
    <w:rsid w:val="001501F9"/>
    <w:rsid w:val="001501FF"/>
    <w:rsid w:val="0015027F"/>
    <w:rsid w:val="001502AB"/>
    <w:rsid w:val="00150342"/>
    <w:rsid w:val="001503A0"/>
    <w:rsid w:val="0015045D"/>
    <w:rsid w:val="00150470"/>
    <w:rsid w:val="0015050F"/>
    <w:rsid w:val="0015052D"/>
    <w:rsid w:val="00150609"/>
    <w:rsid w:val="00150618"/>
    <w:rsid w:val="00150620"/>
    <w:rsid w:val="0015068F"/>
    <w:rsid w:val="0015071C"/>
    <w:rsid w:val="00150745"/>
    <w:rsid w:val="001507CB"/>
    <w:rsid w:val="00150810"/>
    <w:rsid w:val="001508A0"/>
    <w:rsid w:val="001508D8"/>
    <w:rsid w:val="0015090B"/>
    <w:rsid w:val="00150981"/>
    <w:rsid w:val="00150A02"/>
    <w:rsid w:val="00150A2A"/>
    <w:rsid w:val="00150A41"/>
    <w:rsid w:val="00150A52"/>
    <w:rsid w:val="00150ACA"/>
    <w:rsid w:val="00150AFC"/>
    <w:rsid w:val="00150B3B"/>
    <w:rsid w:val="00150B74"/>
    <w:rsid w:val="00150B93"/>
    <w:rsid w:val="00150BC4"/>
    <w:rsid w:val="00150C01"/>
    <w:rsid w:val="00150C34"/>
    <w:rsid w:val="00150D04"/>
    <w:rsid w:val="00150D22"/>
    <w:rsid w:val="00150D4B"/>
    <w:rsid w:val="00150D4C"/>
    <w:rsid w:val="00150D8D"/>
    <w:rsid w:val="00150DF7"/>
    <w:rsid w:val="00150E8E"/>
    <w:rsid w:val="00150E98"/>
    <w:rsid w:val="00150EEC"/>
    <w:rsid w:val="00150F47"/>
    <w:rsid w:val="00150F8D"/>
    <w:rsid w:val="00150FA4"/>
    <w:rsid w:val="00150FDF"/>
    <w:rsid w:val="00150FE7"/>
    <w:rsid w:val="00151034"/>
    <w:rsid w:val="0015104A"/>
    <w:rsid w:val="00151088"/>
    <w:rsid w:val="00151096"/>
    <w:rsid w:val="001510D7"/>
    <w:rsid w:val="00151150"/>
    <w:rsid w:val="001511DA"/>
    <w:rsid w:val="001511F2"/>
    <w:rsid w:val="00151250"/>
    <w:rsid w:val="0015127B"/>
    <w:rsid w:val="001512A2"/>
    <w:rsid w:val="001512BB"/>
    <w:rsid w:val="001512FD"/>
    <w:rsid w:val="00151318"/>
    <w:rsid w:val="00151338"/>
    <w:rsid w:val="001513CA"/>
    <w:rsid w:val="00151487"/>
    <w:rsid w:val="001514FD"/>
    <w:rsid w:val="00151664"/>
    <w:rsid w:val="001516DF"/>
    <w:rsid w:val="001516E9"/>
    <w:rsid w:val="00151734"/>
    <w:rsid w:val="0015174D"/>
    <w:rsid w:val="00151782"/>
    <w:rsid w:val="0015179E"/>
    <w:rsid w:val="001517AA"/>
    <w:rsid w:val="001517D7"/>
    <w:rsid w:val="0015184B"/>
    <w:rsid w:val="001518FC"/>
    <w:rsid w:val="001518FD"/>
    <w:rsid w:val="00151999"/>
    <w:rsid w:val="00151A04"/>
    <w:rsid w:val="00151A27"/>
    <w:rsid w:val="00151A66"/>
    <w:rsid w:val="00151A6D"/>
    <w:rsid w:val="00151ACE"/>
    <w:rsid w:val="00151AD8"/>
    <w:rsid w:val="00151AE2"/>
    <w:rsid w:val="00151B30"/>
    <w:rsid w:val="00151BE1"/>
    <w:rsid w:val="00151BFF"/>
    <w:rsid w:val="00151C43"/>
    <w:rsid w:val="00151C9D"/>
    <w:rsid w:val="00151CAC"/>
    <w:rsid w:val="00151CDF"/>
    <w:rsid w:val="00151D34"/>
    <w:rsid w:val="00151D79"/>
    <w:rsid w:val="00151E89"/>
    <w:rsid w:val="00151EF0"/>
    <w:rsid w:val="00151F5C"/>
    <w:rsid w:val="00151FB4"/>
    <w:rsid w:val="0015204B"/>
    <w:rsid w:val="0015206C"/>
    <w:rsid w:val="0015207D"/>
    <w:rsid w:val="001520D8"/>
    <w:rsid w:val="001520E4"/>
    <w:rsid w:val="001520FE"/>
    <w:rsid w:val="00152109"/>
    <w:rsid w:val="0015210C"/>
    <w:rsid w:val="00152135"/>
    <w:rsid w:val="00152151"/>
    <w:rsid w:val="00152187"/>
    <w:rsid w:val="001521A2"/>
    <w:rsid w:val="0015227F"/>
    <w:rsid w:val="00152296"/>
    <w:rsid w:val="001522EB"/>
    <w:rsid w:val="00152304"/>
    <w:rsid w:val="00152331"/>
    <w:rsid w:val="00152377"/>
    <w:rsid w:val="00152389"/>
    <w:rsid w:val="00152399"/>
    <w:rsid w:val="0015243C"/>
    <w:rsid w:val="0015244D"/>
    <w:rsid w:val="00152473"/>
    <w:rsid w:val="001524A0"/>
    <w:rsid w:val="001524C1"/>
    <w:rsid w:val="00152511"/>
    <w:rsid w:val="00152561"/>
    <w:rsid w:val="001525B3"/>
    <w:rsid w:val="001525CD"/>
    <w:rsid w:val="001526C8"/>
    <w:rsid w:val="001526CF"/>
    <w:rsid w:val="00152774"/>
    <w:rsid w:val="001527FD"/>
    <w:rsid w:val="0015280C"/>
    <w:rsid w:val="0015284A"/>
    <w:rsid w:val="00152901"/>
    <w:rsid w:val="0015293A"/>
    <w:rsid w:val="0015297E"/>
    <w:rsid w:val="001529DC"/>
    <w:rsid w:val="00152AD3"/>
    <w:rsid w:val="00152AD8"/>
    <w:rsid w:val="00152AED"/>
    <w:rsid w:val="00152B04"/>
    <w:rsid w:val="00152B08"/>
    <w:rsid w:val="00152B7B"/>
    <w:rsid w:val="00152B81"/>
    <w:rsid w:val="00152D1D"/>
    <w:rsid w:val="00152D34"/>
    <w:rsid w:val="00152DB4"/>
    <w:rsid w:val="00152DFE"/>
    <w:rsid w:val="00152E2B"/>
    <w:rsid w:val="00152E43"/>
    <w:rsid w:val="00152E6A"/>
    <w:rsid w:val="00152F0C"/>
    <w:rsid w:val="00153005"/>
    <w:rsid w:val="0015302E"/>
    <w:rsid w:val="00153060"/>
    <w:rsid w:val="00153074"/>
    <w:rsid w:val="0015309D"/>
    <w:rsid w:val="001530AE"/>
    <w:rsid w:val="001530D7"/>
    <w:rsid w:val="0015312A"/>
    <w:rsid w:val="00153149"/>
    <w:rsid w:val="0015315B"/>
    <w:rsid w:val="00153249"/>
    <w:rsid w:val="0015328F"/>
    <w:rsid w:val="001532E6"/>
    <w:rsid w:val="001533A7"/>
    <w:rsid w:val="0015345E"/>
    <w:rsid w:val="00153489"/>
    <w:rsid w:val="001534DA"/>
    <w:rsid w:val="001534E0"/>
    <w:rsid w:val="0015359D"/>
    <w:rsid w:val="001535AC"/>
    <w:rsid w:val="00153629"/>
    <w:rsid w:val="00153666"/>
    <w:rsid w:val="00153681"/>
    <w:rsid w:val="001536AD"/>
    <w:rsid w:val="001536B3"/>
    <w:rsid w:val="001536E5"/>
    <w:rsid w:val="0015376D"/>
    <w:rsid w:val="0015376F"/>
    <w:rsid w:val="001537FF"/>
    <w:rsid w:val="00153870"/>
    <w:rsid w:val="001538AE"/>
    <w:rsid w:val="001538D8"/>
    <w:rsid w:val="001538EE"/>
    <w:rsid w:val="00153977"/>
    <w:rsid w:val="0015398F"/>
    <w:rsid w:val="001539DA"/>
    <w:rsid w:val="00153A51"/>
    <w:rsid w:val="00153A6B"/>
    <w:rsid w:val="00153A7C"/>
    <w:rsid w:val="00153ADB"/>
    <w:rsid w:val="00153B2F"/>
    <w:rsid w:val="00153B95"/>
    <w:rsid w:val="00153BA7"/>
    <w:rsid w:val="00153BFA"/>
    <w:rsid w:val="00153C3A"/>
    <w:rsid w:val="00153D4B"/>
    <w:rsid w:val="00153D96"/>
    <w:rsid w:val="00153DE5"/>
    <w:rsid w:val="00153DF4"/>
    <w:rsid w:val="00153E47"/>
    <w:rsid w:val="00153ED1"/>
    <w:rsid w:val="00153EEC"/>
    <w:rsid w:val="00153F13"/>
    <w:rsid w:val="00153F6D"/>
    <w:rsid w:val="00154058"/>
    <w:rsid w:val="00154072"/>
    <w:rsid w:val="00154095"/>
    <w:rsid w:val="001540B0"/>
    <w:rsid w:val="00154164"/>
    <w:rsid w:val="00154175"/>
    <w:rsid w:val="001541DF"/>
    <w:rsid w:val="0015426C"/>
    <w:rsid w:val="0015428E"/>
    <w:rsid w:val="0015429A"/>
    <w:rsid w:val="001542C0"/>
    <w:rsid w:val="00154404"/>
    <w:rsid w:val="00154409"/>
    <w:rsid w:val="0015441A"/>
    <w:rsid w:val="00154567"/>
    <w:rsid w:val="00154577"/>
    <w:rsid w:val="001545D4"/>
    <w:rsid w:val="00154622"/>
    <w:rsid w:val="00154625"/>
    <w:rsid w:val="00154785"/>
    <w:rsid w:val="00154790"/>
    <w:rsid w:val="001547BA"/>
    <w:rsid w:val="00154810"/>
    <w:rsid w:val="0015484B"/>
    <w:rsid w:val="0015486B"/>
    <w:rsid w:val="001548C8"/>
    <w:rsid w:val="00154976"/>
    <w:rsid w:val="00154AD0"/>
    <w:rsid w:val="00154AE6"/>
    <w:rsid w:val="00154B1E"/>
    <w:rsid w:val="00154B2E"/>
    <w:rsid w:val="00154B68"/>
    <w:rsid w:val="00154B87"/>
    <w:rsid w:val="00154BF4"/>
    <w:rsid w:val="00154D56"/>
    <w:rsid w:val="00154DE4"/>
    <w:rsid w:val="00154EA5"/>
    <w:rsid w:val="00154F04"/>
    <w:rsid w:val="00154F1C"/>
    <w:rsid w:val="00154F38"/>
    <w:rsid w:val="00154F4F"/>
    <w:rsid w:val="00154FF0"/>
    <w:rsid w:val="00155105"/>
    <w:rsid w:val="0015514B"/>
    <w:rsid w:val="00155178"/>
    <w:rsid w:val="001551E8"/>
    <w:rsid w:val="001551F7"/>
    <w:rsid w:val="0015543E"/>
    <w:rsid w:val="00155498"/>
    <w:rsid w:val="001554B2"/>
    <w:rsid w:val="00155540"/>
    <w:rsid w:val="0015560C"/>
    <w:rsid w:val="0015561F"/>
    <w:rsid w:val="00155695"/>
    <w:rsid w:val="00155766"/>
    <w:rsid w:val="0015577F"/>
    <w:rsid w:val="001557B3"/>
    <w:rsid w:val="001557F2"/>
    <w:rsid w:val="00155820"/>
    <w:rsid w:val="00155885"/>
    <w:rsid w:val="001558F1"/>
    <w:rsid w:val="00155976"/>
    <w:rsid w:val="001559D8"/>
    <w:rsid w:val="00155A4A"/>
    <w:rsid w:val="00155B21"/>
    <w:rsid w:val="00155B6C"/>
    <w:rsid w:val="00155B7C"/>
    <w:rsid w:val="00155BAB"/>
    <w:rsid w:val="00155C18"/>
    <w:rsid w:val="00155C1C"/>
    <w:rsid w:val="00155C26"/>
    <w:rsid w:val="00155C44"/>
    <w:rsid w:val="00155CC7"/>
    <w:rsid w:val="00155D0D"/>
    <w:rsid w:val="00155D7F"/>
    <w:rsid w:val="00155DD8"/>
    <w:rsid w:val="00155E1D"/>
    <w:rsid w:val="00155E79"/>
    <w:rsid w:val="00155EBE"/>
    <w:rsid w:val="00155F1D"/>
    <w:rsid w:val="00155F3C"/>
    <w:rsid w:val="00155F91"/>
    <w:rsid w:val="00155FAB"/>
    <w:rsid w:val="0015603D"/>
    <w:rsid w:val="001560CA"/>
    <w:rsid w:val="00156107"/>
    <w:rsid w:val="001561F2"/>
    <w:rsid w:val="001561FD"/>
    <w:rsid w:val="00156332"/>
    <w:rsid w:val="00156408"/>
    <w:rsid w:val="00156463"/>
    <w:rsid w:val="00156465"/>
    <w:rsid w:val="0015648B"/>
    <w:rsid w:val="00156585"/>
    <w:rsid w:val="00156591"/>
    <w:rsid w:val="0015659F"/>
    <w:rsid w:val="001565EF"/>
    <w:rsid w:val="00156642"/>
    <w:rsid w:val="001566D1"/>
    <w:rsid w:val="001566F5"/>
    <w:rsid w:val="0015671C"/>
    <w:rsid w:val="0015674E"/>
    <w:rsid w:val="001567A4"/>
    <w:rsid w:val="0015682D"/>
    <w:rsid w:val="00156848"/>
    <w:rsid w:val="00156949"/>
    <w:rsid w:val="001569CC"/>
    <w:rsid w:val="001569D2"/>
    <w:rsid w:val="00156A02"/>
    <w:rsid w:val="00156B21"/>
    <w:rsid w:val="00156BB6"/>
    <w:rsid w:val="00156BF1"/>
    <w:rsid w:val="00156C78"/>
    <w:rsid w:val="00156C83"/>
    <w:rsid w:val="00156D20"/>
    <w:rsid w:val="00156D25"/>
    <w:rsid w:val="00156D37"/>
    <w:rsid w:val="00156D94"/>
    <w:rsid w:val="00156DE3"/>
    <w:rsid w:val="00156E16"/>
    <w:rsid w:val="00156E1C"/>
    <w:rsid w:val="00156E1D"/>
    <w:rsid w:val="00156E20"/>
    <w:rsid w:val="00156E63"/>
    <w:rsid w:val="00156EA4"/>
    <w:rsid w:val="00156EAA"/>
    <w:rsid w:val="00156EE5"/>
    <w:rsid w:val="00156EEB"/>
    <w:rsid w:val="00156FE7"/>
    <w:rsid w:val="00156FF1"/>
    <w:rsid w:val="0015701C"/>
    <w:rsid w:val="00157081"/>
    <w:rsid w:val="001570A1"/>
    <w:rsid w:val="001571AD"/>
    <w:rsid w:val="001571DA"/>
    <w:rsid w:val="001573C8"/>
    <w:rsid w:val="001573CD"/>
    <w:rsid w:val="001573E1"/>
    <w:rsid w:val="001573FD"/>
    <w:rsid w:val="00157449"/>
    <w:rsid w:val="00157458"/>
    <w:rsid w:val="0015748B"/>
    <w:rsid w:val="001574C0"/>
    <w:rsid w:val="001574E4"/>
    <w:rsid w:val="0015754A"/>
    <w:rsid w:val="001575E2"/>
    <w:rsid w:val="00157600"/>
    <w:rsid w:val="001576CD"/>
    <w:rsid w:val="001576D8"/>
    <w:rsid w:val="00157804"/>
    <w:rsid w:val="00157864"/>
    <w:rsid w:val="0015786B"/>
    <w:rsid w:val="0015786F"/>
    <w:rsid w:val="00157914"/>
    <w:rsid w:val="001579CA"/>
    <w:rsid w:val="00157A49"/>
    <w:rsid w:val="00157A91"/>
    <w:rsid w:val="00157A95"/>
    <w:rsid w:val="00157B11"/>
    <w:rsid w:val="00157B94"/>
    <w:rsid w:val="00157B9C"/>
    <w:rsid w:val="00157BAB"/>
    <w:rsid w:val="00157C0F"/>
    <w:rsid w:val="00157CAF"/>
    <w:rsid w:val="00157D31"/>
    <w:rsid w:val="00157D75"/>
    <w:rsid w:val="00157D83"/>
    <w:rsid w:val="00157E25"/>
    <w:rsid w:val="00157E2A"/>
    <w:rsid w:val="00157E46"/>
    <w:rsid w:val="00157E6F"/>
    <w:rsid w:val="00157F8A"/>
    <w:rsid w:val="00157FD3"/>
    <w:rsid w:val="00157FE8"/>
    <w:rsid w:val="00157FFB"/>
    <w:rsid w:val="00160065"/>
    <w:rsid w:val="0016007F"/>
    <w:rsid w:val="001600C9"/>
    <w:rsid w:val="001600E2"/>
    <w:rsid w:val="001600E8"/>
    <w:rsid w:val="001601DE"/>
    <w:rsid w:val="00160208"/>
    <w:rsid w:val="0016026E"/>
    <w:rsid w:val="001602A5"/>
    <w:rsid w:val="001602A7"/>
    <w:rsid w:val="00160375"/>
    <w:rsid w:val="0016037B"/>
    <w:rsid w:val="001603E4"/>
    <w:rsid w:val="00160417"/>
    <w:rsid w:val="001604A8"/>
    <w:rsid w:val="001604BF"/>
    <w:rsid w:val="00160524"/>
    <w:rsid w:val="001605F5"/>
    <w:rsid w:val="00160629"/>
    <w:rsid w:val="001606CF"/>
    <w:rsid w:val="00160705"/>
    <w:rsid w:val="00160735"/>
    <w:rsid w:val="0016078A"/>
    <w:rsid w:val="00160884"/>
    <w:rsid w:val="0016089E"/>
    <w:rsid w:val="001608CD"/>
    <w:rsid w:val="0016090C"/>
    <w:rsid w:val="00160936"/>
    <w:rsid w:val="00160967"/>
    <w:rsid w:val="001609B4"/>
    <w:rsid w:val="00160A52"/>
    <w:rsid w:val="00160A88"/>
    <w:rsid w:val="00160A8D"/>
    <w:rsid w:val="00160AD5"/>
    <w:rsid w:val="00160B70"/>
    <w:rsid w:val="00160B71"/>
    <w:rsid w:val="00160B81"/>
    <w:rsid w:val="00160B92"/>
    <w:rsid w:val="00160CC2"/>
    <w:rsid w:val="00160CD0"/>
    <w:rsid w:val="00160EBC"/>
    <w:rsid w:val="00160EC3"/>
    <w:rsid w:val="00160F1C"/>
    <w:rsid w:val="00160F28"/>
    <w:rsid w:val="00160F72"/>
    <w:rsid w:val="00160F90"/>
    <w:rsid w:val="00160FD1"/>
    <w:rsid w:val="0016101E"/>
    <w:rsid w:val="00161082"/>
    <w:rsid w:val="001610A6"/>
    <w:rsid w:val="001610AD"/>
    <w:rsid w:val="0016116D"/>
    <w:rsid w:val="001611A1"/>
    <w:rsid w:val="001611A9"/>
    <w:rsid w:val="001611B7"/>
    <w:rsid w:val="001611DC"/>
    <w:rsid w:val="00161210"/>
    <w:rsid w:val="00161221"/>
    <w:rsid w:val="00161224"/>
    <w:rsid w:val="00161279"/>
    <w:rsid w:val="00161283"/>
    <w:rsid w:val="0016128D"/>
    <w:rsid w:val="001612D5"/>
    <w:rsid w:val="00161306"/>
    <w:rsid w:val="0016133B"/>
    <w:rsid w:val="00161356"/>
    <w:rsid w:val="00161367"/>
    <w:rsid w:val="001613A4"/>
    <w:rsid w:val="00161446"/>
    <w:rsid w:val="001614A5"/>
    <w:rsid w:val="001614A8"/>
    <w:rsid w:val="0016154D"/>
    <w:rsid w:val="0016160B"/>
    <w:rsid w:val="0016166C"/>
    <w:rsid w:val="0016169A"/>
    <w:rsid w:val="00161781"/>
    <w:rsid w:val="00161785"/>
    <w:rsid w:val="00161788"/>
    <w:rsid w:val="001617C5"/>
    <w:rsid w:val="001617DB"/>
    <w:rsid w:val="00161892"/>
    <w:rsid w:val="00161897"/>
    <w:rsid w:val="001618A2"/>
    <w:rsid w:val="00161968"/>
    <w:rsid w:val="00161BB6"/>
    <w:rsid w:val="00161CCC"/>
    <w:rsid w:val="00161D5C"/>
    <w:rsid w:val="00161D79"/>
    <w:rsid w:val="00161E3D"/>
    <w:rsid w:val="00161FAA"/>
    <w:rsid w:val="00162021"/>
    <w:rsid w:val="00162078"/>
    <w:rsid w:val="0016210A"/>
    <w:rsid w:val="001621EF"/>
    <w:rsid w:val="00162208"/>
    <w:rsid w:val="0016225E"/>
    <w:rsid w:val="0016228C"/>
    <w:rsid w:val="0016232E"/>
    <w:rsid w:val="001623C9"/>
    <w:rsid w:val="001623EC"/>
    <w:rsid w:val="0016240C"/>
    <w:rsid w:val="00162464"/>
    <w:rsid w:val="00162492"/>
    <w:rsid w:val="001624A2"/>
    <w:rsid w:val="001624A5"/>
    <w:rsid w:val="001624B4"/>
    <w:rsid w:val="001625B6"/>
    <w:rsid w:val="00162699"/>
    <w:rsid w:val="001626A4"/>
    <w:rsid w:val="0016270D"/>
    <w:rsid w:val="00162720"/>
    <w:rsid w:val="001627B5"/>
    <w:rsid w:val="00162848"/>
    <w:rsid w:val="00162896"/>
    <w:rsid w:val="001628A6"/>
    <w:rsid w:val="001628F9"/>
    <w:rsid w:val="0016297C"/>
    <w:rsid w:val="001629D3"/>
    <w:rsid w:val="00162A0E"/>
    <w:rsid w:val="00162A99"/>
    <w:rsid w:val="00162B04"/>
    <w:rsid w:val="00162BE7"/>
    <w:rsid w:val="00162C4D"/>
    <w:rsid w:val="00162CD1"/>
    <w:rsid w:val="00162D01"/>
    <w:rsid w:val="00162DBB"/>
    <w:rsid w:val="00162DEC"/>
    <w:rsid w:val="00162ED5"/>
    <w:rsid w:val="00162F33"/>
    <w:rsid w:val="00162FA7"/>
    <w:rsid w:val="00162FB5"/>
    <w:rsid w:val="00163092"/>
    <w:rsid w:val="001630A9"/>
    <w:rsid w:val="001630B6"/>
    <w:rsid w:val="0016313E"/>
    <w:rsid w:val="00163193"/>
    <w:rsid w:val="001631CA"/>
    <w:rsid w:val="001631D9"/>
    <w:rsid w:val="001633A5"/>
    <w:rsid w:val="0016346C"/>
    <w:rsid w:val="00163482"/>
    <w:rsid w:val="00163536"/>
    <w:rsid w:val="00163609"/>
    <w:rsid w:val="00163613"/>
    <w:rsid w:val="00163618"/>
    <w:rsid w:val="0016366B"/>
    <w:rsid w:val="0016369C"/>
    <w:rsid w:val="00163725"/>
    <w:rsid w:val="00163759"/>
    <w:rsid w:val="001637A3"/>
    <w:rsid w:val="0016383E"/>
    <w:rsid w:val="00163885"/>
    <w:rsid w:val="0016395F"/>
    <w:rsid w:val="0016397C"/>
    <w:rsid w:val="00163A10"/>
    <w:rsid w:val="00163A97"/>
    <w:rsid w:val="00163AA5"/>
    <w:rsid w:val="00163ADD"/>
    <w:rsid w:val="00163B3A"/>
    <w:rsid w:val="00163D2B"/>
    <w:rsid w:val="00163D36"/>
    <w:rsid w:val="00163D4D"/>
    <w:rsid w:val="00163DEE"/>
    <w:rsid w:val="00163E8D"/>
    <w:rsid w:val="00163E99"/>
    <w:rsid w:val="00163EB5"/>
    <w:rsid w:val="00163EC8"/>
    <w:rsid w:val="00163F6D"/>
    <w:rsid w:val="00163FB0"/>
    <w:rsid w:val="00163FC7"/>
    <w:rsid w:val="00164016"/>
    <w:rsid w:val="0016402B"/>
    <w:rsid w:val="0016413E"/>
    <w:rsid w:val="001641B0"/>
    <w:rsid w:val="00164260"/>
    <w:rsid w:val="00164267"/>
    <w:rsid w:val="00164318"/>
    <w:rsid w:val="0016434E"/>
    <w:rsid w:val="00164351"/>
    <w:rsid w:val="001643A4"/>
    <w:rsid w:val="001643B5"/>
    <w:rsid w:val="0016440E"/>
    <w:rsid w:val="001644C4"/>
    <w:rsid w:val="001644F4"/>
    <w:rsid w:val="00164504"/>
    <w:rsid w:val="0016455C"/>
    <w:rsid w:val="0016455F"/>
    <w:rsid w:val="00164599"/>
    <w:rsid w:val="00164644"/>
    <w:rsid w:val="001646B4"/>
    <w:rsid w:val="001646D0"/>
    <w:rsid w:val="001646EA"/>
    <w:rsid w:val="00164744"/>
    <w:rsid w:val="00164776"/>
    <w:rsid w:val="001647B4"/>
    <w:rsid w:val="00164806"/>
    <w:rsid w:val="00164865"/>
    <w:rsid w:val="001648E6"/>
    <w:rsid w:val="00164985"/>
    <w:rsid w:val="001649A4"/>
    <w:rsid w:val="001649D3"/>
    <w:rsid w:val="001649D4"/>
    <w:rsid w:val="00164A28"/>
    <w:rsid w:val="00164A42"/>
    <w:rsid w:val="00164A8C"/>
    <w:rsid w:val="00164AB5"/>
    <w:rsid w:val="00164AFE"/>
    <w:rsid w:val="00164B16"/>
    <w:rsid w:val="00164B2D"/>
    <w:rsid w:val="00164BB9"/>
    <w:rsid w:val="00164C4A"/>
    <w:rsid w:val="00164C8D"/>
    <w:rsid w:val="00164CD5"/>
    <w:rsid w:val="00164CEB"/>
    <w:rsid w:val="00164D5D"/>
    <w:rsid w:val="00164DCE"/>
    <w:rsid w:val="00164E11"/>
    <w:rsid w:val="00164E47"/>
    <w:rsid w:val="00164E49"/>
    <w:rsid w:val="00164E9E"/>
    <w:rsid w:val="00164EBA"/>
    <w:rsid w:val="00164F65"/>
    <w:rsid w:val="00164FB0"/>
    <w:rsid w:val="00164FDA"/>
    <w:rsid w:val="00164FEC"/>
    <w:rsid w:val="0016500E"/>
    <w:rsid w:val="00165058"/>
    <w:rsid w:val="00165087"/>
    <w:rsid w:val="0016510E"/>
    <w:rsid w:val="00165144"/>
    <w:rsid w:val="0016519B"/>
    <w:rsid w:val="001651C2"/>
    <w:rsid w:val="001651FB"/>
    <w:rsid w:val="001652B3"/>
    <w:rsid w:val="001652DA"/>
    <w:rsid w:val="0016533B"/>
    <w:rsid w:val="0016536A"/>
    <w:rsid w:val="00165390"/>
    <w:rsid w:val="001653A8"/>
    <w:rsid w:val="001653ED"/>
    <w:rsid w:val="001654E5"/>
    <w:rsid w:val="001654EF"/>
    <w:rsid w:val="001655C8"/>
    <w:rsid w:val="001655F6"/>
    <w:rsid w:val="0016561E"/>
    <w:rsid w:val="0016565D"/>
    <w:rsid w:val="0016570C"/>
    <w:rsid w:val="0016571A"/>
    <w:rsid w:val="00165740"/>
    <w:rsid w:val="0016579F"/>
    <w:rsid w:val="001657CD"/>
    <w:rsid w:val="001657D5"/>
    <w:rsid w:val="00165829"/>
    <w:rsid w:val="0016588F"/>
    <w:rsid w:val="001658C4"/>
    <w:rsid w:val="0016592A"/>
    <w:rsid w:val="001659CD"/>
    <w:rsid w:val="001659F5"/>
    <w:rsid w:val="00165A72"/>
    <w:rsid w:val="00165A91"/>
    <w:rsid w:val="00165A9C"/>
    <w:rsid w:val="00165ADB"/>
    <w:rsid w:val="00165AFA"/>
    <w:rsid w:val="00165B98"/>
    <w:rsid w:val="00165B9A"/>
    <w:rsid w:val="00165CC0"/>
    <w:rsid w:val="00165CD1"/>
    <w:rsid w:val="00165D09"/>
    <w:rsid w:val="00165D22"/>
    <w:rsid w:val="00165D7D"/>
    <w:rsid w:val="00165E13"/>
    <w:rsid w:val="00165E5A"/>
    <w:rsid w:val="00165EC3"/>
    <w:rsid w:val="00165EDA"/>
    <w:rsid w:val="00165EE0"/>
    <w:rsid w:val="00165EEB"/>
    <w:rsid w:val="00165F3B"/>
    <w:rsid w:val="00165F82"/>
    <w:rsid w:val="00166023"/>
    <w:rsid w:val="00166087"/>
    <w:rsid w:val="0016615D"/>
    <w:rsid w:val="0016620E"/>
    <w:rsid w:val="00166298"/>
    <w:rsid w:val="001662AF"/>
    <w:rsid w:val="001662D8"/>
    <w:rsid w:val="001662EA"/>
    <w:rsid w:val="001662F7"/>
    <w:rsid w:val="00166321"/>
    <w:rsid w:val="00166486"/>
    <w:rsid w:val="00166488"/>
    <w:rsid w:val="001664BF"/>
    <w:rsid w:val="001664CE"/>
    <w:rsid w:val="00166502"/>
    <w:rsid w:val="00166524"/>
    <w:rsid w:val="0016653F"/>
    <w:rsid w:val="0016659B"/>
    <w:rsid w:val="00166625"/>
    <w:rsid w:val="00166678"/>
    <w:rsid w:val="001666A5"/>
    <w:rsid w:val="001666AA"/>
    <w:rsid w:val="001666DC"/>
    <w:rsid w:val="001666E0"/>
    <w:rsid w:val="0016674C"/>
    <w:rsid w:val="001667C5"/>
    <w:rsid w:val="001668DD"/>
    <w:rsid w:val="00166910"/>
    <w:rsid w:val="001669C2"/>
    <w:rsid w:val="00166A19"/>
    <w:rsid w:val="00166A22"/>
    <w:rsid w:val="00166ABD"/>
    <w:rsid w:val="00166AE5"/>
    <w:rsid w:val="00166B05"/>
    <w:rsid w:val="00166B75"/>
    <w:rsid w:val="00166B78"/>
    <w:rsid w:val="00166B93"/>
    <w:rsid w:val="00166BC7"/>
    <w:rsid w:val="00166BD5"/>
    <w:rsid w:val="00166C14"/>
    <w:rsid w:val="00166C99"/>
    <w:rsid w:val="00166D37"/>
    <w:rsid w:val="00166DDE"/>
    <w:rsid w:val="00166EC8"/>
    <w:rsid w:val="00166EEB"/>
    <w:rsid w:val="00167017"/>
    <w:rsid w:val="001671C1"/>
    <w:rsid w:val="00167213"/>
    <w:rsid w:val="00167290"/>
    <w:rsid w:val="00167293"/>
    <w:rsid w:val="00167295"/>
    <w:rsid w:val="00167325"/>
    <w:rsid w:val="00167335"/>
    <w:rsid w:val="0016735A"/>
    <w:rsid w:val="00167373"/>
    <w:rsid w:val="001673F9"/>
    <w:rsid w:val="00167408"/>
    <w:rsid w:val="001674CC"/>
    <w:rsid w:val="00167512"/>
    <w:rsid w:val="001675A4"/>
    <w:rsid w:val="0016760E"/>
    <w:rsid w:val="00167650"/>
    <w:rsid w:val="001676FE"/>
    <w:rsid w:val="00167752"/>
    <w:rsid w:val="0016779B"/>
    <w:rsid w:val="00167957"/>
    <w:rsid w:val="00167A96"/>
    <w:rsid w:val="00167AA4"/>
    <w:rsid w:val="00167B50"/>
    <w:rsid w:val="00167B8D"/>
    <w:rsid w:val="00167BE2"/>
    <w:rsid w:val="00167CB8"/>
    <w:rsid w:val="00167CC4"/>
    <w:rsid w:val="00167CD4"/>
    <w:rsid w:val="00167CD6"/>
    <w:rsid w:val="00167DB0"/>
    <w:rsid w:val="00167DDE"/>
    <w:rsid w:val="00167E3B"/>
    <w:rsid w:val="00167EB8"/>
    <w:rsid w:val="00167F66"/>
    <w:rsid w:val="00167F70"/>
    <w:rsid w:val="00167F9C"/>
    <w:rsid w:val="0017007B"/>
    <w:rsid w:val="001700E7"/>
    <w:rsid w:val="00170215"/>
    <w:rsid w:val="0017023F"/>
    <w:rsid w:val="0017031F"/>
    <w:rsid w:val="0017037B"/>
    <w:rsid w:val="00170421"/>
    <w:rsid w:val="0017051F"/>
    <w:rsid w:val="0017052F"/>
    <w:rsid w:val="00170597"/>
    <w:rsid w:val="001705A1"/>
    <w:rsid w:val="001705B5"/>
    <w:rsid w:val="001706BF"/>
    <w:rsid w:val="001706C6"/>
    <w:rsid w:val="00170768"/>
    <w:rsid w:val="001707B2"/>
    <w:rsid w:val="001707E4"/>
    <w:rsid w:val="001707E6"/>
    <w:rsid w:val="0017081B"/>
    <w:rsid w:val="0017089D"/>
    <w:rsid w:val="00170927"/>
    <w:rsid w:val="00170943"/>
    <w:rsid w:val="00170963"/>
    <w:rsid w:val="001709A3"/>
    <w:rsid w:val="001709AF"/>
    <w:rsid w:val="001709FE"/>
    <w:rsid w:val="00170A96"/>
    <w:rsid w:val="00170B1E"/>
    <w:rsid w:val="00170B31"/>
    <w:rsid w:val="00170B54"/>
    <w:rsid w:val="00170B9E"/>
    <w:rsid w:val="00170BAB"/>
    <w:rsid w:val="00170CB4"/>
    <w:rsid w:val="00170CD0"/>
    <w:rsid w:val="00170D05"/>
    <w:rsid w:val="00170D9C"/>
    <w:rsid w:val="00170DA3"/>
    <w:rsid w:val="00170EFC"/>
    <w:rsid w:val="00170F1F"/>
    <w:rsid w:val="00170F6B"/>
    <w:rsid w:val="00170FB2"/>
    <w:rsid w:val="00170FC6"/>
    <w:rsid w:val="00171005"/>
    <w:rsid w:val="0017100F"/>
    <w:rsid w:val="00171119"/>
    <w:rsid w:val="001711F2"/>
    <w:rsid w:val="00171244"/>
    <w:rsid w:val="00171292"/>
    <w:rsid w:val="00171298"/>
    <w:rsid w:val="0017130A"/>
    <w:rsid w:val="0017134A"/>
    <w:rsid w:val="00171365"/>
    <w:rsid w:val="0017137C"/>
    <w:rsid w:val="001713D0"/>
    <w:rsid w:val="00171429"/>
    <w:rsid w:val="00171526"/>
    <w:rsid w:val="001715A9"/>
    <w:rsid w:val="0017163D"/>
    <w:rsid w:val="0017168E"/>
    <w:rsid w:val="00171692"/>
    <w:rsid w:val="001716D5"/>
    <w:rsid w:val="001716E3"/>
    <w:rsid w:val="00171734"/>
    <w:rsid w:val="00171782"/>
    <w:rsid w:val="001717AD"/>
    <w:rsid w:val="0017182B"/>
    <w:rsid w:val="00171852"/>
    <w:rsid w:val="001718CB"/>
    <w:rsid w:val="00171908"/>
    <w:rsid w:val="0017192C"/>
    <w:rsid w:val="001719CE"/>
    <w:rsid w:val="00171A14"/>
    <w:rsid w:val="00171A45"/>
    <w:rsid w:val="00171A6B"/>
    <w:rsid w:val="00171AB7"/>
    <w:rsid w:val="00171AC8"/>
    <w:rsid w:val="00171AE9"/>
    <w:rsid w:val="00171B27"/>
    <w:rsid w:val="00171B2B"/>
    <w:rsid w:val="00171B6B"/>
    <w:rsid w:val="00171BDA"/>
    <w:rsid w:val="00171C4B"/>
    <w:rsid w:val="00171D04"/>
    <w:rsid w:val="00171D35"/>
    <w:rsid w:val="00171E82"/>
    <w:rsid w:val="00171EA3"/>
    <w:rsid w:val="00171F3E"/>
    <w:rsid w:val="00171F62"/>
    <w:rsid w:val="00171FA6"/>
    <w:rsid w:val="00171FB9"/>
    <w:rsid w:val="00171FE1"/>
    <w:rsid w:val="00171FF0"/>
    <w:rsid w:val="00172001"/>
    <w:rsid w:val="0017200B"/>
    <w:rsid w:val="0017200C"/>
    <w:rsid w:val="00172011"/>
    <w:rsid w:val="00172070"/>
    <w:rsid w:val="001720FF"/>
    <w:rsid w:val="00172155"/>
    <w:rsid w:val="0017219A"/>
    <w:rsid w:val="001721F1"/>
    <w:rsid w:val="0017224D"/>
    <w:rsid w:val="001722A7"/>
    <w:rsid w:val="001722CE"/>
    <w:rsid w:val="00172311"/>
    <w:rsid w:val="00172348"/>
    <w:rsid w:val="00172360"/>
    <w:rsid w:val="001723C0"/>
    <w:rsid w:val="00172462"/>
    <w:rsid w:val="00172478"/>
    <w:rsid w:val="001724C0"/>
    <w:rsid w:val="001724F7"/>
    <w:rsid w:val="0017253A"/>
    <w:rsid w:val="0017257C"/>
    <w:rsid w:val="00172595"/>
    <w:rsid w:val="001725EA"/>
    <w:rsid w:val="00172614"/>
    <w:rsid w:val="00172618"/>
    <w:rsid w:val="00172622"/>
    <w:rsid w:val="00172737"/>
    <w:rsid w:val="0017274C"/>
    <w:rsid w:val="00172839"/>
    <w:rsid w:val="00172875"/>
    <w:rsid w:val="001728A2"/>
    <w:rsid w:val="001728DA"/>
    <w:rsid w:val="001728EB"/>
    <w:rsid w:val="00172912"/>
    <w:rsid w:val="00172918"/>
    <w:rsid w:val="00172939"/>
    <w:rsid w:val="001729EB"/>
    <w:rsid w:val="00172A15"/>
    <w:rsid w:val="00172B1B"/>
    <w:rsid w:val="00172BDD"/>
    <w:rsid w:val="00172C3E"/>
    <w:rsid w:val="00172CB1"/>
    <w:rsid w:val="00172CDF"/>
    <w:rsid w:val="00172DC6"/>
    <w:rsid w:val="00172DF9"/>
    <w:rsid w:val="00172DFA"/>
    <w:rsid w:val="00172E56"/>
    <w:rsid w:val="00172E5B"/>
    <w:rsid w:val="00172E85"/>
    <w:rsid w:val="00172F21"/>
    <w:rsid w:val="00172F4A"/>
    <w:rsid w:val="00172F61"/>
    <w:rsid w:val="00172F95"/>
    <w:rsid w:val="00172F9E"/>
    <w:rsid w:val="00172FC2"/>
    <w:rsid w:val="001730C7"/>
    <w:rsid w:val="001730D7"/>
    <w:rsid w:val="001730F5"/>
    <w:rsid w:val="00173147"/>
    <w:rsid w:val="00173175"/>
    <w:rsid w:val="00173214"/>
    <w:rsid w:val="0017329D"/>
    <w:rsid w:val="001732D3"/>
    <w:rsid w:val="00173301"/>
    <w:rsid w:val="00173346"/>
    <w:rsid w:val="0017343A"/>
    <w:rsid w:val="00173464"/>
    <w:rsid w:val="0017351B"/>
    <w:rsid w:val="00173539"/>
    <w:rsid w:val="0017358B"/>
    <w:rsid w:val="00173727"/>
    <w:rsid w:val="0017377E"/>
    <w:rsid w:val="0017381B"/>
    <w:rsid w:val="00173820"/>
    <w:rsid w:val="00173831"/>
    <w:rsid w:val="00173837"/>
    <w:rsid w:val="00173889"/>
    <w:rsid w:val="001738EC"/>
    <w:rsid w:val="0017394F"/>
    <w:rsid w:val="00173974"/>
    <w:rsid w:val="00173981"/>
    <w:rsid w:val="00173996"/>
    <w:rsid w:val="00173A4E"/>
    <w:rsid w:val="00173A96"/>
    <w:rsid w:val="00173AA8"/>
    <w:rsid w:val="00173AF4"/>
    <w:rsid w:val="00173AF5"/>
    <w:rsid w:val="00173B12"/>
    <w:rsid w:val="00173B56"/>
    <w:rsid w:val="00173B62"/>
    <w:rsid w:val="00173B73"/>
    <w:rsid w:val="00173B8F"/>
    <w:rsid w:val="00173BE0"/>
    <w:rsid w:val="00173C1C"/>
    <w:rsid w:val="00173C3E"/>
    <w:rsid w:val="00173C86"/>
    <w:rsid w:val="00173C90"/>
    <w:rsid w:val="00173CC6"/>
    <w:rsid w:val="00173DBA"/>
    <w:rsid w:val="00173E3C"/>
    <w:rsid w:val="00173E65"/>
    <w:rsid w:val="00173E8F"/>
    <w:rsid w:val="00173F36"/>
    <w:rsid w:val="00173F3F"/>
    <w:rsid w:val="00173F51"/>
    <w:rsid w:val="00174182"/>
    <w:rsid w:val="00174201"/>
    <w:rsid w:val="00174217"/>
    <w:rsid w:val="001742C3"/>
    <w:rsid w:val="001742E5"/>
    <w:rsid w:val="0017436F"/>
    <w:rsid w:val="001743CA"/>
    <w:rsid w:val="00174402"/>
    <w:rsid w:val="00174414"/>
    <w:rsid w:val="0017444A"/>
    <w:rsid w:val="00174526"/>
    <w:rsid w:val="0017454B"/>
    <w:rsid w:val="00174569"/>
    <w:rsid w:val="001745A4"/>
    <w:rsid w:val="001745BD"/>
    <w:rsid w:val="001745D9"/>
    <w:rsid w:val="00174669"/>
    <w:rsid w:val="0017469C"/>
    <w:rsid w:val="001746AB"/>
    <w:rsid w:val="001746C2"/>
    <w:rsid w:val="0017470A"/>
    <w:rsid w:val="00174720"/>
    <w:rsid w:val="0017474B"/>
    <w:rsid w:val="00174753"/>
    <w:rsid w:val="0017481C"/>
    <w:rsid w:val="0017485F"/>
    <w:rsid w:val="001748CD"/>
    <w:rsid w:val="001748E1"/>
    <w:rsid w:val="00174940"/>
    <w:rsid w:val="001749DE"/>
    <w:rsid w:val="00174A4D"/>
    <w:rsid w:val="00174B4B"/>
    <w:rsid w:val="00174BA2"/>
    <w:rsid w:val="00174BCF"/>
    <w:rsid w:val="00174BF4"/>
    <w:rsid w:val="00174C51"/>
    <w:rsid w:val="00174CAC"/>
    <w:rsid w:val="00174CB4"/>
    <w:rsid w:val="00174D26"/>
    <w:rsid w:val="00174D5E"/>
    <w:rsid w:val="00174D9F"/>
    <w:rsid w:val="00174DFD"/>
    <w:rsid w:val="00174E62"/>
    <w:rsid w:val="00174EA2"/>
    <w:rsid w:val="00174EAD"/>
    <w:rsid w:val="00174ECD"/>
    <w:rsid w:val="00174F9B"/>
    <w:rsid w:val="00174FDF"/>
    <w:rsid w:val="001750A1"/>
    <w:rsid w:val="00175138"/>
    <w:rsid w:val="00175167"/>
    <w:rsid w:val="00175218"/>
    <w:rsid w:val="00175251"/>
    <w:rsid w:val="001752C7"/>
    <w:rsid w:val="001752E6"/>
    <w:rsid w:val="001752EA"/>
    <w:rsid w:val="0017532D"/>
    <w:rsid w:val="001753A6"/>
    <w:rsid w:val="00175471"/>
    <w:rsid w:val="00175477"/>
    <w:rsid w:val="001754BA"/>
    <w:rsid w:val="00175541"/>
    <w:rsid w:val="0017554B"/>
    <w:rsid w:val="00175588"/>
    <w:rsid w:val="001755C2"/>
    <w:rsid w:val="001755D3"/>
    <w:rsid w:val="00175629"/>
    <w:rsid w:val="00175691"/>
    <w:rsid w:val="001756A6"/>
    <w:rsid w:val="00175718"/>
    <w:rsid w:val="00175751"/>
    <w:rsid w:val="00175752"/>
    <w:rsid w:val="001757AA"/>
    <w:rsid w:val="001757C3"/>
    <w:rsid w:val="001757F1"/>
    <w:rsid w:val="00175830"/>
    <w:rsid w:val="0017589E"/>
    <w:rsid w:val="00175911"/>
    <w:rsid w:val="00175945"/>
    <w:rsid w:val="00175A3F"/>
    <w:rsid w:val="00175AB4"/>
    <w:rsid w:val="00175ADA"/>
    <w:rsid w:val="00175AF4"/>
    <w:rsid w:val="00175B8F"/>
    <w:rsid w:val="00175C98"/>
    <w:rsid w:val="00175D3B"/>
    <w:rsid w:val="00175DD3"/>
    <w:rsid w:val="00175E2D"/>
    <w:rsid w:val="00175E31"/>
    <w:rsid w:val="00175E82"/>
    <w:rsid w:val="00175EB5"/>
    <w:rsid w:val="00175EDE"/>
    <w:rsid w:val="00175F02"/>
    <w:rsid w:val="00175F16"/>
    <w:rsid w:val="00175F24"/>
    <w:rsid w:val="00175F93"/>
    <w:rsid w:val="00176009"/>
    <w:rsid w:val="0017601A"/>
    <w:rsid w:val="00176071"/>
    <w:rsid w:val="001760C9"/>
    <w:rsid w:val="001760D5"/>
    <w:rsid w:val="001760D9"/>
    <w:rsid w:val="00176104"/>
    <w:rsid w:val="00176155"/>
    <w:rsid w:val="001761A4"/>
    <w:rsid w:val="001761BD"/>
    <w:rsid w:val="00176218"/>
    <w:rsid w:val="0017626A"/>
    <w:rsid w:val="0017629C"/>
    <w:rsid w:val="001762E0"/>
    <w:rsid w:val="00176344"/>
    <w:rsid w:val="001763C2"/>
    <w:rsid w:val="001763F5"/>
    <w:rsid w:val="00176517"/>
    <w:rsid w:val="00176550"/>
    <w:rsid w:val="001765FC"/>
    <w:rsid w:val="00176699"/>
    <w:rsid w:val="001766E5"/>
    <w:rsid w:val="001767FC"/>
    <w:rsid w:val="00176828"/>
    <w:rsid w:val="001768A0"/>
    <w:rsid w:val="00176949"/>
    <w:rsid w:val="0017698D"/>
    <w:rsid w:val="001769DF"/>
    <w:rsid w:val="00176A22"/>
    <w:rsid w:val="00176A55"/>
    <w:rsid w:val="00176B1B"/>
    <w:rsid w:val="00176B88"/>
    <w:rsid w:val="00176C51"/>
    <w:rsid w:val="00176C99"/>
    <w:rsid w:val="00176CCE"/>
    <w:rsid w:val="00176D17"/>
    <w:rsid w:val="00176F5D"/>
    <w:rsid w:val="00177013"/>
    <w:rsid w:val="00177043"/>
    <w:rsid w:val="00177059"/>
    <w:rsid w:val="0017706C"/>
    <w:rsid w:val="0017708D"/>
    <w:rsid w:val="001770D3"/>
    <w:rsid w:val="00177109"/>
    <w:rsid w:val="001772BD"/>
    <w:rsid w:val="001772E7"/>
    <w:rsid w:val="0017730B"/>
    <w:rsid w:val="0017732E"/>
    <w:rsid w:val="0017733F"/>
    <w:rsid w:val="001773BD"/>
    <w:rsid w:val="001773CF"/>
    <w:rsid w:val="00177544"/>
    <w:rsid w:val="001775B2"/>
    <w:rsid w:val="00177617"/>
    <w:rsid w:val="0017772F"/>
    <w:rsid w:val="0017779C"/>
    <w:rsid w:val="0017785C"/>
    <w:rsid w:val="001778D9"/>
    <w:rsid w:val="0017797E"/>
    <w:rsid w:val="00177A89"/>
    <w:rsid w:val="00177B28"/>
    <w:rsid w:val="00177B3E"/>
    <w:rsid w:val="00177BB5"/>
    <w:rsid w:val="00177CEA"/>
    <w:rsid w:val="00177D57"/>
    <w:rsid w:val="00177D81"/>
    <w:rsid w:val="00177D8F"/>
    <w:rsid w:val="00177DDF"/>
    <w:rsid w:val="00177E1A"/>
    <w:rsid w:val="00177E8C"/>
    <w:rsid w:val="00177F00"/>
    <w:rsid w:val="00177F6B"/>
    <w:rsid w:val="00177F9A"/>
    <w:rsid w:val="00177F9C"/>
    <w:rsid w:val="00177FA7"/>
    <w:rsid w:val="0018009D"/>
    <w:rsid w:val="0018011F"/>
    <w:rsid w:val="001801F6"/>
    <w:rsid w:val="001801F8"/>
    <w:rsid w:val="00180206"/>
    <w:rsid w:val="00180235"/>
    <w:rsid w:val="001802B3"/>
    <w:rsid w:val="001802C4"/>
    <w:rsid w:val="001802E7"/>
    <w:rsid w:val="001803C8"/>
    <w:rsid w:val="001803D9"/>
    <w:rsid w:val="00180406"/>
    <w:rsid w:val="00180421"/>
    <w:rsid w:val="0018046C"/>
    <w:rsid w:val="00180470"/>
    <w:rsid w:val="0018047A"/>
    <w:rsid w:val="0018047C"/>
    <w:rsid w:val="001804C2"/>
    <w:rsid w:val="00180557"/>
    <w:rsid w:val="0018055D"/>
    <w:rsid w:val="0018057D"/>
    <w:rsid w:val="001805A8"/>
    <w:rsid w:val="00180690"/>
    <w:rsid w:val="00180720"/>
    <w:rsid w:val="0018072B"/>
    <w:rsid w:val="0018076C"/>
    <w:rsid w:val="00180829"/>
    <w:rsid w:val="0018085E"/>
    <w:rsid w:val="00180865"/>
    <w:rsid w:val="00180899"/>
    <w:rsid w:val="001808EA"/>
    <w:rsid w:val="001808F0"/>
    <w:rsid w:val="0018091A"/>
    <w:rsid w:val="00180924"/>
    <w:rsid w:val="0018093F"/>
    <w:rsid w:val="00180990"/>
    <w:rsid w:val="00180A44"/>
    <w:rsid w:val="00180AB4"/>
    <w:rsid w:val="00180ACC"/>
    <w:rsid w:val="00180ADF"/>
    <w:rsid w:val="00180AFD"/>
    <w:rsid w:val="00180B93"/>
    <w:rsid w:val="00180BC7"/>
    <w:rsid w:val="00180C5C"/>
    <w:rsid w:val="00180D4E"/>
    <w:rsid w:val="00180D9F"/>
    <w:rsid w:val="00180E17"/>
    <w:rsid w:val="00180E62"/>
    <w:rsid w:val="00180EC2"/>
    <w:rsid w:val="00180EC3"/>
    <w:rsid w:val="00180EE7"/>
    <w:rsid w:val="00180FC6"/>
    <w:rsid w:val="0018100D"/>
    <w:rsid w:val="001810B7"/>
    <w:rsid w:val="001810EE"/>
    <w:rsid w:val="00181111"/>
    <w:rsid w:val="00181160"/>
    <w:rsid w:val="00181162"/>
    <w:rsid w:val="001811F2"/>
    <w:rsid w:val="001812DC"/>
    <w:rsid w:val="00181325"/>
    <w:rsid w:val="00181342"/>
    <w:rsid w:val="0018139D"/>
    <w:rsid w:val="001813E3"/>
    <w:rsid w:val="00181495"/>
    <w:rsid w:val="001814DE"/>
    <w:rsid w:val="00181509"/>
    <w:rsid w:val="00181534"/>
    <w:rsid w:val="0018155B"/>
    <w:rsid w:val="00181666"/>
    <w:rsid w:val="00181671"/>
    <w:rsid w:val="001816AB"/>
    <w:rsid w:val="001816E0"/>
    <w:rsid w:val="001816EC"/>
    <w:rsid w:val="00181797"/>
    <w:rsid w:val="00181832"/>
    <w:rsid w:val="001818B5"/>
    <w:rsid w:val="001818D9"/>
    <w:rsid w:val="001819A1"/>
    <w:rsid w:val="00181A1B"/>
    <w:rsid w:val="00181A50"/>
    <w:rsid w:val="00181A57"/>
    <w:rsid w:val="00181A58"/>
    <w:rsid w:val="00181A5C"/>
    <w:rsid w:val="00181AD1"/>
    <w:rsid w:val="00181BA3"/>
    <w:rsid w:val="00181BEB"/>
    <w:rsid w:val="00181BF0"/>
    <w:rsid w:val="00181C0F"/>
    <w:rsid w:val="00181C22"/>
    <w:rsid w:val="00181C3C"/>
    <w:rsid w:val="00181CDF"/>
    <w:rsid w:val="00181D02"/>
    <w:rsid w:val="00181DA5"/>
    <w:rsid w:val="00181E25"/>
    <w:rsid w:val="00181E65"/>
    <w:rsid w:val="00181EA7"/>
    <w:rsid w:val="00181EF5"/>
    <w:rsid w:val="00181F14"/>
    <w:rsid w:val="00181F9D"/>
    <w:rsid w:val="00181FD3"/>
    <w:rsid w:val="00181FD7"/>
    <w:rsid w:val="0018202F"/>
    <w:rsid w:val="00182062"/>
    <w:rsid w:val="001820FD"/>
    <w:rsid w:val="001821DA"/>
    <w:rsid w:val="00182244"/>
    <w:rsid w:val="00182258"/>
    <w:rsid w:val="001822EF"/>
    <w:rsid w:val="00182372"/>
    <w:rsid w:val="00182375"/>
    <w:rsid w:val="0018237F"/>
    <w:rsid w:val="0018238A"/>
    <w:rsid w:val="001825CC"/>
    <w:rsid w:val="001826B3"/>
    <w:rsid w:val="001826D6"/>
    <w:rsid w:val="00182766"/>
    <w:rsid w:val="0018278E"/>
    <w:rsid w:val="001827C0"/>
    <w:rsid w:val="0018285A"/>
    <w:rsid w:val="0018285F"/>
    <w:rsid w:val="0018291A"/>
    <w:rsid w:val="0018291C"/>
    <w:rsid w:val="0018293F"/>
    <w:rsid w:val="00182A8C"/>
    <w:rsid w:val="00182A8E"/>
    <w:rsid w:val="00182AFF"/>
    <w:rsid w:val="00182B0E"/>
    <w:rsid w:val="00182B90"/>
    <w:rsid w:val="00182B9F"/>
    <w:rsid w:val="00182BFC"/>
    <w:rsid w:val="00182C17"/>
    <w:rsid w:val="00182CE0"/>
    <w:rsid w:val="00182CF9"/>
    <w:rsid w:val="00182D2A"/>
    <w:rsid w:val="00182D48"/>
    <w:rsid w:val="00182DDB"/>
    <w:rsid w:val="00182DFC"/>
    <w:rsid w:val="00182E62"/>
    <w:rsid w:val="00182F2B"/>
    <w:rsid w:val="00182F45"/>
    <w:rsid w:val="00182F8D"/>
    <w:rsid w:val="00182FA2"/>
    <w:rsid w:val="00182FCD"/>
    <w:rsid w:val="00183060"/>
    <w:rsid w:val="00183067"/>
    <w:rsid w:val="0018307F"/>
    <w:rsid w:val="001830A7"/>
    <w:rsid w:val="001830E2"/>
    <w:rsid w:val="0018311F"/>
    <w:rsid w:val="00183124"/>
    <w:rsid w:val="00183132"/>
    <w:rsid w:val="00183135"/>
    <w:rsid w:val="00183188"/>
    <w:rsid w:val="00183248"/>
    <w:rsid w:val="00183283"/>
    <w:rsid w:val="0018328E"/>
    <w:rsid w:val="001832BA"/>
    <w:rsid w:val="0018333E"/>
    <w:rsid w:val="00183343"/>
    <w:rsid w:val="00183354"/>
    <w:rsid w:val="0018345A"/>
    <w:rsid w:val="0018345C"/>
    <w:rsid w:val="001834FA"/>
    <w:rsid w:val="00183557"/>
    <w:rsid w:val="001835DF"/>
    <w:rsid w:val="00183605"/>
    <w:rsid w:val="00183647"/>
    <w:rsid w:val="00183661"/>
    <w:rsid w:val="00183667"/>
    <w:rsid w:val="0018374C"/>
    <w:rsid w:val="0018375F"/>
    <w:rsid w:val="00183869"/>
    <w:rsid w:val="001838A1"/>
    <w:rsid w:val="001838EC"/>
    <w:rsid w:val="0018390A"/>
    <w:rsid w:val="00183A88"/>
    <w:rsid w:val="00183AC2"/>
    <w:rsid w:val="00183AC8"/>
    <w:rsid w:val="00183B98"/>
    <w:rsid w:val="00183BFC"/>
    <w:rsid w:val="00183C31"/>
    <w:rsid w:val="00183CB9"/>
    <w:rsid w:val="00183D30"/>
    <w:rsid w:val="00183DE2"/>
    <w:rsid w:val="00183DEC"/>
    <w:rsid w:val="00183E55"/>
    <w:rsid w:val="00183EA0"/>
    <w:rsid w:val="00183F21"/>
    <w:rsid w:val="00183F5F"/>
    <w:rsid w:val="00183F66"/>
    <w:rsid w:val="00184007"/>
    <w:rsid w:val="0018400F"/>
    <w:rsid w:val="0018405C"/>
    <w:rsid w:val="001840C4"/>
    <w:rsid w:val="001840D9"/>
    <w:rsid w:val="001840F8"/>
    <w:rsid w:val="001840F9"/>
    <w:rsid w:val="00184173"/>
    <w:rsid w:val="001841BF"/>
    <w:rsid w:val="001841E3"/>
    <w:rsid w:val="00184224"/>
    <w:rsid w:val="0018423A"/>
    <w:rsid w:val="0018427B"/>
    <w:rsid w:val="00184295"/>
    <w:rsid w:val="00184334"/>
    <w:rsid w:val="00184341"/>
    <w:rsid w:val="00184448"/>
    <w:rsid w:val="00184449"/>
    <w:rsid w:val="00184488"/>
    <w:rsid w:val="00184543"/>
    <w:rsid w:val="00184555"/>
    <w:rsid w:val="001845B0"/>
    <w:rsid w:val="0018463E"/>
    <w:rsid w:val="00184695"/>
    <w:rsid w:val="001846C9"/>
    <w:rsid w:val="0018476A"/>
    <w:rsid w:val="00184781"/>
    <w:rsid w:val="0018479C"/>
    <w:rsid w:val="001847B8"/>
    <w:rsid w:val="001847F2"/>
    <w:rsid w:val="00184812"/>
    <w:rsid w:val="00184843"/>
    <w:rsid w:val="0018489B"/>
    <w:rsid w:val="001848A9"/>
    <w:rsid w:val="0018490F"/>
    <w:rsid w:val="0018495D"/>
    <w:rsid w:val="00184A4F"/>
    <w:rsid w:val="00184AD9"/>
    <w:rsid w:val="00184B84"/>
    <w:rsid w:val="00184C75"/>
    <w:rsid w:val="00184C91"/>
    <w:rsid w:val="00184E74"/>
    <w:rsid w:val="00184EA7"/>
    <w:rsid w:val="00184EC6"/>
    <w:rsid w:val="00184F10"/>
    <w:rsid w:val="00184FA2"/>
    <w:rsid w:val="00184FA8"/>
    <w:rsid w:val="00184FCD"/>
    <w:rsid w:val="0018515D"/>
    <w:rsid w:val="0018517F"/>
    <w:rsid w:val="00185202"/>
    <w:rsid w:val="0018522A"/>
    <w:rsid w:val="00185244"/>
    <w:rsid w:val="00185258"/>
    <w:rsid w:val="0018536A"/>
    <w:rsid w:val="001853C9"/>
    <w:rsid w:val="001853FD"/>
    <w:rsid w:val="00185425"/>
    <w:rsid w:val="0018553D"/>
    <w:rsid w:val="0018556D"/>
    <w:rsid w:val="001855E3"/>
    <w:rsid w:val="00185660"/>
    <w:rsid w:val="0018568A"/>
    <w:rsid w:val="001857AF"/>
    <w:rsid w:val="001857DC"/>
    <w:rsid w:val="001858A2"/>
    <w:rsid w:val="00185916"/>
    <w:rsid w:val="0018596E"/>
    <w:rsid w:val="001859D3"/>
    <w:rsid w:val="001859E3"/>
    <w:rsid w:val="00185A3A"/>
    <w:rsid w:val="00185BC1"/>
    <w:rsid w:val="00185BEC"/>
    <w:rsid w:val="00185C12"/>
    <w:rsid w:val="00185C2D"/>
    <w:rsid w:val="00185D06"/>
    <w:rsid w:val="00185D77"/>
    <w:rsid w:val="00185EA6"/>
    <w:rsid w:val="00185EE7"/>
    <w:rsid w:val="00185EEF"/>
    <w:rsid w:val="00185EFC"/>
    <w:rsid w:val="00185FB7"/>
    <w:rsid w:val="00186093"/>
    <w:rsid w:val="00186114"/>
    <w:rsid w:val="001861C5"/>
    <w:rsid w:val="001861C7"/>
    <w:rsid w:val="001861D4"/>
    <w:rsid w:val="00186226"/>
    <w:rsid w:val="001862B5"/>
    <w:rsid w:val="001862BA"/>
    <w:rsid w:val="001862CD"/>
    <w:rsid w:val="00186389"/>
    <w:rsid w:val="001863A4"/>
    <w:rsid w:val="001863B6"/>
    <w:rsid w:val="001863DF"/>
    <w:rsid w:val="0018646C"/>
    <w:rsid w:val="001864BC"/>
    <w:rsid w:val="001864DB"/>
    <w:rsid w:val="0018651D"/>
    <w:rsid w:val="00186564"/>
    <w:rsid w:val="001865D7"/>
    <w:rsid w:val="001865F4"/>
    <w:rsid w:val="00186638"/>
    <w:rsid w:val="0018667C"/>
    <w:rsid w:val="00186705"/>
    <w:rsid w:val="0018675E"/>
    <w:rsid w:val="0018677B"/>
    <w:rsid w:val="001867B6"/>
    <w:rsid w:val="001867FF"/>
    <w:rsid w:val="001868BB"/>
    <w:rsid w:val="0018698A"/>
    <w:rsid w:val="001869B6"/>
    <w:rsid w:val="00186A46"/>
    <w:rsid w:val="00186A9C"/>
    <w:rsid w:val="00186B1E"/>
    <w:rsid w:val="00186B95"/>
    <w:rsid w:val="00186BA9"/>
    <w:rsid w:val="00186BBD"/>
    <w:rsid w:val="00186C85"/>
    <w:rsid w:val="00186D0D"/>
    <w:rsid w:val="00186D1D"/>
    <w:rsid w:val="00186D4B"/>
    <w:rsid w:val="00186D9A"/>
    <w:rsid w:val="00186F18"/>
    <w:rsid w:val="00186F3A"/>
    <w:rsid w:val="0018707F"/>
    <w:rsid w:val="001870ED"/>
    <w:rsid w:val="0018715B"/>
    <w:rsid w:val="001871A4"/>
    <w:rsid w:val="001871B8"/>
    <w:rsid w:val="001871DC"/>
    <w:rsid w:val="001871F2"/>
    <w:rsid w:val="00187236"/>
    <w:rsid w:val="0018724E"/>
    <w:rsid w:val="0018725E"/>
    <w:rsid w:val="00187289"/>
    <w:rsid w:val="001872DF"/>
    <w:rsid w:val="00187339"/>
    <w:rsid w:val="00187378"/>
    <w:rsid w:val="001873C5"/>
    <w:rsid w:val="001873FF"/>
    <w:rsid w:val="00187447"/>
    <w:rsid w:val="00187459"/>
    <w:rsid w:val="001874A3"/>
    <w:rsid w:val="001875CD"/>
    <w:rsid w:val="00187619"/>
    <w:rsid w:val="0018766B"/>
    <w:rsid w:val="00187739"/>
    <w:rsid w:val="0018775E"/>
    <w:rsid w:val="0018776A"/>
    <w:rsid w:val="001877DF"/>
    <w:rsid w:val="001877F3"/>
    <w:rsid w:val="00187806"/>
    <w:rsid w:val="00187873"/>
    <w:rsid w:val="00187888"/>
    <w:rsid w:val="0018790C"/>
    <w:rsid w:val="0018791C"/>
    <w:rsid w:val="00187981"/>
    <w:rsid w:val="0018798A"/>
    <w:rsid w:val="00187A09"/>
    <w:rsid w:val="00187ADD"/>
    <w:rsid w:val="00187AFC"/>
    <w:rsid w:val="00187B08"/>
    <w:rsid w:val="00187B2B"/>
    <w:rsid w:val="00187B84"/>
    <w:rsid w:val="00187C4B"/>
    <w:rsid w:val="00187D0E"/>
    <w:rsid w:val="00187E33"/>
    <w:rsid w:val="00187E39"/>
    <w:rsid w:val="00187E46"/>
    <w:rsid w:val="00187EC8"/>
    <w:rsid w:val="00187FE3"/>
    <w:rsid w:val="00187FE9"/>
    <w:rsid w:val="0019005A"/>
    <w:rsid w:val="00190099"/>
    <w:rsid w:val="001900E0"/>
    <w:rsid w:val="0019015E"/>
    <w:rsid w:val="00190168"/>
    <w:rsid w:val="001901D3"/>
    <w:rsid w:val="00190243"/>
    <w:rsid w:val="0019025D"/>
    <w:rsid w:val="001902DE"/>
    <w:rsid w:val="00190399"/>
    <w:rsid w:val="001903EB"/>
    <w:rsid w:val="00190424"/>
    <w:rsid w:val="00190438"/>
    <w:rsid w:val="00190453"/>
    <w:rsid w:val="00190519"/>
    <w:rsid w:val="00190569"/>
    <w:rsid w:val="00190594"/>
    <w:rsid w:val="001905EC"/>
    <w:rsid w:val="00190789"/>
    <w:rsid w:val="001907A7"/>
    <w:rsid w:val="001907AC"/>
    <w:rsid w:val="00190850"/>
    <w:rsid w:val="00190856"/>
    <w:rsid w:val="00190877"/>
    <w:rsid w:val="001908BB"/>
    <w:rsid w:val="001908EB"/>
    <w:rsid w:val="001908FB"/>
    <w:rsid w:val="00190981"/>
    <w:rsid w:val="0019098A"/>
    <w:rsid w:val="0019098E"/>
    <w:rsid w:val="001909AF"/>
    <w:rsid w:val="00190A3F"/>
    <w:rsid w:val="00190AE8"/>
    <w:rsid w:val="00190B7E"/>
    <w:rsid w:val="00190C35"/>
    <w:rsid w:val="00190CBB"/>
    <w:rsid w:val="00190D13"/>
    <w:rsid w:val="00190D61"/>
    <w:rsid w:val="00190D9C"/>
    <w:rsid w:val="00190DB7"/>
    <w:rsid w:val="00190DE8"/>
    <w:rsid w:val="00190E07"/>
    <w:rsid w:val="00190E55"/>
    <w:rsid w:val="00190E60"/>
    <w:rsid w:val="00190E74"/>
    <w:rsid w:val="00190FB7"/>
    <w:rsid w:val="00190FD0"/>
    <w:rsid w:val="00190FD8"/>
    <w:rsid w:val="00191014"/>
    <w:rsid w:val="0019101A"/>
    <w:rsid w:val="00191067"/>
    <w:rsid w:val="00191074"/>
    <w:rsid w:val="0019108A"/>
    <w:rsid w:val="0019111A"/>
    <w:rsid w:val="0019111B"/>
    <w:rsid w:val="00191125"/>
    <w:rsid w:val="0019112B"/>
    <w:rsid w:val="00191149"/>
    <w:rsid w:val="00191161"/>
    <w:rsid w:val="00191191"/>
    <w:rsid w:val="00191195"/>
    <w:rsid w:val="001911CA"/>
    <w:rsid w:val="001911E2"/>
    <w:rsid w:val="0019129E"/>
    <w:rsid w:val="001912C9"/>
    <w:rsid w:val="001912DD"/>
    <w:rsid w:val="00191315"/>
    <w:rsid w:val="0019134D"/>
    <w:rsid w:val="001913BB"/>
    <w:rsid w:val="001913E9"/>
    <w:rsid w:val="0019142F"/>
    <w:rsid w:val="001915DC"/>
    <w:rsid w:val="001915FB"/>
    <w:rsid w:val="001916D8"/>
    <w:rsid w:val="00191740"/>
    <w:rsid w:val="00191758"/>
    <w:rsid w:val="001917AA"/>
    <w:rsid w:val="001918FB"/>
    <w:rsid w:val="0019191B"/>
    <w:rsid w:val="0019192F"/>
    <w:rsid w:val="00191952"/>
    <w:rsid w:val="0019195A"/>
    <w:rsid w:val="00191993"/>
    <w:rsid w:val="001919B4"/>
    <w:rsid w:val="001919CA"/>
    <w:rsid w:val="001919D0"/>
    <w:rsid w:val="001919DB"/>
    <w:rsid w:val="001919E7"/>
    <w:rsid w:val="00191AC9"/>
    <w:rsid w:val="00191BF2"/>
    <w:rsid w:val="00191BFB"/>
    <w:rsid w:val="00191CD6"/>
    <w:rsid w:val="00191D28"/>
    <w:rsid w:val="00191D58"/>
    <w:rsid w:val="00191D8C"/>
    <w:rsid w:val="00191DFA"/>
    <w:rsid w:val="00191E1A"/>
    <w:rsid w:val="00191E53"/>
    <w:rsid w:val="00191E63"/>
    <w:rsid w:val="00191ED1"/>
    <w:rsid w:val="00191F0B"/>
    <w:rsid w:val="00191F14"/>
    <w:rsid w:val="0019204F"/>
    <w:rsid w:val="0019206B"/>
    <w:rsid w:val="0019208A"/>
    <w:rsid w:val="0019210E"/>
    <w:rsid w:val="0019211A"/>
    <w:rsid w:val="00192173"/>
    <w:rsid w:val="0019217D"/>
    <w:rsid w:val="00192197"/>
    <w:rsid w:val="0019220A"/>
    <w:rsid w:val="0019222F"/>
    <w:rsid w:val="001922B3"/>
    <w:rsid w:val="001922D1"/>
    <w:rsid w:val="0019234B"/>
    <w:rsid w:val="0019234E"/>
    <w:rsid w:val="00192356"/>
    <w:rsid w:val="00192359"/>
    <w:rsid w:val="001923C7"/>
    <w:rsid w:val="001923F1"/>
    <w:rsid w:val="00192438"/>
    <w:rsid w:val="00192458"/>
    <w:rsid w:val="0019256D"/>
    <w:rsid w:val="001925EA"/>
    <w:rsid w:val="00192673"/>
    <w:rsid w:val="0019267D"/>
    <w:rsid w:val="00192714"/>
    <w:rsid w:val="00192816"/>
    <w:rsid w:val="00192832"/>
    <w:rsid w:val="001928D2"/>
    <w:rsid w:val="001928FA"/>
    <w:rsid w:val="00192908"/>
    <w:rsid w:val="001929DB"/>
    <w:rsid w:val="00192A77"/>
    <w:rsid w:val="00192B29"/>
    <w:rsid w:val="00192B37"/>
    <w:rsid w:val="00192B77"/>
    <w:rsid w:val="00192BFD"/>
    <w:rsid w:val="00192BFE"/>
    <w:rsid w:val="00192C4D"/>
    <w:rsid w:val="00192CD9"/>
    <w:rsid w:val="00192D62"/>
    <w:rsid w:val="00192D7C"/>
    <w:rsid w:val="00192D7F"/>
    <w:rsid w:val="00192D86"/>
    <w:rsid w:val="00192D94"/>
    <w:rsid w:val="00192DAC"/>
    <w:rsid w:val="00192E2C"/>
    <w:rsid w:val="00192EAA"/>
    <w:rsid w:val="00192F1D"/>
    <w:rsid w:val="00192F3A"/>
    <w:rsid w:val="00192F8A"/>
    <w:rsid w:val="00192FDB"/>
    <w:rsid w:val="00192FDF"/>
    <w:rsid w:val="00193033"/>
    <w:rsid w:val="001930CD"/>
    <w:rsid w:val="00193121"/>
    <w:rsid w:val="00193134"/>
    <w:rsid w:val="001931C3"/>
    <w:rsid w:val="0019322F"/>
    <w:rsid w:val="001932A5"/>
    <w:rsid w:val="001932B8"/>
    <w:rsid w:val="0019333C"/>
    <w:rsid w:val="00193372"/>
    <w:rsid w:val="0019342E"/>
    <w:rsid w:val="0019344A"/>
    <w:rsid w:val="0019344D"/>
    <w:rsid w:val="001934A0"/>
    <w:rsid w:val="001935EA"/>
    <w:rsid w:val="001938F8"/>
    <w:rsid w:val="00193963"/>
    <w:rsid w:val="001939EB"/>
    <w:rsid w:val="001939FF"/>
    <w:rsid w:val="00193A7B"/>
    <w:rsid w:val="00193AAE"/>
    <w:rsid w:val="00193AB8"/>
    <w:rsid w:val="00193ABF"/>
    <w:rsid w:val="00193B73"/>
    <w:rsid w:val="00193B81"/>
    <w:rsid w:val="00193C0C"/>
    <w:rsid w:val="00193C26"/>
    <w:rsid w:val="00193C9B"/>
    <w:rsid w:val="00193CF4"/>
    <w:rsid w:val="00193D10"/>
    <w:rsid w:val="00193D30"/>
    <w:rsid w:val="00193DC0"/>
    <w:rsid w:val="00193DC5"/>
    <w:rsid w:val="00193E51"/>
    <w:rsid w:val="00193E6A"/>
    <w:rsid w:val="00193E7E"/>
    <w:rsid w:val="00193EF0"/>
    <w:rsid w:val="00193F51"/>
    <w:rsid w:val="001940C9"/>
    <w:rsid w:val="001940CB"/>
    <w:rsid w:val="00194130"/>
    <w:rsid w:val="00194185"/>
    <w:rsid w:val="001941E9"/>
    <w:rsid w:val="001942D2"/>
    <w:rsid w:val="001942E9"/>
    <w:rsid w:val="001942EF"/>
    <w:rsid w:val="00194347"/>
    <w:rsid w:val="001943DC"/>
    <w:rsid w:val="001943FF"/>
    <w:rsid w:val="00194408"/>
    <w:rsid w:val="0019449B"/>
    <w:rsid w:val="001944C4"/>
    <w:rsid w:val="00194550"/>
    <w:rsid w:val="00194558"/>
    <w:rsid w:val="00194582"/>
    <w:rsid w:val="001945E0"/>
    <w:rsid w:val="001945F9"/>
    <w:rsid w:val="001945FA"/>
    <w:rsid w:val="00194616"/>
    <w:rsid w:val="0019461B"/>
    <w:rsid w:val="00194624"/>
    <w:rsid w:val="0019466D"/>
    <w:rsid w:val="00194679"/>
    <w:rsid w:val="001946BB"/>
    <w:rsid w:val="001946C9"/>
    <w:rsid w:val="00194705"/>
    <w:rsid w:val="001947D0"/>
    <w:rsid w:val="001947EE"/>
    <w:rsid w:val="001948A7"/>
    <w:rsid w:val="00194987"/>
    <w:rsid w:val="0019498E"/>
    <w:rsid w:val="0019499B"/>
    <w:rsid w:val="001949A2"/>
    <w:rsid w:val="001949EC"/>
    <w:rsid w:val="00194A5F"/>
    <w:rsid w:val="00194B45"/>
    <w:rsid w:val="00194B4D"/>
    <w:rsid w:val="00194B55"/>
    <w:rsid w:val="00194B57"/>
    <w:rsid w:val="00194BA9"/>
    <w:rsid w:val="00194BC4"/>
    <w:rsid w:val="00194BF9"/>
    <w:rsid w:val="00194C2F"/>
    <w:rsid w:val="00194C3C"/>
    <w:rsid w:val="00194C45"/>
    <w:rsid w:val="00194C82"/>
    <w:rsid w:val="00194CBB"/>
    <w:rsid w:val="00194CFA"/>
    <w:rsid w:val="00194D14"/>
    <w:rsid w:val="00194D51"/>
    <w:rsid w:val="00194DEC"/>
    <w:rsid w:val="00194DF3"/>
    <w:rsid w:val="00194E29"/>
    <w:rsid w:val="00194ECF"/>
    <w:rsid w:val="00194ED3"/>
    <w:rsid w:val="00194EF3"/>
    <w:rsid w:val="00194F4F"/>
    <w:rsid w:val="00194F75"/>
    <w:rsid w:val="00194FD6"/>
    <w:rsid w:val="00195061"/>
    <w:rsid w:val="0019506A"/>
    <w:rsid w:val="00195160"/>
    <w:rsid w:val="00195166"/>
    <w:rsid w:val="00195207"/>
    <w:rsid w:val="00195241"/>
    <w:rsid w:val="001952CD"/>
    <w:rsid w:val="001952E5"/>
    <w:rsid w:val="00195372"/>
    <w:rsid w:val="00195384"/>
    <w:rsid w:val="0019538F"/>
    <w:rsid w:val="00195458"/>
    <w:rsid w:val="001954AE"/>
    <w:rsid w:val="00195513"/>
    <w:rsid w:val="001955CE"/>
    <w:rsid w:val="0019560B"/>
    <w:rsid w:val="0019563F"/>
    <w:rsid w:val="001956B0"/>
    <w:rsid w:val="00195708"/>
    <w:rsid w:val="0019572C"/>
    <w:rsid w:val="00195830"/>
    <w:rsid w:val="0019587B"/>
    <w:rsid w:val="00195890"/>
    <w:rsid w:val="001958BB"/>
    <w:rsid w:val="0019593A"/>
    <w:rsid w:val="00195972"/>
    <w:rsid w:val="00195990"/>
    <w:rsid w:val="001959CE"/>
    <w:rsid w:val="001959DC"/>
    <w:rsid w:val="00195A8A"/>
    <w:rsid w:val="00195BFD"/>
    <w:rsid w:val="00195C1C"/>
    <w:rsid w:val="00195C8E"/>
    <w:rsid w:val="00195CAE"/>
    <w:rsid w:val="00195CB9"/>
    <w:rsid w:val="00195D16"/>
    <w:rsid w:val="00195D38"/>
    <w:rsid w:val="00195D3D"/>
    <w:rsid w:val="00195D6C"/>
    <w:rsid w:val="00195DCD"/>
    <w:rsid w:val="00195E3A"/>
    <w:rsid w:val="00195EE9"/>
    <w:rsid w:val="00195F04"/>
    <w:rsid w:val="00195FEC"/>
    <w:rsid w:val="00195FED"/>
    <w:rsid w:val="001960B6"/>
    <w:rsid w:val="001960D0"/>
    <w:rsid w:val="001960F1"/>
    <w:rsid w:val="0019617F"/>
    <w:rsid w:val="00196213"/>
    <w:rsid w:val="001962F4"/>
    <w:rsid w:val="001962FC"/>
    <w:rsid w:val="00196359"/>
    <w:rsid w:val="001963C0"/>
    <w:rsid w:val="001963E6"/>
    <w:rsid w:val="00196434"/>
    <w:rsid w:val="0019648C"/>
    <w:rsid w:val="001964B7"/>
    <w:rsid w:val="00196585"/>
    <w:rsid w:val="0019658C"/>
    <w:rsid w:val="001965FD"/>
    <w:rsid w:val="001966D7"/>
    <w:rsid w:val="0019677D"/>
    <w:rsid w:val="001967C6"/>
    <w:rsid w:val="001967D3"/>
    <w:rsid w:val="001967F1"/>
    <w:rsid w:val="001967F7"/>
    <w:rsid w:val="00196878"/>
    <w:rsid w:val="001968A7"/>
    <w:rsid w:val="001969CB"/>
    <w:rsid w:val="00196A54"/>
    <w:rsid w:val="00196A6F"/>
    <w:rsid w:val="00196AC3"/>
    <w:rsid w:val="00196B6E"/>
    <w:rsid w:val="00196B90"/>
    <w:rsid w:val="00196C09"/>
    <w:rsid w:val="00196C4E"/>
    <w:rsid w:val="00196C7B"/>
    <w:rsid w:val="00196C8F"/>
    <w:rsid w:val="00196CB2"/>
    <w:rsid w:val="00196D1C"/>
    <w:rsid w:val="00196D7E"/>
    <w:rsid w:val="00196DC3"/>
    <w:rsid w:val="00196DEE"/>
    <w:rsid w:val="00196EC2"/>
    <w:rsid w:val="00196EE0"/>
    <w:rsid w:val="00196F22"/>
    <w:rsid w:val="00196F2F"/>
    <w:rsid w:val="00196FB3"/>
    <w:rsid w:val="00197112"/>
    <w:rsid w:val="001971AA"/>
    <w:rsid w:val="0019720A"/>
    <w:rsid w:val="001972C0"/>
    <w:rsid w:val="001972D2"/>
    <w:rsid w:val="00197322"/>
    <w:rsid w:val="001973C1"/>
    <w:rsid w:val="00197405"/>
    <w:rsid w:val="00197490"/>
    <w:rsid w:val="00197530"/>
    <w:rsid w:val="001975CB"/>
    <w:rsid w:val="001975FD"/>
    <w:rsid w:val="00197649"/>
    <w:rsid w:val="001976F7"/>
    <w:rsid w:val="0019773D"/>
    <w:rsid w:val="00197779"/>
    <w:rsid w:val="001977AD"/>
    <w:rsid w:val="001977BA"/>
    <w:rsid w:val="001977DD"/>
    <w:rsid w:val="001977EA"/>
    <w:rsid w:val="00197819"/>
    <w:rsid w:val="0019785D"/>
    <w:rsid w:val="00197885"/>
    <w:rsid w:val="0019797C"/>
    <w:rsid w:val="00197AF1"/>
    <w:rsid w:val="00197B51"/>
    <w:rsid w:val="00197B67"/>
    <w:rsid w:val="00197B9B"/>
    <w:rsid w:val="00197BA2"/>
    <w:rsid w:val="00197BA7"/>
    <w:rsid w:val="00197BE5"/>
    <w:rsid w:val="00197BE6"/>
    <w:rsid w:val="00197BE8"/>
    <w:rsid w:val="00197CD7"/>
    <w:rsid w:val="00197CDA"/>
    <w:rsid w:val="00197DAE"/>
    <w:rsid w:val="00197DAF"/>
    <w:rsid w:val="00197DB0"/>
    <w:rsid w:val="00197EA7"/>
    <w:rsid w:val="00197F05"/>
    <w:rsid w:val="00197FCD"/>
    <w:rsid w:val="001A0005"/>
    <w:rsid w:val="001A0065"/>
    <w:rsid w:val="001A00BD"/>
    <w:rsid w:val="001A00C3"/>
    <w:rsid w:val="001A00C8"/>
    <w:rsid w:val="001A00CF"/>
    <w:rsid w:val="001A010E"/>
    <w:rsid w:val="001A0207"/>
    <w:rsid w:val="001A021B"/>
    <w:rsid w:val="001A02C5"/>
    <w:rsid w:val="001A0439"/>
    <w:rsid w:val="001A0442"/>
    <w:rsid w:val="001A047A"/>
    <w:rsid w:val="001A04DD"/>
    <w:rsid w:val="001A0511"/>
    <w:rsid w:val="001A05C9"/>
    <w:rsid w:val="001A062E"/>
    <w:rsid w:val="001A063F"/>
    <w:rsid w:val="001A0655"/>
    <w:rsid w:val="001A0671"/>
    <w:rsid w:val="001A07C5"/>
    <w:rsid w:val="001A07D0"/>
    <w:rsid w:val="001A0858"/>
    <w:rsid w:val="001A0862"/>
    <w:rsid w:val="001A08E6"/>
    <w:rsid w:val="001A0957"/>
    <w:rsid w:val="001A099F"/>
    <w:rsid w:val="001A09DF"/>
    <w:rsid w:val="001A09F7"/>
    <w:rsid w:val="001A0A63"/>
    <w:rsid w:val="001A0A73"/>
    <w:rsid w:val="001A0AE7"/>
    <w:rsid w:val="001A0B43"/>
    <w:rsid w:val="001A0BD1"/>
    <w:rsid w:val="001A0BFD"/>
    <w:rsid w:val="001A0C10"/>
    <w:rsid w:val="001A0C7D"/>
    <w:rsid w:val="001A0C81"/>
    <w:rsid w:val="001A0CA7"/>
    <w:rsid w:val="001A0CF7"/>
    <w:rsid w:val="001A0DB1"/>
    <w:rsid w:val="001A0E8C"/>
    <w:rsid w:val="001A0EA7"/>
    <w:rsid w:val="001A0EB0"/>
    <w:rsid w:val="001A0F2E"/>
    <w:rsid w:val="001A1008"/>
    <w:rsid w:val="001A101A"/>
    <w:rsid w:val="001A1050"/>
    <w:rsid w:val="001A1095"/>
    <w:rsid w:val="001A1100"/>
    <w:rsid w:val="001A1126"/>
    <w:rsid w:val="001A1172"/>
    <w:rsid w:val="001A123F"/>
    <w:rsid w:val="001A124D"/>
    <w:rsid w:val="001A12C7"/>
    <w:rsid w:val="001A12F5"/>
    <w:rsid w:val="001A13C8"/>
    <w:rsid w:val="001A13F8"/>
    <w:rsid w:val="001A1524"/>
    <w:rsid w:val="001A1552"/>
    <w:rsid w:val="001A1573"/>
    <w:rsid w:val="001A1575"/>
    <w:rsid w:val="001A1650"/>
    <w:rsid w:val="001A16F2"/>
    <w:rsid w:val="001A171A"/>
    <w:rsid w:val="001A174F"/>
    <w:rsid w:val="001A1773"/>
    <w:rsid w:val="001A17D5"/>
    <w:rsid w:val="001A17F6"/>
    <w:rsid w:val="001A17F7"/>
    <w:rsid w:val="001A181F"/>
    <w:rsid w:val="001A182C"/>
    <w:rsid w:val="001A1844"/>
    <w:rsid w:val="001A1990"/>
    <w:rsid w:val="001A1AC6"/>
    <w:rsid w:val="001A1B74"/>
    <w:rsid w:val="001A1D39"/>
    <w:rsid w:val="001A1DE3"/>
    <w:rsid w:val="001A1E21"/>
    <w:rsid w:val="001A1E50"/>
    <w:rsid w:val="001A1E72"/>
    <w:rsid w:val="001A1E96"/>
    <w:rsid w:val="001A1EA8"/>
    <w:rsid w:val="001A1EC3"/>
    <w:rsid w:val="001A1EC4"/>
    <w:rsid w:val="001A1EE3"/>
    <w:rsid w:val="001A1F29"/>
    <w:rsid w:val="001A1FD2"/>
    <w:rsid w:val="001A204F"/>
    <w:rsid w:val="001A2083"/>
    <w:rsid w:val="001A2185"/>
    <w:rsid w:val="001A2198"/>
    <w:rsid w:val="001A21E5"/>
    <w:rsid w:val="001A21F1"/>
    <w:rsid w:val="001A22BD"/>
    <w:rsid w:val="001A22DE"/>
    <w:rsid w:val="001A236D"/>
    <w:rsid w:val="001A242D"/>
    <w:rsid w:val="001A245A"/>
    <w:rsid w:val="001A2463"/>
    <w:rsid w:val="001A24D0"/>
    <w:rsid w:val="001A2596"/>
    <w:rsid w:val="001A25B1"/>
    <w:rsid w:val="001A25F4"/>
    <w:rsid w:val="001A25F9"/>
    <w:rsid w:val="001A2613"/>
    <w:rsid w:val="001A2661"/>
    <w:rsid w:val="001A269F"/>
    <w:rsid w:val="001A26AC"/>
    <w:rsid w:val="001A2732"/>
    <w:rsid w:val="001A277F"/>
    <w:rsid w:val="001A279A"/>
    <w:rsid w:val="001A27CF"/>
    <w:rsid w:val="001A27EE"/>
    <w:rsid w:val="001A280F"/>
    <w:rsid w:val="001A283F"/>
    <w:rsid w:val="001A28B1"/>
    <w:rsid w:val="001A2905"/>
    <w:rsid w:val="001A29AF"/>
    <w:rsid w:val="001A2A18"/>
    <w:rsid w:val="001A2A37"/>
    <w:rsid w:val="001A2A57"/>
    <w:rsid w:val="001A2A64"/>
    <w:rsid w:val="001A2AE2"/>
    <w:rsid w:val="001A2BBF"/>
    <w:rsid w:val="001A2C69"/>
    <w:rsid w:val="001A2D35"/>
    <w:rsid w:val="001A2D3C"/>
    <w:rsid w:val="001A2D46"/>
    <w:rsid w:val="001A2DAF"/>
    <w:rsid w:val="001A2DDE"/>
    <w:rsid w:val="001A2DE8"/>
    <w:rsid w:val="001A2DEC"/>
    <w:rsid w:val="001A2DFA"/>
    <w:rsid w:val="001A2E34"/>
    <w:rsid w:val="001A2E41"/>
    <w:rsid w:val="001A2EAD"/>
    <w:rsid w:val="001A2EBA"/>
    <w:rsid w:val="001A2F04"/>
    <w:rsid w:val="001A2F6C"/>
    <w:rsid w:val="001A2FC7"/>
    <w:rsid w:val="001A2FD6"/>
    <w:rsid w:val="001A3034"/>
    <w:rsid w:val="001A309A"/>
    <w:rsid w:val="001A30FB"/>
    <w:rsid w:val="001A3130"/>
    <w:rsid w:val="001A3138"/>
    <w:rsid w:val="001A31D8"/>
    <w:rsid w:val="001A31D9"/>
    <w:rsid w:val="001A322C"/>
    <w:rsid w:val="001A3311"/>
    <w:rsid w:val="001A343E"/>
    <w:rsid w:val="001A3515"/>
    <w:rsid w:val="001A35D2"/>
    <w:rsid w:val="001A362F"/>
    <w:rsid w:val="001A36FC"/>
    <w:rsid w:val="001A374C"/>
    <w:rsid w:val="001A378C"/>
    <w:rsid w:val="001A3816"/>
    <w:rsid w:val="001A3863"/>
    <w:rsid w:val="001A3875"/>
    <w:rsid w:val="001A3879"/>
    <w:rsid w:val="001A3933"/>
    <w:rsid w:val="001A3990"/>
    <w:rsid w:val="001A39A3"/>
    <w:rsid w:val="001A3A0B"/>
    <w:rsid w:val="001A3A1D"/>
    <w:rsid w:val="001A3AC3"/>
    <w:rsid w:val="001A3ACB"/>
    <w:rsid w:val="001A3B23"/>
    <w:rsid w:val="001A3B5C"/>
    <w:rsid w:val="001A3BCD"/>
    <w:rsid w:val="001A3C11"/>
    <w:rsid w:val="001A3C3E"/>
    <w:rsid w:val="001A3CAC"/>
    <w:rsid w:val="001A3D03"/>
    <w:rsid w:val="001A3D4F"/>
    <w:rsid w:val="001A3E3F"/>
    <w:rsid w:val="001A3E9D"/>
    <w:rsid w:val="001A3EC2"/>
    <w:rsid w:val="001A3F2D"/>
    <w:rsid w:val="001A3F90"/>
    <w:rsid w:val="001A4004"/>
    <w:rsid w:val="001A400D"/>
    <w:rsid w:val="001A413F"/>
    <w:rsid w:val="001A4152"/>
    <w:rsid w:val="001A417E"/>
    <w:rsid w:val="001A4273"/>
    <w:rsid w:val="001A4320"/>
    <w:rsid w:val="001A4348"/>
    <w:rsid w:val="001A4397"/>
    <w:rsid w:val="001A43B3"/>
    <w:rsid w:val="001A43FF"/>
    <w:rsid w:val="001A442F"/>
    <w:rsid w:val="001A44D1"/>
    <w:rsid w:val="001A454E"/>
    <w:rsid w:val="001A4578"/>
    <w:rsid w:val="001A45AF"/>
    <w:rsid w:val="001A45BF"/>
    <w:rsid w:val="001A4620"/>
    <w:rsid w:val="001A4672"/>
    <w:rsid w:val="001A46DF"/>
    <w:rsid w:val="001A4717"/>
    <w:rsid w:val="001A4770"/>
    <w:rsid w:val="001A4775"/>
    <w:rsid w:val="001A4791"/>
    <w:rsid w:val="001A47B9"/>
    <w:rsid w:val="001A47BE"/>
    <w:rsid w:val="001A494F"/>
    <w:rsid w:val="001A4A0F"/>
    <w:rsid w:val="001A4A12"/>
    <w:rsid w:val="001A4A8E"/>
    <w:rsid w:val="001A4ADA"/>
    <w:rsid w:val="001A4B11"/>
    <w:rsid w:val="001A4B13"/>
    <w:rsid w:val="001A4BE5"/>
    <w:rsid w:val="001A4C39"/>
    <w:rsid w:val="001A4D12"/>
    <w:rsid w:val="001A4D14"/>
    <w:rsid w:val="001A4E1D"/>
    <w:rsid w:val="001A4E5C"/>
    <w:rsid w:val="001A4E5E"/>
    <w:rsid w:val="001A4E9E"/>
    <w:rsid w:val="001A4F38"/>
    <w:rsid w:val="001A4F63"/>
    <w:rsid w:val="001A4F9C"/>
    <w:rsid w:val="001A4FCE"/>
    <w:rsid w:val="001A5033"/>
    <w:rsid w:val="001A5057"/>
    <w:rsid w:val="001A5082"/>
    <w:rsid w:val="001A5097"/>
    <w:rsid w:val="001A512C"/>
    <w:rsid w:val="001A514C"/>
    <w:rsid w:val="001A5211"/>
    <w:rsid w:val="001A529A"/>
    <w:rsid w:val="001A5365"/>
    <w:rsid w:val="001A548C"/>
    <w:rsid w:val="001A54A4"/>
    <w:rsid w:val="001A54A9"/>
    <w:rsid w:val="001A5503"/>
    <w:rsid w:val="001A5534"/>
    <w:rsid w:val="001A55B6"/>
    <w:rsid w:val="001A55D1"/>
    <w:rsid w:val="001A560F"/>
    <w:rsid w:val="001A564C"/>
    <w:rsid w:val="001A56A1"/>
    <w:rsid w:val="001A5776"/>
    <w:rsid w:val="001A57B0"/>
    <w:rsid w:val="001A57BD"/>
    <w:rsid w:val="001A57E7"/>
    <w:rsid w:val="001A5835"/>
    <w:rsid w:val="001A5857"/>
    <w:rsid w:val="001A589C"/>
    <w:rsid w:val="001A594C"/>
    <w:rsid w:val="001A5957"/>
    <w:rsid w:val="001A5999"/>
    <w:rsid w:val="001A59A2"/>
    <w:rsid w:val="001A5A3B"/>
    <w:rsid w:val="001A5B22"/>
    <w:rsid w:val="001A5B7B"/>
    <w:rsid w:val="001A5C52"/>
    <w:rsid w:val="001A5CE1"/>
    <w:rsid w:val="001A5D09"/>
    <w:rsid w:val="001A5D56"/>
    <w:rsid w:val="001A5DAF"/>
    <w:rsid w:val="001A5E24"/>
    <w:rsid w:val="001A5E7A"/>
    <w:rsid w:val="001A5EBF"/>
    <w:rsid w:val="001A5EC9"/>
    <w:rsid w:val="001A5F28"/>
    <w:rsid w:val="001A5FBE"/>
    <w:rsid w:val="001A6020"/>
    <w:rsid w:val="001A61FF"/>
    <w:rsid w:val="001A6270"/>
    <w:rsid w:val="001A627E"/>
    <w:rsid w:val="001A6286"/>
    <w:rsid w:val="001A629A"/>
    <w:rsid w:val="001A629C"/>
    <w:rsid w:val="001A6303"/>
    <w:rsid w:val="001A632B"/>
    <w:rsid w:val="001A633E"/>
    <w:rsid w:val="001A644F"/>
    <w:rsid w:val="001A6451"/>
    <w:rsid w:val="001A646F"/>
    <w:rsid w:val="001A64D7"/>
    <w:rsid w:val="001A64DD"/>
    <w:rsid w:val="001A652D"/>
    <w:rsid w:val="001A6564"/>
    <w:rsid w:val="001A65A3"/>
    <w:rsid w:val="001A65D0"/>
    <w:rsid w:val="001A6634"/>
    <w:rsid w:val="001A67A8"/>
    <w:rsid w:val="001A683F"/>
    <w:rsid w:val="001A6846"/>
    <w:rsid w:val="001A6937"/>
    <w:rsid w:val="001A6979"/>
    <w:rsid w:val="001A69B7"/>
    <w:rsid w:val="001A6AE7"/>
    <w:rsid w:val="001A6B83"/>
    <w:rsid w:val="001A6D0E"/>
    <w:rsid w:val="001A6D61"/>
    <w:rsid w:val="001A6D8C"/>
    <w:rsid w:val="001A6DC2"/>
    <w:rsid w:val="001A6DE8"/>
    <w:rsid w:val="001A6DF1"/>
    <w:rsid w:val="001A6E5B"/>
    <w:rsid w:val="001A6EA0"/>
    <w:rsid w:val="001A6EA1"/>
    <w:rsid w:val="001A6EB9"/>
    <w:rsid w:val="001A6F51"/>
    <w:rsid w:val="001A6F70"/>
    <w:rsid w:val="001A6F7D"/>
    <w:rsid w:val="001A6FB1"/>
    <w:rsid w:val="001A6FF7"/>
    <w:rsid w:val="001A7013"/>
    <w:rsid w:val="001A702D"/>
    <w:rsid w:val="001A7082"/>
    <w:rsid w:val="001A70EF"/>
    <w:rsid w:val="001A7132"/>
    <w:rsid w:val="001A7195"/>
    <w:rsid w:val="001A71F6"/>
    <w:rsid w:val="001A72AC"/>
    <w:rsid w:val="001A72EA"/>
    <w:rsid w:val="001A7337"/>
    <w:rsid w:val="001A745B"/>
    <w:rsid w:val="001A7477"/>
    <w:rsid w:val="001A7491"/>
    <w:rsid w:val="001A74B1"/>
    <w:rsid w:val="001A74F4"/>
    <w:rsid w:val="001A7533"/>
    <w:rsid w:val="001A756D"/>
    <w:rsid w:val="001A759C"/>
    <w:rsid w:val="001A76AF"/>
    <w:rsid w:val="001A76D3"/>
    <w:rsid w:val="001A778E"/>
    <w:rsid w:val="001A77C0"/>
    <w:rsid w:val="001A7838"/>
    <w:rsid w:val="001A788B"/>
    <w:rsid w:val="001A78F3"/>
    <w:rsid w:val="001A78FB"/>
    <w:rsid w:val="001A799D"/>
    <w:rsid w:val="001A7AA2"/>
    <w:rsid w:val="001A7ADE"/>
    <w:rsid w:val="001A7BEA"/>
    <w:rsid w:val="001A7C36"/>
    <w:rsid w:val="001A7C56"/>
    <w:rsid w:val="001A7C76"/>
    <w:rsid w:val="001A7CE2"/>
    <w:rsid w:val="001A7D07"/>
    <w:rsid w:val="001A7D63"/>
    <w:rsid w:val="001A7DC8"/>
    <w:rsid w:val="001A7DEA"/>
    <w:rsid w:val="001A7E39"/>
    <w:rsid w:val="001A7E85"/>
    <w:rsid w:val="001A7EA9"/>
    <w:rsid w:val="001A7ECC"/>
    <w:rsid w:val="001A7ECE"/>
    <w:rsid w:val="001A7ED9"/>
    <w:rsid w:val="001A7F0B"/>
    <w:rsid w:val="001A7F27"/>
    <w:rsid w:val="001A7F5A"/>
    <w:rsid w:val="001A7FC3"/>
    <w:rsid w:val="001A7FD4"/>
    <w:rsid w:val="001A7FEA"/>
    <w:rsid w:val="001B004F"/>
    <w:rsid w:val="001B005D"/>
    <w:rsid w:val="001B00C9"/>
    <w:rsid w:val="001B010D"/>
    <w:rsid w:val="001B010E"/>
    <w:rsid w:val="001B0166"/>
    <w:rsid w:val="001B018E"/>
    <w:rsid w:val="001B01D7"/>
    <w:rsid w:val="001B01E6"/>
    <w:rsid w:val="001B0234"/>
    <w:rsid w:val="001B025C"/>
    <w:rsid w:val="001B02A8"/>
    <w:rsid w:val="001B02F9"/>
    <w:rsid w:val="001B032B"/>
    <w:rsid w:val="001B0335"/>
    <w:rsid w:val="001B036A"/>
    <w:rsid w:val="001B03C2"/>
    <w:rsid w:val="001B03EA"/>
    <w:rsid w:val="001B049D"/>
    <w:rsid w:val="001B04C9"/>
    <w:rsid w:val="001B0517"/>
    <w:rsid w:val="001B052A"/>
    <w:rsid w:val="001B05D6"/>
    <w:rsid w:val="001B063F"/>
    <w:rsid w:val="001B0670"/>
    <w:rsid w:val="001B0673"/>
    <w:rsid w:val="001B0675"/>
    <w:rsid w:val="001B0703"/>
    <w:rsid w:val="001B077D"/>
    <w:rsid w:val="001B0786"/>
    <w:rsid w:val="001B080E"/>
    <w:rsid w:val="001B0818"/>
    <w:rsid w:val="001B085D"/>
    <w:rsid w:val="001B08E9"/>
    <w:rsid w:val="001B0900"/>
    <w:rsid w:val="001B0902"/>
    <w:rsid w:val="001B0949"/>
    <w:rsid w:val="001B0A4B"/>
    <w:rsid w:val="001B0AC7"/>
    <w:rsid w:val="001B0B8C"/>
    <w:rsid w:val="001B0BBC"/>
    <w:rsid w:val="001B0C03"/>
    <w:rsid w:val="001B0D27"/>
    <w:rsid w:val="001B0D32"/>
    <w:rsid w:val="001B0D99"/>
    <w:rsid w:val="001B0DCA"/>
    <w:rsid w:val="001B0E30"/>
    <w:rsid w:val="001B0E4A"/>
    <w:rsid w:val="001B0EA3"/>
    <w:rsid w:val="001B0ECB"/>
    <w:rsid w:val="001B0EF6"/>
    <w:rsid w:val="001B0F2B"/>
    <w:rsid w:val="001B1071"/>
    <w:rsid w:val="001B10D5"/>
    <w:rsid w:val="001B11D0"/>
    <w:rsid w:val="001B12A2"/>
    <w:rsid w:val="001B12BC"/>
    <w:rsid w:val="001B12C0"/>
    <w:rsid w:val="001B12D8"/>
    <w:rsid w:val="001B1349"/>
    <w:rsid w:val="001B1390"/>
    <w:rsid w:val="001B13BE"/>
    <w:rsid w:val="001B140D"/>
    <w:rsid w:val="001B140F"/>
    <w:rsid w:val="001B1421"/>
    <w:rsid w:val="001B1493"/>
    <w:rsid w:val="001B14A8"/>
    <w:rsid w:val="001B14DB"/>
    <w:rsid w:val="001B1511"/>
    <w:rsid w:val="001B1512"/>
    <w:rsid w:val="001B1719"/>
    <w:rsid w:val="001B1740"/>
    <w:rsid w:val="001B1775"/>
    <w:rsid w:val="001B185E"/>
    <w:rsid w:val="001B186D"/>
    <w:rsid w:val="001B187B"/>
    <w:rsid w:val="001B1962"/>
    <w:rsid w:val="001B1989"/>
    <w:rsid w:val="001B1A5E"/>
    <w:rsid w:val="001B1B4D"/>
    <w:rsid w:val="001B1C8E"/>
    <w:rsid w:val="001B1CB1"/>
    <w:rsid w:val="001B1CF2"/>
    <w:rsid w:val="001B1D48"/>
    <w:rsid w:val="001B1DAE"/>
    <w:rsid w:val="001B1E96"/>
    <w:rsid w:val="001B1ED9"/>
    <w:rsid w:val="001B1EF5"/>
    <w:rsid w:val="001B1F25"/>
    <w:rsid w:val="001B1F5C"/>
    <w:rsid w:val="001B1F72"/>
    <w:rsid w:val="001B2036"/>
    <w:rsid w:val="001B2099"/>
    <w:rsid w:val="001B20A5"/>
    <w:rsid w:val="001B20B1"/>
    <w:rsid w:val="001B20B7"/>
    <w:rsid w:val="001B21E3"/>
    <w:rsid w:val="001B2213"/>
    <w:rsid w:val="001B226C"/>
    <w:rsid w:val="001B22A4"/>
    <w:rsid w:val="001B22BB"/>
    <w:rsid w:val="001B22C5"/>
    <w:rsid w:val="001B232E"/>
    <w:rsid w:val="001B232F"/>
    <w:rsid w:val="001B2340"/>
    <w:rsid w:val="001B2344"/>
    <w:rsid w:val="001B2352"/>
    <w:rsid w:val="001B239B"/>
    <w:rsid w:val="001B23C8"/>
    <w:rsid w:val="001B2434"/>
    <w:rsid w:val="001B2531"/>
    <w:rsid w:val="001B2533"/>
    <w:rsid w:val="001B253C"/>
    <w:rsid w:val="001B2545"/>
    <w:rsid w:val="001B256A"/>
    <w:rsid w:val="001B2590"/>
    <w:rsid w:val="001B25A3"/>
    <w:rsid w:val="001B2721"/>
    <w:rsid w:val="001B277C"/>
    <w:rsid w:val="001B2793"/>
    <w:rsid w:val="001B2844"/>
    <w:rsid w:val="001B2871"/>
    <w:rsid w:val="001B28DC"/>
    <w:rsid w:val="001B2ABB"/>
    <w:rsid w:val="001B2AE7"/>
    <w:rsid w:val="001B2B7D"/>
    <w:rsid w:val="001B2BCB"/>
    <w:rsid w:val="001B2CB4"/>
    <w:rsid w:val="001B2CBD"/>
    <w:rsid w:val="001B2CFB"/>
    <w:rsid w:val="001B2DAB"/>
    <w:rsid w:val="001B2DBD"/>
    <w:rsid w:val="001B2E86"/>
    <w:rsid w:val="001B2EAE"/>
    <w:rsid w:val="001B2EC1"/>
    <w:rsid w:val="001B2EC7"/>
    <w:rsid w:val="001B2ED7"/>
    <w:rsid w:val="001B2F14"/>
    <w:rsid w:val="001B2FAF"/>
    <w:rsid w:val="001B2FB8"/>
    <w:rsid w:val="001B2FCE"/>
    <w:rsid w:val="001B303D"/>
    <w:rsid w:val="001B30AB"/>
    <w:rsid w:val="001B3250"/>
    <w:rsid w:val="001B3254"/>
    <w:rsid w:val="001B32C7"/>
    <w:rsid w:val="001B32E0"/>
    <w:rsid w:val="001B33FB"/>
    <w:rsid w:val="001B3473"/>
    <w:rsid w:val="001B347B"/>
    <w:rsid w:val="001B347D"/>
    <w:rsid w:val="001B348B"/>
    <w:rsid w:val="001B34AC"/>
    <w:rsid w:val="001B34BA"/>
    <w:rsid w:val="001B351E"/>
    <w:rsid w:val="001B352A"/>
    <w:rsid w:val="001B3609"/>
    <w:rsid w:val="001B3627"/>
    <w:rsid w:val="001B362C"/>
    <w:rsid w:val="001B363A"/>
    <w:rsid w:val="001B36A6"/>
    <w:rsid w:val="001B36E8"/>
    <w:rsid w:val="001B36F3"/>
    <w:rsid w:val="001B3724"/>
    <w:rsid w:val="001B372B"/>
    <w:rsid w:val="001B3755"/>
    <w:rsid w:val="001B3809"/>
    <w:rsid w:val="001B38F3"/>
    <w:rsid w:val="001B397C"/>
    <w:rsid w:val="001B3A0E"/>
    <w:rsid w:val="001B3A0F"/>
    <w:rsid w:val="001B3A44"/>
    <w:rsid w:val="001B3B45"/>
    <w:rsid w:val="001B3B6D"/>
    <w:rsid w:val="001B3BA0"/>
    <w:rsid w:val="001B3BA2"/>
    <w:rsid w:val="001B3C2A"/>
    <w:rsid w:val="001B3C3B"/>
    <w:rsid w:val="001B3C55"/>
    <w:rsid w:val="001B3CE7"/>
    <w:rsid w:val="001B3DDC"/>
    <w:rsid w:val="001B3E9D"/>
    <w:rsid w:val="001B3F22"/>
    <w:rsid w:val="001B3F2B"/>
    <w:rsid w:val="001B3F69"/>
    <w:rsid w:val="001B3F7A"/>
    <w:rsid w:val="001B3FC3"/>
    <w:rsid w:val="001B40BD"/>
    <w:rsid w:val="001B40C2"/>
    <w:rsid w:val="001B4127"/>
    <w:rsid w:val="001B4160"/>
    <w:rsid w:val="001B42B0"/>
    <w:rsid w:val="001B42DA"/>
    <w:rsid w:val="001B42F4"/>
    <w:rsid w:val="001B42F6"/>
    <w:rsid w:val="001B436F"/>
    <w:rsid w:val="001B4494"/>
    <w:rsid w:val="001B44AD"/>
    <w:rsid w:val="001B44B5"/>
    <w:rsid w:val="001B44BC"/>
    <w:rsid w:val="001B4512"/>
    <w:rsid w:val="001B4529"/>
    <w:rsid w:val="001B4557"/>
    <w:rsid w:val="001B45B6"/>
    <w:rsid w:val="001B45D9"/>
    <w:rsid w:val="001B4624"/>
    <w:rsid w:val="001B4644"/>
    <w:rsid w:val="001B466A"/>
    <w:rsid w:val="001B4677"/>
    <w:rsid w:val="001B468C"/>
    <w:rsid w:val="001B4815"/>
    <w:rsid w:val="001B48AE"/>
    <w:rsid w:val="001B48B7"/>
    <w:rsid w:val="001B48C4"/>
    <w:rsid w:val="001B48C5"/>
    <w:rsid w:val="001B49A4"/>
    <w:rsid w:val="001B49C3"/>
    <w:rsid w:val="001B4A01"/>
    <w:rsid w:val="001B4A64"/>
    <w:rsid w:val="001B4ABD"/>
    <w:rsid w:val="001B4B7B"/>
    <w:rsid w:val="001B4B81"/>
    <w:rsid w:val="001B4C23"/>
    <w:rsid w:val="001B4C2D"/>
    <w:rsid w:val="001B4C5F"/>
    <w:rsid w:val="001B4C7C"/>
    <w:rsid w:val="001B4C82"/>
    <w:rsid w:val="001B4CD5"/>
    <w:rsid w:val="001B4CF9"/>
    <w:rsid w:val="001B4D2F"/>
    <w:rsid w:val="001B4D6B"/>
    <w:rsid w:val="001B4D82"/>
    <w:rsid w:val="001B4D95"/>
    <w:rsid w:val="001B4DAF"/>
    <w:rsid w:val="001B4E24"/>
    <w:rsid w:val="001B4F29"/>
    <w:rsid w:val="001B4F31"/>
    <w:rsid w:val="001B4F73"/>
    <w:rsid w:val="001B4FA5"/>
    <w:rsid w:val="001B50AD"/>
    <w:rsid w:val="001B513D"/>
    <w:rsid w:val="001B516B"/>
    <w:rsid w:val="001B5192"/>
    <w:rsid w:val="001B51E0"/>
    <w:rsid w:val="001B5263"/>
    <w:rsid w:val="001B528A"/>
    <w:rsid w:val="001B528C"/>
    <w:rsid w:val="001B5392"/>
    <w:rsid w:val="001B5429"/>
    <w:rsid w:val="001B54A3"/>
    <w:rsid w:val="001B560A"/>
    <w:rsid w:val="001B5618"/>
    <w:rsid w:val="001B571F"/>
    <w:rsid w:val="001B576F"/>
    <w:rsid w:val="001B57EE"/>
    <w:rsid w:val="001B585F"/>
    <w:rsid w:val="001B5881"/>
    <w:rsid w:val="001B5927"/>
    <w:rsid w:val="001B59B2"/>
    <w:rsid w:val="001B59E2"/>
    <w:rsid w:val="001B5A6F"/>
    <w:rsid w:val="001B5AAE"/>
    <w:rsid w:val="001B5ADC"/>
    <w:rsid w:val="001B5AEF"/>
    <w:rsid w:val="001B5B0E"/>
    <w:rsid w:val="001B5B59"/>
    <w:rsid w:val="001B5B5D"/>
    <w:rsid w:val="001B5BD3"/>
    <w:rsid w:val="001B5C11"/>
    <w:rsid w:val="001B5C3E"/>
    <w:rsid w:val="001B5C66"/>
    <w:rsid w:val="001B5D62"/>
    <w:rsid w:val="001B5D81"/>
    <w:rsid w:val="001B5D98"/>
    <w:rsid w:val="001B5DC8"/>
    <w:rsid w:val="001B5E68"/>
    <w:rsid w:val="001B5E8E"/>
    <w:rsid w:val="001B5F29"/>
    <w:rsid w:val="001B603B"/>
    <w:rsid w:val="001B6051"/>
    <w:rsid w:val="001B606B"/>
    <w:rsid w:val="001B60D8"/>
    <w:rsid w:val="001B60EC"/>
    <w:rsid w:val="001B615E"/>
    <w:rsid w:val="001B6176"/>
    <w:rsid w:val="001B61A7"/>
    <w:rsid w:val="001B61F7"/>
    <w:rsid w:val="001B61FB"/>
    <w:rsid w:val="001B62DC"/>
    <w:rsid w:val="001B6303"/>
    <w:rsid w:val="001B6377"/>
    <w:rsid w:val="001B6406"/>
    <w:rsid w:val="001B6408"/>
    <w:rsid w:val="001B646F"/>
    <w:rsid w:val="001B6470"/>
    <w:rsid w:val="001B64B8"/>
    <w:rsid w:val="001B65C0"/>
    <w:rsid w:val="001B6612"/>
    <w:rsid w:val="001B6618"/>
    <w:rsid w:val="001B6623"/>
    <w:rsid w:val="001B6629"/>
    <w:rsid w:val="001B6747"/>
    <w:rsid w:val="001B6762"/>
    <w:rsid w:val="001B676F"/>
    <w:rsid w:val="001B6787"/>
    <w:rsid w:val="001B67E3"/>
    <w:rsid w:val="001B6804"/>
    <w:rsid w:val="001B680E"/>
    <w:rsid w:val="001B6819"/>
    <w:rsid w:val="001B68EB"/>
    <w:rsid w:val="001B696F"/>
    <w:rsid w:val="001B69BC"/>
    <w:rsid w:val="001B6A19"/>
    <w:rsid w:val="001B6A1C"/>
    <w:rsid w:val="001B6A40"/>
    <w:rsid w:val="001B6A47"/>
    <w:rsid w:val="001B6A6C"/>
    <w:rsid w:val="001B6B22"/>
    <w:rsid w:val="001B6BE4"/>
    <w:rsid w:val="001B6C69"/>
    <w:rsid w:val="001B6CF0"/>
    <w:rsid w:val="001B6D8E"/>
    <w:rsid w:val="001B6E65"/>
    <w:rsid w:val="001B6EE6"/>
    <w:rsid w:val="001B6F6C"/>
    <w:rsid w:val="001B6FE2"/>
    <w:rsid w:val="001B70CC"/>
    <w:rsid w:val="001B7194"/>
    <w:rsid w:val="001B721B"/>
    <w:rsid w:val="001B72B9"/>
    <w:rsid w:val="001B72D5"/>
    <w:rsid w:val="001B732D"/>
    <w:rsid w:val="001B7370"/>
    <w:rsid w:val="001B745D"/>
    <w:rsid w:val="001B747F"/>
    <w:rsid w:val="001B7497"/>
    <w:rsid w:val="001B74C1"/>
    <w:rsid w:val="001B7521"/>
    <w:rsid w:val="001B756D"/>
    <w:rsid w:val="001B761C"/>
    <w:rsid w:val="001B7626"/>
    <w:rsid w:val="001B76CB"/>
    <w:rsid w:val="001B76D8"/>
    <w:rsid w:val="001B76E0"/>
    <w:rsid w:val="001B76F1"/>
    <w:rsid w:val="001B7763"/>
    <w:rsid w:val="001B7766"/>
    <w:rsid w:val="001B7871"/>
    <w:rsid w:val="001B7993"/>
    <w:rsid w:val="001B799B"/>
    <w:rsid w:val="001B79B5"/>
    <w:rsid w:val="001B79D3"/>
    <w:rsid w:val="001B79DA"/>
    <w:rsid w:val="001B7A3F"/>
    <w:rsid w:val="001B7A5A"/>
    <w:rsid w:val="001B7A9A"/>
    <w:rsid w:val="001B7AB9"/>
    <w:rsid w:val="001B7B3C"/>
    <w:rsid w:val="001B7B54"/>
    <w:rsid w:val="001B7B60"/>
    <w:rsid w:val="001B7B63"/>
    <w:rsid w:val="001B7B78"/>
    <w:rsid w:val="001B7BD5"/>
    <w:rsid w:val="001B7D3E"/>
    <w:rsid w:val="001B7D3F"/>
    <w:rsid w:val="001B7DDE"/>
    <w:rsid w:val="001B7EDA"/>
    <w:rsid w:val="001B7EEB"/>
    <w:rsid w:val="001B7F56"/>
    <w:rsid w:val="001C0022"/>
    <w:rsid w:val="001C005F"/>
    <w:rsid w:val="001C00E4"/>
    <w:rsid w:val="001C01B7"/>
    <w:rsid w:val="001C01F8"/>
    <w:rsid w:val="001C0333"/>
    <w:rsid w:val="001C0362"/>
    <w:rsid w:val="001C046A"/>
    <w:rsid w:val="001C04A8"/>
    <w:rsid w:val="001C04C4"/>
    <w:rsid w:val="001C050D"/>
    <w:rsid w:val="001C0562"/>
    <w:rsid w:val="001C05A7"/>
    <w:rsid w:val="001C07BD"/>
    <w:rsid w:val="001C0828"/>
    <w:rsid w:val="001C0833"/>
    <w:rsid w:val="001C0910"/>
    <w:rsid w:val="001C092E"/>
    <w:rsid w:val="001C0952"/>
    <w:rsid w:val="001C09C3"/>
    <w:rsid w:val="001C0C12"/>
    <w:rsid w:val="001C0C64"/>
    <w:rsid w:val="001C0CA8"/>
    <w:rsid w:val="001C0D0A"/>
    <w:rsid w:val="001C0D6F"/>
    <w:rsid w:val="001C0D7B"/>
    <w:rsid w:val="001C0DFA"/>
    <w:rsid w:val="001C0E43"/>
    <w:rsid w:val="001C0E46"/>
    <w:rsid w:val="001C0F01"/>
    <w:rsid w:val="001C0F34"/>
    <w:rsid w:val="001C10B2"/>
    <w:rsid w:val="001C111A"/>
    <w:rsid w:val="001C1142"/>
    <w:rsid w:val="001C1183"/>
    <w:rsid w:val="001C1236"/>
    <w:rsid w:val="001C12FA"/>
    <w:rsid w:val="001C131E"/>
    <w:rsid w:val="001C139F"/>
    <w:rsid w:val="001C13BE"/>
    <w:rsid w:val="001C13CE"/>
    <w:rsid w:val="001C13F6"/>
    <w:rsid w:val="001C144F"/>
    <w:rsid w:val="001C146B"/>
    <w:rsid w:val="001C1657"/>
    <w:rsid w:val="001C166C"/>
    <w:rsid w:val="001C1727"/>
    <w:rsid w:val="001C1747"/>
    <w:rsid w:val="001C17AB"/>
    <w:rsid w:val="001C184F"/>
    <w:rsid w:val="001C1874"/>
    <w:rsid w:val="001C1903"/>
    <w:rsid w:val="001C1941"/>
    <w:rsid w:val="001C1944"/>
    <w:rsid w:val="001C195A"/>
    <w:rsid w:val="001C1A23"/>
    <w:rsid w:val="001C1A49"/>
    <w:rsid w:val="001C1A6B"/>
    <w:rsid w:val="001C1A94"/>
    <w:rsid w:val="001C1ADB"/>
    <w:rsid w:val="001C1B3B"/>
    <w:rsid w:val="001C1B6C"/>
    <w:rsid w:val="001C1B75"/>
    <w:rsid w:val="001C1BF9"/>
    <w:rsid w:val="001C1C7F"/>
    <w:rsid w:val="001C1CB6"/>
    <w:rsid w:val="001C1CBF"/>
    <w:rsid w:val="001C1CF4"/>
    <w:rsid w:val="001C1D79"/>
    <w:rsid w:val="001C1D9B"/>
    <w:rsid w:val="001C1DBB"/>
    <w:rsid w:val="001C1DE6"/>
    <w:rsid w:val="001C1E67"/>
    <w:rsid w:val="001C1EAD"/>
    <w:rsid w:val="001C1EEB"/>
    <w:rsid w:val="001C1F18"/>
    <w:rsid w:val="001C202F"/>
    <w:rsid w:val="001C204F"/>
    <w:rsid w:val="001C205E"/>
    <w:rsid w:val="001C206F"/>
    <w:rsid w:val="001C20D1"/>
    <w:rsid w:val="001C20D3"/>
    <w:rsid w:val="001C20F7"/>
    <w:rsid w:val="001C217C"/>
    <w:rsid w:val="001C2253"/>
    <w:rsid w:val="001C228B"/>
    <w:rsid w:val="001C22C1"/>
    <w:rsid w:val="001C22F0"/>
    <w:rsid w:val="001C2314"/>
    <w:rsid w:val="001C231E"/>
    <w:rsid w:val="001C232B"/>
    <w:rsid w:val="001C2396"/>
    <w:rsid w:val="001C23BD"/>
    <w:rsid w:val="001C240B"/>
    <w:rsid w:val="001C251E"/>
    <w:rsid w:val="001C2568"/>
    <w:rsid w:val="001C257D"/>
    <w:rsid w:val="001C2701"/>
    <w:rsid w:val="001C2715"/>
    <w:rsid w:val="001C2752"/>
    <w:rsid w:val="001C2795"/>
    <w:rsid w:val="001C2880"/>
    <w:rsid w:val="001C28F8"/>
    <w:rsid w:val="001C299F"/>
    <w:rsid w:val="001C29C1"/>
    <w:rsid w:val="001C29CD"/>
    <w:rsid w:val="001C2A0C"/>
    <w:rsid w:val="001C2A1A"/>
    <w:rsid w:val="001C2A21"/>
    <w:rsid w:val="001C2A54"/>
    <w:rsid w:val="001C2A88"/>
    <w:rsid w:val="001C2CF7"/>
    <w:rsid w:val="001C2D3A"/>
    <w:rsid w:val="001C2D6A"/>
    <w:rsid w:val="001C2E05"/>
    <w:rsid w:val="001C2E9B"/>
    <w:rsid w:val="001C2ED7"/>
    <w:rsid w:val="001C2F2C"/>
    <w:rsid w:val="001C2F3E"/>
    <w:rsid w:val="001C2F70"/>
    <w:rsid w:val="001C2FB3"/>
    <w:rsid w:val="001C301E"/>
    <w:rsid w:val="001C3031"/>
    <w:rsid w:val="001C3059"/>
    <w:rsid w:val="001C30C9"/>
    <w:rsid w:val="001C30E2"/>
    <w:rsid w:val="001C3247"/>
    <w:rsid w:val="001C3333"/>
    <w:rsid w:val="001C333E"/>
    <w:rsid w:val="001C3366"/>
    <w:rsid w:val="001C33B5"/>
    <w:rsid w:val="001C33D9"/>
    <w:rsid w:val="001C3427"/>
    <w:rsid w:val="001C342E"/>
    <w:rsid w:val="001C34A5"/>
    <w:rsid w:val="001C358D"/>
    <w:rsid w:val="001C375A"/>
    <w:rsid w:val="001C3773"/>
    <w:rsid w:val="001C3803"/>
    <w:rsid w:val="001C387D"/>
    <w:rsid w:val="001C3885"/>
    <w:rsid w:val="001C38BE"/>
    <w:rsid w:val="001C38BF"/>
    <w:rsid w:val="001C38DD"/>
    <w:rsid w:val="001C3A47"/>
    <w:rsid w:val="001C3AC1"/>
    <w:rsid w:val="001C3BD7"/>
    <w:rsid w:val="001C3BFE"/>
    <w:rsid w:val="001C3C08"/>
    <w:rsid w:val="001C3C96"/>
    <w:rsid w:val="001C3CF0"/>
    <w:rsid w:val="001C3D21"/>
    <w:rsid w:val="001C3D37"/>
    <w:rsid w:val="001C3D51"/>
    <w:rsid w:val="001C3DAE"/>
    <w:rsid w:val="001C3DD3"/>
    <w:rsid w:val="001C3EA4"/>
    <w:rsid w:val="001C3F1B"/>
    <w:rsid w:val="001C3F1D"/>
    <w:rsid w:val="001C3F40"/>
    <w:rsid w:val="001C3F98"/>
    <w:rsid w:val="001C3F9B"/>
    <w:rsid w:val="001C4055"/>
    <w:rsid w:val="001C40A0"/>
    <w:rsid w:val="001C4104"/>
    <w:rsid w:val="001C4138"/>
    <w:rsid w:val="001C41C5"/>
    <w:rsid w:val="001C4247"/>
    <w:rsid w:val="001C4277"/>
    <w:rsid w:val="001C42C0"/>
    <w:rsid w:val="001C42C1"/>
    <w:rsid w:val="001C432E"/>
    <w:rsid w:val="001C433C"/>
    <w:rsid w:val="001C438A"/>
    <w:rsid w:val="001C439F"/>
    <w:rsid w:val="001C4438"/>
    <w:rsid w:val="001C4499"/>
    <w:rsid w:val="001C44F4"/>
    <w:rsid w:val="001C453B"/>
    <w:rsid w:val="001C4561"/>
    <w:rsid w:val="001C45A5"/>
    <w:rsid w:val="001C45E0"/>
    <w:rsid w:val="001C4617"/>
    <w:rsid w:val="001C46E0"/>
    <w:rsid w:val="001C46F4"/>
    <w:rsid w:val="001C4788"/>
    <w:rsid w:val="001C47BF"/>
    <w:rsid w:val="001C4830"/>
    <w:rsid w:val="001C4832"/>
    <w:rsid w:val="001C4863"/>
    <w:rsid w:val="001C487E"/>
    <w:rsid w:val="001C492F"/>
    <w:rsid w:val="001C4A2E"/>
    <w:rsid w:val="001C4AD8"/>
    <w:rsid w:val="001C4B7B"/>
    <w:rsid w:val="001C4B8E"/>
    <w:rsid w:val="001C4BE9"/>
    <w:rsid w:val="001C4BEA"/>
    <w:rsid w:val="001C4C38"/>
    <w:rsid w:val="001C4C76"/>
    <w:rsid w:val="001C4C91"/>
    <w:rsid w:val="001C4CCE"/>
    <w:rsid w:val="001C4CF7"/>
    <w:rsid w:val="001C4D52"/>
    <w:rsid w:val="001C4DA7"/>
    <w:rsid w:val="001C4E1B"/>
    <w:rsid w:val="001C4E7D"/>
    <w:rsid w:val="001C4ECD"/>
    <w:rsid w:val="001C4EEA"/>
    <w:rsid w:val="001C4F10"/>
    <w:rsid w:val="001C4F7D"/>
    <w:rsid w:val="001C4FAA"/>
    <w:rsid w:val="001C4FC2"/>
    <w:rsid w:val="001C504D"/>
    <w:rsid w:val="001C5101"/>
    <w:rsid w:val="001C51A9"/>
    <w:rsid w:val="001C51E0"/>
    <w:rsid w:val="001C5210"/>
    <w:rsid w:val="001C52E9"/>
    <w:rsid w:val="001C5324"/>
    <w:rsid w:val="001C5344"/>
    <w:rsid w:val="001C539E"/>
    <w:rsid w:val="001C541A"/>
    <w:rsid w:val="001C5425"/>
    <w:rsid w:val="001C551A"/>
    <w:rsid w:val="001C5529"/>
    <w:rsid w:val="001C556F"/>
    <w:rsid w:val="001C562B"/>
    <w:rsid w:val="001C565F"/>
    <w:rsid w:val="001C566A"/>
    <w:rsid w:val="001C569B"/>
    <w:rsid w:val="001C573C"/>
    <w:rsid w:val="001C5789"/>
    <w:rsid w:val="001C5795"/>
    <w:rsid w:val="001C587C"/>
    <w:rsid w:val="001C58A5"/>
    <w:rsid w:val="001C5974"/>
    <w:rsid w:val="001C59D9"/>
    <w:rsid w:val="001C5A2C"/>
    <w:rsid w:val="001C5A42"/>
    <w:rsid w:val="001C5A94"/>
    <w:rsid w:val="001C5B36"/>
    <w:rsid w:val="001C5B89"/>
    <w:rsid w:val="001C5BA2"/>
    <w:rsid w:val="001C5C1C"/>
    <w:rsid w:val="001C5CAF"/>
    <w:rsid w:val="001C5D4A"/>
    <w:rsid w:val="001C5D80"/>
    <w:rsid w:val="001C5D89"/>
    <w:rsid w:val="001C5D92"/>
    <w:rsid w:val="001C5D9E"/>
    <w:rsid w:val="001C5EB4"/>
    <w:rsid w:val="001C5F4F"/>
    <w:rsid w:val="001C5F99"/>
    <w:rsid w:val="001C5FAD"/>
    <w:rsid w:val="001C5FE5"/>
    <w:rsid w:val="001C602D"/>
    <w:rsid w:val="001C605F"/>
    <w:rsid w:val="001C60B3"/>
    <w:rsid w:val="001C612D"/>
    <w:rsid w:val="001C6175"/>
    <w:rsid w:val="001C6229"/>
    <w:rsid w:val="001C622D"/>
    <w:rsid w:val="001C62F9"/>
    <w:rsid w:val="001C6400"/>
    <w:rsid w:val="001C6494"/>
    <w:rsid w:val="001C64D5"/>
    <w:rsid w:val="001C6576"/>
    <w:rsid w:val="001C6581"/>
    <w:rsid w:val="001C6595"/>
    <w:rsid w:val="001C65DA"/>
    <w:rsid w:val="001C6655"/>
    <w:rsid w:val="001C66A9"/>
    <w:rsid w:val="001C66FF"/>
    <w:rsid w:val="001C67B1"/>
    <w:rsid w:val="001C67E3"/>
    <w:rsid w:val="001C6887"/>
    <w:rsid w:val="001C68A9"/>
    <w:rsid w:val="001C6940"/>
    <w:rsid w:val="001C6980"/>
    <w:rsid w:val="001C699E"/>
    <w:rsid w:val="001C6A04"/>
    <w:rsid w:val="001C6A20"/>
    <w:rsid w:val="001C6A36"/>
    <w:rsid w:val="001C6AB7"/>
    <w:rsid w:val="001C6ACE"/>
    <w:rsid w:val="001C6AE0"/>
    <w:rsid w:val="001C6B2D"/>
    <w:rsid w:val="001C6B37"/>
    <w:rsid w:val="001C6BBE"/>
    <w:rsid w:val="001C6BD0"/>
    <w:rsid w:val="001C6BD5"/>
    <w:rsid w:val="001C6C42"/>
    <w:rsid w:val="001C6D06"/>
    <w:rsid w:val="001C6D2B"/>
    <w:rsid w:val="001C6D7A"/>
    <w:rsid w:val="001C6E2C"/>
    <w:rsid w:val="001C6E53"/>
    <w:rsid w:val="001C6EB0"/>
    <w:rsid w:val="001C6F86"/>
    <w:rsid w:val="001C6FEA"/>
    <w:rsid w:val="001C702B"/>
    <w:rsid w:val="001C7066"/>
    <w:rsid w:val="001C70D3"/>
    <w:rsid w:val="001C7136"/>
    <w:rsid w:val="001C7146"/>
    <w:rsid w:val="001C71AA"/>
    <w:rsid w:val="001C7312"/>
    <w:rsid w:val="001C7320"/>
    <w:rsid w:val="001C737B"/>
    <w:rsid w:val="001C7405"/>
    <w:rsid w:val="001C7424"/>
    <w:rsid w:val="001C7441"/>
    <w:rsid w:val="001C7467"/>
    <w:rsid w:val="001C7495"/>
    <w:rsid w:val="001C7596"/>
    <w:rsid w:val="001C76B7"/>
    <w:rsid w:val="001C772A"/>
    <w:rsid w:val="001C7776"/>
    <w:rsid w:val="001C7777"/>
    <w:rsid w:val="001C779A"/>
    <w:rsid w:val="001C78FB"/>
    <w:rsid w:val="001C78FC"/>
    <w:rsid w:val="001C7941"/>
    <w:rsid w:val="001C7957"/>
    <w:rsid w:val="001C7959"/>
    <w:rsid w:val="001C7996"/>
    <w:rsid w:val="001C799B"/>
    <w:rsid w:val="001C79D7"/>
    <w:rsid w:val="001C7A3E"/>
    <w:rsid w:val="001C7A45"/>
    <w:rsid w:val="001C7A5F"/>
    <w:rsid w:val="001C7B17"/>
    <w:rsid w:val="001C7C0A"/>
    <w:rsid w:val="001C7C0C"/>
    <w:rsid w:val="001C7C1C"/>
    <w:rsid w:val="001C7C50"/>
    <w:rsid w:val="001C7CA9"/>
    <w:rsid w:val="001C7E1C"/>
    <w:rsid w:val="001C7E4D"/>
    <w:rsid w:val="001C7EC3"/>
    <w:rsid w:val="001C7EF7"/>
    <w:rsid w:val="001C7F3B"/>
    <w:rsid w:val="001C7F54"/>
    <w:rsid w:val="001C7FEC"/>
    <w:rsid w:val="001D0078"/>
    <w:rsid w:val="001D00FD"/>
    <w:rsid w:val="001D017F"/>
    <w:rsid w:val="001D01A2"/>
    <w:rsid w:val="001D023C"/>
    <w:rsid w:val="001D0268"/>
    <w:rsid w:val="001D029A"/>
    <w:rsid w:val="001D02F9"/>
    <w:rsid w:val="001D0357"/>
    <w:rsid w:val="001D0400"/>
    <w:rsid w:val="001D0406"/>
    <w:rsid w:val="001D0448"/>
    <w:rsid w:val="001D0477"/>
    <w:rsid w:val="001D0482"/>
    <w:rsid w:val="001D04D7"/>
    <w:rsid w:val="001D0630"/>
    <w:rsid w:val="001D0774"/>
    <w:rsid w:val="001D0809"/>
    <w:rsid w:val="001D0847"/>
    <w:rsid w:val="001D0855"/>
    <w:rsid w:val="001D08A5"/>
    <w:rsid w:val="001D0928"/>
    <w:rsid w:val="001D0972"/>
    <w:rsid w:val="001D0A3A"/>
    <w:rsid w:val="001D0A9B"/>
    <w:rsid w:val="001D0AF4"/>
    <w:rsid w:val="001D0B25"/>
    <w:rsid w:val="001D0B9F"/>
    <w:rsid w:val="001D0BA5"/>
    <w:rsid w:val="001D0BCF"/>
    <w:rsid w:val="001D0BD9"/>
    <w:rsid w:val="001D0C43"/>
    <w:rsid w:val="001D0D41"/>
    <w:rsid w:val="001D0D7D"/>
    <w:rsid w:val="001D0DC3"/>
    <w:rsid w:val="001D0F62"/>
    <w:rsid w:val="001D0F7D"/>
    <w:rsid w:val="001D100F"/>
    <w:rsid w:val="001D1109"/>
    <w:rsid w:val="001D1125"/>
    <w:rsid w:val="001D1136"/>
    <w:rsid w:val="001D116D"/>
    <w:rsid w:val="001D11BF"/>
    <w:rsid w:val="001D11FC"/>
    <w:rsid w:val="001D127F"/>
    <w:rsid w:val="001D1388"/>
    <w:rsid w:val="001D1391"/>
    <w:rsid w:val="001D1396"/>
    <w:rsid w:val="001D14D8"/>
    <w:rsid w:val="001D14DB"/>
    <w:rsid w:val="001D14EC"/>
    <w:rsid w:val="001D152E"/>
    <w:rsid w:val="001D154B"/>
    <w:rsid w:val="001D1578"/>
    <w:rsid w:val="001D159A"/>
    <w:rsid w:val="001D165B"/>
    <w:rsid w:val="001D167E"/>
    <w:rsid w:val="001D16B5"/>
    <w:rsid w:val="001D181A"/>
    <w:rsid w:val="001D185E"/>
    <w:rsid w:val="001D18B9"/>
    <w:rsid w:val="001D1915"/>
    <w:rsid w:val="001D1920"/>
    <w:rsid w:val="001D1947"/>
    <w:rsid w:val="001D1951"/>
    <w:rsid w:val="001D1958"/>
    <w:rsid w:val="001D1983"/>
    <w:rsid w:val="001D1A6A"/>
    <w:rsid w:val="001D1AA8"/>
    <w:rsid w:val="001D1B3C"/>
    <w:rsid w:val="001D1B5F"/>
    <w:rsid w:val="001D1B83"/>
    <w:rsid w:val="001D1BB6"/>
    <w:rsid w:val="001D1C25"/>
    <w:rsid w:val="001D1C69"/>
    <w:rsid w:val="001D1CC0"/>
    <w:rsid w:val="001D1D80"/>
    <w:rsid w:val="001D1D97"/>
    <w:rsid w:val="001D1EA9"/>
    <w:rsid w:val="001D1F41"/>
    <w:rsid w:val="001D1FE4"/>
    <w:rsid w:val="001D203B"/>
    <w:rsid w:val="001D206A"/>
    <w:rsid w:val="001D208C"/>
    <w:rsid w:val="001D20C5"/>
    <w:rsid w:val="001D21FF"/>
    <w:rsid w:val="001D221A"/>
    <w:rsid w:val="001D224E"/>
    <w:rsid w:val="001D229E"/>
    <w:rsid w:val="001D22BC"/>
    <w:rsid w:val="001D23B4"/>
    <w:rsid w:val="001D23E5"/>
    <w:rsid w:val="001D2400"/>
    <w:rsid w:val="001D2448"/>
    <w:rsid w:val="001D245D"/>
    <w:rsid w:val="001D2473"/>
    <w:rsid w:val="001D2494"/>
    <w:rsid w:val="001D25D3"/>
    <w:rsid w:val="001D25E3"/>
    <w:rsid w:val="001D2614"/>
    <w:rsid w:val="001D265C"/>
    <w:rsid w:val="001D26B2"/>
    <w:rsid w:val="001D26CB"/>
    <w:rsid w:val="001D26CE"/>
    <w:rsid w:val="001D26E0"/>
    <w:rsid w:val="001D2732"/>
    <w:rsid w:val="001D276A"/>
    <w:rsid w:val="001D277A"/>
    <w:rsid w:val="001D27C3"/>
    <w:rsid w:val="001D27E0"/>
    <w:rsid w:val="001D2825"/>
    <w:rsid w:val="001D28D2"/>
    <w:rsid w:val="001D2909"/>
    <w:rsid w:val="001D2964"/>
    <w:rsid w:val="001D29EF"/>
    <w:rsid w:val="001D29F6"/>
    <w:rsid w:val="001D2A02"/>
    <w:rsid w:val="001D2A0E"/>
    <w:rsid w:val="001D2A3D"/>
    <w:rsid w:val="001D2AA0"/>
    <w:rsid w:val="001D2B1D"/>
    <w:rsid w:val="001D2B4E"/>
    <w:rsid w:val="001D2BAE"/>
    <w:rsid w:val="001D2BCA"/>
    <w:rsid w:val="001D2C0E"/>
    <w:rsid w:val="001D2C26"/>
    <w:rsid w:val="001D2CBA"/>
    <w:rsid w:val="001D2D23"/>
    <w:rsid w:val="001D2D58"/>
    <w:rsid w:val="001D2E87"/>
    <w:rsid w:val="001D2EF6"/>
    <w:rsid w:val="001D2F84"/>
    <w:rsid w:val="001D3010"/>
    <w:rsid w:val="001D3018"/>
    <w:rsid w:val="001D3027"/>
    <w:rsid w:val="001D3092"/>
    <w:rsid w:val="001D30C2"/>
    <w:rsid w:val="001D3150"/>
    <w:rsid w:val="001D316A"/>
    <w:rsid w:val="001D31F5"/>
    <w:rsid w:val="001D3218"/>
    <w:rsid w:val="001D321D"/>
    <w:rsid w:val="001D326A"/>
    <w:rsid w:val="001D328A"/>
    <w:rsid w:val="001D32AD"/>
    <w:rsid w:val="001D330A"/>
    <w:rsid w:val="001D3347"/>
    <w:rsid w:val="001D334A"/>
    <w:rsid w:val="001D338E"/>
    <w:rsid w:val="001D33B4"/>
    <w:rsid w:val="001D33FB"/>
    <w:rsid w:val="001D3407"/>
    <w:rsid w:val="001D3477"/>
    <w:rsid w:val="001D351B"/>
    <w:rsid w:val="001D356C"/>
    <w:rsid w:val="001D35EB"/>
    <w:rsid w:val="001D35F0"/>
    <w:rsid w:val="001D3638"/>
    <w:rsid w:val="001D373C"/>
    <w:rsid w:val="001D3748"/>
    <w:rsid w:val="001D37C9"/>
    <w:rsid w:val="001D37ED"/>
    <w:rsid w:val="001D3895"/>
    <w:rsid w:val="001D3902"/>
    <w:rsid w:val="001D3995"/>
    <w:rsid w:val="001D3A68"/>
    <w:rsid w:val="001D3A72"/>
    <w:rsid w:val="001D3AE0"/>
    <w:rsid w:val="001D3B5A"/>
    <w:rsid w:val="001D3C04"/>
    <w:rsid w:val="001D3C5E"/>
    <w:rsid w:val="001D3CFD"/>
    <w:rsid w:val="001D3D39"/>
    <w:rsid w:val="001D3D73"/>
    <w:rsid w:val="001D3E1D"/>
    <w:rsid w:val="001D3E62"/>
    <w:rsid w:val="001D3F0F"/>
    <w:rsid w:val="001D3F45"/>
    <w:rsid w:val="001D3FCA"/>
    <w:rsid w:val="001D4020"/>
    <w:rsid w:val="001D4131"/>
    <w:rsid w:val="001D4136"/>
    <w:rsid w:val="001D4151"/>
    <w:rsid w:val="001D41CB"/>
    <w:rsid w:val="001D4299"/>
    <w:rsid w:val="001D42CB"/>
    <w:rsid w:val="001D42CE"/>
    <w:rsid w:val="001D431E"/>
    <w:rsid w:val="001D432B"/>
    <w:rsid w:val="001D4341"/>
    <w:rsid w:val="001D438D"/>
    <w:rsid w:val="001D440D"/>
    <w:rsid w:val="001D4428"/>
    <w:rsid w:val="001D447D"/>
    <w:rsid w:val="001D455A"/>
    <w:rsid w:val="001D45BC"/>
    <w:rsid w:val="001D4625"/>
    <w:rsid w:val="001D46B0"/>
    <w:rsid w:val="001D46BB"/>
    <w:rsid w:val="001D46CE"/>
    <w:rsid w:val="001D4709"/>
    <w:rsid w:val="001D473D"/>
    <w:rsid w:val="001D4810"/>
    <w:rsid w:val="001D4820"/>
    <w:rsid w:val="001D484D"/>
    <w:rsid w:val="001D484E"/>
    <w:rsid w:val="001D4873"/>
    <w:rsid w:val="001D489E"/>
    <w:rsid w:val="001D48F9"/>
    <w:rsid w:val="001D49B3"/>
    <w:rsid w:val="001D49B7"/>
    <w:rsid w:val="001D4A2E"/>
    <w:rsid w:val="001D4AD5"/>
    <w:rsid w:val="001D4BC1"/>
    <w:rsid w:val="001D4BD0"/>
    <w:rsid w:val="001D4BE4"/>
    <w:rsid w:val="001D4BF3"/>
    <w:rsid w:val="001D4C54"/>
    <w:rsid w:val="001D4D34"/>
    <w:rsid w:val="001D4D4D"/>
    <w:rsid w:val="001D4D77"/>
    <w:rsid w:val="001D4D8C"/>
    <w:rsid w:val="001D4DA9"/>
    <w:rsid w:val="001D4DB2"/>
    <w:rsid w:val="001D4E37"/>
    <w:rsid w:val="001D4E73"/>
    <w:rsid w:val="001D4EB8"/>
    <w:rsid w:val="001D4ED1"/>
    <w:rsid w:val="001D4FDB"/>
    <w:rsid w:val="001D5073"/>
    <w:rsid w:val="001D509F"/>
    <w:rsid w:val="001D5111"/>
    <w:rsid w:val="001D511C"/>
    <w:rsid w:val="001D5122"/>
    <w:rsid w:val="001D515C"/>
    <w:rsid w:val="001D51C0"/>
    <w:rsid w:val="001D51E4"/>
    <w:rsid w:val="001D520F"/>
    <w:rsid w:val="001D522B"/>
    <w:rsid w:val="001D5274"/>
    <w:rsid w:val="001D52D3"/>
    <w:rsid w:val="001D52DE"/>
    <w:rsid w:val="001D52FB"/>
    <w:rsid w:val="001D5309"/>
    <w:rsid w:val="001D530C"/>
    <w:rsid w:val="001D5390"/>
    <w:rsid w:val="001D5425"/>
    <w:rsid w:val="001D542F"/>
    <w:rsid w:val="001D5462"/>
    <w:rsid w:val="001D5514"/>
    <w:rsid w:val="001D5591"/>
    <w:rsid w:val="001D55A5"/>
    <w:rsid w:val="001D55B2"/>
    <w:rsid w:val="001D5608"/>
    <w:rsid w:val="001D560C"/>
    <w:rsid w:val="001D560E"/>
    <w:rsid w:val="001D5623"/>
    <w:rsid w:val="001D562F"/>
    <w:rsid w:val="001D5663"/>
    <w:rsid w:val="001D56AE"/>
    <w:rsid w:val="001D56FA"/>
    <w:rsid w:val="001D57B7"/>
    <w:rsid w:val="001D590B"/>
    <w:rsid w:val="001D592B"/>
    <w:rsid w:val="001D5950"/>
    <w:rsid w:val="001D599A"/>
    <w:rsid w:val="001D59A1"/>
    <w:rsid w:val="001D59AD"/>
    <w:rsid w:val="001D59CC"/>
    <w:rsid w:val="001D5A48"/>
    <w:rsid w:val="001D5AE0"/>
    <w:rsid w:val="001D5AEA"/>
    <w:rsid w:val="001D5B7C"/>
    <w:rsid w:val="001D5C61"/>
    <w:rsid w:val="001D5D55"/>
    <w:rsid w:val="001D5D71"/>
    <w:rsid w:val="001D5E38"/>
    <w:rsid w:val="001D5E85"/>
    <w:rsid w:val="001D5F1C"/>
    <w:rsid w:val="001D5F45"/>
    <w:rsid w:val="001D605F"/>
    <w:rsid w:val="001D607F"/>
    <w:rsid w:val="001D60DA"/>
    <w:rsid w:val="001D615B"/>
    <w:rsid w:val="001D620A"/>
    <w:rsid w:val="001D62E9"/>
    <w:rsid w:val="001D6324"/>
    <w:rsid w:val="001D634C"/>
    <w:rsid w:val="001D6372"/>
    <w:rsid w:val="001D63CD"/>
    <w:rsid w:val="001D63D8"/>
    <w:rsid w:val="001D6403"/>
    <w:rsid w:val="001D6465"/>
    <w:rsid w:val="001D6478"/>
    <w:rsid w:val="001D6508"/>
    <w:rsid w:val="001D650F"/>
    <w:rsid w:val="001D6559"/>
    <w:rsid w:val="001D65E5"/>
    <w:rsid w:val="001D6696"/>
    <w:rsid w:val="001D6723"/>
    <w:rsid w:val="001D673D"/>
    <w:rsid w:val="001D6740"/>
    <w:rsid w:val="001D6779"/>
    <w:rsid w:val="001D6789"/>
    <w:rsid w:val="001D67F5"/>
    <w:rsid w:val="001D6949"/>
    <w:rsid w:val="001D69A4"/>
    <w:rsid w:val="001D69BD"/>
    <w:rsid w:val="001D69F7"/>
    <w:rsid w:val="001D6A9B"/>
    <w:rsid w:val="001D6BAE"/>
    <w:rsid w:val="001D6C6F"/>
    <w:rsid w:val="001D6D1F"/>
    <w:rsid w:val="001D6D31"/>
    <w:rsid w:val="001D6D50"/>
    <w:rsid w:val="001D6D55"/>
    <w:rsid w:val="001D6D8B"/>
    <w:rsid w:val="001D6DB8"/>
    <w:rsid w:val="001D6DDB"/>
    <w:rsid w:val="001D6E90"/>
    <w:rsid w:val="001D6EC6"/>
    <w:rsid w:val="001D6FB8"/>
    <w:rsid w:val="001D6FD8"/>
    <w:rsid w:val="001D6FFF"/>
    <w:rsid w:val="001D7043"/>
    <w:rsid w:val="001D706C"/>
    <w:rsid w:val="001D708B"/>
    <w:rsid w:val="001D70BD"/>
    <w:rsid w:val="001D7307"/>
    <w:rsid w:val="001D7317"/>
    <w:rsid w:val="001D734E"/>
    <w:rsid w:val="001D7397"/>
    <w:rsid w:val="001D73BC"/>
    <w:rsid w:val="001D7453"/>
    <w:rsid w:val="001D7498"/>
    <w:rsid w:val="001D7525"/>
    <w:rsid w:val="001D752D"/>
    <w:rsid w:val="001D753A"/>
    <w:rsid w:val="001D75BE"/>
    <w:rsid w:val="001D766B"/>
    <w:rsid w:val="001D76E1"/>
    <w:rsid w:val="001D76F3"/>
    <w:rsid w:val="001D7716"/>
    <w:rsid w:val="001D77F4"/>
    <w:rsid w:val="001D7937"/>
    <w:rsid w:val="001D7A19"/>
    <w:rsid w:val="001D7A26"/>
    <w:rsid w:val="001D7A37"/>
    <w:rsid w:val="001D7A46"/>
    <w:rsid w:val="001D7A79"/>
    <w:rsid w:val="001D7A98"/>
    <w:rsid w:val="001D7A99"/>
    <w:rsid w:val="001D7AEC"/>
    <w:rsid w:val="001D7AFC"/>
    <w:rsid w:val="001D7B43"/>
    <w:rsid w:val="001D7BA7"/>
    <w:rsid w:val="001D7C8B"/>
    <w:rsid w:val="001D7CE6"/>
    <w:rsid w:val="001D7D09"/>
    <w:rsid w:val="001D7D25"/>
    <w:rsid w:val="001D7D7A"/>
    <w:rsid w:val="001D7E52"/>
    <w:rsid w:val="001D7E84"/>
    <w:rsid w:val="001D7E87"/>
    <w:rsid w:val="001D7F2C"/>
    <w:rsid w:val="001D7F3B"/>
    <w:rsid w:val="001D7F9D"/>
    <w:rsid w:val="001D7FB8"/>
    <w:rsid w:val="001D7FCD"/>
    <w:rsid w:val="001E0009"/>
    <w:rsid w:val="001E0037"/>
    <w:rsid w:val="001E00A1"/>
    <w:rsid w:val="001E0191"/>
    <w:rsid w:val="001E01F9"/>
    <w:rsid w:val="001E01FD"/>
    <w:rsid w:val="001E02D7"/>
    <w:rsid w:val="001E0332"/>
    <w:rsid w:val="001E034D"/>
    <w:rsid w:val="001E03B2"/>
    <w:rsid w:val="001E03F9"/>
    <w:rsid w:val="001E040A"/>
    <w:rsid w:val="001E0446"/>
    <w:rsid w:val="001E050B"/>
    <w:rsid w:val="001E0686"/>
    <w:rsid w:val="001E076E"/>
    <w:rsid w:val="001E07D5"/>
    <w:rsid w:val="001E080E"/>
    <w:rsid w:val="001E0841"/>
    <w:rsid w:val="001E08B4"/>
    <w:rsid w:val="001E08B5"/>
    <w:rsid w:val="001E08CF"/>
    <w:rsid w:val="001E0972"/>
    <w:rsid w:val="001E097B"/>
    <w:rsid w:val="001E0986"/>
    <w:rsid w:val="001E09A6"/>
    <w:rsid w:val="001E09A8"/>
    <w:rsid w:val="001E09B3"/>
    <w:rsid w:val="001E0A29"/>
    <w:rsid w:val="001E0A72"/>
    <w:rsid w:val="001E0B17"/>
    <w:rsid w:val="001E0B71"/>
    <w:rsid w:val="001E0C2D"/>
    <w:rsid w:val="001E0C41"/>
    <w:rsid w:val="001E0C9F"/>
    <w:rsid w:val="001E0D0A"/>
    <w:rsid w:val="001E0E54"/>
    <w:rsid w:val="001E0E55"/>
    <w:rsid w:val="001E0E6B"/>
    <w:rsid w:val="001E0E83"/>
    <w:rsid w:val="001E0EF3"/>
    <w:rsid w:val="001E0FA2"/>
    <w:rsid w:val="001E1065"/>
    <w:rsid w:val="001E1067"/>
    <w:rsid w:val="001E1070"/>
    <w:rsid w:val="001E1121"/>
    <w:rsid w:val="001E1138"/>
    <w:rsid w:val="001E115F"/>
    <w:rsid w:val="001E117B"/>
    <w:rsid w:val="001E118E"/>
    <w:rsid w:val="001E11D7"/>
    <w:rsid w:val="001E1292"/>
    <w:rsid w:val="001E12AC"/>
    <w:rsid w:val="001E12B2"/>
    <w:rsid w:val="001E13AB"/>
    <w:rsid w:val="001E13D5"/>
    <w:rsid w:val="001E13F9"/>
    <w:rsid w:val="001E140F"/>
    <w:rsid w:val="001E142D"/>
    <w:rsid w:val="001E1471"/>
    <w:rsid w:val="001E148D"/>
    <w:rsid w:val="001E1497"/>
    <w:rsid w:val="001E149F"/>
    <w:rsid w:val="001E14EA"/>
    <w:rsid w:val="001E15BF"/>
    <w:rsid w:val="001E15D2"/>
    <w:rsid w:val="001E1642"/>
    <w:rsid w:val="001E167A"/>
    <w:rsid w:val="001E168A"/>
    <w:rsid w:val="001E16DA"/>
    <w:rsid w:val="001E1701"/>
    <w:rsid w:val="001E1738"/>
    <w:rsid w:val="001E175B"/>
    <w:rsid w:val="001E1775"/>
    <w:rsid w:val="001E17E0"/>
    <w:rsid w:val="001E17E9"/>
    <w:rsid w:val="001E186B"/>
    <w:rsid w:val="001E1896"/>
    <w:rsid w:val="001E18E0"/>
    <w:rsid w:val="001E18E7"/>
    <w:rsid w:val="001E190F"/>
    <w:rsid w:val="001E193F"/>
    <w:rsid w:val="001E195C"/>
    <w:rsid w:val="001E196B"/>
    <w:rsid w:val="001E19A0"/>
    <w:rsid w:val="001E19BE"/>
    <w:rsid w:val="001E19BF"/>
    <w:rsid w:val="001E19D9"/>
    <w:rsid w:val="001E1A4F"/>
    <w:rsid w:val="001E1ACC"/>
    <w:rsid w:val="001E1AD8"/>
    <w:rsid w:val="001E1C00"/>
    <w:rsid w:val="001E1C21"/>
    <w:rsid w:val="001E1C55"/>
    <w:rsid w:val="001E1C82"/>
    <w:rsid w:val="001E1C89"/>
    <w:rsid w:val="001E1C8F"/>
    <w:rsid w:val="001E1CAB"/>
    <w:rsid w:val="001E1D37"/>
    <w:rsid w:val="001E1DC6"/>
    <w:rsid w:val="001E1DF0"/>
    <w:rsid w:val="001E1DF2"/>
    <w:rsid w:val="001E1E23"/>
    <w:rsid w:val="001E1E60"/>
    <w:rsid w:val="001E1E78"/>
    <w:rsid w:val="001E1EFA"/>
    <w:rsid w:val="001E1F3C"/>
    <w:rsid w:val="001E1F45"/>
    <w:rsid w:val="001E1F77"/>
    <w:rsid w:val="001E1FE6"/>
    <w:rsid w:val="001E1FF2"/>
    <w:rsid w:val="001E2072"/>
    <w:rsid w:val="001E212B"/>
    <w:rsid w:val="001E2169"/>
    <w:rsid w:val="001E216B"/>
    <w:rsid w:val="001E2182"/>
    <w:rsid w:val="001E21F6"/>
    <w:rsid w:val="001E2235"/>
    <w:rsid w:val="001E22C9"/>
    <w:rsid w:val="001E23F9"/>
    <w:rsid w:val="001E243D"/>
    <w:rsid w:val="001E245C"/>
    <w:rsid w:val="001E247D"/>
    <w:rsid w:val="001E2497"/>
    <w:rsid w:val="001E24A7"/>
    <w:rsid w:val="001E2547"/>
    <w:rsid w:val="001E25DF"/>
    <w:rsid w:val="001E260E"/>
    <w:rsid w:val="001E2624"/>
    <w:rsid w:val="001E2636"/>
    <w:rsid w:val="001E2637"/>
    <w:rsid w:val="001E26A7"/>
    <w:rsid w:val="001E26C7"/>
    <w:rsid w:val="001E26E8"/>
    <w:rsid w:val="001E2795"/>
    <w:rsid w:val="001E2890"/>
    <w:rsid w:val="001E2951"/>
    <w:rsid w:val="001E2A0D"/>
    <w:rsid w:val="001E2A81"/>
    <w:rsid w:val="001E2ABC"/>
    <w:rsid w:val="001E2AEC"/>
    <w:rsid w:val="001E2B07"/>
    <w:rsid w:val="001E2B7D"/>
    <w:rsid w:val="001E2BD3"/>
    <w:rsid w:val="001E2C5A"/>
    <w:rsid w:val="001E2CAE"/>
    <w:rsid w:val="001E2D66"/>
    <w:rsid w:val="001E2D75"/>
    <w:rsid w:val="001E2DAC"/>
    <w:rsid w:val="001E2DCF"/>
    <w:rsid w:val="001E2DE7"/>
    <w:rsid w:val="001E2E51"/>
    <w:rsid w:val="001E2ED0"/>
    <w:rsid w:val="001E2EEF"/>
    <w:rsid w:val="001E2F1E"/>
    <w:rsid w:val="001E2F77"/>
    <w:rsid w:val="001E2F94"/>
    <w:rsid w:val="001E2F99"/>
    <w:rsid w:val="001E2FF7"/>
    <w:rsid w:val="001E3196"/>
    <w:rsid w:val="001E31EF"/>
    <w:rsid w:val="001E32C0"/>
    <w:rsid w:val="001E3348"/>
    <w:rsid w:val="001E3412"/>
    <w:rsid w:val="001E3419"/>
    <w:rsid w:val="001E3440"/>
    <w:rsid w:val="001E344A"/>
    <w:rsid w:val="001E3488"/>
    <w:rsid w:val="001E34DF"/>
    <w:rsid w:val="001E350C"/>
    <w:rsid w:val="001E3647"/>
    <w:rsid w:val="001E3675"/>
    <w:rsid w:val="001E36FC"/>
    <w:rsid w:val="001E37B2"/>
    <w:rsid w:val="001E37CD"/>
    <w:rsid w:val="001E37DC"/>
    <w:rsid w:val="001E37FE"/>
    <w:rsid w:val="001E387B"/>
    <w:rsid w:val="001E394F"/>
    <w:rsid w:val="001E39D6"/>
    <w:rsid w:val="001E3A39"/>
    <w:rsid w:val="001E3A95"/>
    <w:rsid w:val="001E3ACA"/>
    <w:rsid w:val="001E3AD2"/>
    <w:rsid w:val="001E3B30"/>
    <w:rsid w:val="001E3C25"/>
    <w:rsid w:val="001E3C86"/>
    <w:rsid w:val="001E3CA3"/>
    <w:rsid w:val="001E3CB7"/>
    <w:rsid w:val="001E3CC8"/>
    <w:rsid w:val="001E3CF4"/>
    <w:rsid w:val="001E3D16"/>
    <w:rsid w:val="001E3D4B"/>
    <w:rsid w:val="001E3D8B"/>
    <w:rsid w:val="001E3DE7"/>
    <w:rsid w:val="001E3E00"/>
    <w:rsid w:val="001E3E57"/>
    <w:rsid w:val="001E3E5E"/>
    <w:rsid w:val="001E3E7F"/>
    <w:rsid w:val="001E3EDA"/>
    <w:rsid w:val="001E3EE0"/>
    <w:rsid w:val="001E3F78"/>
    <w:rsid w:val="001E3FE6"/>
    <w:rsid w:val="001E4018"/>
    <w:rsid w:val="001E4054"/>
    <w:rsid w:val="001E4056"/>
    <w:rsid w:val="001E4059"/>
    <w:rsid w:val="001E40F6"/>
    <w:rsid w:val="001E4143"/>
    <w:rsid w:val="001E4157"/>
    <w:rsid w:val="001E4172"/>
    <w:rsid w:val="001E4178"/>
    <w:rsid w:val="001E4190"/>
    <w:rsid w:val="001E41D2"/>
    <w:rsid w:val="001E4236"/>
    <w:rsid w:val="001E4333"/>
    <w:rsid w:val="001E4373"/>
    <w:rsid w:val="001E4389"/>
    <w:rsid w:val="001E43B8"/>
    <w:rsid w:val="001E43D2"/>
    <w:rsid w:val="001E43D6"/>
    <w:rsid w:val="001E43F7"/>
    <w:rsid w:val="001E449E"/>
    <w:rsid w:val="001E4519"/>
    <w:rsid w:val="001E455C"/>
    <w:rsid w:val="001E4570"/>
    <w:rsid w:val="001E45D5"/>
    <w:rsid w:val="001E460F"/>
    <w:rsid w:val="001E4691"/>
    <w:rsid w:val="001E4694"/>
    <w:rsid w:val="001E46D7"/>
    <w:rsid w:val="001E46ED"/>
    <w:rsid w:val="001E4754"/>
    <w:rsid w:val="001E4793"/>
    <w:rsid w:val="001E47D2"/>
    <w:rsid w:val="001E47E5"/>
    <w:rsid w:val="001E4889"/>
    <w:rsid w:val="001E4892"/>
    <w:rsid w:val="001E49A6"/>
    <w:rsid w:val="001E49EB"/>
    <w:rsid w:val="001E4A55"/>
    <w:rsid w:val="001E4AB5"/>
    <w:rsid w:val="001E4AD9"/>
    <w:rsid w:val="001E4AED"/>
    <w:rsid w:val="001E4B1E"/>
    <w:rsid w:val="001E4B7F"/>
    <w:rsid w:val="001E4CB9"/>
    <w:rsid w:val="001E4D63"/>
    <w:rsid w:val="001E4D7E"/>
    <w:rsid w:val="001E4D9F"/>
    <w:rsid w:val="001E4DA5"/>
    <w:rsid w:val="001E4E00"/>
    <w:rsid w:val="001E4E6E"/>
    <w:rsid w:val="001E4E79"/>
    <w:rsid w:val="001E4EF6"/>
    <w:rsid w:val="001E4F49"/>
    <w:rsid w:val="001E4F86"/>
    <w:rsid w:val="001E4FC3"/>
    <w:rsid w:val="001E4FCE"/>
    <w:rsid w:val="001E4FE5"/>
    <w:rsid w:val="001E503C"/>
    <w:rsid w:val="001E50E6"/>
    <w:rsid w:val="001E5168"/>
    <w:rsid w:val="001E517D"/>
    <w:rsid w:val="001E527C"/>
    <w:rsid w:val="001E528A"/>
    <w:rsid w:val="001E535A"/>
    <w:rsid w:val="001E53AB"/>
    <w:rsid w:val="001E53D2"/>
    <w:rsid w:val="001E53E5"/>
    <w:rsid w:val="001E5432"/>
    <w:rsid w:val="001E5446"/>
    <w:rsid w:val="001E5487"/>
    <w:rsid w:val="001E5490"/>
    <w:rsid w:val="001E5493"/>
    <w:rsid w:val="001E54E7"/>
    <w:rsid w:val="001E5500"/>
    <w:rsid w:val="001E5508"/>
    <w:rsid w:val="001E5577"/>
    <w:rsid w:val="001E55A8"/>
    <w:rsid w:val="001E55DF"/>
    <w:rsid w:val="001E5623"/>
    <w:rsid w:val="001E5685"/>
    <w:rsid w:val="001E56B3"/>
    <w:rsid w:val="001E56C9"/>
    <w:rsid w:val="001E56F0"/>
    <w:rsid w:val="001E5720"/>
    <w:rsid w:val="001E576B"/>
    <w:rsid w:val="001E5776"/>
    <w:rsid w:val="001E57F7"/>
    <w:rsid w:val="001E5882"/>
    <w:rsid w:val="001E58B6"/>
    <w:rsid w:val="001E59BC"/>
    <w:rsid w:val="001E59BF"/>
    <w:rsid w:val="001E59DF"/>
    <w:rsid w:val="001E5A36"/>
    <w:rsid w:val="001E5AEF"/>
    <w:rsid w:val="001E5B7B"/>
    <w:rsid w:val="001E5C04"/>
    <w:rsid w:val="001E5C27"/>
    <w:rsid w:val="001E5C61"/>
    <w:rsid w:val="001E5C88"/>
    <w:rsid w:val="001E5CA7"/>
    <w:rsid w:val="001E5D16"/>
    <w:rsid w:val="001E5D63"/>
    <w:rsid w:val="001E5DAB"/>
    <w:rsid w:val="001E5DEE"/>
    <w:rsid w:val="001E5E74"/>
    <w:rsid w:val="001E5EF5"/>
    <w:rsid w:val="001E5EF8"/>
    <w:rsid w:val="001E5F2C"/>
    <w:rsid w:val="001E5F2E"/>
    <w:rsid w:val="001E5FEC"/>
    <w:rsid w:val="001E603F"/>
    <w:rsid w:val="001E6084"/>
    <w:rsid w:val="001E6097"/>
    <w:rsid w:val="001E60AB"/>
    <w:rsid w:val="001E6177"/>
    <w:rsid w:val="001E6276"/>
    <w:rsid w:val="001E628B"/>
    <w:rsid w:val="001E62CE"/>
    <w:rsid w:val="001E637B"/>
    <w:rsid w:val="001E6400"/>
    <w:rsid w:val="001E64BB"/>
    <w:rsid w:val="001E64DA"/>
    <w:rsid w:val="001E65F1"/>
    <w:rsid w:val="001E66DC"/>
    <w:rsid w:val="001E6711"/>
    <w:rsid w:val="001E672F"/>
    <w:rsid w:val="001E6751"/>
    <w:rsid w:val="001E6772"/>
    <w:rsid w:val="001E6780"/>
    <w:rsid w:val="001E6820"/>
    <w:rsid w:val="001E6849"/>
    <w:rsid w:val="001E6896"/>
    <w:rsid w:val="001E68B4"/>
    <w:rsid w:val="001E68E5"/>
    <w:rsid w:val="001E6935"/>
    <w:rsid w:val="001E695C"/>
    <w:rsid w:val="001E6A66"/>
    <w:rsid w:val="001E6A78"/>
    <w:rsid w:val="001E6AC2"/>
    <w:rsid w:val="001E6ADD"/>
    <w:rsid w:val="001E6AE7"/>
    <w:rsid w:val="001E6AFB"/>
    <w:rsid w:val="001E6B12"/>
    <w:rsid w:val="001E6B27"/>
    <w:rsid w:val="001E6B66"/>
    <w:rsid w:val="001E6B6F"/>
    <w:rsid w:val="001E6BC3"/>
    <w:rsid w:val="001E6C00"/>
    <w:rsid w:val="001E6CA8"/>
    <w:rsid w:val="001E6CCC"/>
    <w:rsid w:val="001E6CF9"/>
    <w:rsid w:val="001E6CFC"/>
    <w:rsid w:val="001E6D2A"/>
    <w:rsid w:val="001E6D39"/>
    <w:rsid w:val="001E6D44"/>
    <w:rsid w:val="001E6D53"/>
    <w:rsid w:val="001E6DE3"/>
    <w:rsid w:val="001E6E37"/>
    <w:rsid w:val="001E6EFF"/>
    <w:rsid w:val="001E6F0C"/>
    <w:rsid w:val="001E6FA8"/>
    <w:rsid w:val="001E6FFE"/>
    <w:rsid w:val="001E7006"/>
    <w:rsid w:val="001E707F"/>
    <w:rsid w:val="001E71C2"/>
    <w:rsid w:val="001E71DD"/>
    <w:rsid w:val="001E721A"/>
    <w:rsid w:val="001E725F"/>
    <w:rsid w:val="001E7287"/>
    <w:rsid w:val="001E7301"/>
    <w:rsid w:val="001E73CA"/>
    <w:rsid w:val="001E7447"/>
    <w:rsid w:val="001E7461"/>
    <w:rsid w:val="001E7479"/>
    <w:rsid w:val="001E74EA"/>
    <w:rsid w:val="001E75C5"/>
    <w:rsid w:val="001E75F3"/>
    <w:rsid w:val="001E75FE"/>
    <w:rsid w:val="001E76A6"/>
    <w:rsid w:val="001E7757"/>
    <w:rsid w:val="001E7793"/>
    <w:rsid w:val="001E77A3"/>
    <w:rsid w:val="001E77BE"/>
    <w:rsid w:val="001E7811"/>
    <w:rsid w:val="001E7814"/>
    <w:rsid w:val="001E781B"/>
    <w:rsid w:val="001E7839"/>
    <w:rsid w:val="001E785F"/>
    <w:rsid w:val="001E7949"/>
    <w:rsid w:val="001E7951"/>
    <w:rsid w:val="001E7979"/>
    <w:rsid w:val="001E797E"/>
    <w:rsid w:val="001E7AC7"/>
    <w:rsid w:val="001E7AF9"/>
    <w:rsid w:val="001E7B23"/>
    <w:rsid w:val="001E7B93"/>
    <w:rsid w:val="001E7BA2"/>
    <w:rsid w:val="001E7C0D"/>
    <w:rsid w:val="001E7C7F"/>
    <w:rsid w:val="001E7C99"/>
    <w:rsid w:val="001E7CB0"/>
    <w:rsid w:val="001E7CC0"/>
    <w:rsid w:val="001E7CD8"/>
    <w:rsid w:val="001E7D94"/>
    <w:rsid w:val="001E7DFB"/>
    <w:rsid w:val="001E7E02"/>
    <w:rsid w:val="001E7E11"/>
    <w:rsid w:val="001E7E60"/>
    <w:rsid w:val="001E7EE5"/>
    <w:rsid w:val="001E7EE7"/>
    <w:rsid w:val="001E7F8C"/>
    <w:rsid w:val="001F0018"/>
    <w:rsid w:val="001F00F0"/>
    <w:rsid w:val="001F0118"/>
    <w:rsid w:val="001F0228"/>
    <w:rsid w:val="001F0240"/>
    <w:rsid w:val="001F02DE"/>
    <w:rsid w:val="001F0325"/>
    <w:rsid w:val="001F0384"/>
    <w:rsid w:val="001F0393"/>
    <w:rsid w:val="001F03BF"/>
    <w:rsid w:val="001F0428"/>
    <w:rsid w:val="001F0431"/>
    <w:rsid w:val="001F0489"/>
    <w:rsid w:val="001F04E7"/>
    <w:rsid w:val="001F04F0"/>
    <w:rsid w:val="001F054A"/>
    <w:rsid w:val="001F054D"/>
    <w:rsid w:val="001F0593"/>
    <w:rsid w:val="001F06A3"/>
    <w:rsid w:val="001F06C0"/>
    <w:rsid w:val="001F06D6"/>
    <w:rsid w:val="001F0769"/>
    <w:rsid w:val="001F079C"/>
    <w:rsid w:val="001F07BD"/>
    <w:rsid w:val="001F083E"/>
    <w:rsid w:val="001F0897"/>
    <w:rsid w:val="001F08E5"/>
    <w:rsid w:val="001F094D"/>
    <w:rsid w:val="001F0958"/>
    <w:rsid w:val="001F09E2"/>
    <w:rsid w:val="001F0A6C"/>
    <w:rsid w:val="001F0A75"/>
    <w:rsid w:val="001F0AB1"/>
    <w:rsid w:val="001F0AF0"/>
    <w:rsid w:val="001F0B01"/>
    <w:rsid w:val="001F0B7D"/>
    <w:rsid w:val="001F0BAC"/>
    <w:rsid w:val="001F0BD3"/>
    <w:rsid w:val="001F0C0C"/>
    <w:rsid w:val="001F0C64"/>
    <w:rsid w:val="001F0D80"/>
    <w:rsid w:val="001F0DBB"/>
    <w:rsid w:val="001F0E3F"/>
    <w:rsid w:val="001F0E7A"/>
    <w:rsid w:val="001F0ECB"/>
    <w:rsid w:val="001F0ED8"/>
    <w:rsid w:val="001F0F95"/>
    <w:rsid w:val="001F0FF4"/>
    <w:rsid w:val="001F102F"/>
    <w:rsid w:val="001F104E"/>
    <w:rsid w:val="001F1073"/>
    <w:rsid w:val="001F10E0"/>
    <w:rsid w:val="001F112F"/>
    <w:rsid w:val="001F1160"/>
    <w:rsid w:val="001F118F"/>
    <w:rsid w:val="001F1199"/>
    <w:rsid w:val="001F11CB"/>
    <w:rsid w:val="001F1259"/>
    <w:rsid w:val="001F135B"/>
    <w:rsid w:val="001F1425"/>
    <w:rsid w:val="001F145D"/>
    <w:rsid w:val="001F1475"/>
    <w:rsid w:val="001F1497"/>
    <w:rsid w:val="001F14C4"/>
    <w:rsid w:val="001F1536"/>
    <w:rsid w:val="001F1671"/>
    <w:rsid w:val="001F168A"/>
    <w:rsid w:val="001F16B7"/>
    <w:rsid w:val="001F1727"/>
    <w:rsid w:val="001F19C0"/>
    <w:rsid w:val="001F19C9"/>
    <w:rsid w:val="001F1A2B"/>
    <w:rsid w:val="001F1A47"/>
    <w:rsid w:val="001F1A5F"/>
    <w:rsid w:val="001F1A6B"/>
    <w:rsid w:val="001F1AD9"/>
    <w:rsid w:val="001F1ADE"/>
    <w:rsid w:val="001F1B27"/>
    <w:rsid w:val="001F1B5E"/>
    <w:rsid w:val="001F1B80"/>
    <w:rsid w:val="001F1BA2"/>
    <w:rsid w:val="001F1BF1"/>
    <w:rsid w:val="001F1C17"/>
    <w:rsid w:val="001F1C36"/>
    <w:rsid w:val="001F1C4C"/>
    <w:rsid w:val="001F1C91"/>
    <w:rsid w:val="001F1D21"/>
    <w:rsid w:val="001F1D39"/>
    <w:rsid w:val="001F1D6B"/>
    <w:rsid w:val="001F1E74"/>
    <w:rsid w:val="001F20D2"/>
    <w:rsid w:val="001F212E"/>
    <w:rsid w:val="001F21D0"/>
    <w:rsid w:val="001F21FF"/>
    <w:rsid w:val="001F2221"/>
    <w:rsid w:val="001F2296"/>
    <w:rsid w:val="001F22AE"/>
    <w:rsid w:val="001F2308"/>
    <w:rsid w:val="001F23EE"/>
    <w:rsid w:val="001F244A"/>
    <w:rsid w:val="001F25B8"/>
    <w:rsid w:val="001F267C"/>
    <w:rsid w:val="001F26C7"/>
    <w:rsid w:val="001F2736"/>
    <w:rsid w:val="001F2758"/>
    <w:rsid w:val="001F27B1"/>
    <w:rsid w:val="001F27F0"/>
    <w:rsid w:val="001F27FA"/>
    <w:rsid w:val="001F2862"/>
    <w:rsid w:val="001F288F"/>
    <w:rsid w:val="001F2902"/>
    <w:rsid w:val="001F2922"/>
    <w:rsid w:val="001F2926"/>
    <w:rsid w:val="001F29AA"/>
    <w:rsid w:val="001F2A02"/>
    <w:rsid w:val="001F2A68"/>
    <w:rsid w:val="001F2A6F"/>
    <w:rsid w:val="001F2AAA"/>
    <w:rsid w:val="001F2AB4"/>
    <w:rsid w:val="001F2BA1"/>
    <w:rsid w:val="001F2C10"/>
    <w:rsid w:val="001F2C3F"/>
    <w:rsid w:val="001F2C51"/>
    <w:rsid w:val="001F2C78"/>
    <w:rsid w:val="001F2CE3"/>
    <w:rsid w:val="001F2CFB"/>
    <w:rsid w:val="001F2D27"/>
    <w:rsid w:val="001F2D54"/>
    <w:rsid w:val="001F2D69"/>
    <w:rsid w:val="001F2DA4"/>
    <w:rsid w:val="001F2DD3"/>
    <w:rsid w:val="001F2DE3"/>
    <w:rsid w:val="001F2DFD"/>
    <w:rsid w:val="001F2E23"/>
    <w:rsid w:val="001F2E5C"/>
    <w:rsid w:val="001F2E93"/>
    <w:rsid w:val="001F2EBA"/>
    <w:rsid w:val="001F2F29"/>
    <w:rsid w:val="001F30A0"/>
    <w:rsid w:val="001F30AC"/>
    <w:rsid w:val="001F30BD"/>
    <w:rsid w:val="001F3137"/>
    <w:rsid w:val="001F31AB"/>
    <w:rsid w:val="001F31FC"/>
    <w:rsid w:val="001F3249"/>
    <w:rsid w:val="001F329A"/>
    <w:rsid w:val="001F3312"/>
    <w:rsid w:val="001F3330"/>
    <w:rsid w:val="001F3374"/>
    <w:rsid w:val="001F3421"/>
    <w:rsid w:val="001F34BA"/>
    <w:rsid w:val="001F34D8"/>
    <w:rsid w:val="001F351C"/>
    <w:rsid w:val="001F354D"/>
    <w:rsid w:val="001F3579"/>
    <w:rsid w:val="001F362E"/>
    <w:rsid w:val="001F3652"/>
    <w:rsid w:val="001F366F"/>
    <w:rsid w:val="001F3765"/>
    <w:rsid w:val="001F37E6"/>
    <w:rsid w:val="001F37ED"/>
    <w:rsid w:val="001F386A"/>
    <w:rsid w:val="001F396B"/>
    <w:rsid w:val="001F3993"/>
    <w:rsid w:val="001F3998"/>
    <w:rsid w:val="001F3B21"/>
    <w:rsid w:val="001F3B2C"/>
    <w:rsid w:val="001F3BBB"/>
    <w:rsid w:val="001F3CAE"/>
    <w:rsid w:val="001F3D2A"/>
    <w:rsid w:val="001F3D49"/>
    <w:rsid w:val="001F3DAD"/>
    <w:rsid w:val="001F3DC9"/>
    <w:rsid w:val="001F3DD2"/>
    <w:rsid w:val="001F3F5E"/>
    <w:rsid w:val="001F3F77"/>
    <w:rsid w:val="001F3FCE"/>
    <w:rsid w:val="001F403D"/>
    <w:rsid w:val="001F41B9"/>
    <w:rsid w:val="001F4204"/>
    <w:rsid w:val="001F4247"/>
    <w:rsid w:val="001F426D"/>
    <w:rsid w:val="001F429C"/>
    <w:rsid w:val="001F42BE"/>
    <w:rsid w:val="001F432A"/>
    <w:rsid w:val="001F447B"/>
    <w:rsid w:val="001F4487"/>
    <w:rsid w:val="001F4490"/>
    <w:rsid w:val="001F44EF"/>
    <w:rsid w:val="001F455A"/>
    <w:rsid w:val="001F455B"/>
    <w:rsid w:val="001F4588"/>
    <w:rsid w:val="001F47A9"/>
    <w:rsid w:val="001F47B5"/>
    <w:rsid w:val="001F4814"/>
    <w:rsid w:val="001F483F"/>
    <w:rsid w:val="001F4864"/>
    <w:rsid w:val="001F487E"/>
    <w:rsid w:val="001F48A7"/>
    <w:rsid w:val="001F48B1"/>
    <w:rsid w:val="001F491E"/>
    <w:rsid w:val="001F497B"/>
    <w:rsid w:val="001F498A"/>
    <w:rsid w:val="001F4A6A"/>
    <w:rsid w:val="001F4A6F"/>
    <w:rsid w:val="001F4A8D"/>
    <w:rsid w:val="001F4AAB"/>
    <w:rsid w:val="001F4AD8"/>
    <w:rsid w:val="001F4B19"/>
    <w:rsid w:val="001F4B80"/>
    <w:rsid w:val="001F4BE6"/>
    <w:rsid w:val="001F4BF3"/>
    <w:rsid w:val="001F4CB1"/>
    <w:rsid w:val="001F4CB4"/>
    <w:rsid w:val="001F4CDF"/>
    <w:rsid w:val="001F4CE5"/>
    <w:rsid w:val="001F4CFF"/>
    <w:rsid w:val="001F4D2C"/>
    <w:rsid w:val="001F4DFC"/>
    <w:rsid w:val="001F4E0B"/>
    <w:rsid w:val="001F4E28"/>
    <w:rsid w:val="001F4EA0"/>
    <w:rsid w:val="001F4F50"/>
    <w:rsid w:val="001F4FF2"/>
    <w:rsid w:val="001F5002"/>
    <w:rsid w:val="001F5053"/>
    <w:rsid w:val="001F5110"/>
    <w:rsid w:val="001F5154"/>
    <w:rsid w:val="001F518C"/>
    <w:rsid w:val="001F52A5"/>
    <w:rsid w:val="001F52AD"/>
    <w:rsid w:val="001F548D"/>
    <w:rsid w:val="001F54C8"/>
    <w:rsid w:val="001F54EB"/>
    <w:rsid w:val="001F5599"/>
    <w:rsid w:val="001F55A8"/>
    <w:rsid w:val="001F5634"/>
    <w:rsid w:val="001F56A7"/>
    <w:rsid w:val="001F5733"/>
    <w:rsid w:val="001F57DB"/>
    <w:rsid w:val="001F58AB"/>
    <w:rsid w:val="001F58C6"/>
    <w:rsid w:val="001F591E"/>
    <w:rsid w:val="001F5953"/>
    <w:rsid w:val="001F59AE"/>
    <w:rsid w:val="001F5AA1"/>
    <w:rsid w:val="001F5AA4"/>
    <w:rsid w:val="001F5ABE"/>
    <w:rsid w:val="001F5B61"/>
    <w:rsid w:val="001F5BE7"/>
    <w:rsid w:val="001F5CAF"/>
    <w:rsid w:val="001F5CC7"/>
    <w:rsid w:val="001F5CED"/>
    <w:rsid w:val="001F5D2C"/>
    <w:rsid w:val="001F5D58"/>
    <w:rsid w:val="001F5D67"/>
    <w:rsid w:val="001F5D76"/>
    <w:rsid w:val="001F5DB3"/>
    <w:rsid w:val="001F5E0D"/>
    <w:rsid w:val="001F5E45"/>
    <w:rsid w:val="001F5E46"/>
    <w:rsid w:val="001F5ECB"/>
    <w:rsid w:val="001F5ED4"/>
    <w:rsid w:val="001F5F14"/>
    <w:rsid w:val="001F5F2C"/>
    <w:rsid w:val="001F5FCF"/>
    <w:rsid w:val="001F5FE7"/>
    <w:rsid w:val="001F5FF0"/>
    <w:rsid w:val="001F6008"/>
    <w:rsid w:val="001F603F"/>
    <w:rsid w:val="001F6066"/>
    <w:rsid w:val="001F60A0"/>
    <w:rsid w:val="001F60EB"/>
    <w:rsid w:val="001F622B"/>
    <w:rsid w:val="001F6237"/>
    <w:rsid w:val="001F6268"/>
    <w:rsid w:val="001F62AD"/>
    <w:rsid w:val="001F647D"/>
    <w:rsid w:val="001F6503"/>
    <w:rsid w:val="001F6528"/>
    <w:rsid w:val="001F656B"/>
    <w:rsid w:val="001F65FB"/>
    <w:rsid w:val="001F6631"/>
    <w:rsid w:val="001F66B8"/>
    <w:rsid w:val="001F6787"/>
    <w:rsid w:val="001F6854"/>
    <w:rsid w:val="001F6877"/>
    <w:rsid w:val="001F692A"/>
    <w:rsid w:val="001F6951"/>
    <w:rsid w:val="001F6957"/>
    <w:rsid w:val="001F6977"/>
    <w:rsid w:val="001F6983"/>
    <w:rsid w:val="001F6ADB"/>
    <w:rsid w:val="001F6AE5"/>
    <w:rsid w:val="001F6AEB"/>
    <w:rsid w:val="001F6C00"/>
    <w:rsid w:val="001F6C41"/>
    <w:rsid w:val="001F6CF3"/>
    <w:rsid w:val="001F6D00"/>
    <w:rsid w:val="001F6D59"/>
    <w:rsid w:val="001F6D5F"/>
    <w:rsid w:val="001F6E11"/>
    <w:rsid w:val="001F6E5C"/>
    <w:rsid w:val="001F6E96"/>
    <w:rsid w:val="001F6ED2"/>
    <w:rsid w:val="001F7053"/>
    <w:rsid w:val="001F706B"/>
    <w:rsid w:val="001F707A"/>
    <w:rsid w:val="001F70F1"/>
    <w:rsid w:val="001F7116"/>
    <w:rsid w:val="001F71F8"/>
    <w:rsid w:val="001F7301"/>
    <w:rsid w:val="001F7378"/>
    <w:rsid w:val="001F73F0"/>
    <w:rsid w:val="001F7446"/>
    <w:rsid w:val="001F7466"/>
    <w:rsid w:val="001F74DA"/>
    <w:rsid w:val="001F753A"/>
    <w:rsid w:val="001F7547"/>
    <w:rsid w:val="001F7555"/>
    <w:rsid w:val="001F7591"/>
    <w:rsid w:val="001F75BD"/>
    <w:rsid w:val="001F7651"/>
    <w:rsid w:val="001F7663"/>
    <w:rsid w:val="001F76A9"/>
    <w:rsid w:val="001F7754"/>
    <w:rsid w:val="001F7788"/>
    <w:rsid w:val="001F77A2"/>
    <w:rsid w:val="001F7800"/>
    <w:rsid w:val="001F7811"/>
    <w:rsid w:val="001F7826"/>
    <w:rsid w:val="001F7856"/>
    <w:rsid w:val="001F786D"/>
    <w:rsid w:val="001F78E9"/>
    <w:rsid w:val="001F7916"/>
    <w:rsid w:val="001F795C"/>
    <w:rsid w:val="001F7982"/>
    <w:rsid w:val="001F7A2B"/>
    <w:rsid w:val="001F7A34"/>
    <w:rsid w:val="001F7A3F"/>
    <w:rsid w:val="001F7A47"/>
    <w:rsid w:val="001F7AA5"/>
    <w:rsid w:val="001F7C95"/>
    <w:rsid w:val="001F7CF4"/>
    <w:rsid w:val="001F7D13"/>
    <w:rsid w:val="001F7D44"/>
    <w:rsid w:val="001F7DCC"/>
    <w:rsid w:val="001F7DE9"/>
    <w:rsid w:val="001F7E2C"/>
    <w:rsid w:val="001F7E3F"/>
    <w:rsid w:val="001F7E41"/>
    <w:rsid w:val="001F7EC0"/>
    <w:rsid w:val="001F7FD1"/>
    <w:rsid w:val="002000CB"/>
    <w:rsid w:val="002000EC"/>
    <w:rsid w:val="0020010B"/>
    <w:rsid w:val="0020016D"/>
    <w:rsid w:val="00200178"/>
    <w:rsid w:val="00200305"/>
    <w:rsid w:val="00200314"/>
    <w:rsid w:val="00200325"/>
    <w:rsid w:val="002003D5"/>
    <w:rsid w:val="002004C7"/>
    <w:rsid w:val="00200538"/>
    <w:rsid w:val="0020054E"/>
    <w:rsid w:val="00200557"/>
    <w:rsid w:val="00200572"/>
    <w:rsid w:val="002005D2"/>
    <w:rsid w:val="002005FE"/>
    <w:rsid w:val="002006FE"/>
    <w:rsid w:val="00200701"/>
    <w:rsid w:val="00200712"/>
    <w:rsid w:val="00200715"/>
    <w:rsid w:val="00200738"/>
    <w:rsid w:val="0020073B"/>
    <w:rsid w:val="00200750"/>
    <w:rsid w:val="002007D0"/>
    <w:rsid w:val="0020082E"/>
    <w:rsid w:val="0020089F"/>
    <w:rsid w:val="002008D1"/>
    <w:rsid w:val="002008E3"/>
    <w:rsid w:val="00200941"/>
    <w:rsid w:val="00200AC3"/>
    <w:rsid w:val="00200AE2"/>
    <w:rsid w:val="00200B1D"/>
    <w:rsid w:val="00200B81"/>
    <w:rsid w:val="00200B8F"/>
    <w:rsid w:val="00200BC5"/>
    <w:rsid w:val="00200BEA"/>
    <w:rsid w:val="00200BF2"/>
    <w:rsid w:val="00200C48"/>
    <w:rsid w:val="00200C88"/>
    <w:rsid w:val="00200CA2"/>
    <w:rsid w:val="00200CB0"/>
    <w:rsid w:val="00200D21"/>
    <w:rsid w:val="00200D8D"/>
    <w:rsid w:val="00200DFD"/>
    <w:rsid w:val="00200E6F"/>
    <w:rsid w:val="00200E71"/>
    <w:rsid w:val="00200EE6"/>
    <w:rsid w:val="00200F48"/>
    <w:rsid w:val="00200F6E"/>
    <w:rsid w:val="00200F91"/>
    <w:rsid w:val="00200F99"/>
    <w:rsid w:val="00201003"/>
    <w:rsid w:val="0020103A"/>
    <w:rsid w:val="0020106D"/>
    <w:rsid w:val="0020109C"/>
    <w:rsid w:val="00201116"/>
    <w:rsid w:val="0020116A"/>
    <w:rsid w:val="00201173"/>
    <w:rsid w:val="002011D0"/>
    <w:rsid w:val="00201223"/>
    <w:rsid w:val="002012D0"/>
    <w:rsid w:val="002012E2"/>
    <w:rsid w:val="00201313"/>
    <w:rsid w:val="00201373"/>
    <w:rsid w:val="00201428"/>
    <w:rsid w:val="00201442"/>
    <w:rsid w:val="0020144C"/>
    <w:rsid w:val="00201461"/>
    <w:rsid w:val="002014A2"/>
    <w:rsid w:val="002014D0"/>
    <w:rsid w:val="002014D2"/>
    <w:rsid w:val="002015AB"/>
    <w:rsid w:val="002015AF"/>
    <w:rsid w:val="00201634"/>
    <w:rsid w:val="002016E8"/>
    <w:rsid w:val="00201802"/>
    <w:rsid w:val="00201809"/>
    <w:rsid w:val="0020189D"/>
    <w:rsid w:val="002018D3"/>
    <w:rsid w:val="00201953"/>
    <w:rsid w:val="00201C75"/>
    <w:rsid w:val="00201CA8"/>
    <w:rsid w:val="00201CAE"/>
    <w:rsid w:val="00201D01"/>
    <w:rsid w:val="00201D55"/>
    <w:rsid w:val="00201D90"/>
    <w:rsid w:val="00201DAA"/>
    <w:rsid w:val="00201E1C"/>
    <w:rsid w:val="00201E9E"/>
    <w:rsid w:val="00201F0F"/>
    <w:rsid w:val="00201F6A"/>
    <w:rsid w:val="00201FA8"/>
    <w:rsid w:val="002021A5"/>
    <w:rsid w:val="002021B3"/>
    <w:rsid w:val="002021C5"/>
    <w:rsid w:val="002021D8"/>
    <w:rsid w:val="00202232"/>
    <w:rsid w:val="00202233"/>
    <w:rsid w:val="0020223D"/>
    <w:rsid w:val="00202328"/>
    <w:rsid w:val="002023FA"/>
    <w:rsid w:val="00202447"/>
    <w:rsid w:val="00202459"/>
    <w:rsid w:val="00202488"/>
    <w:rsid w:val="00202497"/>
    <w:rsid w:val="002024AC"/>
    <w:rsid w:val="0020260F"/>
    <w:rsid w:val="0020261E"/>
    <w:rsid w:val="00202696"/>
    <w:rsid w:val="002026A9"/>
    <w:rsid w:val="002026BE"/>
    <w:rsid w:val="002026C1"/>
    <w:rsid w:val="002026D7"/>
    <w:rsid w:val="00202858"/>
    <w:rsid w:val="002028A5"/>
    <w:rsid w:val="00202919"/>
    <w:rsid w:val="0020291F"/>
    <w:rsid w:val="0020296C"/>
    <w:rsid w:val="00202997"/>
    <w:rsid w:val="00202998"/>
    <w:rsid w:val="002029BB"/>
    <w:rsid w:val="002029C9"/>
    <w:rsid w:val="002029CE"/>
    <w:rsid w:val="00202A1F"/>
    <w:rsid w:val="00202AC2"/>
    <w:rsid w:val="00202AC5"/>
    <w:rsid w:val="00202AD5"/>
    <w:rsid w:val="00202B3E"/>
    <w:rsid w:val="00202B6D"/>
    <w:rsid w:val="00202BC4"/>
    <w:rsid w:val="00202C06"/>
    <w:rsid w:val="00202C21"/>
    <w:rsid w:val="00202C47"/>
    <w:rsid w:val="00202C64"/>
    <w:rsid w:val="00202CB4"/>
    <w:rsid w:val="00202DA2"/>
    <w:rsid w:val="00202DB1"/>
    <w:rsid w:val="00202DD4"/>
    <w:rsid w:val="00202E1D"/>
    <w:rsid w:val="00202E73"/>
    <w:rsid w:val="00202E85"/>
    <w:rsid w:val="00202E98"/>
    <w:rsid w:val="00202F15"/>
    <w:rsid w:val="00202F7D"/>
    <w:rsid w:val="00202FB7"/>
    <w:rsid w:val="00203040"/>
    <w:rsid w:val="00203105"/>
    <w:rsid w:val="002032EF"/>
    <w:rsid w:val="002032F4"/>
    <w:rsid w:val="00203380"/>
    <w:rsid w:val="0020338B"/>
    <w:rsid w:val="0020338D"/>
    <w:rsid w:val="002033B9"/>
    <w:rsid w:val="002033BC"/>
    <w:rsid w:val="002033F0"/>
    <w:rsid w:val="002034C2"/>
    <w:rsid w:val="002034FC"/>
    <w:rsid w:val="00203510"/>
    <w:rsid w:val="0020355C"/>
    <w:rsid w:val="002035C8"/>
    <w:rsid w:val="002035FF"/>
    <w:rsid w:val="00203661"/>
    <w:rsid w:val="002036DE"/>
    <w:rsid w:val="00203714"/>
    <w:rsid w:val="0020371F"/>
    <w:rsid w:val="00203743"/>
    <w:rsid w:val="002037D0"/>
    <w:rsid w:val="0020389A"/>
    <w:rsid w:val="00203901"/>
    <w:rsid w:val="00203935"/>
    <w:rsid w:val="00203973"/>
    <w:rsid w:val="002039C2"/>
    <w:rsid w:val="00203A06"/>
    <w:rsid w:val="00203B28"/>
    <w:rsid w:val="00203B64"/>
    <w:rsid w:val="00203B6D"/>
    <w:rsid w:val="00203BB9"/>
    <w:rsid w:val="00203BD4"/>
    <w:rsid w:val="00203C06"/>
    <w:rsid w:val="00203C6B"/>
    <w:rsid w:val="00203C6C"/>
    <w:rsid w:val="00203CA1"/>
    <w:rsid w:val="00203D7C"/>
    <w:rsid w:val="00203DA9"/>
    <w:rsid w:val="00203DE9"/>
    <w:rsid w:val="00203DF2"/>
    <w:rsid w:val="00203E21"/>
    <w:rsid w:val="00203E30"/>
    <w:rsid w:val="00203E98"/>
    <w:rsid w:val="00204025"/>
    <w:rsid w:val="0020407E"/>
    <w:rsid w:val="00204091"/>
    <w:rsid w:val="002041F8"/>
    <w:rsid w:val="00204252"/>
    <w:rsid w:val="002042B6"/>
    <w:rsid w:val="002042F9"/>
    <w:rsid w:val="00204362"/>
    <w:rsid w:val="002043A0"/>
    <w:rsid w:val="0020440B"/>
    <w:rsid w:val="002044D1"/>
    <w:rsid w:val="002045A4"/>
    <w:rsid w:val="002045D8"/>
    <w:rsid w:val="00204635"/>
    <w:rsid w:val="002046C9"/>
    <w:rsid w:val="0020471B"/>
    <w:rsid w:val="00204768"/>
    <w:rsid w:val="002047F3"/>
    <w:rsid w:val="00204828"/>
    <w:rsid w:val="0020482C"/>
    <w:rsid w:val="002048DB"/>
    <w:rsid w:val="0020490C"/>
    <w:rsid w:val="0020495C"/>
    <w:rsid w:val="00204971"/>
    <w:rsid w:val="00204982"/>
    <w:rsid w:val="002049D8"/>
    <w:rsid w:val="00204A33"/>
    <w:rsid w:val="00204A7A"/>
    <w:rsid w:val="00204AC3"/>
    <w:rsid w:val="00204AD3"/>
    <w:rsid w:val="00204ADB"/>
    <w:rsid w:val="00204B56"/>
    <w:rsid w:val="00204B7A"/>
    <w:rsid w:val="00204BC5"/>
    <w:rsid w:val="00204C4D"/>
    <w:rsid w:val="00204C55"/>
    <w:rsid w:val="00204C78"/>
    <w:rsid w:val="00204D61"/>
    <w:rsid w:val="00204D65"/>
    <w:rsid w:val="00204D78"/>
    <w:rsid w:val="00204DC2"/>
    <w:rsid w:val="00204E42"/>
    <w:rsid w:val="00204E51"/>
    <w:rsid w:val="00204E5B"/>
    <w:rsid w:val="00204E98"/>
    <w:rsid w:val="00204EB7"/>
    <w:rsid w:val="00204ECA"/>
    <w:rsid w:val="00204EF8"/>
    <w:rsid w:val="00204FD4"/>
    <w:rsid w:val="0020514B"/>
    <w:rsid w:val="0020519E"/>
    <w:rsid w:val="002052B7"/>
    <w:rsid w:val="00205358"/>
    <w:rsid w:val="002053D8"/>
    <w:rsid w:val="00205428"/>
    <w:rsid w:val="00205495"/>
    <w:rsid w:val="002054CD"/>
    <w:rsid w:val="002054F1"/>
    <w:rsid w:val="00205524"/>
    <w:rsid w:val="00205547"/>
    <w:rsid w:val="0020558C"/>
    <w:rsid w:val="00205605"/>
    <w:rsid w:val="00205640"/>
    <w:rsid w:val="00205671"/>
    <w:rsid w:val="0020567B"/>
    <w:rsid w:val="002056BD"/>
    <w:rsid w:val="0020571F"/>
    <w:rsid w:val="0020583B"/>
    <w:rsid w:val="00205898"/>
    <w:rsid w:val="002058A3"/>
    <w:rsid w:val="00205914"/>
    <w:rsid w:val="00205997"/>
    <w:rsid w:val="00205A63"/>
    <w:rsid w:val="00205A83"/>
    <w:rsid w:val="00205A94"/>
    <w:rsid w:val="00205B25"/>
    <w:rsid w:val="00205C17"/>
    <w:rsid w:val="00205C64"/>
    <w:rsid w:val="00205C87"/>
    <w:rsid w:val="00205CE9"/>
    <w:rsid w:val="00205CF9"/>
    <w:rsid w:val="00205D34"/>
    <w:rsid w:val="00205D5D"/>
    <w:rsid w:val="00205D71"/>
    <w:rsid w:val="00205DF4"/>
    <w:rsid w:val="00205E46"/>
    <w:rsid w:val="00206027"/>
    <w:rsid w:val="0020607C"/>
    <w:rsid w:val="002060DD"/>
    <w:rsid w:val="00206150"/>
    <w:rsid w:val="00206191"/>
    <w:rsid w:val="002061B7"/>
    <w:rsid w:val="002061FC"/>
    <w:rsid w:val="00206216"/>
    <w:rsid w:val="00206276"/>
    <w:rsid w:val="0020629E"/>
    <w:rsid w:val="00206370"/>
    <w:rsid w:val="00206405"/>
    <w:rsid w:val="00206435"/>
    <w:rsid w:val="00206469"/>
    <w:rsid w:val="0020647D"/>
    <w:rsid w:val="002064DA"/>
    <w:rsid w:val="002064E3"/>
    <w:rsid w:val="00206554"/>
    <w:rsid w:val="00206653"/>
    <w:rsid w:val="00206687"/>
    <w:rsid w:val="002067EA"/>
    <w:rsid w:val="002068A5"/>
    <w:rsid w:val="002068E5"/>
    <w:rsid w:val="00206909"/>
    <w:rsid w:val="00206914"/>
    <w:rsid w:val="00206981"/>
    <w:rsid w:val="002069C1"/>
    <w:rsid w:val="00206A03"/>
    <w:rsid w:val="00206A87"/>
    <w:rsid w:val="00206AA8"/>
    <w:rsid w:val="00206AAE"/>
    <w:rsid w:val="00206AD8"/>
    <w:rsid w:val="00206B04"/>
    <w:rsid w:val="00206B1E"/>
    <w:rsid w:val="00206B61"/>
    <w:rsid w:val="00206B99"/>
    <w:rsid w:val="00206C19"/>
    <w:rsid w:val="00206C59"/>
    <w:rsid w:val="00206CC0"/>
    <w:rsid w:val="00206D14"/>
    <w:rsid w:val="00206D22"/>
    <w:rsid w:val="00206D2F"/>
    <w:rsid w:val="00206DFF"/>
    <w:rsid w:val="00206E24"/>
    <w:rsid w:val="00206E34"/>
    <w:rsid w:val="00206E69"/>
    <w:rsid w:val="00206EA1"/>
    <w:rsid w:val="00206F2E"/>
    <w:rsid w:val="00206F4B"/>
    <w:rsid w:val="00206F68"/>
    <w:rsid w:val="00207052"/>
    <w:rsid w:val="0020710E"/>
    <w:rsid w:val="00207118"/>
    <w:rsid w:val="00207163"/>
    <w:rsid w:val="002071EE"/>
    <w:rsid w:val="00207259"/>
    <w:rsid w:val="002072C8"/>
    <w:rsid w:val="002072DC"/>
    <w:rsid w:val="0020734C"/>
    <w:rsid w:val="0020737C"/>
    <w:rsid w:val="00207386"/>
    <w:rsid w:val="002073C4"/>
    <w:rsid w:val="002073F2"/>
    <w:rsid w:val="0020744A"/>
    <w:rsid w:val="0020747A"/>
    <w:rsid w:val="00207494"/>
    <w:rsid w:val="002075AE"/>
    <w:rsid w:val="00207690"/>
    <w:rsid w:val="002076BA"/>
    <w:rsid w:val="002076ED"/>
    <w:rsid w:val="00207777"/>
    <w:rsid w:val="0020777C"/>
    <w:rsid w:val="002077F8"/>
    <w:rsid w:val="00207813"/>
    <w:rsid w:val="0020785D"/>
    <w:rsid w:val="002078D2"/>
    <w:rsid w:val="002078E6"/>
    <w:rsid w:val="002078EB"/>
    <w:rsid w:val="00207912"/>
    <w:rsid w:val="00207968"/>
    <w:rsid w:val="0020797C"/>
    <w:rsid w:val="00207AB1"/>
    <w:rsid w:val="00207B01"/>
    <w:rsid w:val="00207BF9"/>
    <w:rsid w:val="00207C6C"/>
    <w:rsid w:val="00207CD0"/>
    <w:rsid w:val="00207D42"/>
    <w:rsid w:val="00207D45"/>
    <w:rsid w:val="00207D49"/>
    <w:rsid w:val="00207D68"/>
    <w:rsid w:val="00207DAD"/>
    <w:rsid w:val="00207DC2"/>
    <w:rsid w:val="00207DEC"/>
    <w:rsid w:val="00207E0A"/>
    <w:rsid w:val="00207ED3"/>
    <w:rsid w:val="00207F0C"/>
    <w:rsid w:val="00207F42"/>
    <w:rsid w:val="00207F82"/>
    <w:rsid w:val="00207F8A"/>
    <w:rsid w:val="00207FA6"/>
    <w:rsid w:val="00207FAD"/>
    <w:rsid w:val="00207FE6"/>
    <w:rsid w:val="00210038"/>
    <w:rsid w:val="002100AE"/>
    <w:rsid w:val="002101CB"/>
    <w:rsid w:val="0021024F"/>
    <w:rsid w:val="00210257"/>
    <w:rsid w:val="002102C9"/>
    <w:rsid w:val="00210302"/>
    <w:rsid w:val="0021034C"/>
    <w:rsid w:val="002103A7"/>
    <w:rsid w:val="002103C6"/>
    <w:rsid w:val="00210418"/>
    <w:rsid w:val="00210481"/>
    <w:rsid w:val="00210569"/>
    <w:rsid w:val="002105C6"/>
    <w:rsid w:val="002106C6"/>
    <w:rsid w:val="002106D5"/>
    <w:rsid w:val="002106DB"/>
    <w:rsid w:val="002107B0"/>
    <w:rsid w:val="0021081F"/>
    <w:rsid w:val="00210820"/>
    <w:rsid w:val="0021085F"/>
    <w:rsid w:val="00210864"/>
    <w:rsid w:val="0021086A"/>
    <w:rsid w:val="00210895"/>
    <w:rsid w:val="002108A0"/>
    <w:rsid w:val="002108E0"/>
    <w:rsid w:val="002108E6"/>
    <w:rsid w:val="002108F2"/>
    <w:rsid w:val="002109A3"/>
    <w:rsid w:val="002109A5"/>
    <w:rsid w:val="002109CE"/>
    <w:rsid w:val="002109E3"/>
    <w:rsid w:val="00210A1A"/>
    <w:rsid w:val="00210C1C"/>
    <w:rsid w:val="00210C93"/>
    <w:rsid w:val="00210CE4"/>
    <w:rsid w:val="00210CEE"/>
    <w:rsid w:val="00210CF9"/>
    <w:rsid w:val="00210DE4"/>
    <w:rsid w:val="00210E4D"/>
    <w:rsid w:val="00210E6B"/>
    <w:rsid w:val="00210EBA"/>
    <w:rsid w:val="00210EE0"/>
    <w:rsid w:val="00210F36"/>
    <w:rsid w:val="00210FD8"/>
    <w:rsid w:val="0021104E"/>
    <w:rsid w:val="0021113A"/>
    <w:rsid w:val="00211143"/>
    <w:rsid w:val="00211156"/>
    <w:rsid w:val="002111AD"/>
    <w:rsid w:val="002111E4"/>
    <w:rsid w:val="002111FE"/>
    <w:rsid w:val="00211202"/>
    <w:rsid w:val="00211260"/>
    <w:rsid w:val="002112B6"/>
    <w:rsid w:val="002112C3"/>
    <w:rsid w:val="002112E9"/>
    <w:rsid w:val="00211376"/>
    <w:rsid w:val="0021138F"/>
    <w:rsid w:val="00211468"/>
    <w:rsid w:val="002114A1"/>
    <w:rsid w:val="00211504"/>
    <w:rsid w:val="00211556"/>
    <w:rsid w:val="002115C8"/>
    <w:rsid w:val="002115F9"/>
    <w:rsid w:val="0021169E"/>
    <w:rsid w:val="00211747"/>
    <w:rsid w:val="002117CC"/>
    <w:rsid w:val="002117EF"/>
    <w:rsid w:val="0021188A"/>
    <w:rsid w:val="002118B7"/>
    <w:rsid w:val="0021195F"/>
    <w:rsid w:val="002119C4"/>
    <w:rsid w:val="00211A3D"/>
    <w:rsid w:val="00211B70"/>
    <w:rsid w:val="00211B74"/>
    <w:rsid w:val="00211B89"/>
    <w:rsid w:val="00211BA6"/>
    <w:rsid w:val="00211BE6"/>
    <w:rsid w:val="00211D0F"/>
    <w:rsid w:val="00211D33"/>
    <w:rsid w:val="00211E5C"/>
    <w:rsid w:val="00211E6C"/>
    <w:rsid w:val="00211F64"/>
    <w:rsid w:val="00211F93"/>
    <w:rsid w:val="00211FC3"/>
    <w:rsid w:val="00212039"/>
    <w:rsid w:val="002120DE"/>
    <w:rsid w:val="0021214F"/>
    <w:rsid w:val="002121A5"/>
    <w:rsid w:val="002121B9"/>
    <w:rsid w:val="002121C8"/>
    <w:rsid w:val="002121E6"/>
    <w:rsid w:val="00212224"/>
    <w:rsid w:val="002122A9"/>
    <w:rsid w:val="002122AB"/>
    <w:rsid w:val="002122C0"/>
    <w:rsid w:val="002122C1"/>
    <w:rsid w:val="002122F6"/>
    <w:rsid w:val="0021231A"/>
    <w:rsid w:val="00212392"/>
    <w:rsid w:val="002123B9"/>
    <w:rsid w:val="002123D0"/>
    <w:rsid w:val="00212420"/>
    <w:rsid w:val="00212469"/>
    <w:rsid w:val="002124C7"/>
    <w:rsid w:val="002124C8"/>
    <w:rsid w:val="00212618"/>
    <w:rsid w:val="00212634"/>
    <w:rsid w:val="00212659"/>
    <w:rsid w:val="0021265D"/>
    <w:rsid w:val="00212678"/>
    <w:rsid w:val="002126C5"/>
    <w:rsid w:val="002126E6"/>
    <w:rsid w:val="00212705"/>
    <w:rsid w:val="0021276E"/>
    <w:rsid w:val="002127C6"/>
    <w:rsid w:val="00212815"/>
    <w:rsid w:val="0021282F"/>
    <w:rsid w:val="00212851"/>
    <w:rsid w:val="002128E1"/>
    <w:rsid w:val="00212912"/>
    <w:rsid w:val="00212985"/>
    <w:rsid w:val="002129F0"/>
    <w:rsid w:val="002129F5"/>
    <w:rsid w:val="00212A33"/>
    <w:rsid w:val="00212AB4"/>
    <w:rsid w:val="00212AE4"/>
    <w:rsid w:val="00212B15"/>
    <w:rsid w:val="00212B2A"/>
    <w:rsid w:val="00212B38"/>
    <w:rsid w:val="00212B62"/>
    <w:rsid w:val="00212B77"/>
    <w:rsid w:val="00212B9B"/>
    <w:rsid w:val="00212BBB"/>
    <w:rsid w:val="00212BD5"/>
    <w:rsid w:val="00212BE7"/>
    <w:rsid w:val="00212C1D"/>
    <w:rsid w:val="00212C22"/>
    <w:rsid w:val="00212D63"/>
    <w:rsid w:val="00212D6A"/>
    <w:rsid w:val="00212D9A"/>
    <w:rsid w:val="00212DB9"/>
    <w:rsid w:val="00212E25"/>
    <w:rsid w:val="00212E65"/>
    <w:rsid w:val="00212EA7"/>
    <w:rsid w:val="00212F17"/>
    <w:rsid w:val="00212F2A"/>
    <w:rsid w:val="00212F59"/>
    <w:rsid w:val="00212FF1"/>
    <w:rsid w:val="00213009"/>
    <w:rsid w:val="00213045"/>
    <w:rsid w:val="00213069"/>
    <w:rsid w:val="0021306B"/>
    <w:rsid w:val="002130F3"/>
    <w:rsid w:val="0021311A"/>
    <w:rsid w:val="00213163"/>
    <w:rsid w:val="0021316C"/>
    <w:rsid w:val="002131CA"/>
    <w:rsid w:val="00213223"/>
    <w:rsid w:val="00213288"/>
    <w:rsid w:val="00213322"/>
    <w:rsid w:val="0021340E"/>
    <w:rsid w:val="0021343A"/>
    <w:rsid w:val="002134A6"/>
    <w:rsid w:val="002135FD"/>
    <w:rsid w:val="00213647"/>
    <w:rsid w:val="00213651"/>
    <w:rsid w:val="002136AD"/>
    <w:rsid w:val="00213755"/>
    <w:rsid w:val="0021376C"/>
    <w:rsid w:val="0021379C"/>
    <w:rsid w:val="002137FF"/>
    <w:rsid w:val="0021380E"/>
    <w:rsid w:val="00213862"/>
    <w:rsid w:val="00213902"/>
    <w:rsid w:val="00213910"/>
    <w:rsid w:val="0021394A"/>
    <w:rsid w:val="00213953"/>
    <w:rsid w:val="00213975"/>
    <w:rsid w:val="00213982"/>
    <w:rsid w:val="002139AB"/>
    <w:rsid w:val="002139BC"/>
    <w:rsid w:val="002139F7"/>
    <w:rsid w:val="00213A22"/>
    <w:rsid w:val="00213A46"/>
    <w:rsid w:val="00213B03"/>
    <w:rsid w:val="00213B6F"/>
    <w:rsid w:val="00213B76"/>
    <w:rsid w:val="00213BEB"/>
    <w:rsid w:val="00213C31"/>
    <w:rsid w:val="00213C3B"/>
    <w:rsid w:val="00213C7F"/>
    <w:rsid w:val="00213CC3"/>
    <w:rsid w:val="00213CC7"/>
    <w:rsid w:val="00213D01"/>
    <w:rsid w:val="00213D10"/>
    <w:rsid w:val="00213D8F"/>
    <w:rsid w:val="00213DBF"/>
    <w:rsid w:val="00213DEB"/>
    <w:rsid w:val="00213E2F"/>
    <w:rsid w:val="00213E9B"/>
    <w:rsid w:val="00214004"/>
    <w:rsid w:val="0021402F"/>
    <w:rsid w:val="0021406D"/>
    <w:rsid w:val="0021408E"/>
    <w:rsid w:val="002140F6"/>
    <w:rsid w:val="0021415B"/>
    <w:rsid w:val="0021417A"/>
    <w:rsid w:val="00214195"/>
    <w:rsid w:val="002141D8"/>
    <w:rsid w:val="002142AD"/>
    <w:rsid w:val="0021433D"/>
    <w:rsid w:val="0021437D"/>
    <w:rsid w:val="002143C7"/>
    <w:rsid w:val="002143D4"/>
    <w:rsid w:val="002143E3"/>
    <w:rsid w:val="00214444"/>
    <w:rsid w:val="00214452"/>
    <w:rsid w:val="002144C3"/>
    <w:rsid w:val="00214554"/>
    <w:rsid w:val="00214569"/>
    <w:rsid w:val="00214574"/>
    <w:rsid w:val="00214653"/>
    <w:rsid w:val="0021467B"/>
    <w:rsid w:val="0021472B"/>
    <w:rsid w:val="0021473C"/>
    <w:rsid w:val="00214745"/>
    <w:rsid w:val="00214799"/>
    <w:rsid w:val="002147AB"/>
    <w:rsid w:val="002148BE"/>
    <w:rsid w:val="002148CE"/>
    <w:rsid w:val="00214948"/>
    <w:rsid w:val="0021497E"/>
    <w:rsid w:val="002149D0"/>
    <w:rsid w:val="002149F9"/>
    <w:rsid w:val="002149FC"/>
    <w:rsid w:val="00214A4A"/>
    <w:rsid w:val="00214AE5"/>
    <w:rsid w:val="00214AE8"/>
    <w:rsid w:val="00214B14"/>
    <w:rsid w:val="00214B68"/>
    <w:rsid w:val="00214BD2"/>
    <w:rsid w:val="00214C34"/>
    <w:rsid w:val="00214C58"/>
    <w:rsid w:val="00214D30"/>
    <w:rsid w:val="00214D62"/>
    <w:rsid w:val="00214DAA"/>
    <w:rsid w:val="00214DAD"/>
    <w:rsid w:val="00214DC3"/>
    <w:rsid w:val="00214E00"/>
    <w:rsid w:val="00214E2A"/>
    <w:rsid w:val="00214F28"/>
    <w:rsid w:val="00214F6C"/>
    <w:rsid w:val="00214FEB"/>
    <w:rsid w:val="00215189"/>
    <w:rsid w:val="002151D7"/>
    <w:rsid w:val="002151D9"/>
    <w:rsid w:val="0021523D"/>
    <w:rsid w:val="00215253"/>
    <w:rsid w:val="00215369"/>
    <w:rsid w:val="002153A7"/>
    <w:rsid w:val="002153D2"/>
    <w:rsid w:val="00215443"/>
    <w:rsid w:val="002154D0"/>
    <w:rsid w:val="00215516"/>
    <w:rsid w:val="00215548"/>
    <w:rsid w:val="002155A1"/>
    <w:rsid w:val="00215604"/>
    <w:rsid w:val="00215633"/>
    <w:rsid w:val="00215657"/>
    <w:rsid w:val="00215665"/>
    <w:rsid w:val="00215696"/>
    <w:rsid w:val="002156A2"/>
    <w:rsid w:val="002156B0"/>
    <w:rsid w:val="00215742"/>
    <w:rsid w:val="00215767"/>
    <w:rsid w:val="0021579E"/>
    <w:rsid w:val="002157C8"/>
    <w:rsid w:val="002157ED"/>
    <w:rsid w:val="002157EF"/>
    <w:rsid w:val="00215875"/>
    <w:rsid w:val="00215878"/>
    <w:rsid w:val="0021592C"/>
    <w:rsid w:val="00215933"/>
    <w:rsid w:val="00215952"/>
    <w:rsid w:val="002159EB"/>
    <w:rsid w:val="00215A07"/>
    <w:rsid w:val="00215A13"/>
    <w:rsid w:val="00215A48"/>
    <w:rsid w:val="00215A61"/>
    <w:rsid w:val="00215A77"/>
    <w:rsid w:val="00215B00"/>
    <w:rsid w:val="00215B22"/>
    <w:rsid w:val="00215B54"/>
    <w:rsid w:val="00215C1F"/>
    <w:rsid w:val="00215CD1"/>
    <w:rsid w:val="00215CFD"/>
    <w:rsid w:val="00215EBB"/>
    <w:rsid w:val="00215F78"/>
    <w:rsid w:val="00215F90"/>
    <w:rsid w:val="00215FD5"/>
    <w:rsid w:val="00215FF4"/>
    <w:rsid w:val="00216017"/>
    <w:rsid w:val="00216080"/>
    <w:rsid w:val="002160BF"/>
    <w:rsid w:val="0021619A"/>
    <w:rsid w:val="002161D2"/>
    <w:rsid w:val="002161E5"/>
    <w:rsid w:val="002161F0"/>
    <w:rsid w:val="002161F1"/>
    <w:rsid w:val="002161F8"/>
    <w:rsid w:val="00216211"/>
    <w:rsid w:val="00216288"/>
    <w:rsid w:val="00216296"/>
    <w:rsid w:val="002162E7"/>
    <w:rsid w:val="002162E9"/>
    <w:rsid w:val="002162F1"/>
    <w:rsid w:val="002162FD"/>
    <w:rsid w:val="0021630D"/>
    <w:rsid w:val="002163AE"/>
    <w:rsid w:val="00216457"/>
    <w:rsid w:val="00216459"/>
    <w:rsid w:val="0021646E"/>
    <w:rsid w:val="0021647B"/>
    <w:rsid w:val="002164D8"/>
    <w:rsid w:val="002164D9"/>
    <w:rsid w:val="0021651C"/>
    <w:rsid w:val="00216531"/>
    <w:rsid w:val="002166A1"/>
    <w:rsid w:val="0021672C"/>
    <w:rsid w:val="002167BF"/>
    <w:rsid w:val="002167F8"/>
    <w:rsid w:val="0021687B"/>
    <w:rsid w:val="00216887"/>
    <w:rsid w:val="00216898"/>
    <w:rsid w:val="002168C6"/>
    <w:rsid w:val="00216913"/>
    <w:rsid w:val="00216966"/>
    <w:rsid w:val="002169B7"/>
    <w:rsid w:val="00216A01"/>
    <w:rsid w:val="00216A27"/>
    <w:rsid w:val="00216A53"/>
    <w:rsid w:val="00216A76"/>
    <w:rsid w:val="00216ABA"/>
    <w:rsid w:val="00216ADA"/>
    <w:rsid w:val="00216B15"/>
    <w:rsid w:val="00216B6F"/>
    <w:rsid w:val="00216C08"/>
    <w:rsid w:val="00216CCD"/>
    <w:rsid w:val="00216D46"/>
    <w:rsid w:val="00216DA5"/>
    <w:rsid w:val="00216E53"/>
    <w:rsid w:val="00216E5E"/>
    <w:rsid w:val="00216E89"/>
    <w:rsid w:val="00216F9B"/>
    <w:rsid w:val="00216FB7"/>
    <w:rsid w:val="00216FC2"/>
    <w:rsid w:val="002170E5"/>
    <w:rsid w:val="00217134"/>
    <w:rsid w:val="0021713A"/>
    <w:rsid w:val="00217262"/>
    <w:rsid w:val="00217317"/>
    <w:rsid w:val="0021738B"/>
    <w:rsid w:val="00217411"/>
    <w:rsid w:val="002174C8"/>
    <w:rsid w:val="00217557"/>
    <w:rsid w:val="00217633"/>
    <w:rsid w:val="00217652"/>
    <w:rsid w:val="00217659"/>
    <w:rsid w:val="00217693"/>
    <w:rsid w:val="0021777F"/>
    <w:rsid w:val="00217822"/>
    <w:rsid w:val="0021782D"/>
    <w:rsid w:val="0021787E"/>
    <w:rsid w:val="0021790B"/>
    <w:rsid w:val="00217979"/>
    <w:rsid w:val="0021797A"/>
    <w:rsid w:val="0021797F"/>
    <w:rsid w:val="002179EE"/>
    <w:rsid w:val="00217A01"/>
    <w:rsid w:val="00217A10"/>
    <w:rsid w:val="00217A7A"/>
    <w:rsid w:val="00217AC3"/>
    <w:rsid w:val="00217AC9"/>
    <w:rsid w:val="00217AE6"/>
    <w:rsid w:val="00217B74"/>
    <w:rsid w:val="00217BB3"/>
    <w:rsid w:val="00217BCA"/>
    <w:rsid w:val="00217BD3"/>
    <w:rsid w:val="00217BEA"/>
    <w:rsid w:val="00217C11"/>
    <w:rsid w:val="00217C1A"/>
    <w:rsid w:val="00217CEC"/>
    <w:rsid w:val="00217D01"/>
    <w:rsid w:val="00217E0D"/>
    <w:rsid w:val="00217E31"/>
    <w:rsid w:val="00217E87"/>
    <w:rsid w:val="00217E89"/>
    <w:rsid w:val="00217EA5"/>
    <w:rsid w:val="00217F1C"/>
    <w:rsid w:val="00217FAA"/>
    <w:rsid w:val="00220084"/>
    <w:rsid w:val="00220154"/>
    <w:rsid w:val="0022025A"/>
    <w:rsid w:val="0022028D"/>
    <w:rsid w:val="002202D4"/>
    <w:rsid w:val="00220329"/>
    <w:rsid w:val="00220374"/>
    <w:rsid w:val="00220393"/>
    <w:rsid w:val="002203C7"/>
    <w:rsid w:val="00220486"/>
    <w:rsid w:val="0022062F"/>
    <w:rsid w:val="00220650"/>
    <w:rsid w:val="00220661"/>
    <w:rsid w:val="0022066F"/>
    <w:rsid w:val="00220713"/>
    <w:rsid w:val="0022078B"/>
    <w:rsid w:val="00220807"/>
    <w:rsid w:val="0022084D"/>
    <w:rsid w:val="0022087E"/>
    <w:rsid w:val="002208A9"/>
    <w:rsid w:val="002208B4"/>
    <w:rsid w:val="0022094A"/>
    <w:rsid w:val="00220954"/>
    <w:rsid w:val="002209A9"/>
    <w:rsid w:val="00220A22"/>
    <w:rsid w:val="00220B0F"/>
    <w:rsid w:val="00220B22"/>
    <w:rsid w:val="00220B90"/>
    <w:rsid w:val="00220BF1"/>
    <w:rsid w:val="00220C57"/>
    <w:rsid w:val="00220C78"/>
    <w:rsid w:val="00220CEE"/>
    <w:rsid w:val="00220D1D"/>
    <w:rsid w:val="00220D48"/>
    <w:rsid w:val="00220DE7"/>
    <w:rsid w:val="00220E63"/>
    <w:rsid w:val="00220F2E"/>
    <w:rsid w:val="00220F2F"/>
    <w:rsid w:val="00220F3C"/>
    <w:rsid w:val="00220F4F"/>
    <w:rsid w:val="00220F79"/>
    <w:rsid w:val="00220F9A"/>
    <w:rsid w:val="00220FD2"/>
    <w:rsid w:val="00220FED"/>
    <w:rsid w:val="00221090"/>
    <w:rsid w:val="00221094"/>
    <w:rsid w:val="002210B0"/>
    <w:rsid w:val="0022110B"/>
    <w:rsid w:val="002211C1"/>
    <w:rsid w:val="00221241"/>
    <w:rsid w:val="0022126B"/>
    <w:rsid w:val="0022128F"/>
    <w:rsid w:val="002212D6"/>
    <w:rsid w:val="00221340"/>
    <w:rsid w:val="002213D2"/>
    <w:rsid w:val="0022150E"/>
    <w:rsid w:val="00221568"/>
    <w:rsid w:val="0022156B"/>
    <w:rsid w:val="002215C4"/>
    <w:rsid w:val="002215D7"/>
    <w:rsid w:val="00221604"/>
    <w:rsid w:val="002216A6"/>
    <w:rsid w:val="002216AF"/>
    <w:rsid w:val="00221706"/>
    <w:rsid w:val="00221776"/>
    <w:rsid w:val="0022197F"/>
    <w:rsid w:val="00221989"/>
    <w:rsid w:val="002219F1"/>
    <w:rsid w:val="00221A0E"/>
    <w:rsid w:val="00221AF5"/>
    <w:rsid w:val="00221AF7"/>
    <w:rsid w:val="00221B37"/>
    <w:rsid w:val="00221B60"/>
    <w:rsid w:val="00221BC4"/>
    <w:rsid w:val="00221BFC"/>
    <w:rsid w:val="00221BFD"/>
    <w:rsid w:val="00221C10"/>
    <w:rsid w:val="00221CBB"/>
    <w:rsid w:val="00221D3D"/>
    <w:rsid w:val="00221DD3"/>
    <w:rsid w:val="00221DF7"/>
    <w:rsid w:val="00221E5B"/>
    <w:rsid w:val="00221E64"/>
    <w:rsid w:val="00221E95"/>
    <w:rsid w:val="00221EAB"/>
    <w:rsid w:val="00221EC0"/>
    <w:rsid w:val="00221ECC"/>
    <w:rsid w:val="00221F2F"/>
    <w:rsid w:val="00222090"/>
    <w:rsid w:val="00222114"/>
    <w:rsid w:val="002221C7"/>
    <w:rsid w:val="002221D7"/>
    <w:rsid w:val="002221F2"/>
    <w:rsid w:val="002221FB"/>
    <w:rsid w:val="0022221A"/>
    <w:rsid w:val="00222262"/>
    <w:rsid w:val="002222E0"/>
    <w:rsid w:val="00222312"/>
    <w:rsid w:val="00222372"/>
    <w:rsid w:val="00222443"/>
    <w:rsid w:val="002224E4"/>
    <w:rsid w:val="002224F4"/>
    <w:rsid w:val="0022253F"/>
    <w:rsid w:val="00222575"/>
    <w:rsid w:val="00222603"/>
    <w:rsid w:val="0022262E"/>
    <w:rsid w:val="00222633"/>
    <w:rsid w:val="00222646"/>
    <w:rsid w:val="00222659"/>
    <w:rsid w:val="00222670"/>
    <w:rsid w:val="002226B7"/>
    <w:rsid w:val="00222772"/>
    <w:rsid w:val="002227F1"/>
    <w:rsid w:val="00222860"/>
    <w:rsid w:val="0022286C"/>
    <w:rsid w:val="002228C6"/>
    <w:rsid w:val="002228D8"/>
    <w:rsid w:val="002228F7"/>
    <w:rsid w:val="00222A4C"/>
    <w:rsid w:val="00222B49"/>
    <w:rsid w:val="00222BDA"/>
    <w:rsid w:val="00222BE1"/>
    <w:rsid w:val="00222C41"/>
    <w:rsid w:val="00222C53"/>
    <w:rsid w:val="00222CD1"/>
    <w:rsid w:val="00222D51"/>
    <w:rsid w:val="00222D98"/>
    <w:rsid w:val="00222DA5"/>
    <w:rsid w:val="00222DBE"/>
    <w:rsid w:val="00222E11"/>
    <w:rsid w:val="00222E51"/>
    <w:rsid w:val="00222E8F"/>
    <w:rsid w:val="00222E95"/>
    <w:rsid w:val="00222EC1"/>
    <w:rsid w:val="00222ECB"/>
    <w:rsid w:val="00222ECF"/>
    <w:rsid w:val="00222EE7"/>
    <w:rsid w:val="00222F09"/>
    <w:rsid w:val="00222F7F"/>
    <w:rsid w:val="00223063"/>
    <w:rsid w:val="002230A5"/>
    <w:rsid w:val="002230AD"/>
    <w:rsid w:val="00223120"/>
    <w:rsid w:val="00223130"/>
    <w:rsid w:val="00223153"/>
    <w:rsid w:val="00223180"/>
    <w:rsid w:val="0022318C"/>
    <w:rsid w:val="002231E6"/>
    <w:rsid w:val="002231ED"/>
    <w:rsid w:val="00223235"/>
    <w:rsid w:val="00223241"/>
    <w:rsid w:val="002232B2"/>
    <w:rsid w:val="0022330F"/>
    <w:rsid w:val="00223381"/>
    <w:rsid w:val="002233AB"/>
    <w:rsid w:val="002233D4"/>
    <w:rsid w:val="002233DF"/>
    <w:rsid w:val="002233E3"/>
    <w:rsid w:val="00223426"/>
    <w:rsid w:val="00223465"/>
    <w:rsid w:val="0022348F"/>
    <w:rsid w:val="0022350F"/>
    <w:rsid w:val="0022353D"/>
    <w:rsid w:val="0022359F"/>
    <w:rsid w:val="002235EF"/>
    <w:rsid w:val="00223614"/>
    <w:rsid w:val="00223642"/>
    <w:rsid w:val="00223694"/>
    <w:rsid w:val="002236AB"/>
    <w:rsid w:val="002236BA"/>
    <w:rsid w:val="002236D6"/>
    <w:rsid w:val="00223710"/>
    <w:rsid w:val="0022379D"/>
    <w:rsid w:val="002237CF"/>
    <w:rsid w:val="002237F2"/>
    <w:rsid w:val="002237FD"/>
    <w:rsid w:val="002237FF"/>
    <w:rsid w:val="00223809"/>
    <w:rsid w:val="0022389C"/>
    <w:rsid w:val="002238E7"/>
    <w:rsid w:val="002238F2"/>
    <w:rsid w:val="00223906"/>
    <w:rsid w:val="00223922"/>
    <w:rsid w:val="002239E6"/>
    <w:rsid w:val="00223AA9"/>
    <w:rsid w:val="00223BD0"/>
    <w:rsid w:val="00223CAB"/>
    <w:rsid w:val="00223CAE"/>
    <w:rsid w:val="00223CE6"/>
    <w:rsid w:val="00223D07"/>
    <w:rsid w:val="00223D48"/>
    <w:rsid w:val="00223DD7"/>
    <w:rsid w:val="00223E26"/>
    <w:rsid w:val="00223E89"/>
    <w:rsid w:val="00223EA8"/>
    <w:rsid w:val="00223EB5"/>
    <w:rsid w:val="00223F7C"/>
    <w:rsid w:val="00223F8B"/>
    <w:rsid w:val="00223F9C"/>
    <w:rsid w:val="00223FD4"/>
    <w:rsid w:val="00223FF4"/>
    <w:rsid w:val="002240C6"/>
    <w:rsid w:val="002240E8"/>
    <w:rsid w:val="002240F4"/>
    <w:rsid w:val="0022412C"/>
    <w:rsid w:val="00224133"/>
    <w:rsid w:val="0022414F"/>
    <w:rsid w:val="00224185"/>
    <w:rsid w:val="002241C3"/>
    <w:rsid w:val="002241DA"/>
    <w:rsid w:val="00224214"/>
    <w:rsid w:val="00224217"/>
    <w:rsid w:val="00224263"/>
    <w:rsid w:val="0022426F"/>
    <w:rsid w:val="002243A5"/>
    <w:rsid w:val="002243AD"/>
    <w:rsid w:val="002243BA"/>
    <w:rsid w:val="002243EC"/>
    <w:rsid w:val="0022448A"/>
    <w:rsid w:val="0022448E"/>
    <w:rsid w:val="002244D8"/>
    <w:rsid w:val="002244F5"/>
    <w:rsid w:val="0022455F"/>
    <w:rsid w:val="00224562"/>
    <w:rsid w:val="00224578"/>
    <w:rsid w:val="00224617"/>
    <w:rsid w:val="0022461C"/>
    <w:rsid w:val="002246A6"/>
    <w:rsid w:val="002246B5"/>
    <w:rsid w:val="00224747"/>
    <w:rsid w:val="0022474E"/>
    <w:rsid w:val="002247C9"/>
    <w:rsid w:val="00224800"/>
    <w:rsid w:val="00224895"/>
    <w:rsid w:val="002248CD"/>
    <w:rsid w:val="00224989"/>
    <w:rsid w:val="002249A0"/>
    <w:rsid w:val="002249C2"/>
    <w:rsid w:val="002249ED"/>
    <w:rsid w:val="00224A0F"/>
    <w:rsid w:val="00224AA9"/>
    <w:rsid w:val="00224B00"/>
    <w:rsid w:val="00224B38"/>
    <w:rsid w:val="00224B4A"/>
    <w:rsid w:val="00224B71"/>
    <w:rsid w:val="00224BFD"/>
    <w:rsid w:val="00224C12"/>
    <w:rsid w:val="00224C56"/>
    <w:rsid w:val="00224C6C"/>
    <w:rsid w:val="00224CA7"/>
    <w:rsid w:val="00224CBC"/>
    <w:rsid w:val="00224CC7"/>
    <w:rsid w:val="00224CCF"/>
    <w:rsid w:val="00224CD4"/>
    <w:rsid w:val="00224D11"/>
    <w:rsid w:val="00224D89"/>
    <w:rsid w:val="00224E0A"/>
    <w:rsid w:val="00224E31"/>
    <w:rsid w:val="00224E4A"/>
    <w:rsid w:val="00224E6F"/>
    <w:rsid w:val="00224E97"/>
    <w:rsid w:val="00224EFB"/>
    <w:rsid w:val="00224FA4"/>
    <w:rsid w:val="00224FCC"/>
    <w:rsid w:val="00225031"/>
    <w:rsid w:val="00225059"/>
    <w:rsid w:val="002250FF"/>
    <w:rsid w:val="0022517B"/>
    <w:rsid w:val="00225183"/>
    <w:rsid w:val="002251B7"/>
    <w:rsid w:val="00225234"/>
    <w:rsid w:val="00225260"/>
    <w:rsid w:val="002252A2"/>
    <w:rsid w:val="002252A4"/>
    <w:rsid w:val="0022536F"/>
    <w:rsid w:val="002254C9"/>
    <w:rsid w:val="002254CE"/>
    <w:rsid w:val="002254F5"/>
    <w:rsid w:val="0022554C"/>
    <w:rsid w:val="00225562"/>
    <w:rsid w:val="0022559B"/>
    <w:rsid w:val="0022569B"/>
    <w:rsid w:val="0022569D"/>
    <w:rsid w:val="002256D7"/>
    <w:rsid w:val="00225792"/>
    <w:rsid w:val="00225821"/>
    <w:rsid w:val="00225872"/>
    <w:rsid w:val="002258AB"/>
    <w:rsid w:val="0022593F"/>
    <w:rsid w:val="00225942"/>
    <w:rsid w:val="00225984"/>
    <w:rsid w:val="002259AC"/>
    <w:rsid w:val="00225A3A"/>
    <w:rsid w:val="00225AA6"/>
    <w:rsid w:val="00225ABF"/>
    <w:rsid w:val="00225B01"/>
    <w:rsid w:val="00225BB8"/>
    <w:rsid w:val="00225C0F"/>
    <w:rsid w:val="00225C1E"/>
    <w:rsid w:val="00225CA5"/>
    <w:rsid w:val="00225CDB"/>
    <w:rsid w:val="00225CEC"/>
    <w:rsid w:val="00225CF9"/>
    <w:rsid w:val="00225D60"/>
    <w:rsid w:val="00225D66"/>
    <w:rsid w:val="00225D8F"/>
    <w:rsid w:val="00225DAC"/>
    <w:rsid w:val="00225DDB"/>
    <w:rsid w:val="00225DFE"/>
    <w:rsid w:val="00225E08"/>
    <w:rsid w:val="00225E1A"/>
    <w:rsid w:val="00225E34"/>
    <w:rsid w:val="00225E53"/>
    <w:rsid w:val="00225EDC"/>
    <w:rsid w:val="00225F92"/>
    <w:rsid w:val="00225F9E"/>
    <w:rsid w:val="0022600D"/>
    <w:rsid w:val="002260F3"/>
    <w:rsid w:val="0022614A"/>
    <w:rsid w:val="002261AF"/>
    <w:rsid w:val="00226230"/>
    <w:rsid w:val="00226318"/>
    <w:rsid w:val="00226399"/>
    <w:rsid w:val="00226484"/>
    <w:rsid w:val="002264B5"/>
    <w:rsid w:val="002264E2"/>
    <w:rsid w:val="00226505"/>
    <w:rsid w:val="002265F5"/>
    <w:rsid w:val="00226687"/>
    <w:rsid w:val="002266E4"/>
    <w:rsid w:val="002266EA"/>
    <w:rsid w:val="002267A7"/>
    <w:rsid w:val="002267DE"/>
    <w:rsid w:val="002267FF"/>
    <w:rsid w:val="0022682E"/>
    <w:rsid w:val="00226849"/>
    <w:rsid w:val="0022685E"/>
    <w:rsid w:val="00226882"/>
    <w:rsid w:val="00226973"/>
    <w:rsid w:val="002269B0"/>
    <w:rsid w:val="00226A0F"/>
    <w:rsid w:val="00226A19"/>
    <w:rsid w:val="00226A8C"/>
    <w:rsid w:val="00226AFB"/>
    <w:rsid w:val="00226B19"/>
    <w:rsid w:val="00226B1F"/>
    <w:rsid w:val="00226B32"/>
    <w:rsid w:val="00226B58"/>
    <w:rsid w:val="00226B90"/>
    <w:rsid w:val="00226C0E"/>
    <w:rsid w:val="00226CAE"/>
    <w:rsid w:val="00226D19"/>
    <w:rsid w:val="00226D47"/>
    <w:rsid w:val="00226DCA"/>
    <w:rsid w:val="00226DD4"/>
    <w:rsid w:val="00226E27"/>
    <w:rsid w:val="00226E42"/>
    <w:rsid w:val="00226E74"/>
    <w:rsid w:val="00226E89"/>
    <w:rsid w:val="00226ECD"/>
    <w:rsid w:val="00226ED5"/>
    <w:rsid w:val="00226F1F"/>
    <w:rsid w:val="00226FC9"/>
    <w:rsid w:val="00226FF2"/>
    <w:rsid w:val="00227000"/>
    <w:rsid w:val="00227040"/>
    <w:rsid w:val="002270BB"/>
    <w:rsid w:val="00227142"/>
    <w:rsid w:val="00227280"/>
    <w:rsid w:val="00227290"/>
    <w:rsid w:val="002272C0"/>
    <w:rsid w:val="002272E5"/>
    <w:rsid w:val="002272F8"/>
    <w:rsid w:val="00227341"/>
    <w:rsid w:val="0022747A"/>
    <w:rsid w:val="0022752A"/>
    <w:rsid w:val="0022753B"/>
    <w:rsid w:val="00227581"/>
    <w:rsid w:val="002275A5"/>
    <w:rsid w:val="002275B9"/>
    <w:rsid w:val="002275C4"/>
    <w:rsid w:val="0022764B"/>
    <w:rsid w:val="00227654"/>
    <w:rsid w:val="00227674"/>
    <w:rsid w:val="00227675"/>
    <w:rsid w:val="002276A3"/>
    <w:rsid w:val="002276CC"/>
    <w:rsid w:val="002276E9"/>
    <w:rsid w:val="0022770E"/>
    <w:rsid w:val="00227846"/>
    <w:rsid w:val="002278EE"/>
    <w:rsid w:val="00227903"/>
    <w:rsid w:val="00227908"/>
    <w:rsid w:val="0022791F"/>
    <w:rsid w:val="0022796C"/>
    <w:rsid w:val="002279ED"/>
    <w:rsid w:val="00227A0B"/>
    <w:rsid w:val="00227A76"/>
    <w:rsid w:val="00227AA8"/>
    <w:rsid w:val="00227B9B"/>
    <w:rsid w:val="00227C6B"/>
    <w:rsid w:val="00227C83"/>
    <w:rsid w:val="00227CAE"/>
    <w:rsid w:val="00227CB1"/>
    <w:rsid w:val="00227DB2"/>
    <w:rsid w:val="00227DCE"/>
    <w:rsid w:val="00227DFA"/>
    <w:rsid w:val="00227E1D"/>
    <w:rsid w:val="00227E39"/>
    <w:rsid w:val="00227E78"/>
    <w:rsid w:val="00227EA0"/>
    <w:rsid w:val="00227EF6"/>
    <w:rsid w:val="00227F1D"/>
    <w:rsid w:val="00227F3F"/>
    <w:rsid w:val="00227F6D"/>
    <w:rsid w:val="00227F8A"/>
    <w:rsid w:val="00227FBE"/>
    <w:rsid w:val="00227FE1"/>
    <w:rsid w:val="002300C0"/>
    <w:rsid w:val="00230113"/>
    <w:rsid w:val="00230114"/>
    <w:rsid w:val="00230118"/>
    <w:rsid w:val="0023013A"/>
    <w:rsid w:val="002301CD"/>
    <w:rsid w:val="002301E5"/>
    <w:rsid w:val="002302B1"/>
    <w:rsid w:val="00230390"/>
    <w:rsid w:val="0023046F"/>
    <w:rsid w:val="002304BA"/>
    <w:rsid w:val="002304EA"/>
    <w:rsid w:val="0023051F"/>
    <w:rsid w:val="0023053F"/>
    <w:rsid w:val="00230702"/>
    <w:rsid w:val="00230752"/>
    <w:rsid w:val="00230785"/>
    <w:rsid w:val="002307AB"/>
    <w:rsid w:val="00230852"/>
    <w:rsid w:val="002308B7"/>
    <w:rsid w:val="002308C2"/>
    <w:rsid w:val="00230926"/>
    <w:rsid w:val="0023099C"/>
    <w:rsid w:val="0023099E"/>
    <w:rsid w:val="002309C4"/>
    <w:rsid w:val="00230A80"/>
    <w:rsid w:val="00230AAE"/>
    <w:rsid w:val="00230AC6"/>
    <w:rsid w:val="00230ACB"/>
    <w:rsid w:val="00230AE7"/>
    <w:rsid w:val="00230B8C"/>
    <w:rsid w:val="00230BD4"/>
    <w:rsid w:val="00230C35"/>
    <w:rsid w:val="00230D32"/>
    <w:rsid w:val="00230DA0"/>
    <w:rsid w:val="00230DD7"/>
    <w:rsid w:val="00230E5C"/>
    <w:rsid w:val="00230EAA"/>
    <w:rsid w:val="00230F37"/>
    <w:rsid w:val="00230F3E"/>
    <w:rsid w:val="00230F81"/>
    <w:rsid w:val="00230FA1"/>
    <w:rsid w:val="00230FE4"/>
    <w:rsid w:val="00231008"/>
    <w:rsid w:val="0023100F"/>
    <w:rsid w:val="00231049"/>
    <w:rsid w:val="0023107D"/>
    <w:rsid w:val="00231120"/>
    <w:rsid w:val="0023116E"/>
    <w:rsid w:val="0023126E"/>
    <w:rsid w:val="0023128A"/>
    <w:rsid w:val="002312CF"/>
    <w:rsid w:val="002312FA"/>
    <w:rsid w:val="0023136E"/>
    <w:rsid w:val="0023138A"/>
    <w:rsid w:val="002313D6"/>
    <w:rsid w:val="0023141C"/>
    <w:rsid w:val="00231425"/>
    <w:rsid w:val="00231466"/>
    <w:rsid w:val="002314D2"/>
    <w:rsid w:val="00231501"/>
    <w:rsid w:val="00231513"/>
    <w:rsid w:val="0023164E"/>
    <w:rsid w:val="00231683"/>
    <w:rsid w:val="00231692"/>
    <w:rsid w:val="002317F6"/>
    <w:rsid w:val="00231806"/>
    <w:rsid w:val="00231860"/>
    <w:rsid w:val="00231868"/>
    <w:rsid w:val="00231877"/>
    <w:rsid w:val="00231908"/>
    <w:rsid w:val="0023191C"/>
    <w:rsid w:val="0023192A"/>
    <w:rsid w:val="00231938"/>
    <w:rsid w:val="0023194C"/>
    <w:rsid w:val="00231957"/>
    <w:rsid w:val="002319EE"/>
    <w:rsid w:val="00231A71"/>
    <w:rsid w:val="00231C14"/>
    <w:rsid w:val="00231C2E"/>
    <w:rsid w:val="00231CA4"/>
    <w:rsid w:val="00231CB8"/>
    <w:rsid w:val="00231CEA"/>
    <w:rsid w:val="00231D11"/>
    <w:rsid w:val="00231D84"/>
    <w:rsid w:val="00231DB6"/>
    <w:rsid w:val="00231DD3"/>
    <w:rsid w:val="00231EAB"/>
    <w:rsid w:val="00231EC3"/>
    <w:rsid w:val="00232049"/>
    <w:rsid w:val="00232119"/>
    <w:rsid w:val="0023222D"/>
    <w:rsid w:val="0023236C"/>
    <w:rsid w:val="0023243F"/>
    <w:rsid w:val="00232445"/>
    <w:rsid w:val="002324B4"/>
    <w:rsid w:val="0023254C"/>
    <w:rsid w:val="00232559"/>
    <w:rsid w:val="00232610"/>
    <w:rsid w:val="00232619"/>
    <w:rsid w:val="0023261C"/>
    <w:rsid w:val="00232672"/>
    <w:rsid w:val="00232687"/>
    <w:rsid w:val="00232688"/>
    <w:rsid w:val="002327CF"/>
    <w:rsid w:val="002328DF"/>
    <w:rsid w:val="002328E0"/>
    <w:rsid w:val="002328FE"/>
    <w:rsid w:val="00232917"/>
    <w:rsid w:val="00232943"/>
    <w:rsid w:val="002329BF"/>
    <w:rsid w:val="002329DA"/>
    <w:rsid w:val="002329DB"/>
    <w:rsid w:val="00232A59"/>
    <w:rsid w:val="00232A8C"/>
    <w:rsid w:val="00232AB2"/>
    <w:rsid w:val="00232B08"/>
    <w:rsid w:val="00232B7B"/>
    <w:rsid w:val="00232BA7"/>
    <w:rsid w:val="00232BE7"/>
    <w:rsid w:val="00232CB7"/>
    <w:rsid w:val="00232D52"/>
    <w:rsid w:val="00232DC6"/>
    <w:rsid w:val="00232E92"/>
    <w:rsid w:val="00232E9E"/>
    <w:rsid w:val="00232F83"/>
    <w:rsid w:val="00232F9A"/>
    <w:rsid w:val="0023305C"/>
    <w:rsid w:val="00233146"/>
    <w:rsid w:val="002331EF"/>
    <w:rsid w:val="002331FD"/>
    <w:rsid w:val="0023320C"/>
    <w:rsid w:val="002332E7"/>
    <w:rsid w:val="002332E8"/>
    <w:rsid w:val="00233325"/>
    <w:rsid w:val="002333A1"/>
    <w:rsid w:val="002333A2"/>
    <w:rsid w:val="002333C5"/>
    <w:rsid w:val="00233408"/>
    <w:rsid w:val="00233466"/>
    <w:rsid w:val="00233499"/>
    <w:rsid w:val="00233555"/>
    <w:rsid w:val="00233562"/>
    <w:rsid w:val="00233580"/>
    <w:rsid w:val="002335A9"/>
    <w:rsid w:val="002335F0"/>
    <w:rsid w:val="00233616"/>
    <w:rsid w:val="002336AC"/>
    <w:rsid w:val="0023370F"/>
    <w:rsid w:val="00233761"/>
    <w:rsid w:val="002337CC"/>
    <w:rsid w:val="002337DA"/>
    <w:rsid w:val="002337E9"/>
    <w:rsid w:val="0023386C"/>
    <w:rsid w:val="002338FD"/>
    <w:rsid w:val="0023394C"/>
    <w:rsid w:val="0023395E"/>
    <w:rsid w:val="00233A1E"/>
    <w:rsid w:val="00233B28"/>
    <w:rsid w:val="00233BCA"/>
    <w:rsid w:val="00233BD9"/>
    <w:rsid w:val="00233C60"/>
    <w:rsid w:val="00233D8D"/>
    <w:rsid w:val="00233D98"/>
    <w:rsid w:val="00233DAA"/>
    <w:rsid w:val="00233DDF"/>
    <w:rsid w:val="00233E4E"/>
    <w:rsid w:val="00233EAD"/>
    <w:rsid w:val="00233ED1"/>
    <w:rsid w:val="00233EE7"/>
    <w:rsid w:val="00233EEE"/>
    <w:rsid w:val="00233F41"/>
    <w:rsid w:val="00233F51"/>
    <w:rsid w:val="00234004"/>
    <w:rsid w:val="0023403F"/>
    <w:rsid w:val="00234055"/>
    <w:rsid w:val="00234083"/>
    <w:rsid w:val="0023408F"/>
    <w:rsid w:val="002340D9"/>
    <w:rsid w:val="002340DE"/>
    <w:rsid w:val="00234130"/>
    <w:rsid w:val="0023413A"/>
    <w:rsid w:val="002341EF"/>
    <w:rsid w:val="002341F7"/>
    <w:rsid w:val="00234217"/>
    <w:rsid w:val="00234263"/>
    <w:rsid w:val="00234273"/>
    <w:rsid w:val="002342AC"/>
    <w:rsid w:val="002342BA"/>
    <w:rsid w:val="002343B9"/>
    <w:rsid w:val="002343BA"/>
    <w:rsid w:val="00234447"/>
    <w:rsid w:val="0023444E"/>
    <w:rsid w:val="00234486"/>
    <w:rsid w:val="002344B9"/>
    <w:rsid w:val="002344E4"/>
    <w:rsid w:val="002344FC"/>
    <w:rsid w:val="00234535"/>
    <w:rsid w:val="0023456E"/>
    <w:rsid w:val="002345A3"/>
    <w:rsid w:val="002345BB"/>
    <w:rsid w:val="00234618"/>
    <w:rsid w:val="002346A3"/>
    <w:rsid w:val="00234724"/>
    <w:rsid w:val="00234763"/>
    <w:rsid w:val="00234768"/>
    <w:rsid w:val="00234825"/>
    <w:rsid w:val="00234830"/>
    <w:rsid w:val="0023483D"/>
    <w:rsid w:val="00234845"/>
    <w:rsid w:val="0023484B"/>
    <w:rsid w:val="002348A8"/>
    <w:rsid w:val="002348D7"/>
    <w:rsid w:val="002348DE"/>
    <w:rsid w:val="002348E8"/>
    <w:rsid w:val="0023495B"/>
    <w:rsid w:val="002349D6"/>
    <w:rsid w:val="002349EE"/>
    <w:rsid w:val="00234A7A"/>
    <w:rsid w:val="00234AA9"/>
    <w:rsid w:val="00234AAE"/>
    <w:rsid w:val="00234AEB"/>
    <w:rsid w:val="00234B41"/>
    <w:rsid w:val="00234BA6"/>
    <w:rsid w:val="00234C38"/>
    <w:rsid w:val="00234C9B"/>
    <w:rsid w:val="00234CCB"/>
    <w:rsid w:val="00234CE8"/>
    <w:rsid w:val="00234CE9"/>
    <w:rsid w:val="00234D07"/>
    <w:rsid w:val="00234D89"/>
    <w:rsid w:val="00234DCE"/>
    <w:rsid w:val="00234F3C"/>
    <w:rsid w:val="00234F52"/>
    <w:rsid w:val="00234F69"/>
    <w:rsid w:val="00234FBB"/>
    <w:rsid w:val="00235054"/>
    <w:rsid w:val="002350A9"/>
    <w:rsid w:val="002350AE"/>
    <w:rsid w:val="0023510D"/>
    <w:rsid w:val="002351B1"/>
    <w:rsid w:val="002351EA"/>
    <w:rsid w:val="00235244"/>
    <w:rsid w:val="002352F9"/>
    <w:rsid w:val="0023534A"/>
    <w:rsid w:val="002353AA"/>
    <w:rsid w:val="002353B4"/>
    <w:rsid w:val="00235411"/>
    <w:rsid w:val="00235452"/>
    <w:rsid w:val="00235497"/>
    <w:rsid w:val="002354BB"/>
    <w:rsid w:val="002354F2"/>
    <w:rsid w:val="002354F8"/>
    <w:rsid w:val="00235504"/>
    <w:rsid w:val="002355C6"/>
    <w:rsid w:val="0023562F"/>
    <w:rsid w:val="00235691"/>
    <w:rsid w:val="00235785"/>
    <w:rsid w:val="00235914"/>
    <w:rsid w:val="00235949"/>
    <w:rsid w:val="00235989"/>
    <w:rsid w:val="00235A22"/>
    <w:rsid w:val="00235A84"/>
    <w:rsid w:val="00235A9C"/>
    <w:rsid w:val="00235AFE"/>
    <w:rsid w:val="00235B25"/>
    <w:rsid w:val="00235B5F"/>
    <w:rsid w:val="00235B6F"/>
    <w:rsid w:val="00235BA0"/>
    <w:rsid w:val="00235DB3"/>
    <w:rsid w:val="00235DBF"/>
    <w:rsid w:val="00235E68"/>
    <w:rsid w:val="00235EAA"/>
    <w:rsid w:val="00235EBA"/>
    <w:rsid w:val="00235EBD"/>
    <w:rsid w:val="00235ECE"/>
    <w:rsid w:val="00235ED6"/>
    <w:rsid w:val="00235EF0"/>
    <w:rsid w:val="00235F0D"/>
    <w:rsid w:val="00235F16"/>
    <w:rsid w:val="00235F87"/>
    <w:rsid w:val="00235FE2"/>
    <w:rsid w:val="00236035"/>
    <w:rsid w:val="00236086"/>
    <w:rsid w:val="00236104"/>
    <w:rsid w:val="00236132"/>
    <w:rsid w:val="00236171"/>
    <w:rsid w:val="00236223"/>
    <w:rsid w:val="00236267"/>
    <w:rsid w:val="002362AD"/>
    <w:rsid w:val="00236305"/>
    <w:rsid w:val="0023635F"/>
    <w:rsid w:val="0023638F"/>
    <w:rsid w:val="002363AC"/>
    <w:rsid w:val="0023641D"/>
    <w:rsid w:val="0023642B"/>
    <w:rsid w:val="00236449"/>
    <w:rsid w:val="0023648A"/>
    <w:rsid w:val="002364F2"/>
    <w:rsid w:val="0023655C"/>
    <w:rsid w:val="002365BE"/>
    <w:rsid w:val="002365E4"/>
    <w:rsid w:val="002366C9"/>
    <w:rsid w:val="00236734"/>
    <w:rsid w:val="00236771"/>
    <w:rsid w:val="002367A4"/>
    <w:rsid w:val="002367A7"/>
    <w:rsid w:val="002367B2"/>
    <w:rsid w:val="002367F7"/>
    <w:rsid w:val="002367FC"/>
    <w:rsid w:val="00236875"/>
    <w:rsid w:val="002368A5"/>
    <w:rsid w:val="00236953"/>
    <w:rsid w:val="00236970"/>
    <w:rsid w:val="00236980"/>
    <w:rsid w:val="00236983"/>
    <w:rsid w:val="00236986"/>
    <w:rsid w:val="002369BE"/>
    <w:rsid w:val="002369D5"/>
    <w:rsid w:val="00236A0C"/>
    <w:rsid w:val="00236A50"/>
    <w:rsid w:val="00236AA9"/>
    <w:rsid w:val="00236AE8"/>
    <w:rsid w:val="00236B0C"/>
    <w:rsid w:val="00236C0B"/>
    <w:rsid w:val="00236C47"/>
    <w:rsid w:val="00236C87"/>
    <w:rsid w:val="00236CF1"/>
    <w:rsid w:val="00236D56"/>
    <w:rsid w:val="00236D7D"/>
    <w:rsid w:val="00236E37"/>
    <w:rsid w:val="00236EF5"/>
    <w:rsid w:val="00236F13"/>
    <w:rsid w:val="00236F5D"/>
    <w:rsid w:val="00236F8F"/>
    <w:rsid w:val="0023703E"/>
    <w:rsid w:val="002370DE"/>
    <w:rsid w:val="00237128"/>
    <w:rsid w:val="00237188"/>
    <w:rsid w:val="0023719E"/>
    <w:rsid w:val="00237207"/>
    <w:rsid w:val="002372E4"/>
    <w:rsid w:val="00237308"/>
    <w:rsid w:val="00237311"/>
    <w:rsid w:val="00237316"/>
    <w:rsid w:val="00237337"/>
    <w:rsid w:val="00237374"/>
    <w:rsid w:val="0023737E"/>
    <w:rsid w:val="0023738F"/>
    <w:rsid w:val="0023742D"/>
    <w:rsid w:val="00237455"/>
    <w:rsid w:val="002374BD"/>
    <w:rsid w:val="00237501"/>
    <w:rsid w:val="00237519"/>
    <w:rsid w:val="00237525"/>
    <w:rsid w:val="0023759C"/>
    <w:rsid w:val="002375C7"/>
    <w:rsid w:val="00237617"/>
    <w:rsid w:val="0023761E"/>
    <w:rsid w:val="002376B0"/>
    <w:rsid w:val="002376E5"/>
    <w:rsid w:val="00237739"/>
    <w:rsid w:val="00237743"/>
    <w:rsid w:val="0023777C"/>
    <w:rsid w:val="00237789"/>
    <w:rsid w:val="002377EB"/>
    <w:rsid w:val="002377FC"/>
    <w:rsid w:val="00237816"/>
    <w:rsid w:val="00237844"/>
    <w:rsid w:val="00237847"/>
    <w:rsid w:val="0023791D"/>
    <w:rsid w:val="0023794A"/>
    <w:rsid w:val="002379A3"/>
    <w:rsid w:val="00237A23"/>
    <w:rsid w:val="00237A72"/>
    <w:rsid w:val="00237A80"/>
    <w:rsid w:val="00237B29"/>
    <w:rsid w:val="00237B5C"/>
    <w:rsid w:val="00237BAA"/>
    <w:rsid w:val="00237BFF"/>
    <w:rsid w:val="00237C97"/>
    <w:rsid w:val="00237D11"/>
    <w:rsid w:val="00237D45"/>
    <w:rsid w:val="00237D46"/>
    <w:rsid w:val="00237DD0"/>
    <w:rsid w:val="00237DD9"/>
    <w:rsid w:val="00237DFF"/>
    <w:rsid w:val="00237ECC"/>
    <w:rsid w:val="00237F52"/>
    <w:rsid w:val="00237F95"/>
    <w:rsid w:val="00237FA3"/>
    <w:rsid w:val="00237FB3"/>
    <w:rsid w:val="00240042"/>
    <w:rsid w:val="002400E7"/>
    <w:rsid w:val="00240119"/>
    <w:rsid w:val="002401CD"/>
    <w:rsid w:val="00240221"/>
    <w:rsid w:val="00240278"/>
    <w:rsid w:val="00240332"/>
    <w:rsid w:val="00240349"/>
    <w:rsid w:val="00240371"/>
    <w:rsid w:val="00240377"/>
    <w:rsid w:val="002403B5"/>
    <w:rsid w:val="002403B8"/>
    <w:rsid w:val="002403BE"/>
    <w:rsid w:val="002403BF"/>
    <w:rsid w:val="0024042D"/>
    <w:rsid w:val="0024044D"/>
    <w:rsid w:val="00240459"/>
    <w:rsid w:val="00240495"/>
    <w:rsid w:val="002404C6"/>
    <w:rsid w:val="002404E7"/>
    <w:rsid w:val="0024059A"/>
    <w:rsid w:val="002405EC"/>
    <w:rsid w:val="00240616"/>
    <w:rsid w:val="00240621"/>
    <w:rsid w:val="00240654"/>
    <w:rsid w:val="002406A7"/>
    <w:rsid w:val="002406E7"/>
    <w:rsid w:val="002406F6"/>
    <w:rsid w:val="00240713"/>
    <w:rsid w:val="00240741"/>
    <w:rsid w:val="002407A0"/>
    <w:rsid w:val="00240861"/>
    <w:rsid w:val="00240870"/>
    <w:rsid w:val="0024088C"/>
    <w:rsid w:val="002408B5"/>
    <w:rsid w:val="00240911"/>
    <w:rsid w:val="00240952"/>
    <w:rsid w:val="0024096A"/>
    <w:rsid w:val="00240A01"/>
    <w:rsid w:val="00240A32"/>
    <w:rsid w:val="00240ABB"/>
    <w:rsid w:val="00240ABF"/>
    <w:rsid w:val="00240B0D"/>
    <w:rsid w:val="00240B15"/>
    <w:rsid w:val="00240BB4"/>
    <w:rsid w:val="00240BFA"/>
    <w:rsid w:val="00240C25"/>
    <w:rsid w:val="00240C72"/>
    <w:rsid w:val="00240C81"/>
    <w:rsid w:val="00240C90"/>
    <w:rsid w:val="00240CA8"/>
    <w:rsid w:val="00240CD9"/>
    <w:rsid w:val="00240CE8"/>
    <w:rsid w:val="00240CFE"/>
    <w:rsid w:val="00240D49"/>
    <w:rsid w:val="00240D66"/>
    <w:rsid w:val="00240D8B"/>
    <w:rsid w:val="00240DA1"/>
    <w:rsid w:val="00240DEF"/>
    <w:rsid w:val="00240E02"/>
    <w:rsid w:val="00240E06"/>
    <w:rsid w:val="00240ED7"/>
    <w:rsid w:val="00240F5F"/>
    <w:rsid w:val="00240F7F"/>
    <w:rsid w:val="00241009"/>
    <w:rsid w:val="00241059"/>
    <w:rsid w:val="002410DD"/>
    <w:rsid w:val="00241106"/>
    <w:rsid w:val="0024114E"/>
    <w:rsid w:val="00241158"/>
    <w:rsid w:val="00241194"/>
    <w:rsid w:val="00241212"/>
    <w:rsid w:val="00241387"/>
    <w:rsid w:val="002413CE"/>
    <w:rsid w:val="00241430"/>
    <w:rsid w:val="002414CA"/>
    <w:rsid w:val="00241560"/>
    <w:rsid w:val="0024158C"/>
    <w:rsid w:val="00241594"/>
    <w:rsid w:val="002415CF"/>
    <w:rsid w:val="002415FD"/>
    <w:rsid w:val="002416D5"/>
    <w:rsid w:val="002416D9"/>
    <w:rsid w:val="002416ED"/>
    <w:rsid w:val="002416F6"/>
    <w:rsid w:val="002416FF"/>
    <w:rsid w:val="0024170E"/>
    <w:rsid w:val="00241749"/>
    <w:rsid w:val="002417D1"/>
    <w:rsid w:val="002417D4"/>
    <w:rsid w:val="0024182F"/>
    <w:rsid w:val="00241881"/>
    <w:rsid w:val="002418A9"/>
    <w:rsid w:val="002418F6"/>
    <w:rsid w:val="00241916"/>
    <w:rsid w:val="00241996"/>
    <w:rsid w:val="002419A9"/>
    <w:rsid w:val="00241A37"/>
    <w:rsid w:val="00241A63"/>
    <w:rsid w:val="00241ABB"/>
    <w:rsid w:val="00241AF3"/>
    <w:rsid w:val="00241B1F"/>
    <w:rsid w:val="00241B21"/>
    <w:rsid w:val="00241C27"/>
    <w:rsid w:val="00241D0B"/>
    <w:rsid w:val="00241D29"/>
    <w:rsid w:val="00241D69"/>
    <w:rsid w:val="00241DE4"/>
    <w:rsid w:val="00241E0B"/>
    <w:rsid w:val="00241E39"/>
    <w:rsid w:val="00241E5D"/>
    <w:rsid w:val="00241E9A"/>
    <w:rsid w:val="00241EED"/>
    <w:rsid w:val="00241F20"/>
    <w:rsid w:val="00241F5B"/>
    <w:rsid w:val="00241FC0"/>
    <w:rsid w:val="00242001"/>
    <w:rsid w:val="0024204C"/>
    <w:rsid w:val="00242059"/>
    <w:rsid w:val="002420D4"/>
    <w:rsid w:val="002420EB"/>
    <w:rsid w:val="00242156"/>
    <w:rsid w:val="00242159"/>
    <w:rsid w:val="0024216B"/>
    <w:rsid w:val="00242217"/>
    <w:rsid w:val="0024225E"/>
    <w:rsid w:val="002422CE"/>
    <w:rsid w:val="002422EB"/>
    <w:rsid w:val="0024231C"/>
    <w:rsid w:val="0024232F"/>
    <w:rsid w:val="00242330"/>
    <w:rsid w:val="00242341"/>
    <w:rsid w:val="0024238C"/>
    <w:rsid w:val="00242443"/>
    <w:rsid w:val="00242492"/>
    <w:rsid w:val="0024249B"/>
    <w:rsid w:val="002424C3"/>
    <w:rsid w:val="002424DA"/>
    <w:rsid w:val="002425E4"/>
    <w:rsid w:val="00242607"/>
    <w:rsid w:val="00242675"/>
    <w:rsid w:val="0024268B"/>
    <w:rsid w:val="0024268F"/>
    <w:rsid w:val="0024270B"/>
    <w:rsid w:val="00242777"/>
    <w:rsid w:val="002427C2"/>
    <w:rsid w:val="002427F4"/>
    <w:rsid w:val="0024282E"/>
    <w:rsid w:val="00242849"/>
    <w:rsid w:val="00242859"/>
    <w:rsid w:val="002428E8"/>
    <w:rsid w:val="00242908"/>
    <w:rsid w:val="0024294C"/>
    <w:rsid w:val="0024294E"/>
    <w:rsid w:val="002429B7"/>
    <w:rsid w:val="00242A12"/>
    <w:rsid w:val="00242A53"/>
    <w:rsid w:val="00242B6D"/>
    <w:rsid w:val="00242BD9"/>
    <w:rsid w:val="00242BEE"/>
    <w:rsid w:val="00242C23"/>
    <w:rsid w:val="00242C61"/>
    <w:rsid w:val="00242CB8"/>
    <w:rsid w:val="00242CC7"/>
    <w:rsid w:val="00242CFE"/>
    <w:rsid w:val="00242D5F"/>
    <w:rsid w:val="00242DA8"/>
    <w:rsid w:val="00242DCD"/>
    <w:rsid w:val="00242DCE"/>
    <w:rsid w:val="00242DFC"/>
    <w:rsid w:val="00242E07"/>
    <w:rsid w:val="00242E5A"/>
    <w:rsid w:val="00242ED7"/>
    <w:rsid w:val="00242F1D"/>
    <w:rsid w:val="00242F35"/>
    <w:rsid w:val="00242FFA"/>
    <w:rsid w:val="00243015"/>
    <w:rsid w:val="00243065"/>
    <w:rsid w:val="002430B6"/>
    <w:rsid w:val="0024317B"/>
    <w:rsid w:val="0024319E"/>
    <w:rsid w:val="002432E2"/>
    <w:rsid w:val="00243335"/>
    <w:rsid w:val="002433D1"/>
    <w:rsid w:val="002433D7"/>
    <w:rsid w:val="00243423"/>
    <w:rsid w:val="002434B3"/>
    <w:rsid w:val="002434D9"/>
    <w:rsid w:val="002435A1"/>
    <w:rsid w:val="00243620"/>
    <w:rsid w:val="0024372A"/>
    <w:rsid w:val="0024377C"/>
    <w:rsid w:val="0024383F"/>
    <w:rsid w:val="0024384B"/>
    <w:rsid w:val="00243867"/>
    <w:rsid w:val="00243875"/>
    <w:rsid w:val="0024387A"/>
    <w:rsid w:val="002438AC"/>
    <w:rsid w:val="00243928"/>
    <w:rsid w:val="00243968"/>
    <w:rsid w:val="002439BE"/>
    <w:rsid w:val="002439CF"/>
    <w:rsid w:val="002439FD"/>
    <w:rsid w:val="00243A03"/>
    <w:rsid w:val="00243A9E"/>
    <w:rsid w:val="00243AAC"/>
    <w:rsid w:val="00243ABB"/>
    <w:rsid w:val="00243B42"/>
    <w:rsid w:val="00243B9F"/>
    <w:rsid w:val="00243C2F"/>
    <w:rsid w:val="00243C60"/>
    <w:rsid w:val="00243C6D"/>
    <w:rsid w:val="00243C9B"/>
    <w:rsid w:val="00243D77"/>
    <w:rsid w:val="00243DCA"/>
    <w:rsid w:val="00243E0E"/>
    <w:rsid w:val="00243E59"/>
    <w:rsid w:val="00243E92"/>
    <w:rsid w:val="00243E94"/>
    <w:rsid w:val="00243E9A"/>
    <w:rsid w:val="00243F43"/>
    <w:rsid w:val="00243F86"/>
    <w:rsid w:val="00244169"/>
    <w:rsid w:val="002441E2"/>
    <w:rsid w:val="00244333"/>
    <w:rsid w:val="002443C7"/>
    <w:rsid w:val="00244460"/>
    <w:rsid w:val="002444C7"/>
    <w:rsid w:val="0024459A"/>
    <w:rsid w:val="002445CE"/>
    <w:rsid w:val="002445F5"/>
    <w:rsid w:val="0024466C"/>
    <w:rsid w:val="00244694"/>
    <w:rsid w:val="0024469A"/>
    <w:rsid w:val="0024472D"/>
    <w:rsid w:val="00244732"/>
    <w:rsid w:val="00244803"/>
    <w:rsid w:val="0024480E"/>
    <w:rsid w:val="0024483A"/>
    <w:rsid w:val="002448BF"/>
    <w:rsid w:val="002448CF"/>
    <w:rsid w:val="0024491C"/>
    <w:rsid w:val="0024492A"/>
    <w:rsid w:val="002449B0"/>
    <w:rsid w:val="002449B8"/>
    <w:rsid w:val="002449D1"/>
    <w:rsid w:val="00244A07"/>
    <w:rsid w:val="00244B0E"/>
    <w:rsid w:val="00244B54"/>
    <w:rsid w:val="00244B9D"/>
    <w:rsid w:val="00244BD8"/>
    <w:rsid w:val="00244C0F"/>
    <w:rsid w:val="00244C81"/>
    <w:rsid w:val="00244C9C"/>
    <w:rsid w:val="00244D05"/>
    <w:rsid w:val="00244D9D"/>
    <w:rsid w:val="00244ED5"/>
    <w:rsid w:val="00244F18"/>
    <w:rsid w:val="00244F4D"/>
    <w:rsid w:val="00244F5D"/>
    <w:rsid w:val="00245045"/>
    <w:rsid w:val="00245059"/>
    <w:rsid w:val="002450B1"/>
    <w:rsid w:val="002450DA"/>
    <w:rsid w:val="00245297"/>
    <w:rsid w:val="00245314"/>
    <w:rsid w:val="0024533F"/>
    <w:rsid w:val="00245361"/>
    <w:rsid w:val="0024540D"/>
    <w:rsid w:val="0024544E"/>
    <w:rsid w:val="00245479"/>
    <w:rsid w:val="002454C8"/>
    <w:rsid w:val="00245500"/>
    <w:rsid w:val="00245557"/>
    <w:rsid w:val="0024558C"/>
    <w:rsid w:val="00245689"/>
    <w:rsid w:val="002456D8"/>
    <w:rsid w:val="00245705"/>
    <w:rsid w:val="002457F0"/>
    <w:rsid w:val="00245884"/>
    <w:rsid w:val="002458A1"/>
    <w:rsid w:val="002458AA"/>
    <w:rsid w:val="00245A2A"/>
    <w:rsid w:val="00245A41"/>
    <w:rsid w:val="00245AFB"/>
    <w:rsid w:val="00245AFE"/>
    <w:rsid w:val="00245B5C"/>
    <w:rsid w:val="00245B79"/>
    <w:rsid w:val="00245B8B"/>
    <w:rsid w:val="00245BCF"/>
    <w:rsid w:val="00245CF5"/>
    <w:rsid w:val="00245DB2"/>
    <w:rsid w:val="00245E08"/>
    <w:rsid w:val="00245E5A"/>
    <w:rsid w:val="00245EF9"/>
    <w:rsid w:val="00245F26"/>
    <w:rsid w:val="00245FC6"/>
    <w:rsid w:val="00245FD3"/>
    <w:rsid w:val="00245FE7"/>
    <w:rsid w:val="002460A1"/>
    <w:rsid w:val="002460BD"/>
    <w:rsid w:val="002461BA"/>
    <w:rsid w:val="00246275"/>
    <w:rsid w:val="00246280"/>
    <w:rsid w:val="002462C7"/>
    <w:rsid w:val="00246336"/>
    <w:rsid w:val="00246415"/>
    <w:rsid w:val="00246464"/>
    <w:rsid w:val="002464B0"/>
    <w:rsid w:val="00246507"/>
    <w:rsid w:val="00246582"/>
    <w:rsid w:val="002465D2"/>
    <w:rsid w:val="00246623"/>
    <w:rsid w:val="0024667C"/>
    <w:rsid w:val="002466A1"/>
    <w:rsid w:val="002466E1"/>
    <w:rsid w:val="002466EB"/>
    <w:rsid w:val="002466F0"/>
    <w:rsid w:val="00246799"/>
    <w:rsid w:val="00246800"/>
    <w:rsid w:val="002468E8"/>
    <w:rsid w:val="00246954"/>
    <w:rsid w:val="002469B4"/>
    <w:rsid w:val="002469F0"/>
    <w:rsid w:val="00246A51"/>
    <w:rsid w:val="00246A60"/>
    <w:rsid w:val="00246B1E"/>
    <w:rsid w:val="00246B2F"/>
    <w:rsid w:val="00246B63"/>
    <w:rsid w:val="00246B70"/>
    <w:rsid w:val="00246C0C"/>
    <w:rsid w:val="00246C28"/>
    <w:rsid w:val="00246C64"/>
    <w:rsid w:val="00246D70"/>
    <w:rsid w:val="00246DD8"/>
    <w:rsid w:val="00246E13"/>
    <w:rsid w:val="00246E36"/>
    <w:rsid w:val="00246E3B"/>
    <w:rsid w:val="00246E77"/>
    <w:rsid w:val="00246F4F"/>
    <w:rsid w:val="00246F67"/>
    <w:rsid w:val="002470DC"/>
    <w:rsid w:val="00247159"/>
    <w:rsid w:val="0024718F"/>
    <w:rsid w:val="002471A3"/>
    <w:rsid w:val="002471EB"/>
    <w:rsid w:val="0024724A"/>
    <w:rsid w:val="00247350"/>
    <w:rsid w:val="0024740B"/>
    <w:rsid w:val="0024740C"/>
    <w:rsid w:val="00247434"/>
    <w:rsid w:val="002474A5"/>
    <w:rsid w:val="002474C8"/>
    <w:rsid w:val="002474F8"/>
    <w:rsid w:val="00247550"/>
    <w:rsid w:val="00247551"/>
    <w:rsid w:val="0024756B"/>
    <w:rsid w:val="002475DE"/>
    <w:rsid w:val="00247642"/>
    <w:rsid w:val="0024765C"/>
    <w:rsid w:val="002476A3"/>
    <w:rsid w:val="002476B0"/>
    <w:rsid w:val="002476C5"/>
    <w:rsid w:val="002476D3"/>
    <w:rsid w:val="002476F8"/>
    <w:rsid w:val="00247751"/>
    <w:rsid w:val="0024776C"/>
    <w:rsid w:val="00247873"/>
    <w:rsid w:val="002478B0"/>
    <w:rsid w:val="002478B5"/>
    <w:rsid w:val="002478DE"/>
    <w:rsid w:val="002478F6"/>
    <w:rsid w:val="002478FB"/>
    <w:rsid w:val="00247953"/>
    <w:rsid w:val="00247976"/>
    <w:rsid w:val="0024797A"/>
    <w:rsid w:val="0024797B"/>
    <w:rsid w:val="002479D6"/>
    <w:rsid w:val="002479FD"/>
    <w:rsid w:val="00247A5F"/>
    <w:rsid w:val="00247B43"/>
    <w:rsid w:val="00247BA0"/>
    <w:rsid w:val="00247C43"/>
    <w:rsid w:val="00247C59"/>
    <w:rsid w:val="00247C64"/>
    <w:rsid w:val="00247CEE"/>
    <w:rsid w:val="00247D33"/>
    <w:rsid w:val="00247D7D"/>
    <w:rsid w:val="00247DBE"/>
    <w:rsid w:val="00247DE6"/>
    <w:rsid w:val="00247E0C"/>
    <w:rsid w:val="00247FDE"/>
    <w:rsid w:val="0025005B"/>
    <w:rsid w:val="00250178"/>
    <w:rsid w:val="00250191"/>
    <w:rsid w:val="002502D8"/>
    <w:rsid w:val="002502E9"/>
    <w:rsid w:val="002502F3"/>
    <w:rsid w:val="00250309"/>
    <w:rsid w:val="00250345"/>
    <w:rsid w:val="0025038A"/>
    <w:rsid w:val="002503AD"/>
    <w:rsid w:val="002503E8"/>
    <w:rsid w:val="00250430"/>
    <w:rsid w:val="002504A1"/>
    <w:rsid w:val="00250540"/>
    <w:rsid w:val="002505E2"/>
    <w:rsid w:val="0025060B"/>
    <w:rsid w:val="00250617"/>
    <w:rsid w:val="00250675"/>
    <w:rsid w:val="00250699"/>
    <w:rsid w:val="002506AA"/>
    <w:rsid w:val="0025072F"/>
    <w:rsid w:val="0025074C"/>
    <w:rsid w:val="002508B8"/>
    <w:rsid w:val="002508C2"/>
    <w:rsid w:val="002508D0"/>
    <w:rsid w:val="00250917"/>
    <w:rsid w:val="00250936"/>
    <w:rsid w:val="00250945"/>
    <w:rsid w:val="0025096F"/>
    <w:rsid w:val="002509E7"/>
    <w:rsid w:val="00250A26"/>
    <w:rsid w:val="00250B22"/>
    <w:rsid w:val="00250B58"/>
    <w:rsid w:val="00250B5A"/>
    <w:rsid w:val="00250BC1"/>
    <w:rsid w:val="00250C5D"/>
    <w:rsid w:val="00250C91"/>
    <w:rsid w:val="00250C9C"/>
    <w:rsid w:val="00250D23"/>
    <w:rsid w:val="00250DA5"/>
    <w:rsid w:val="00250E5B"/>
    <w:rsid w:val="00250ED9"/>
    <w:rsid w:val="00250F0B"/>
    <w:rsid w:val="00250F36"/>
    <w:rsid w:val="00251024"/>
    <w:rsid w:val="00251035"/>
    <w:rsid w:val="00251036"/>
    <w:rsid w:val="002510B3"/>
    <w:rsid w:val="002510E5"/>
    <w:rsid w:val="002511B7"/>
    <w:rsid w:val="002511C8"/>
    <w:rsid w:val="00251225"/>
    <w:rsid w:val="00251231"/>
    <w:rsid w:val="00251237"/>
    <w:rsid w:val="0025124B"/>
    <w:rsid w:val="00251275"/>
    <w:rsid w:val="0025129C"/>
    <w:rsid w:val="00251365"/>
    <w:rsid w:val="00251383"/>
    <w:rsid w:val="002513CE"/>
    <w:rsid w:val="0025148D"/>
    <w:rsid w:val="002514A2"/>
    <w:rsid w:val="002514EA"/>
    <w:rsid w:val="00251514"/>
    <w:rsid w:val="002515A6"/>
    <w:rsid w:val="002515E2"/>
    <w:rsid w:val="00251607"/>
    <w:rsid w:val="00251621"/>
    <w:rsid w:val="0025163D"/>
    <w:rsid w:val="0025170E"/>
    <w:rsid w:val="00251721"/>
    <w:rsid w:val="00251779"/>
    <w:rsid w:val="002518BE"/>
    <w:rsid w:val="0025190A"/>
    <w:rsid w:val="00251982"/>
    <w:rsid w:val="002519FA"/>
    <w:rsid w:val="00251AD1"/>
    <w:rsid w:val="00251B32"/>
    <w:rsid w:val="00251B69"/>
    <w:rsid w:val="00251B79"/>
    <w:rsid w:val="00251BF3"/>
    <w:rsid w:val="00251D93"/>
    <w:rsid w:val="00251E3E"/>
    <w:rsid w:val="00251E97"/>
    <w:rsid w:val="00251F91"/>
    <w:rsid w:val="00251FAC"/>
    <w:rsid w:val="00251FC6"/>
    <w:rsid w:val="00251FD9"/>
    <w:rsid w:val="00251FDD"/>
    <w:rsid w:val="00252055"/>
    <w:rsid w:val="00252080"/>
    <w:rsid w:val="0025221A"/>
    <w:rsid w:val="0025226A"/>
    <w:rsid w:val="0025229D"/>
    <w:rsid w:val="002522C4"/>
    <w:rsid w:val="002522E9"/>
    <w:rsid w:val="00252348"/>
    <w:rsid w:val="00252384"/>
    <w:rsid w:val="0025239C"/>
    <w:rsid w:val="002523AB"/>
    <w:rsid w:val="0025243D"/>
    <w:rsid w:val="00252474"/>
    <w:rsid w:val="00252595"/>
    <w:rsid w:val="002525A5"/>
    <w:rsid w:val="00252657"/>
    <w:rsid w:val="00252667"/>
    <w:rsid w:val="0025267C"/>
    <w:rsid w:val="002526C9"/>
    <w:rsid w:val="002526D3"/>
    <w:rsid w:val="002526DA"/>
    <w:rsid w:val="00252721"/>
    <w:rsid w:val="00252764"/>
    <w:rsid w:val="0025277F"/>
    <w:rsid w:val="002527EC"/>
    <w:rsid w:val="002527FD"/>
    <w:rsid w:val="0025282C"/>
    <w:rsid w:val="002528DB"/>
    <w:rsid w:val="00252922"/>
    <w:rsid w:val="00252937"/>
    <w:rsid w:val="0025293B"/>
    <w:rsid w:val="0025297C"/>
    <w:rsid w:val="00252A11"/>
    <w:rsid w:val="00252A4B"/>
    <w:rsid w:val="00252A54"/>
    <w:rsid w:val="00252AC6"/>
    <w:rsid w:val="00252ADC"/>
    <w:rsid w:val="00252AE6"/>
    <w:rsid w:val="00252B56"/>
    <w:rsid w:val="00252B6B"/>
    <w:rsid w:val="00252BC7"/>
    <w:rsid w:val="00252C14"/>
    <w:rsid w:val="00252C3A"/>
    <w:rsid w:val="00252C69"/>
    <w:rsid w:val="00252CAB"/>
    <w:rsid w:val="00252CEE"/>
    <w:rsid w:val="00252CFF"/>
    <w:rsid w:val="00252D7A"/>
    <w:rsid w:val="00252DDC"/>
    <w:rsid w:val="00252EFB"/>
    <w:rsid w:val="00252FB1"/>
    <w:rsid w:val="00252FB4"/>
    <w:rsid w:val="00253001"/>
    <w:rsid w:val="00253025"/>
    <w:rsid w:val="00253044"/>
    <w:rsid w:val="0025304F"/>
    <w:rsid w:val="0025309E"/>
    <w:rsid w:val="002530B2"/>
    <w:rsid w:val="002530F6"/>
    <w:rsid w:val="002531E4"/>
    <w:rsid w:val="00253258"/>
    <w:rsid w:val="00253259"/>
    <w:rsid w:val="002532D5"/>
    <w:rsid w:val="002532DE"/>
    <w:rsid w:val="002532F1"/>
    <w:rsid w:val="00253320"/>
    <w:rsid w:val="0025335A"/>
    <w:rsid w:val="00253394"/>
    <w:rsid w:val="002533A1"/>
    <w:rsid w:val="002533BB"/>
    <w:rsid w:val="00253421"/>
    <w:rsid w:val="0025350F"/>
    <w:rsid w:val="00253596"/>
    <w:rsid w:val="00253633"/>
    <w:rsid w:val="0025366B"/>
    <w:rsid w:val="002536D7"/>
    <w:rsid w:val="002537C3"/>
    <w:rsid w:val="002537F5"/>
    <w:rsid w:val="0025380D"/>
    <w:rsid w:val="0025380E"/>
    <w:rsid w:val="002538DC"/>
    <w:rsid w:val="00253A22"/>
    <w:rsid w:val="00253A75"/>
    <w:rsid w:val="00253A99"/>
    <w:rsid w:val="00253B21"/>
    <w:rsid w:val="00253BD8"/>
    <w:rsid w:val="00253BE8"/>
    <w:rsid w:val="00253BEF"/>
    <w:rsid w:val="00253C59"/>
    <w:rsid w:val="00253C94"/>
    <w:rsid w:val="00253CC2"/>
    <w:rsid w:val="00253D11"/>
    <w:rsid w:val="00253D6E"/>
    <w:rsid w:val="00253D73"/>
    <w:rsid w:val="00253DB2"/>
    <w:rsid w:val="00253DF5"/>
    <w:rsid w:val="00253F62"/>
    <w:rsid w:val="00253F64"/>
    <w:rsid w:val="00254000"/>
    <w:rsid w:val="00254001"/>
    <w:rsid w:val="00254002"/>
    <w:rsid w:val="0025407C"/>
    <w:rsid w:val="002540FC"/>
    <w:rsid w:val="0025416E"/>
    <w:rsid w:val="002541E0"/>
    <w:rsid w:val="002541ED"/>
    <w:rsid w:val="002541F4"/>
    <w:rsid w:val="002541FC"/>
    <w:rsid w:val="00254205"/>
    <w:rsid w:val="0025421E"/>
    <w:rsid w:val="0025429F"/>
    <w:rsid w:val="002542F3"/>
    <w:rsid w:val="00254371"/>
    <w:rsid w:val="002543D8"/>
    <w:rsid w:val="002543F1"/>
    <w:rsid w:val="00254413"/>
    <w:rsid w:val="00254495"/>
    <w:rsid w:val="0025455C"/>
    <w:rsid w:val="002545BB"/>
    <w:rsid w:val="0025469E"/>
    <w:rsid w:val="002546CF"/>
    <w:rsid w:val="00254745"/>
    <w:rsid w:val="0025476E"/>
    <w:rsid w:val="00254779"/>
    <w:rsid w:val="0025477A"/>
    <w:rsid w:val="00254858"/>
    <w:rsid w:val="00254864"/>
    <w:rsid w:val="002548B9"/>
    <w:rsid w:val="002548EE"/>
    <w:rsid w:val="00254968"/>
    <w:rsid w:val="002549BD"/>
    <w:rsid w:val="00254A84"/>
    <w:rsid w:val="00254A95"/>
    <w:rsid w:val="00254AD2"/>
    <w:rsid w:val="00254ADF"/>
    <w:rsid w:val="00254AEE"/>
    <w:rsid w:val="00254AF5"/>
    <w:rsid w:val="00254B65"/>
    <w:rsid w:val="00254C6F"/>
    <w:rsid w:val="00254C87"/>
    <w:rsid w:val="00254CBD"/>
    <w:rsid w:val="00254D0B"/>
    <w:rsid w:val="00254D85"/>
    <w:rsid w:val="00254D98"/>
    <w:rsid w:val="00254DC5"/>
    <w:rsid w:val="00254E5E"/>
    <w:rsid w:val="00254E96"/>
    <w:rsid w:val="00254EA7"/>
    <w:rsid w:val="00254EE6"/>
    <w:rsid w:val="00254F29"/>
    <w:rsid w:val="0025501B"/>
    <w:rsid w:val="0025502E"/>
    <w:rsid w:val="002550F4"/>
    <w:rsid w:val="002551F0"/>
    <w:rsid w:val="0025530B"/>
    <w:rsid w:val="0025533E"/>
    <w:rsid w:val="0025534C"/>
    <w:rsid w:val="00255410"/>
    <w:rsid w:val="00255492"/>
    <w:rsid w:val="002555E7"/>
    <w:rsid w:val="00255671"/>
    <w:rsid w:val="002556C1"/>
    <w:rsid w:val="002556EC"/>
    <w:rsid w:val="00255749"/>
    <w:rsid w:val="0025577E"/>
    <w:rsid w:val="00255786"/>
    <w:rsid w:val="00255789"/>
    <w:rsid w:val="0025578B"/>
    <w:rsid w:val="002557B6"/>
    <w:rsid w:val="002557EA"/>
    <w:rsid w:val="00255828"/>
    <w:rsid w:val="00255829"/>
    <w:rsid w:val="00255834"/>
    <w:rsid w:val="00255837"/>
    <w:rsid w:val="00255855"/>
    <w:rsid w:val="0025585A"/>
    <w:rsid w:val="00255867"/>
    <w:rsid w:val="002558F3"/>
    <w:rsid w:val="0025596E"/>
    <w:rsid w:val="002559B9"/>
    <w:rsid w:val="00255A4F"/>
    <w:rsid w:val="00255A6A"/>
    <w:rsid w:val="00255ADB"/>
    <w:rsid w:val="00255AF6"/>
    <w:rsid w:val="00255B68"/>
    <w:rsid w:val="00255B71"/>
    <w:rsid w:val="00255C0B"/>
    <w:rsid w:val="00255C0D"/>
    <w:rsid w:val="00255C57"/>
    <w:rsid w:val="00255C5F"/>
    <w:rsid w:val="00255D11"/>
    <w:rsid w:val="00255D46"/>
    <w:rsid w:val="00255D9C"/>
    <w:rsid w:val="00255DB3"/>
    <w:rsid w:val="00255E67"/>
    <w:rsid w:val="00255ECF"/>
    <w:rsid w:val="00255F18"/>
    <w:rsid w:val="00255F42"/>
    <w:rsid w:val="00255FC4"/>
    <w:rsid w:val="0025603E"/>
    <w:rsid w:val="00256055"/>
    <w:rsid w:val="00256065"/>
    <w:rsid w:val="002560ED"/>
    <w:rsid w:val="0025610F"/>
    <w:rsid w:val="00256180"/>
    <w:rsid w:val="00256182"/>
    <w:rsid w:val="002561CF"/>
    <w:rsid w:val="00256272"/>
    <w:rsid w:val="00256291"/>
    <w:rsid w:val="002562B3"/>
    <w:rsid w:val="0025634F"/>
    <w:rsid w:val="0025639D"/>
    <w:rsid w:val="002563CC"/>
    <w:rsid w:val="00256436"/>
    <w:rsid w:val="002564A9"/>
    <w:rsid w:val="002564D3"/>
    <w:rsid w:val="00256514"/>
    <w:rsid w:val="0025652F"/>
    <w:rsid w:val="00256533"/>
    <w:rsid w:val="00256580"/>
    <w:rsid w:val="00256657"/>
    <w:rsid w:val="00256662"/>
    <w:rsid w:val="00256663"/>
    <w:rsid w:val="002566A3"/>
    <w:rsid w:val="002566BB"/>
    <w:rsid w:val="002566C6"/>
    <w:rsid w:val="00256761"/>
    <w:rsid w:val="002568A1"/>
    <w:rsid w:val="002568A9"/>
    <w:rsid w:val="002568EA"/>
    <w:rsid w:val="002568ED"/>
    <w:rsid w:val="00256952"/>
    <w:rsid w:val="00256A1D"/>
    <w:rsid w:val="00256A2A"/>
    <w:rsid w:val="00256A95"/>
    <w:rsid w:val="00256AFE"/>
    <w:rsid w:val="00256B64"/>
    <w:rsid w:val="00256CAA"/>
    <w:rsid w:val="00256D4F"/>
    <w:rsid w:val="00256D70"/>
    <w:rsid w:val="00256D77"/>
    <w:rsid w:val="00256DA4"/>
    <w:rsid w:val="00256DA5"/>
    <w:rsid w:val="00256DF0"/>
    <w:rsid w:val="00256F2F"/>
    <w:rsid w:val="00256F87"/>
    <w:rsid w:val="00256FF5"/>
    <w:rsid w:val="00257046"/>
    <w:rsid w:val="00257058"/>
    <w:rsid w:val="00257099"/>
    <w:rsid w:val="002570A5"/>
    <w:rsid w:val="002570B1"/>
    <w:rsid w:val="002570B9"/>
    <w:rsid w:val="002570CE"/>
    <w:rsid w:val="002570E6"/>
    <w:rsid w:val="00257101"/>
    <w:rsid w:val="00257105"/>
    <w:rsid w:val="002572CD"/>
    <w:rsid w:val="0025736E"/>
    <w:rsid w:val="002573E1"/>
    <w:rsid w:val="00257439"/>
    <w:rsid w:val="0025743A"/>
    <w:rsid w:val="00257448"/>
    <w:rsid w:val="00257476"/>
    <w:rsid w:val="00257515"/>
    <w:rsid w:val="0025753C"/>
    <w:rsid w:val="00257556"/>
    <w:rsid w:val="00257614"/>
    <w:rsid w:val="00257617"/>
    <w:rsid w:val="0025763A"/>
    <w:rsid w:val="00257726"/>
    <w:rsid w:val="00257752"/>
    <w:rsid w:val="002577C3"/>
    <w:rsid w:val="00257848"/>
    <w:rsid w:val="0025787D"/>
    <w:rsid w:val="002578E5"/>
    <w:rsid w:val="00257996"/>
    <w:rsid w:val="00257A02"/>
    <w:rsid w:val="00257A81"/>
    <w:rsid w:val="00257BD0"/>
    <w:rsid w:val="00257C01"/>
    <w:rsid w:val="00257C3B"/>
    <w:rsid w:val="00257C50"/>
    <w:rsid w:val="00257C5F"/>
    <w:rsid w:val="00257D06"/>
    <w:rsid w:val="00257D4E"/>
    <w:rsid w:val="00257DFE"/>
    <w:rsid w:val="00257E11"/>
    <w:rsid w:val="00257E5D"/>
    <w:rsid w:val="00257E70"/>
    <w:rsid w:val="00257ECD"/>
    <w:rsid w:val="00257EDA"/>
    <w:rsid w:val="00257EE8"/>
    <w:rsid w:val="00257EEF"/>
    <w:rsid w:val="00257F33"/>
    <w:rsid w:val="002600A9"/>
    <w:rsid w:val="0026010F"/>
    <w:rsid w:val="00260121"/>
    <w:rsid w:val="0026013C"/>
    <w:rsid w:val="00260148"/>
    <w:rsid w:val="00260150"/>
    <w:rsid w:val="00260188"/>
    <w:rsid w:val="00260209"/>
    <w:rsid w:val="00260252"/>
    <w:rsid w:val="002602D9"/>
    <w:rsid w:val="00260312"/>
    <w:rsid w:val="00260316"/>
    <w:rsid w:val="00260369"/>
    <w:rsid w:val="0026037C"/>
    <w:rsid w:val="00260405"/>
    <w:rsid w:val="002604EB"/>
    <w:rsid w:val="0026057A"/>
    <w:rsid w:val="002605E8"/>
    <w:rsid w:val="0026061E"/>
    <w:rsid w:val="00260644"/>
    <w:rsid w:val="0026069C"/>
    <w:rsid w:val="002606F3"/>
    <w:rsid w:val="002607E3"/>
    <w:rsid w:val="0026080E"/>
    <w:rsid w:val="002608D5"/>
    <w:rsid w:val="00260925"/>
    <w:rsid w:val="002609E5"/>
    <w:rsid w:val="00260A46"/>
    <w:rsid w:val="00260C27"/>
    <w:rsid w:val="00260CAD"/>
    <w:rsid w:val="00260CB1"/>
    <w:rsid w:val="00260CB3"/>
    <w:rsid w:val="00260CE0"/>
    <w:rsid w:val="00260DA5"/>
    <w:rsid w:val="00260E24"/>
    <w:rsid w:val="00260E2C"/>
    <w:rsid w:val="00260EB5"/>
    <w:rsid w:val="00260EBA"/>
    <w:rsid w:val="00260F64"/>
    <w:rsid w:val="00260F6C"/>
    <w:rsid w:val="00261150"/>
    <w:rsid w:val="00261159"/>
    <w:rsid w:val="0026115B"/>
    <w:rsid w:val="00261199"/>
    <w:rsid w:val="002611A3"/>
    <w:rsid w:val="0026121D"/>
    <w:rsid w:val="00261228"/>
    <w:rsid w:val="0026125F"/>
    <w:rsid w:val="0026130C"/>
    <w:rsid w:val="0026134E"/>
    <w:rsid w:val="0026136E"/>
    <w:rsid w:val="002613BF"/>
    <w:rsid w:val="0026149D"/>
    <w:rsid w:val="002614B0"/>
    <w:rsid w:val="00261526"/>
    <w:rsid w:val="00261602"/>
    <w:rsid w:val="00261613"/>
    <w:rsid w:val="00261663"/>
    <w:rsid w:val="002616A2"/>
    <w:rsid w:val="002616D6"/>
    <w:rsid w:val="002617A8"/>
    <w:rsid w:val="002617C7"/>
    <w:rsid w:val="00261876"/>
    <w:rsid w:val="00261896"/>
    <w:rsid w:val="0026189B"/>
    <w:rsid w:val="002618A2"/>
    <w:rsid w:val="002618B9"/>
    <w:rsid w:val="00261946"/>
    <w:rsid w:val="00261960"/>
    <w:rsid w:val="002619B6"/>
    <w:rsid w:val="002619FF"/>
    <w:rsid w:val="00261A3D"/>
    <w:rsid w:val="00261B3B"/>
    <w:rsid w:val="00261BAA"/>
    <w:rsid w:val="00261D20"/>
    <w:rsid w:val="00261D4B"/>
    <w:rsid w:val="00261D5F"/>
    <w:rsid w:val="00261F19"/>
    <w:rsid w:val="00261F1F"/>
    <w:rsid w:val="00261F7D"/>
    <w:rsid w:val="00261F82"/>
    <w:rsid w:val="00262004"/>
    <w:rsid w:val="00262023"/>
    <w:rsid w:val="00262028"/>
    <w:rsid w:val="00262038"/>
    <w:rsid w:val="00262052"/>
    <w:rsid w:val="00262065"/>
    <w:rsid w:val="002620C3"/>
    <w:rsid w:val="002620CB"/>
    <w:rsid w:val="002620DF"/>
    <w:rsid w:val="002620E5"/>
    <w:rsid w:val="002620E6"/>
    <w:rsid w:val="002620F4"/>
    <w:rsid w:val="00262132"/>
    <w:rsid w:val="0026217D"/>
    <w:rsid w:val="002621EF"/>
    <w:rsid w:val="00262287"/>
    <w:rsid w:val="00262298"/>
    <w:rsid w:val="002622C6"/>
    <w:rsid w:val="0026235D"/>
    <w:rsid w:val="002623D2"/>
    <w:rsid w:val="002623E1"/>
    <w:rsid w:val="00262468"/>
    <w:rsid w:val="002624C3"/>
    <w:rsid w:val="002624D6"/>
    <w:rsid w:val="00262592"/>
    <w:rsid w:val="00262597"/>
    <w:rsid w:val="002625AA"/>
    <w:rsid w:val="002625BA"/>
    <w:rsid w:val="002625F2"/>
    <w:rsid w:val="002626CC"/>
    <w:rsid w:val="00262757"/>
    <w:rsid w:val="002627A6"/>
    <w:rsid w:val="00262827"/>
    <w:rsid w:val="0026285C"/>
    <w:rsid w:val="002628A2"/>
    <w:rsid w:val="0026292B"/>
    <w:rsid w:val="0026298C"/>
    <w:rsid w:val="002629DD"/>
    <w:rsid w:val="00262A5D"/>
    <w:rsid w:val="00262AC5"/>
    <w:rsid w:val="00262AD2"/>
    <w:rsid w:val="00262AD5"/>
    <w:rsid w:val="00262B12"/>
    <w:rsid w:val="00262B22"/>
    <w:rsid w:val="00262B31"/>
    <w:rsid w:val="00262BCF"/>
    <w:rsid w:val="00262C15"/>
    <w:rsid w:val="00262CA3"/>
    <w:rsid w:val="00262CF8"/>
    <w:rsid w:val="00262CF9"/>
    <w:rsid w:val="00262D43"/>
    <w:rsid w:val="00262D44"/>
    <w:rsid w:val="00262DB4"/>
    <w:rsid w:val="00262E18"/>
    <w:rsid w:val="00262E41"/>
    <w:rsid w:val="00262EDC"/>
    <w:rsid w:val="00262F06"/>
    <w:rsid w:val="00262F60"/>
    <w:rsid w:val="00262F69"/>
    <w:rsid w:val="00262FB3"/>
    <w:rsid w:val="00262FC4"/>
    <w:rsid w:val="00262FDE"/>
    <w:rsid w:val="00262FE9"/>
    <w:rsid w:val="00263078"/>
    <w:rsid w:val="00263079"/>
    <w:rsid w:val="00263192"/>
    <w:rsid w:val="002631B5"/>
    <w:rsid w:val="00263209"/>
    <w:rsid w:val="00263316"/>
    <w:rsid w:val="00263319"/>
    <w:rsid w:val="002633B9"/>
    <w:rsid w:val="00263403"/>
    <w:rsid w:val="0026345B"/>
    <w:rsid w:val="002634D6"/>
    <w:rsid w:val="00263506"/>
    <w:rsid w:val="00263571"/>
    <w:rsid w:val="002635F5"/>
    <w:rsid w:val="002635FB"/>
    <w:rsid w:val="0026364A"/>
    <w:rsid w:val="0026367A"/>
    <w:rsid w:val="00263707"/>
    <w:rsid w:val="0026370B"/>
    <w:rsid w:val="00263767"/>
    <w:rsid w:val="0026376A"/>
    <w:rsid w:val="002637C2"/>
    <w:rsid w:val="0026384E"/>
    <w:rsid w:val="00263883"/>
    <w:rsid w:val="002638A4"/>
    <w:rsid w:val="002638A7"/>
    <w:rsid w:val="002638B8"/>
    <w:rsid w:val="002638F7"/>
    <w:rsid w:val="00263919"/>
    <w:rsid w:val="0026393D"/>
    <w:rsid w:val="00263959"/>
    <w:rsid w:val="00263997"/>
    <w:rsid w:val="00263999"/>
    <w:rsid w:val="00263A0F"/>
    <w:rsid w:val="00263AC2"/>
    <w:rsid w:val="00263B0B"/>
    <w:rsid w:val="00263B29"/>
    <w:rsid w:val="00263B55"/>
    <w:rsid w:val="00263B6C"/>
    <w:rsid w:val="00263B7B"/>
    <w:rsid w:val="00263C17"/>
    <w:rsid w:val="00263C60"/>
    <w:rsid w:val="00263C6F"/>
    <w:rsid w:val="00263CBF"/>
    <w:rsid w:val="00263CE6"/>
    <w:rsid w:val="00263D87"/>
    <w:rsid w:val="00263DEB"/>
    <w:rsid w:val="00263E29"/>
    <w:rsid w:val="00263EA1"/>
    <w:rsid w:val="00263EB0"/>
    <w:rsid w:val="00263EB9"/>
    <w:rsid w:val="00263ED3"/>
    <w:rsid w:val="00263F16"/>
    <w:rsid w:val="00263F43"/>
    <w:rsid w:val="00263F72"/>
    <w:rsid w:val="0026402C"/>
    <w:rsid w:val="002640C3"/>
    <w:rsid w:val="002640CD"/>
    <w:rsid w:val="00264115"/>
    <w:rsid w:val="00264117"/>
    <w:rsid w:val="002641A0"/>
    <w:rsid w:val="002641B5"/>
    <w:rsid w:val="00264286"/>
    <w:rsid w:val="0026429D"/>
    <w:rsid w:val="0026429F"/>
    <w:rsid w:val="00264339"/>
    <w:rsid w:val="00264457"/>
    <w:rsid w:val="002644CE"/>
    <w:rsid w:val="002644FB"/>
    <w:rsid w:val="00264511"/>
    <w:rsid w:val="002645FB"/>
    <w:rsid w:val="0026463E"/>
    <w:rsid w:val="0026466E"/>
    <w:rsid w:val="00264672"/>
    <w:rsid w:val="002646CA"/>
    <w:rsid w:val="00264712"/>
    <w:rsid w:val="0026472B"/>
    <w:rsid w:val="00264743"/>
    <w:rsid w:val="00264850"/>
    <w:rsid w:val="00264863"/>
    <w:rsid w:val="0026487E"/>
    <w:rsid w:val="002648C7"/>
    <w:rsid w:val="0026490D"/>
    <w:rsid w:val="0026496F"/>
    <w:rsid w:val="00264997"/>
    <w:rsid w:val="002649F3"/>
    <w:rsid w:val="00264ABB"/>
    <w:rsid w:val="00264AE7"/>
    <w:rsid w:val="00264C48"/>
    <w:rsid w:val="00264C4E"/>
    <w:rsid w:val="00264C75"/>
    <w:rsid w:val="00264C7B"/>
    <w:rsid w:val="00264C85"/>
    <w:rsid w:val="00264CFA"/>
    <w:rsid w:val="00264D02"/>
    <w:rsid w:val="00264D2C"/>
    <w:rsid w:val="00264D98"/>
    <w:rsid w:val="00264DCD"/>
    <w:rsid w:val="00264F13"/>
    <w:rsid w:val="00264F72"/>
    <w:rsid w:val="00264FF4"/>
    <w:rsid w:val="00265021"/>
    <w:rsid w:val="0026506E"/>
    <w:rsid w:val="00265082"/>
    <w:rsid w:val="002650B0"/>
    <w:rsid w:val="002650BC"/>
    <w:rsid w:val="002650DB"/>
    <w:rsid w:val="002650FE"/>
    <w:rsid w:val="00265103"/>
    <w:rsid w:val="00265211"/>
    <w:rsid w:val="0026523A"/>
    <w:rsid w:val="00265284"/>
    <w:rsid w:val="002652C9"/>
    <w:rsid w:val="002652E1"/>
    <w:rsid w:val="002653BB"/>
    <w:rsid w:val="002653DC"/>
    <w:rsid w:val="00265467"/>
    <w:rsid w:val="00265478"/>
    <w:rsid w:val="002654B1"/>
    <w:rsid w:val="00265565"/>
    <w:rsid w:val="0026557D"/>
    <w:rsid w:val="0026559F"/>
    <w:rsid w:val="0026575D"/>
    <w:rsid w:val="002657D3"/>
    <w:rsid w:val="00265822"/>
    <w:rsid w:val="00265889"/>
    <w:rsid w:val="002658B6"/>
    <w:rsid w:val="0026597C"/>
    <w:rsid w:val="00265985"/>
    <w:rsid w:val="00265A11"/>
    <w:rsid w:val="00265B0A"/>
    <w:rsid w:val="00265B48"/>
    <w:rsid w:val="00265BAB"/>
    <w:rsid w:val="00265BB0"/>
    <w:rsid w:val="00265BF6"/>
    <w:rsid w:val="00265C4F"/>
    <w:rsid w:val="00265CFC"/>
    <w:rsid w:val="00265CFD"/>
    <w:rsid w:val="00265D47"/>
    <w:rsid w:val="00265D93"/>
    <w:rsid w:val="00265E2E"/>
    <w:rsid w:val="00265E45"/>
    <w:rsid w:val="00265EB4"/>
    <w:rsid w:val="00265F8E"/>
    <w:rsid w:val="00266068"/>
    <w:rsid w:val="002660B7"/>
    <w:rsid w:val="002660D5"/>
    <w:rsid w:val="0026612C"/>
    <w:rsid w:val="002661A6"/>
    <w:rsid w:val="00266208"/>
    <w:rsid w:val="00266213"/>
    <w:rsid w:val="00266217"/>
    <w:rsid w:val="0026621A"/>
    <w:rsid w:val="00266284"/>
    <w:rsid w:val="0026633F"/>
    <w:rsid w:val="00266351"/>
    <w:rsid w:val="00266424"/>
    <w:rsid w:val="0026647F"/>
    <w:rsid w:val="00266500"/>
    <w:rsid w:val="00266585"/>
    <w:rsid w:val="002665AB"/>
    <w:rsid w:val="00266637"/>
    <w:rsid w:val="00266666"/>
    <w:rsid w:val="00266674"/>
    <w:rsid w:val="002666A5"/>
    <w:rsid w:val="00266708"/>
    <w:rsid w:val="0026673A"/>
    <w:rsid w:val="00266768"/>
    <w:rsid w:val="0026677F"/>
    <w:rsid w:val="00266785"/>
    <w:rsid w:val="002668C3"/>
    <w:rsid w:val="002669B0"/>
    <w:rsid w:val="002669E0"/>
    <w:rsid w:val="00266AC7"/>
    <w:rsid w:val="00266B11"/>
    <w:rsid w:val="00266B6D"/>
    <w:rsid w:val="00266BD8"/>
    <w:rsid w:val="00266D41"/>
    <w:rsid w:val="00266E13"/>
    <w:rsid w:val="00266E62"/>
    <w:rsid w:val="00266E7F"/>
    <w:rsid w:val="00266F04"/>
    <w:rsid w:val="00266F47"/>
    <w:rsid w:val="00266F55"/>
    <w:rsid w:val="00267092"/>
    <w:rsid w:val="002670D9"/>
    <w:rsid w:val="002670F6"/>
    <w:rsid w:val="00267119"/>
    <w:rsid w:val="00267128"/>
    <w:rsid w:val="00267131"/>
    <w:rsid w:val="00267163"/>
    <w:rsid w:val="002671C0"/>
    <w:rsid w:val="002671E6"/>
    <w:rsid w:val="00267207"/>
    <w:rsid w:val="00267329"/>
    <w:rsid w:val="002674C6"/>
    <w:rsid w:val="00267508"/>
    <w:rsid w:val="00267593"/>
    <w:rsid w:val="002675DA"/>
    <w:rsid w:val="002675EA"/>
    <w:rsid w:val="00267661"/>
    <w:rsid w:val="00267740"/>
    <w:rsid w:val="00267846"/>
    <w:rsid w:val="00267894"/>
    <w:rsid w:val="002678A0"/>
    <w:rsid w:val="002678AD"/>
    <w:rsid w:val="002678CF"/>
    <w:rsid w:val="00267909"/>
    <w:rsid w:val="0026792D"/>
    <w:rsid w:val="0026793A"/>
    <w:rsid w:val="00267A22"/>
    <w:rsid w:val="00267A23"/>
    <w:rsid w:val="00267A3F"/>
    <w:rsid w:val="00267A5E"/>
    <w:rsid w:val="00267B1A"/>
    <w:rsid w:val="00267B37"/>
    <w:rsid w:val="00267B91"/>
    <w:rsid w:val="00267C35"/>
    <w:rsid w:val="00267C46"/>
    <w:rsid w:val="00267C82"/>
    <w:rsid w:val="00267C91"/>
    <w:rsid w:val="00267D79"/>
    <w:rsid w:val="00267DB0"/>
    <w:rsid w:val="00267DB7"/>
    <w:rsid w:val="00267DC8"/>
    <w:rsid w:val="00267E28"/>
    <w:rsid w:val="00267E5F"/>
    <w:rsid w:val="00267EA5"/>
    <w:rsid w:val="00267F06"/>
    <w:rsid w:val="00267F16"/>
    <w:rsid w:val="00267F9B"/>
    <w:rsid w:val="00270037"/>
    <w:rsid w:val="0027003B"/>
    <w:rsid w:val="0027003F"/>
    <w:rsid w:val="0027005F"/>
    <w:rsid w:val="00270093"/>
    <w:rsid w:val="002700E1"/>
    <w:rsid w:val="0027010B"/>
    <w:rsid w:val="00270192"/>
    <w:rsid w:val="002702D3"/>
    <w:rsid w:val="00270307"/>
    <w:rsid w:val="00270317"/>
    <w:rsid w:val="0027036E"/>
    <w:rsid w:val="00270395"/>
    <w:rsid w:val="002703BB"/>
    <w:rsid w:val="00270463"/>
    <w:rsid w:val="00270520"/>
    <w:rsid w:val="00270569"/>
    <w:rsid w:val="0027058A"/>
    <w:rsid w:val="002705D2"/>
    <w:rsid w:val="002705F6"/>
    <w:rsid w:val="0027061C"/>
    <w:rsid w:val="00270680"/>
    <w:rsid w:val="00270690"/>
    <w:rsid w:val="0027069B"/>
    <w:rsid w:val="00270787"/>
    <w:rsid w:val="002707DC"/>
    <w:rsid w:val="002707EC"/>
    <w:rsid w:val="002707F2"/>
    <w:rsid w:val="002707F4"/>
    <w:rsid w:val="00270838"/>
    <w:rsid w:val="00270851"/>
    <w:rsid w:val="0027089B"/>
    <w:rsid w:val="002708B1"/>
    <w:rsid w:val="00270946"/>
    <w:rsid w:val="0027099A"/>
    <w:rsid w:val="00270A00"/>
    <w:rsid w:val="00270A22"/>
    <w:rsid w:val="00270A95"/>
    <w:rsid w:val="00270AA3"/>
    <w:rsid w:val="00270B87"/>
    <w:rsid w:val="00270BAF"/>
    <w:rsid w:val="00270BB6"/>
    <w:rsid w:val="00270C51"/>
    <w:rsid w:val="00270C60"/>
    <w:rsid w:val="00270C7B"/>
    <w:rsid w:val="00270CDB"/>
    <w:rsid w:val="00270D43"/>
    <w:rsid w:val="00270D94"/>
    <w:rsid w:val="00270DA7"/>
    <w:rsid w:val="00270DAC"/>
    <w:rsid w:val="00270ECB"/>
    <w:rsid w:val="00270ECE"/>
    <w:rsid w:val="00270F15"/>
    <w:rsid w:val="00270F2D"/>
    <w:rsid w:val="0027101E"/>
    <w:rsid w:val="00271035"/>
    <w:rsid w:val="00271049"/>
    <w:rsid w:val="0027104C"/>
    <w:rsid w:val="002711E0"/>
    <w:rsid w:val="00271204"/>
    <w:rsid w:val="0027125C"/>
    <w:rsid w:val="0027127B"/>
    <w:rsid w:val="002712B7"/>
    <w:rsid w:val="002712C1"/>
    <w:rsid w:val="002712EF"/>
    <w:rsid w:val="002712FC"/>
    <w:rsid w:val="00271334"/>
    <w:rsid w:val="00271337"/>
    <w:rsid w:val="00271380"/>
    <w:rsid w:val="00271428"/>
    <w:rsid w:val="00271442"/>
    <w:rsid w:val="002714D0"/>
    <w:rsid w:val="0027159D"/>
    <w:rsid w:val="002716F1"/>
    <w:rsid w:val="00271763"/>
    <w:rsid w:val="0027176D"/>
    <w:rsid w:val="002717AA"/>
    <w:rsid w:val="00271883"/>
    <w:rsid w:val="00271886"/>
    <w:rsid w:val="00271912"/>
    <w:rsid w:val="002719A9"/>
    <w:rsid w:val="002719B0"/>
    <w:rsid w:val="002719F3"/>
    <w:rsid w:val="002719FD"/>
    <w:rsid w:val="00271A04"/>
    <w:rsid w:val="00271A11"/>
    <w:rsid w:val="00271A4D"/>
    <w:rsid w:val="00271A83"/>
    <w:rsid w:val="00271A89"/>
    <w:rsid w:val="00271AF4"/>
    <w:rsid w:val="00271B3C"/>
    <w:rsid w:val="00271BA6"/>
    <w:rsid w:val="00271C25"/>
    <w:rsid w:val="00271C76"/>
    <w:rsid w:val="00271D0D"/>
    <w:rsid w:val="00271D96"/>
    <w:rsid w:val="00271DB7"/>
    <w:rsid w:val="00271E0C"/>
    <w:rsid w:val="00271E28"/>
    <w:rsid w:val="00271EC5"/>
    <w:rsid w:val="00271F3F"/>
    <w:rsid w:val="00271FC7"/>
    <w:rsid w:val="00272024"/>
    <w:rsid w:val="00272087"/>
    <w:rsid w:val="002720E8"/>
    <w:rsid w:val="002720EC"/>
    <w:rsid w:val="002720F0"/>
    <w:rsid w:val="0027210B"/>
    <w:rsid w:val="00272121"/>
    <w:rsid w:val="002721CB"/>
    <w:rsid w:val="002721ED"/>
    <w:rsid w:val="002721F3"/>
    <w:rsid w:val="00272239"/>
    <w:rsid w:val="002722C0"/>
    <w:rsid w:val="00272348"/>
    <w:rsid w:val="00272355"/>
    <w:rsid w:val="00272497"/>
    <w:rsid w:val="0027263E"/>
    <w:rsid w:val="00272690"/>
    <w:rsid w:val="00272713"/>
    <w:rsid w:val="002727EE"/>
    <w:rsid w:val="002728E1"/>
    <w:rsid w:val="00272929"/>
    <w:rsid w:val="00272939"/>
    <w:rsid w:val="002729D4"/>
    <w:rsid w:val="00272A65"/>
    <w:rsid w:val="00272A6D"/>
    <w:rsid w:val="00272B38"/>
    <w:rsid w:val="00272BAC"/>
    <w:rsid w:val="00272BB0"/>
    <w:rsid w:val="00272C8B"/>
    <w:rsid w:val="00272C8D"/>
    <w:rsid w:val="00272CA9"/>
    <w:rsid w:val="00272D65"/>
    <w:rsid w:val="00272D8E"/>
    <w:rsid w:val="00272D98"/>
    <w:rsid w:val="00272DEA"/>
    <w:rsid w:val="00272E32"/>
    <w:rsid w:val="00272ED0"/>
    <w:rsid w:val="00272EE4"/>
    <w:rsid w:val="00272F67"/>
    <w:rsid w:val="00272F73"/>
    <w:rsid w:val="00272F89"/>
    <w:rsid w:val="00272FD6"/>
    <w:rsid w:val="00272FE8"/>
    <w:rsid w:val="002730C8"/>
    <w:rsid w:val="002730CD"/>
    <w:rsid w:val="00273123"/>
    <w:rsid w:val="00273199"/>
    <w:rsid w:val="00273203"/>
    <w:rsid w:val="0027325F"/>
    <w:rsid w:val="0027329F"/>
    <w:rsid w:val="00273311"/>
    <w:rsid w:val="002734CC"/>
    <w:rsid w:val="002734EA"/>
    <w:rsid w:val="002735AF"/>
    <w:rsid w:val="002735D9"/>
    <w:rsid w:val="00273749"/>
    <w:rsid w:val="002737BF"/>
    <w:rsid w:val="0027381C"/>
    <w:rsid w:val="00273856"/>
    <w:rsid w:val="00273868"/>
    <w:rsid w:val="002738D1"/>
    <w:rsid w:val="002738EA"/>
    <w:rsid w:val="00273908"/>
    <w:rsid w:val="00273926"/>
    <w:rsid w:val="002739D3"/>
    <w:rsid w:val="002739E1"/>
    <w:rsid w:val="00273A57"/>
    <w:rsid w:val="00273A6F"/>
    <w:rsid w:val="00273AE3"/>
    <w:rsid w:val="00273B05"/>
    <w:rsid w:val="00273BC3"/>
    <w:rsid w:val="00273C5A"/>
    <w:rsid w:val="00273CA3"/>
    <w:rsid w:val="00273E7E"/>
    <w:rsid w:val="00273E96"/>
    <w:rsid w:val="00273E9F"/>
    <w:rsid w:val="00273EAA"/>
    <w:rsid w:val="00273F27"/>
    <w:rsid w:val="00273F80"/>
    <w:rsid w:val="00273F98"/>
    <w:rsid w:val="00273FAD"/>
    <w:rsid w:val="00274096"/>
    <w:rsid w:val="00274138"/>
    <w:rsid w:val="00274140"/>
    <w:rsid w:val="0027419C"/>
    <w:rsid w:val="002741C5"/>
    <w:rsid w:val="00274247"/>
    <w:rsid w:val="00274269"/>
    <w:rsid w:val="002742DD"/>
    <w:rsid w:val="002742F7"/>
    <w:rsid w:val="0027436B"/>
    <w:rsid w:val="0027437C"/>
    <w:rsid w:val="002743D8"/>
    <w:rsid w:val="0027440E"/>
    <w:rsid w:val="00274467"/>
    <w:rsid w:val="0027448D"/>
    <w:rsid w:val="002744CA"/>
    <w:rsid w:val="0027465B"/>
    <w:rsid w:val="00274663"/>
    <w:rsid w:val="002746C3"/>
    <w:rsid w:val="00274749"/>
    <w:rsid w:val="00274788"/>
    <w:rsid w:val="0027478F"/>
    <w:rsid w:val="002747AA"/>
    <w:rsid w:val="002747EC"/>
    <w:rsid w:val="002747F9"/>
    <w:rsid w:val="00274834"/>
    <w:rsid w:val="00274881"/>
    <w:rsid w:val="0027497E"/>
    <w:rsid w:val="002749B7"/>
    <w:rsid w:val="002749F6"/>
    <w:rsid w:val="00274B2F"/>
    <w:rsid w:val="00274B50"/>
    <w:rsid w:val="00274BCA"/>
    <w:rsid w:val="00274C04"/>
    <w:rsid w:val="00274C8C"/>
    <w:rsid w:val="00274D38"/>
    <w:rsid w:val="00274D52"/>
    <w:rsid w:val="00274D8E"/>
    <w:rsid w:val="00274DCF"/>
    <w:rsid w:val="00274DDD"/>
    <w:rsid w:val="00274E55"/>
    <w:rsid w:val="00274EA0"/>
    <w:rsid w:val="00274F3E"/>
    <w:rsid w:val="00274F86"/>
    <w:rsid w:val="00274FA1"/>
    <w:rsid w:val="00275002"/>
    <w:rsid w:val="0027502E"/>
    <w:rsid w:val="00275039"/>
    <w:rsid w:val="0027508B"/>
    <w:rsid w:val="00275151"/>
    <w:rsid w:val="00275246"/>
    <w:rsid w:val="00275301"/>
    <w:rsid w:val="00275324"/>
    <w:rsid w:val="0027535A"/>
    <w:rsid w:val="002753B3"/>
    <w:rsid w:val="002753BB"/>
    <w:rsid w:val="002754C1"/>
    <w:rsid w:val="002754DA"/>
    <w:rsid w:val="0027553D"/>
    <w:rsid w:val="00275565"/>
    <w:rsid w:val="0027559A"/>
    <w:rsid w:val="002755C0"/>
    <w:rsid w:val="002755F4"/>
    <w:rsid w:val="0027566F"/>
    <w:rsid w:val="002756A5"/>
    <w:rsid w:val="00275746"/>
    <w:rsid w:val="00275759"/>
    <w:rsid w:val="002757D9"/>
    <w:rsid w:val="002757EE"/>
    <w:rsid w:val="002757F5"/>
    <w:rsid w:val="0027583B"/>
    <w:rsid w:val="00275846"/>
    <w:rsid w:val="00275871"/>
    <w:rsid w:val="0027590B"/>
    <w:rsid w:val="00275A32"/>
    <w:rsid w:val="00275AB8"/>
    <w:rsid w:val="00275ACB"/>
    <w:rsid w:val="00275B11"/>
    <w:rsid w:val="00275B80"/>
    <w:rsid w:val="00275B8E"/>
    <w:rsid w:val="00275BE7"/>
    <w:rsid w:val="00275CF4"/>
    <w:rsid w:val="00275D77"/>
    <w:rsid w:val="00275E3B"/>
    <w:rsid w:val="00275E89"/>
    <w:rsid w:val="00275EA2"/>
    <w:rsid w:val="00275EC7"/>
    <w:rsid w:val="00275ED3"/>
    <w:rsid w:val="00275EDC"/>
    <w:rsid w:val="00275F40"/>
    <w:rsid w:val="00276018"/>
    <w:rsid w:val="00276059"/>
    <w:rsid w:val="0027614E"/>
    <w:rsid w:val="0027617F"/>
    <w:rsid w:val="00276217"/>
    <w:rsid w:val="00276239"/>
    <w:rsid w:val="002762CE"/>
    <w:rsid w:val="002762E7"/>
    <w:rsid w:val="0027634A"/>
    <w:rsid w:val="0027636C"/>
    <w:rsid w:val="0027637F"/>
    <w:rsid w:val="002763A2"/>
    <w:rsid w:val="002763F4"/>
    <w:rsid w:val="002764FB"/>
    <w:rsid w:val="002765D5"/>
    <w:rsid w:val="0027661B"/>
    <w:rsid w:val="00276640"/>
    <w:rsid w:val="0027668A"/>
    <w:rsid w:val="00276694"/>
    <w:rsid w:val="002766BC"/>
    <w:rsid w:val="00276756"/>
    <w:rsid w:val="002767D7"/>
    <w:rsid w:val="00276820"/>
    <w:rsid w:val="00276849"/>
    <w:rsid w:val="00276857"/>
    <w:rsid w:val="0027685D"/>
    <w:rsid w:val="0027687D"/>
    <w:rsid w:val="00276889"/>
    <w:rsid w:val="0027691B"/>
    <w:rsid w:val="00276947"/>
    <w:rsid w:val="002769FB"/>
    <w:rsid w:val="00276A2C"/>
    <w:rsid w:val="00276A2D"/>
    <w:rsid w:val="00276A3E"/>
    <w:rsid w:val="00276A84"/>
    <w:rsid w:val="00276A89"/>
    <w:rsid w:val="00276B49"/>
    <w:rsid w:val="00276CE4"/>
    <w:rsid w:val="00276D37"/>
    <w:rsid w:val="00276D86"/>
    <w:rsid w:val="00276E5F"/>
    <w:rsid w:val="00276ED2"/>
    <w:rsid w:val="00276EDA"/>
    <w:rsid w:val="00276EE5"/>
    <w:rsid w:val="00276FA3"/>
    <w:rsid w:val="00276FC0"/>
    <w:rsid w:val="00276FD5"/>
    <w:rsid w:val="00277027"/>
    <w:rsid w:val="0027712E"/>
    <w:rsid w:val="00277133"/>
    <w:rsid w:val="002772C1"/>
    <w:rsid w:val="002773C7"/>
    <w:rsid w:val="002773C9"/>
    <w:rsid w:val="00277440"/>
    <w:rsid w:val="002774C9"/>
    <w:rsid w:val="002774F7"/>
    <w:rsid w:val="0027757C"/>
    <w:rsid w:val="00277580"/>
    <w:rsid w:val="002775B0"/>
    <w:rsid w:val="002775CC"/>
    <w:rsid w:val="00277604"/>
    <w:rsid w:val="00277686"/>
    <w:rsid w:val="00277752"/>
    <w:rsid w:val="002777D5"/>
    <w:rsid w:val="0027782A"/>
    <w:rsid w:val="002778CA"/>
    <w:rsid w:val="00277938"/>
    <w:rsid w:val="0027794E"/>
    <w:rsid w:val="00277A16"/>
    <w:rsid w:val="00277A53"/>
    <w:rsid w:val="00277A63"/>
    <w:rsid w:val="00277B57"/>
    <w:rsid w:val="00277B58"/>
    <w:rsid w:val="00277C9E"/>
    <w:rsid w:val="00277CF8"/>
    <w:rsid w:val="00277D03"/>
    <w:rsid w:val="00277D22"/>
    <w:rsid w:val="00277D96"/>
    <w:rsid w:val="00277D97"/>
    <w:rsid w:val="00277D9F"/>
    <w:rsid w:val="00277DF8"/>
    <w:rsid w:val="00277E0F"/>
    <w:rsid w:val="00277EB5"/>
    <w:rsid w:val="00277EC2"/>
    <w:rsid w:val="00277F51"/>
    <w:rsid w:val="00277FDA"/>
    <w:rsid w:val="00277FEB"/>
    <w:rsid w:val="00280041"/>
    <w:rsid w:val="00280045"/>
    <w:rsid w:val="0028005C"/>
    <w:rsid w:val="0028029F"/>
    <w:rsid w:val="002802BD"/>
    <w:rsid w:val="002802CE"/>
    <w:rsid w:val="002802D7"/>
    <w:rsid w:val="00280357"/>
    <w:rsid w:val="002804AE"/>
    <w:rsid w:val="002804D4"/>
    <w:rsid w:val="002804E9"/>
    <w:rsid w:val="0028053C"/>
    <w:rsid w:val="002805CD"/>
    <w:rsid w:val="002805D0"/>
    <w:rsid w:val="00280629"/>
    <w:rsid w:val="00280702"/>
    <w:rsid w:val="00280718"/>
    <w:rsid w:val="00280836"/>
    <w:rsid w:val="0028085A"/>
    <w:rsid w:val="00280893"/>
    <w:rsid w:val="002808C9"/>
    <w:rsid w:val="002808EF"/>
    <w:rsid w:val="0028090E"/>
    <w:rsid w:val="002809DE"/>
    <w:rsid w:val="00280A01"/>
    <w:rsid w:val="00280A0D"/>
    <w:rsid w:val="00280A27"/>
    <w:rsid w:val="00280AC7"/>
    <w:rsid w:val="00280ADE"/>
    <w:rsid w:val="00280B27"/>
    <w:rsid w:val="00280B37"/>
    <w:rsid w:val="00280B66"/>
    <w:rsid w:val="00280B7D"/>
    <w:rsid w:val="00280B8B"/>
    <w:rsid w:val="00280BB3"/>
    <w:rsid w:val="00280C14"/>
    <w:rsid w:val="00280C90"/>
    <w:rsid w:val="00280CD4"/>
    <w:rsid w:val="00280CDC"/>
    <w:rsid w:val="00280D38"/>
    <w:rsid w:val="00280DDC"/>
    <w:rsid w:val="00280E01"/>
    <w:rsid w:val="00280E75"/>
    <w:rsid w:val="00280E80"/>
    <w:rsid w:val="00280E98"/>
    <w:rsid w:val="00280FB5"/>
    <w:rsid w:val="0028101B"/>
    <w:rsid w:val="00281046"/>
    <w:rsid w:val="002810F4"/>
    <w:rsid w:val="002811A6"/>
    <w:rsid w:val="002811F4"/>
    <w:rsid w:val="002811F5"/>
    <w:rsid w:val="00281220"/>
    <w:rsid w:val="00281269"/>
    <w:rsid w:val="0028136E"/>
    <w:rsid w:val="002813B6"/>
    <w:rsid w:val="00281501"/>
    <w:rsid w:val="00281578"/>
    <w:rsid w:val="002815FB"/>
    <w:rsid w:val="002815FC"/>
    <w:rsid w:val="0028170B"/>
    <w:rsid w:val="002817C3"/>
    <w:rsid w:val="0028180E"/>
    <w:rsid w:val="0028183B"/>
    <w:rsid w:val="002818AE"/>
    <w:rsid w:val="002818C2"/>
    <w:rsid w:val="00281904"/>
    <w:rsid w:val="00281929"/>
    <w:rsid w:val="00281983"/>
    <w:rsid w:val="002819C4"/>
    <w:rsid w:val="00281A69"/>
    <w:rsid w:val="00281A86"/>
    <w:rsid w:val="00281AA0"/>
    <w:rsid w:val="00281ADB"/>
    <w:rsid w:val="00281B31"/>
    <w:rsid w:val="00281B83"/>
    <w:rsid w:val="00281B87"/>
    <w:rsid w:val="00281BD0"/>
    <w:rsid w:val="00281BF8"/>
    <w:rsid w:val="00281C27"/>
    <w:rsid w:val="00281C95"/>
    <w:rsid w:val="00281C9D"/>
    <w:rsid w:val="00281CAE"/>
    <w:rsid w:val="00281D23"/>
    <w:rsid w:val="00281D92"/>
    <w:rsid w:val="00281DE6"/>
    <w:rsid w:val="00281DED"/>
    <w:rsid w:val="00281F5C"/>
    <w:rsid w:val="00281F78"/>
    <w:rsid w:val="00281F99"/>
    <w:rsid w:val="00282032"/>
    <w:rsid w:val="0028205E"/>
    <w:rsid w:val="002820A1"/>
    <w:rsid w:val="002820E3"/>
    <w:rsid w:val="002820F0"/>
    <w:rsid w:val="00282117"/>
    <w:rsid w:val="00282174"/>
    <w:rsid w:val="0028229C"/>
    <w:rsid w:val="002822EA"/>
    <w:rsid w:val="002822F2"/>
    <w:rsid w:val="00282319"/>
    <w:rsid w:val="00282334"/>
    <w:rsid w:val="002823A3"/>
    <w:rsid w:val="002823EE"/>
    <w:rsid w:val="002823F8"/>
    <w:rsid w:val="00282435"/>
    <w:rsid w:val="002824FF"/>
    <w:rsid w:val="0028255C"/>
    <w:rsid w:val="0028256A"/>
    <w:rsid w:val="00282599"/>
    <w:rsid w:val="002825D3"/>
    <w:rsid w:val="0028261B"/>
    <w:rsid w:val="00282686"/>
    <w:rsid w:val="002826C4"/>
    <w:rsid w:val="002826FB"/>
    <w:rsid w:val="00282715"/>
    <w:rsid w:val="00282742"/>
    <w:rsid w:val="00282803"/>
    <w:rsid w:val="0028283D"/>
    <w:rsid w:val="002828CD"/>
    <w:rsid w:val="002828DA"/>
    <w:rsid w:val="00282919"/>
    <w:rsid w:val="00282975"/>
    <w:rsid w:val="002829F3"/>
    <w:rsid w:val="00282A05"/>
    <w:rsid w:val="00282A0D"/>
    <w:rsid w:val="00282A54"/>
    <w:rsid w:val="00282A85"/>
    <w:rsid w:val="00282ACF"/>
    <w:rsid w:val="00282B57"/>
    <w:rsid w:val="00282C00"/>
    <w:rsid w:val="00282C1A"/>
    <w:rsid w:val="00282C2F"/>
    <w:rsid w:val="00282C9E"/>
    <w:rsid w:val="00282D2C"/>
    <w:rsid w:val="00282DA9"/>
    <w:rsid w:val="00282DF9"/>
    <w:rsid w:val="00282E04"/>
    <w:rsid w:val="00282FB2"/>
    <w:rsid w:val="00282FCC"/>
    <w:rsid w:val="0028300D"/>
    <w:rsid w:val="00283076"/>
    <w:rsid w:val="0028316F"/>
    <w:rsid w:val="00283188"/>
    <w:rsid w:val="00283199"/>
    <w:rsid w:val="002831A0"/>
    <w:rsid w:val="002831BD"/>
    <w:rsid w:val="00283220"/>
    <w:rsid w:val="0028327D"/>
    <w:rsid w:val="0028329C"/>
    <w:rsid w:val="002832B3"/>
    <w:rsid w:val="002832D1"/>
    <w:rsid w:val="002832F0"/>
    <w:rsid w:val="00283317"/>
    <w:rsid w:val="00283383"/>
    <w:rsid w:val="00283500"/>
    <w:rsid w:val="00283507"/>
    <w:rsid w:val="0028350D"/>
    <w:rsid w:val="0028365A"/>
    <w:rsid w:val="00283663"/>
    <w:rsid w:val="00283698"/>
    <w:rsid w:val="002836D0"/>
    <w:rsid w:val="00283723"/>
    <w:rsid w:val="002837BC"/>
    <w:rsid w:val="002837DE"/>
    <w:rsid w:val="0028380A"/>
    <w:rsid w:val="0028384F"/>
    <w:rsid w:val="00283897"/>
    <w:rsid w:val="002838AD"/>
    <w:rsid w:val="002838C4"/>
    <w:rsid w:val="002838D2"/>
    <w:rsid w:val="002838F0"/>
    <w:rsid w:val="00283921"/>
    <w:rsid w:val="00283978"/>
    <w:rsid w:val="0028397B"/>
    <w:rsid w:val="00283A04"/>
    <w:rsid w:val="00283A64"/>
    <w:rsid w:val="00283A66"/>
    <w:rsid w:val="00283AC3"/>
    <w:rsid w:val="00283B04"/>
    <w:rsid w:val="00283B81"/>
    <w:rsid w:val="00283BE4"/>
    <w:rsid w:val="00283BE9"/>
    <w:rsid w:val="00283C49"/>
    <w:rsid w:val="00283D49"/>
    <w:rsid w:val="00283DA9"/>
    <w:rsid w:val="00283DCF"/>
    <w:rsid w:val="00283EC9"/>
    <w:rsid w:val="00283FEF"/>
    <w:rsid w:val="002840EC"/>
    <w:rsid w:val="002840EE"/>
    <w:rsid w:val="00284175"/>
    <w:rsid w:val="002841D6"/>
    <w:rsid w:val="0028429D"/>
    <w:rsid w:val="00284308"/>
    <w:rsid w:val="00284391"/>
    <w:rsid w:val="00284438"/>
    <w:rsid w:val="002844D5"/>
    <w:rsid w:val="0028455E"/>
    <w:rsid w:val="002845BD"/>
    <w:rsid w:val="00284641"/>
    <w:rsid w:val="00284691"/>
    <w:rsid w:val="002846B1"/>
    <w:rsid w:val="002846DE"/>
    <w:rsid w:val="002847E6"/>
    <w:rsid w:val="002847EE"/>
    <w:rsid w:val="00284862"/>
    <w:rsid w:val="0028491D"/>
    <w:rsid w:val="00284997"/>
    <w:rsid w:val="00284A01"/>
    <w:rsid w:val="00284A65"/>
    <w:rsid w:val="00284A72"/>
    <w:rsid w:val="00284AB5"/>
    <w:rsid w:val="00284AC7"/>
    <w:rsid w:val="00284AD0"/>
    <w:rsid w:val="00284B0A"/>
    <w:rsid w:val="00284B1B"/>
    <w:rsid w:val="00284B36"/>
    <w:rsid w:val="00284C0A"/>
    <w:rsid w:val="00284C4E"/>
    <w:rsid w:val="00284C7A"/>
    <w:rsid w:val="00284D27"/>
    <w:rsid w:val="00284D83"/>
    <w:rsid w:val="00284E1C"/>
    <w:rsid w:val="00284E66"/>
    <w:rsid w:val="00284EAC"/>
    <w:rsid w:val="00284EB8"/>
    <w:rsid w:val="00284ED8"/>
    <w:rsid w:val="00285048"/>
    <w:rsid w:val="00285062"/>
    <w:rsid w:val="00285094"/>
    <w:rsid w:val="0028510B"/>
    <w:rsid w:val="002851B3"/>
    <w:rsid w:val="002851C5"/>
    <w:rsid w:val="002851D2"/>
    <w:rsid w:val="0028524F"/>
    <w:rsid w:val="00285263"/>
    <w:rsid w:val="002853FA"/>
    <w:rsid w:val="00285409"/>
    <w:rsid w:val="00285497"/>
    <w:rsid w:val="002854FF"/>
    <w:rsid w:val="00285526"/>
    <w:rsid w:val="0028558A"/>
    <w:rsid w:val="002855AD"/>
    <w:rsid w:val="002855E6"/>
    <w:rsid w:val="00285656"/>
    <w:rsid w:val="002856BE"/>
    <w:rsid w:val="0028576B"/>
    <w:rsid w:val="00285784"/>
    <w:rsid w:val="002857AF"/>
    <w:rsid w:val="0028584D"/>
    <w:rsid w:val="002858BD"/>
    <w:rsid w:val="002858CD"/>
    <w:rsid w:val="00285921"/>
    <w:rsid w:val="00285940"/>
    <w:rsid w:val="00285959"/>
    <w:rsid w:val="00285969"/>
    <w:rsid w:val="00285988"/>
    <w:rsid w:val="00285A89"/>
    <w:rsid w:val="00285B29"/>
    <w:rsid w:val="00285B34"/>
    <w:rsid w:val="00285B6B"/>
    <w:rsid w:val="00285B81"/>
    <w:rsid w:val="00285BE1"/>
    <w:rsid w:val="00285C0F"/>
    <w:rsid w:val="00285C93"/>
    <w:rsid w:val="00285D29"/>
    <w:rsid w:val="00285D8C"/>
    <w:rsid w:val="00285DE9"/>
    <w:rsid w:val="00285E20"/>
    <w:rsid w:val="00285E3D"/>
    <w:rsid w:val="00285E68"/>
    <w:rsid w:val="00285E72"/>
    <w:rsid w:val="00285E7C"/>
    <w:rsid w:val="00285EE2"/>
    <w:rsid w:val="00285FA9"/>
    <w:rsid w:val="00285FB4"/>
    <w:rsid w:val="00285FB5"/>
    <w:rsid w:val="0028600A"/>
    <w:rsid w:val="00286025"/>
    <w:rsid w:val="002860AE"/>
    <w:rsid w:val="002860CD"/>
    <w:rsid w:val="00286104"/>
    <w:rsid w:val="0028611B"/>
    <w:rsid w:val="002861B4"/>
    <w:rsid w:val="00286261"/>
    <w:rsid w:val="00286274"/>
    <w:rsid w:val="002862C5"/>
    <w:rsid w:val="002862F9"/>
    <w:rsid w:val="0028649B"/>
    <w:rsid w:val="002864B5"/>
    <w:rsid w:val="002864EB"/>
    <w:rsid w:val="00286559"/>
    <w:rsid w:val="0028656D"/>
    <w:rsid w:val="00286571"/>
    <w:rsid w:val="00286574"/>
    <w:rsid w:val="00286588"/>
    <w:rsid w:val="002865B5"/>
    <w:rsid w:val="002865C7"/>
    <w:rsid w:val="002865C8"/>
    <w:rsid w:val="002865CE"/>
    <w:rsid w:val="002865D4"/>
    <w:rsid w:val="002866CB"/>
    <w:rsid w:val="002866F8"/>
    <w:rsid w:val="00286758"/>
    <w:rsid w:val="002867F8"/>
    <w:rsid w:val="0028680C"/>
    <w:rsid w:val="002868D3"/>
    <w:rsid w:val="002868E6"/>
    <w:rsid w:val="00286926"/>
    <w:rsid w:val="00286964"/>
    <w:rsid w:val="00286A22"/>
    <w:rsid w:val="00286A2D"/>
    <w:rsid w:val="00286A5E"/>
    <w:rsid w:val="00286A65"/>
    <w:rsid w:val="00286AE7"/>
    <w:rsid w:val="00286B5D"/>
    <w:rsid w:val="00286B95"/>
    <w:rsid w:val="00286BDA"/>
    <w:rsid w:val="00286BFE"/>
    <w:rsid w:val="00286C6B"/>
    <w:rsid w:val="00286D33"/>
    <w:rsid w:val="00286D67"/>
    <w:rsid w:val="00286E1C"/>
    <w:rsid w:val="00286F10"/>
    <w:rsid w:val="0028707E"/>
    <w:rsid w:val="002870B2"/>
    <w:rsid w:val="002870D8"/>
    <w:rsid w:val="0028718B"/>
    <w:rsid w:val="00287221"/>
    <w:rsid w:val="00287257"/>
    <w:rsid w:val="00287340"/>
    <w:rsid w:val="00287384"/>
    <w:rsid w:val="002873A9"/>
    <w:rsid w:val="002873B4"/>
    <w:rsid w:val="002873C3"/>
    <w:rsid w:val="00287479"/>
    <w:rsid w:val="00287493"/>
    <w:rsid w:val="002874B8"/>
    <w:rsid w:val="0028754A"/>
    <w:rsid w:val="00287559"/>
    <w:rsid w:val="0028756C"/>
    <w:rsid w:val="002875C7"/>
    <w:rsid w:val="0028763B"/>
    <w:rsid w:val="0028763F"/>
    <w:rsid w:val="0028775D"/>
    <w:rsid w:val="0028778F"/>
    <w:rsid w:val="002877D6"/>
    <w:rsid w:val="00287842"/>
    <w:rsid w:val="002878B7"/>
    <w:rsid w:val="002879AC"/>
    <w:rsid w:val="00287A00"/>
    <w:rsid w:val="00287A49"/>
    <w:rsid w:val="00287A56"/>
    <w:rsid w:val="00287A6A"/>
    <w:rsid w:val="00287B00"/>
    <w:rsid w:val="00287B73"/>
    <w:rsid w:val="00287B9D"/>
    <w:rsid w:val="00287BC0"/>
    <w:rsid w:val="00287C08"/>
    <w:rsid w:val="00287C26"/>
    <w:rsid w:val="00287C2C"/>
    <w:rsid w:val="00287D6E"/>
    <w:rsid w:val="00287DC1"/>
    <w:rsid w:val="00287DC2"/>
    <w:rsid w:val="00287E11"/>
    <w:rsid w:val="00287E12"/>
    <w:rsid w:val="00287EA8"/>
    <w:rsid w:val="00287ED6"/>
    <w:rsid w:val="00287F56"/>
    <w:rsid w:val="00287F5A"/>
    <w:rsid w:val="00287F85"/>
    <w:rsid w:val="00290031"/>
    <w:rsid w:val="00290040"/>
    <w:rsid w:val="0029009D"/>
    <w:rsid w:val="002900BC"/>
    <w:rsid w:val="002900E4"/>
    <w:rsid w:val="0029012F"/>
    <w:rsid w:val="00290130"/>
    <w:rsid w:val="0029018A"/>
    <w:rsid w:val="002901AE"/>
    <w:rsid w:val="0029021B"/>
    <w:rsid w:val="00290274"/>
    <w:rsid w:val="002902E5"/>
    <w:rsid w:val="00290323"/>
    <w:rsid w:val="00290333"/>
    <w:rsid w:val="0029033F"/>
    <w:rsid w:val="00290354"/>
    <w:rsid w:val="00290394"/>
    <w:rsid w:val="0029039C"/>
    <w:rsid w:val="0029040D"/>
    <w:rsid w:val="00290416"/>
    <w:rsid w:val="00290519"/>
    <w:rsid w:val="00290583"/>
    <w:rsid w:val="002905C1"/>
    <w:rsid w:val="002905D2"/>
    <w:rsid w:val="00290661"/>
    <w:rsid w:val="00290666"/>
    <w:rsid w:val="002906A7"/>
    <w:rsid w:val="002906B6"/>
    <w:rsid w:val="002906DB"/>
    <w:rsid w:val="002906E6"/>
    <w:rsid w:val="002906EB"/>
    <w:rsid w:val="002906F4"/>
    <w:rsid w:val="00290703"/>
    <w:rsid w:val="00290813"/>
    <w:rsid w:val="00290861"/>
    <w:rsid w:val="002908A6"/>
    <w:rsid w:val="00290A41"/>
    <w:rsid w:val="00290A58"/>
    <w:rsid w:val="00290A63"/>
    <w:rsid w:val="00290A64"/>
    <w:rsid w:val="00290AA8"/>
    <w:rsid w:val="00290AE4"/>
    <w:rsid w:val="00290B40"/>
    <w:rsid w:val="00290BB4"/>
    <w:rsid w:val="00290D3F"/>
    <w:rsid w:val="00290D44"/>
    <w:rsid w:val="00290D70"/>
    <w:rsid w:val="00290D97"/>
    <w:rsid w:val="00290E1D"/>
    <w:rsid w:val="00290E23"/>
    <w:rsid w:val="00290E4C"/>
    <w:rsid w:val="00290F75"/>
    <w:rsid w:val="00290F95"/>
    <w:rsid w:val="00290FE4"/>
    <w:rsid w:val="00291001"/>
    <w:rsid w:val="00291017"/>
    <w:rsid w:val="00291031"/>
    <w:rsid w:val="00291073"/>
    <w:rsid w:val="0029121B"/>
    <w:rsid w:val="0029126C"/>
    <w:rsid w:val="00291377"/>
    <w:rsid w:val="002914BA"/>
    <w:rsid w:val="002914E2"/>
    <w:rsid w:val="0029150E"/>
    <w:rsid w:val="002915A8"/>
    <w:rsid w:val="00291602"/>
    <w:rsid w:val="002916BC"/>
    <w:rsid w:val="002916D4"/>
    <w:rsid w:val="002917DE"/>
    <w:rsid w:val="002917FB"/>
    <w:rsid w:val="00291804"/>
    <w:rsid w:val="0029189A"/>
    <w:rsid w:val="002918D5"/>
    <w:rsid w:val="002919F3"/>
    <w:rsid w:val="00291A6A"/>
    <w:rsid w:val="00291A6C"/>
    <w:rsid w:val="00291A9E"/>
    <w:rsid w:val="00291AD5"/>
    <w:rsid w:val="00291B3B"/>
    <w:rsid w:val="00291B55"/>
    <w:rsid w:val="00291B90"/>
    <w:rsid w:val="00291C0B"/>
    <w:rsid w:val="00291C95"/>
    <w:rsid w:val="00291CB9"/>
    <w:rsid w:val="00291D46"/>
    <w:rsid w:val="00291DCB"/>
    <w:rsid w:val="00291DF3"/>
    <w:rsid w:val="00291E2E"/>
    <w:rsid w:val="00291EFC"/>
    <w:rsid w:val="00291FF6"/>
    <w:rsid w:val="0029208B"/>
    <w:rsid w:val="00292250"/>
    <w:rsid w:val="00292291"/>
    <w:rsid w:val="00292304"/>
    <w:rsid w:val="0029237E"/>
    <w:rsid w:val="00292409"/>
    <w:rsid w:val="00292416"/>
    <w:rsid w:val="00292452"/>
    <w:rsid w:val="00292453"/>
    <w:rsid w:val="002924C3"/>
    <w:rsid w:val="002924D1"/>
    <w:rsid w:val="002925C7"/>
    <w:rsid w:val="00292649"/>
    <w:rsid w:val="00292655"/>
    <w:rsid w:val="00292683"/>
    <w:rsid w:val="00292692"/>
    <w:rsid w:val="002926D8"/>
    <w:rsid w:val="002926E3"/>
    <w:rsid w:val="00292711"/>
    <w:rsid w:val="00292769"/>
    <w:rsid w:val="0029277E"/>
    <w:rsid w:val="002927CB"/>
    <w:rsid w:val="002927DA"/>
    <w:rsid w:val="00292882"/>
    <w:rsid w:val="0029288E"/>
    <w:rsid w:val="0029290A"/>
    <w:rsid w:val="00292966"/>
    <w:rsid w:val="00292993"/>
    <w:rsid w:val="002929AC"/>
    <w:rsid w:val="00292A13"/>
    <w:rsid w:val="00292A52"/>
    <w:rsid w:val="00292AB1"/>
    <w:rsid w:val="00292B6E"/>
    <w:rsid w:val="00292B7F"/>
    <w:rsid w:val="00292BEB"/>
    <w:rsid w:val="00292C40"/>
    <w:rsid w:val="00292DA2"/>
    <w:rsid w:val="00292E49"/>
    <w:rsid w:val="00292EAA"/>
    <w:rsid w:val="00292FAF"/>
    <w:rsid w:val="0029300A"/>
    <w:rsid w:val="00293015"/>
    <w:rsid w:val="00293024"/>
    <w:rsid w:val="0029307D"/>
    <w:rsid w:val="00293157"/>
    <w:rsid w:val="002931C3"/>
    <w:rsid w:val="00293235"/>
    <w:rsid w:val="0029323E"/>
    <w:rsid w:val="0029326C"/>
    <w:rsid w:val="0029326F"/>
    <w:rsid w:val="00293296"/>
    <w:rsid w:val="00293317"/>
    <w:rsid w:val="002933B7"/>
    <w:rsid w:val="002933DA"/>
    <w:rsid w:val="002933FC"/>
    <w:rsid w:val="0029342E"/>
    <w:rsid w:val="00293430"/>
    <w:rsid w:val="00293446"/>
    <w:rsid w:val="0029344F"/>
    <w:rsid w:val="00293473"/>
    <w:rsid w:val="0029355D"/>
    <w:rsid w:val="0029361E"/>
    <w:rsid w:val="0029363D"/>
    <w:rsid w:val="00293655"/>
    <w:rsid w:val="00293657"/>
    <w:rsid w:val="00293675"/>
    <w:rsid w:val="002936D5"/>
    <w:rsid w:val="002936E6"/>
    <w:rsid w:val="002936FE"/>
    <w:rsid w:val="0029371C"/>
    <w:rsid w:val="00293758"/>
    <w:rsid w:val="0029376A"/>
    <w:rsid w:val="0029388B"/>
    <w:rsid w:val="00293919"/>
    <w:rsid w:val="0029395C"/>
    <w:rsid w:val="002939C2"/>
    <w:rsid w:val="00293A15"/>
    <w:rsid w:val="00293AE7"/>
    <w:rsid w:val="00293B7B"/>
    <w:rsid w:val="00293B84"/>
    <w:rsid w:val="00293B97"/>
    <w:rsid w:val="00293BA1"/>
    <w:rsid w:val="00293BCE"/>
    <w:rsid w:val="00293BFA"/>
    <w:rsid w:val="00293C3C"/>
    <w:rsid w:val="00293C9E"/>
    <w:rsid w:val="00293CEF"/>
    <w:rsid w:val="00293D07"/>
    <w:rsid w:val="00293D4B"/>
    <w:rsid w:val="00293D54"/>
    <w:rsid w:val="00293DEC"/>
    <w:rsid w:val="00293E8B"/>
    <w:rsid w:val="00293E95"/>
    <w:rsid w:val="00293ECA"/>
    <w:rsid w:val="00293F51"/>
    <w:rsid w:val="0029403E"/>
    <w:rsid w:val="00294096"/>
    <w:rsid w:val="002940B0"/>
    <w:rsid w:val="002940CF"/>
    <w:rsid w:val="002941BA"/>
    <w:rsid w:val="002941D7"/>
    <w:rsid w:val="002941FE"/>
    <w:rsid w:val="0029420B"/>
    <w:rsid w:val="0029424E"/>
    <w:rsid w:val="002942B7"/>
    <w:rsid w:val="002942CF"/>
    <w:rsid w:val="002942DF"/>
    <w:rsid w:val="00294311"/>
    <w:rsid w:val="002943EF"/>
    <w:rsid w:val="0029451B"/>
    <w:rsid w:val="00294539"/>
    <w:rsid w:val="00294555"/>
    <w:rsid w:val="002945A8"/>
    <w:rsid w:val="002945CE"/>
    <w:rsid w:val="002945F0"/>
    <w:rsid w:val="00294626"/>
    <w:rsid w:val="00294654"/>
    <w:rsid w:val="002946BE"/>
    <w:rsid w:val="00294702"/>
    <w:rsid w:val="0029471E"/>
    <w:rsid w:val="002947C2"/>
    <w:rsid w:val="002947D0"/>
    <w:rsid w:val="002947F7"/>
    <w:rsid w:val="00294814"/>
    <w:rsid w:val="0029493F"/>
    <w:rsid w:val="00294AF8"/>
    <w:rsid w:val="00294AFE"/>
    <w:rsid w:val="00294BF8"/>
    <w:rsid w:val="00294C0C"/>
    <w:rsid w:val="00294C49"/>
    <w:rsid w:val="00294C5F"/>
    <w:rsid w:val="00294D1C"/>
    <w:rsid w:val="00294DEC"/>
    <w:rsid w:val="00294DF1"/>
    <w:rsid w:val="00294E82"/>
    <w:rsid w:val="00294E8C"/>
    <w:rsid w:val="00294E98"/>
    <w:rsid w:val="00294F6A"/>
    <w:rsid w:val="00294F74"/>
    <w:rsid w:val="00294FBE"/>
    <w:rsid w:val="00294FDC"/>
    <w:rsid w:val="00294FFB"/>
    <w:rsid w:val="00295041"/>
    <w:rsid w:val="00295079"/>
    <w:rsid w:val="0029516B"/>
    <w:rsid w:val="00295198"/>
    <w:rsid w:val="00295249"/>
    <w:rsid w:val="0029525A"/>
    <w:rsid w:val="00295277"/>
    <w:rsid w:val="0029528F"/>
    <w:rsid w:val="00295366"/>
    <w:rsid w:val="002953A3"/>
    <w:rsid w:val="002953AD"/>
    <w:rsid w:val="002953E3"/>
    <w:rsid w:val="002954ED"/>
    <w:rsid w:val="002954FD"/>
    <w:rsid w:val="002955FA"/>
    <w:rsid w:val="00295647"/>
    <w:rsid w:val="002956A1"/>
    <w:rsid w:val="002956BA"/>
    <w:rsid w:val="0029578A"/>
    <w:rsid w:val="0029578C"/>
    <w:rsid w:val="002957BE"/>
    <w:rsid w:val="00295851"/>
    <w:rsid w:val="0029588A"/>
    <w:rsid w:val="002958C4"/>
    <w:rsid w:val="002959F0"/>
    <w:rsid w:val="00295A09"/>
    <w:rsid w:val="00295A24"/>
    <w:rsid w:val="00295A83"/>
    <w:rsid w:val="00295B30"/>
    <w:rsid w:val="00295B68"/>
    <w:rsid w:val="00295B78"/>
    <w:rsid w:val="00295BBF"/>
    <w:rsid w:val="00295C19"/>
    <w:rsid w:val="00295C92"/>
    <w:rsid w:val="00295CDD"/>
    <w:rsid w:val="00295D8B"/>
    <w:rsid w:val="00295E03"/>
    <w:rsid w:val="00295E55"/>
    <w:rsid w:val="00295EA1"/>
    <w:rsid w:val="00295EFB"/>
    <w:rsid w:val="00296097"/>
    <w:rsid w:val="00296100"/>
    <w:rsid w:val="0029610B"/>
    <w:rsid w:val="00296172"/>
    <w:rsid w:val="002961B0"/>
    <w:rsid w:val="002961CB"/>
    <w:rsid w:val="0029621E"/>
    <w:rsid w:val="00296265"/>
    <w:rsid w:val="00296268"/>
    <w:rsid w:val="002962E7"/>
    <w:rsid w:val="0029635E"/>
    <w:rsid w:val="002963BA"/>
    <w:rsid w:val="002963D7"/>
    <w:rsid w:val="00296417"/>
    <w:rsid w:val="002964CF"/>
    <w:rsid w:val="002964DC"/>
    <w:rsid w:val="002964E8"/>
    <w:rsid w:val="002965C4"/>
    <w:rsid w:val="002965D2"/>
    <w:rsid w:val="00296686"/>
    <w:rsid w:val="00296814"/>
    <w:rsid w:val="0029685D"/>
    <w:rsid w:val="002968C4"/>
    <w:rsid w:val="00296937"/>
    <w:rsid w:val="00296AAE"/>
    <w:rsid w:val="00296AD4"/>
    <w:rsid w:val="00296B73"/>
    <w:rsid w:val="00296B91"/>
    <w:rsid w:val="00296B9A"/>
    <w:rsid w:val="00296C28"/>
    <w:rsid w:val="00296C68"/>
    <w:rsid w:val="00296C7E"/>
    <w:rsid w:val="00296C8B"/>
    <w:rsid w:val="00296C99"/>
    <w:rsid w:val="00296CCB"/>
    <w:rsid w:val="00296D1E"/>
    <w:rsid w:val="00296D40"/>
    <w:rsid w:val="00296D53"/>
    <w:rsid w:val="00296D7F"/>
    <w:rsid w:val="00296DB5"/>
    <w:rsid w:val="00296DD8"/>
    <w:rsid w:val="00296E3F"/>
    <w:rsid w:val="00296EB2"/>
    <w:rsid w:val="00296F25"/>
    <w:rsid w:val="00296F5B"/>
    <w:rsid w:val="00296F6D"/>
    <w:rsid w:val="00296F8B"/>
    <w:rsid w:val="00296FE4"/>
    <w:rsid w:val="00297098"/>
    <w:rsid w:val="002970CE"/>
    <w:rsid w:val="002970D5"/>
    <w:rsid w:val="002970E1"/>
    <w:rsid w:val="002970ED"/>
    <w:rsid w:val="00297100"/>
    <w:rsid w:val="00297210"/>
    <w:rsid w:val="00297251"/>
    <w:rsid w:val="00297276"/>
    <w:rsid w:val="00297354"/>
    <w:rsid w:val="0029736A"/>
    <w:rsid w:val="0029736B"/>
    <w:rsid w:val="002973E0"/>
    <w:rsid w:val="0029740D"/>
    <w:rsid w:val="00297475"/>
    <w:rsid w:val="0029749E"/>
    <w:rsid w:val="002974AD"/>
    <w:rsid w:val="002974E6"/>
    <w:rsid w:val="00297562"/>
    <w:rsid w:val="002976B6"/>
    <w:rsid w:val="0029773E"/>
    <w:rsid w:val="0029775C"/>
    <w:rsid w:val="002977A2"/>
    <w:rsid w:val="002977FD"/>
    <w:rsid w:val="00297859"/>
    <w:rsid w:val="00297999"/>
    <w:rsid w:val="00297A16"/>
    <w:rsid w:val="00297AA7"/>
    <w:rsid w:val="00297AE2"/>
    <w:rsid w:val="00297B83"/>
    <w:rsid w:val="00297B91"/>
    <w:rsid w:val="00297BF2"/>
    <w:rsid w:val="00297BF6"/>
    <w:rsid w:val="00297C1E"/>
    <w:rsid w:val="00297C34"/>
    <w:rsid w:val="00297C89"/>
    <w:rsid w:val="00297CC6"/>
    <w:rsid w:val="00297CF9"/>
    <w:rsid w:val="00297D96"/>
    <w:rsid w:val="00297E59"/>
    <w:rsid w:val="00297FF8"/>
    <w:rsid w:val="002A0011"/>
    <w:rsid w:val="002A0021"/>
    <w:rsid w:val="002A002A"/>
    <w:rsid w:val="002A0049"/>
    <w:rsid w:val="002A0063"/>
    <w:rsid w:val="002A008C"/>
    <w:rsid w:val="002A00F0"/>
    <w:rsid w:val="002A014E"/>
    <w:rsid w:val="002A0193"/>
    <w:rsid w:val="002A019B"/>
    <w:rsid w:val="002A01B1"/>
    <w:rsid w:val="002A02B9"/>
    <w:rsid w:val="002A037B"/>
    <w:rsid w:val="002A05B0"/>
    <w:rsid w:val="002A06B2"/>
    <w:rsid w:val="002A06E6"/>
    <w:rsid w:val="002A0748"/>
    <w:rsid w:val="002A075C"/>
    <w:rsid w:val="002A0761"/>
    <w:rsid w:val="002A076F"/>
    <w:rsid w:val="002A07A5"/>
    <w:rsid w:val="002A07DF"/>
    <w:rsid w:val="002A07E0"/>
    <w:rsid w:val="002A07FD"/>
    <w:rsid w:val="002A0876"/>
    <w:rsid w:val="002A0900"/>
    <w:rsid w:val="002A0921"/>
    <w:rsid w:val="002A0928"/>
    <w:rsid w:val="002A0959"/>
    <w:rsid w:val="002A0AE3"/>
    <w:rsid w:val="002A0AFB"/>
    <w:rsid w:val="002A0B9A"/>
    <w:rsid w:val="002A0BA3"/>
    <w:rsid w:val="002A0C62"/>
    <w:rsid w:val="002A0CA6"/>
    <w:rsid w:val="002A0CE5"/>
    <w:rsid w:val="002A0D66"/>
    <w:rsid w:val="002A0D8B"/>
    <w:rsid w:val="002A0E10"/>
    <w:rsid w:val="002A0E7D"/>
    <w:rsid w:val="002A0E92"/>
    <w:rsid w:val="002A0EBB"/>
    <w:rsid w:val="002A0F32"/>
    <w:rsid w:val="002A0F76"/>
    <w:rsid w:val="002A106E"/>
    <w:rsid w:val="002A10CA"/>
    <w:rsid w:val="002A10E6"/>
    <w:rsid w:val="002A1240"/>
    <w:rsid w:val="002A1282"/>
    <w:rsid w:val="002A1337"/>
    <w:rsid w:val="002A142D"/>
    <w:rsid w:val="002A14B5"/>
    <w:rsid w:val="002A154A"/>
    <w:rsid w:val="002A15A3"/>
    <w:rsid w:val="002A15B8"/>
    <w:rsid w:val="002A162D"/>
    <w:rsid w:val="002A16A3"/>
    <w:rsid w:val="002A16AA"/>
    <w:rsid w:val="002A1781"/>
    <w:rsid w:val="002A1784"/>
    <w:rsid w:val="002A178C"/>
    <w:rsid w:val="002A17C7"/>
    <w:rsid w:val="002A1842"/>
    <w:rsid w:val="002A184A"/>
    <w:rsid w:val="002A18AF"/>
    <w:rsid w:val="002A18CC"/>
    <w:rsid w:val="002A194B"/>
    <w:rsid w:val="002A1975"/>
    <w:rsid w:val="002A198F"/>
    <w:rsid w:val="002A19AC"/>
    <w:rsid w:val="002A1A12"/>
    <w:rsid w:val="002A1A1F"/>
    <w:rsid w:val="002A1A2A"/>
    <w:rsid w:val="002A1AFF"/>
    <w:rsid w:val="002A1BFD"/>
    <w:rsid w:val="002A1C41"/>
    <w:rsid w:val="002A1CF5"/>
    <w:rsid w:val="002A1D27"/>
    <w:rsid w:val="002A1D49"/>
    <w:rsid w:val="002A1E15"/>
    <w:rsid w:val="002A1E30"/>
    <w:rsid w:val="002A1E48"/>
    <w:rsid w:val="002A1E90"/>
    <w:rsid w:val="002A1F1A"/>
    <w:rsid w:val="002A1FC6"/>
    <w:rsid w:val="002A205B"/>
    <w:rsid w:val="002A2195"/>
    <w:rsid w:val="002A21B3"/>
    <w:rsid w:val="002A21E5"/>
    <w:rsid w:val="002A22D7"/>
    <w:rsid w:val="002A230E"/>
    <w:rsid w:val="002A2320"/>
    <w:rsid w:val="002A2322"/>
    <w:rsid w:val="002A235B"/>
    <w:rsid w:val="002A2466"/>
    <w:rsid w:val="002A2502"/>
    <w:rsid w:val="002A2572"/>
    <w:rsid w:val="002A2577"/>
    <w:rsid w:val="002A25CA"/>
    <w:rsid w:val="002A2648"/>
    <w:rsid w:val="002A2694"/>
    <w:rsid w:val="002A26DE"/>
    <w:rsid w:val="002A2758"/>
    <w:rsid w:val="002A277E"/>
    <w:rsid w:val="002A285F"/>
    <w:rsid w:val="002A290B"/>
    <w:rsid w:val="002A290D"/>
    <w:rsid w:val="002A295B"/>
    <w:rsid w:val="002A2976"/>
    <w:rsid w:val="002A2999"/>
    <w:rsid w:val="002A29E5"/>
    <w:rsid w:val="002A29F3"/>
    <w:rsid w:val="002A2A28"/>
    <w:rsid w:val="002A2B0F"/>
    <w:rsid w:val="002A2B9C"/>
    <w:rsid w:val="002A2BD9"/>
    <w:rsid w:val="002A2BFB"/>
    <w:rsid w:val="002A2BFC"/>
    <w:rsid w:val="002A2CCF"/>
    <w:rsid w:val="002A2D19"/>
    <w:rsid w:val="002A2D96"/>
    <w:rsid w:val="002A2E1B"/>
    <w:rsid w:val="002A2E26"/>
    <w:rsid w:val="002A2E6B"/>
    <w:rsid w:val="002A2E8F"/>
    <w:rsid w:val="002A2ECE"/>
    <w:rsid w:val="002A310D"/>
    <w:rsid w:val="002A319F"/>
    <w:rsid w:val="002A31F4"/>
    <w:rsid w:val="002A323F"/>
    <w:rsid w:val="002A327F"/>
    <w:rsid w:val="002A32E0"/>
    <w:rsid w:val="002A32EB"/>
    <w:rsid w:val="002A338C"/>
    <w:rsid w:val="002A342A"/>
    <w:rsid w:val="002A344C"/>
    <w:rsid w:val="002A34A6"/>
    <w:rsid w:val="002A34B7"/>
    <w:rsid w:val="002A34D3"/>
    <w:rsid w:val="002A34F0"/>
    <w:rsid w:val="002A3542"/>
    <w:rsid w:val="002A3563"/>
    <w:rsid w:val="002A35B4"/>
    <w:rsid w:val="002A3626"/>
    <w:rsid w:val="002A365B"/>
    <w:rsid w:val="002A36B6"/>
    <w:rsid w:val="002A36F4"/>
    <w:rsid w:val="002A374E"/>
    <w:rsid w:val="002A37C2"/>
    <w:rsid w:val="002A3821"/>
    <w:rsid w:val="002A3886"/>
    <w:rsid w:val="002A38E3"/>
    <w:rsid w:val="002A390A"/>
    <w:rsid w:val="002A39E3"/>
    <w:rsid w:val="002A3A1B"/>
    <w:rsid w:val="002A3A53"/>
    <w:rsid w:val="002A3A72"/>
    <w:rsid w:val="002A3A84"/>
    <w:rsid w:val="002A3B5D"/>
    <w:rsid w:val="002A3BAB"/>
    <w:rsid w:val="002A3BB2"/>
    <w:rsid w:val="002A3BCA"/>
    <w:rsid w:val="002A3BF4"/>
    <w:rsid w:val="002A3C35"/>
    <w:rsid w:val="002A3C6D"/>
    <w:rsid w:val="002A3C7E"/>
    <w:rsid w:val="002A3CDB"/>
    <w:rsid w:val="002A3D15"/>
    <w:rsid w:val="002A3D29"/>
    <w:rsid w:val="002A3D5E"/>
    <w:rsid w:val="002A3D88"/>
    <w:rsid w:val="002A3DA9"/>
    <w:rsid w:val="002A3DBA"/>
    <w:rsid w:val="002A3DCF"/>
    <w:rsid w:val="002A3DF8"/>
    <w:rsid w:val="002A3E6D"/>
    <w:rsid w:val="002A3EC2"/>
    <w:rsid w:val="002A3F02"/>
    <w:rsid w:val="002A3F2A"/>
    <w:rsid w:val="002A3F66"/>
    <w:rsid w:val="002A3F7B"/>
    <w:rsid w:val="002A3FAA"/>
    <w:rsid w:val="002A3FAE"/>
    <w:rsid w:val="002A3FDF"/>
    <w:rsid w:val="002A4033"/>
    <w:rsid w:val="002A4111"/>
    <w:rsid w:val="002A4146"/>
    <w:rsid w:val="002A4160"/>
    <w:rsid w:val="002A4178"/>
    <w:rsid w:val="002A41BC"/>
    <w:rsid w:val="002A41CC"/>
    <w:rsid w:val="002A41ED"/>
    <w:rsid w:val="002A422D"/>
    <w:rsid w:val="002A42AD"/>
    <w:rsid w:val="002A42B4"/>
    <w:rsid w:val="002A42C5"/>
    <w:rsid w:val="002A4459"/>
    <w:rsid w:val="002A446F"/>
    <w:rsid w:val="002A4558"/>
    <w:rsid w:val="002A45E5"/>
    <w:rsid w:val="002A4621"/>
    <w:rsid w:val="002A4635"/>
    <w:rsid w:val="002A4652"/>
    <w:rsid w:val="002A4666"/>
    <w:rsid w:val="002A46CD"/>
    <w:rsid w:val="002A46F1"/>
    <w:rsid w:val="002A4712"/>
    <w:rsid w:val="002A4756"/>
    <w:rsid w:val="002A477F"/>
    <w:rsid w:val="002A479B"/>
    <w:rsid w:val="002A47E7"/>
    <w:rsid w:val="002A489B"/>
    <w:rsid w:val="002A48BA"/>
    <w:rsid w:val="002A48D4"/>
    <w:rsid w:val="002A4917"/>
    <w:rsid w:val="002A493C"/>
    <w:rsid w:val="002A4955"/>
    <w:rsid w:val="002A49D4"/>
    <w:rsid w:val="002A4A11"/>
    <w:rsid w:val="002A4A6D"/>
    <w:rsid w:val="002A4B00"/>
    <w:rsid w:val="002A4B1C"/>
    <w:rsid w:val="002A4B24"/>
    <w:rsid w:val="002A4B47"/>
    <w:rsid w:val="002A4B56"/>
    <w:rsid w:val="002A4D0B"/>
    <w:rsid w:val="002A4D4A"/>
    <w:rsid w:val="002A4DD6"/>
    <w:rsid w:val="002A4DDF"/>
    <w:rsid w:val="002A4E66"/>
    <w:rsid w:val="002A4EAC"/>
    <w:rsid w:val="002A4FCB"/>
    <w:rsid w:val="002A5022"/>
    <w:rsid w:val="002A5044"/>
    <w:rsid w:val="002A5099"/>
    <w:rsid w:val="002A50C2"/>
    <w:rsid w:val="002A511B"/>
    <w:rsid w:val="002A5137"/>
    <w:rsid w:val="002A5138"/>
    <w:rsid w:val="002A5171"/>
    <w:rsid w:val="002A5194"/>
    <w:rsid w:val="002A51EA"/>
    <w:rsid w:val="002A5258"/>
    <w:rsid w:val="002A5276"/>
    <w:rsid w:val="002A52AC"/>
    <w:rsid w:val="002A530F"/>
    <w:rsid w:val="002A53B1"/>
    <w:rsid w:val="002A53DE"/>
    <w:rsid w:val="002A541A"/>
    <w:rsid w:val="002A5486"/>
    <w:rsid w:val="002A54B5"/>
    <w:rsid w:val="002A54C1"/>
    <w:rsid w:val="002A5568"/>
    <w:rsid w:val="002A561C"/>
    <w:rsid w:val="002A569F"/>
    <w:rsid w:val="002A56E1"/>
    <w:rsid w:val="002A56FF"/>
    <w:rsid w:val="002A571F"/>
    <w:rsid w:val="002A5797"/>
    <w:rsid w:val="002A58ED"/>
    <w:rsid w:val="002A59B9"/>
    <w:rsid w:val="002A5A3F"/>
    <w:rsid w:val="002A5A72"/>
    <w:rsid w:val="002A5A9A"/>
    <w:rsid w:val="002A5AF9"/>
    <w:rsid w:val="002A5B12"/>
    <w:rsid w:val="002A5B1F"/>
    <w:rsid w:val="002A5B4D"/>
    <w:rsid w:val="002A5BBA"/>
    <w:rsid w:val="002A5BCD"/>
    <w:rsid w:val="002A5C1E"/>
    <w:rsid w:val="002A5C89"/>
    <w:rsid w:val="002A5CB3"/>
    <w:rsid w:val="002A5D0A"/>
    <w:rsid w:val="002A5D0C"/>
    <w:rsid w:val="002A5D9C"/>
    <w:rsid w:val="002A5DC6"/>
    <w:rsid w:val="002A5E13"/>
    <w:rsid w:val="002A5E5A"/>
    <w:rsid w:val="002A5E87"/>
    <w:rsid w:val="002A5FDD"/>
    <w:rsid w:val="002A6016"/>
    <w:rsid w:val="002A6024"/>
    <w:rsid w:val="002A60C0"/>
    <w:rsid w:val="002A60D2"/>
    <w:rsid w:val="002A6110"/>
    <w:rsid w:val="002A6122"/>
    <w:rsid w:val="002A6127"/>
    <w:rsid w:val="002A612D"/>
    <w:rsid w:val="002A61ED"/>
    <w:rsid w:val="002A61F4"/>
    <w:rsid w:val="002A6232"/>
    <w:rsid w:val="002A62C9"/>
    <w:rsid w:val="002A631E"/>
    <w:rsid w:val="002A6343"/>
    <w:rsid w:val="002A6350"/>
    <w:rsid w:val="002A6362"/>
    <w:rsid w:val="002A63E8"/>
    <w:rsid w:val="002A6409"/>
    <w:rsid w:val="002A644D"/>
    <w:rsid w:val="002A64D2"/>
    <w:rsid w:val="002A6572"/>
    <w:rsid w:val="002A6627"/>
    <w:rsid w:val="002A6657"/>
    <w:rsid w:val="002A66E2"/>
    <w:rsid w:val="002A66F1"/>
    <w:rsid w:val="002A672A"/>
    <w:rsid w:val="002A673A"/>
    <w:rsid w:val="002A6756"/>
    <w:rsid w:val="002A67A4"/>
    <w:rsid w:val="002A67AA"/>
    <w:rsid w:val="002A6801"/>
    <w:rsid w:val="002A68E5"/>
    <w:rsid w:val="002A6973"/>
    <w:rsid w:val="002A6980"/>
    <w:rsid w:val="002A69C7"/>
    <w:rsid w:val="002A6A2C"/>
    <w:rsid w:val="002A6A5D"/>
    <w:rsid w:val="002A6A9A"/>
    <w:rsid w:val="002A6AC2"/>
    <w:rsid w:val="002A6AED"/>
    <w:rsid w:val="002A6B72"/>
    <w:rsid w:val="002A6B8B"/>
    <w:rsid w:val="002A6BC9"/>
    <w:rsid w:val="002A6BDC"/>
    <w:rsid w:val="002A6BEA"/>
    <w:rsid w:val="002A6D05"/>
    <w:rsid w:val="002A6D24"/>
    <w:rsid w:val="002A6D49"/>
    <w:rsid w:val="002A6DEF"/>
    <w:rsid w:val="002A6E74"/>
    <w:rsid w:val="002A6F1A"/>
    <w:rsid w:val="002A6F44"/>
    <w:rsid w:val="002A6F9D"/>
    <w:rsid w:val="002A6FAA"/>
    <w:rsid w:val="002A6FCE"/>
    <w:rsid w:val="002A6FDA"/>
    <w:rsid w:val="002A70A4"/>
    <w:rsid w:val="002A70C4"/>
    <w:rsid w:val="002A710B"/>
    <w:rsid w:val="002A711B"/>
    <w:rsid w:val="002A7145"/>
    <w:rsid w:val="002A728E"/>
    <w:rsid w:val="002A72DD"/>
    <w:rsid w:val="002A72E0"/>
    <w:rsid w:val="002A730F"/>
    <w:rsid w:val="002A734F"/>
    <w:rsid w:val="002A73BD"/>
    <w:rsid w:val="002A73D9"/>
    <w:rsid w:val="002A7413"/>
    <w:rsid w:val="002A74C8"/>
    <w:rsid w:val="002A74E7"/>
    <w:rsid w:val="002A74EF"/>
    <w:rsid w:val="002A74FC"/>
    <w:rsid w:val="002A7556"/>
    <w:rsid w:val="002A7587"/>
    <w:rsid w:val="002A75AB"/>
    <w:rsid w:val="002A75B6"/>
    <w:rsid w:val="002A75D0"/>
    <w:rsid w:val="002A765F"/>
    <w:rsid w:val="002A76F5"/>
    <w:rsid w:val="002A7731"/>
    <w:rsid w:val="002A773B"/>
    <w:rsid w:val="002A7791"/>
    <w:rsid w:val="002A78AC"/>
    <w:rsid w:val="002A7920"/>
    <w:rsid w:val="002A7A31"/>
    <w:rsid w:val="002A7A4F"/>
    <w:rsid w:val="002A7ABA"/>
    <w:rsid w:val="002A7AE3"/>
    <w:rsid w:val="002A7AE4"/>
    <w:rsid w:val="002A7B33"/>
    <w:rsid w:val="002A7BA9"/>
    <w:rsid w:val="002A7C3E"/>
    <w:rsid w:val="002A7D9C"/>
    <w:rsid w:val="002A7DC7"/>
    <w:rsid w:val="002A7E35"/>
    <w:rsid w:val="002A7E7D"/>
    <w:rsid w:val="002A7EF7"/>
    <w:rsid w:val="002A7F14"/>
    <w:rsid w:val="002A7F57"/>
    <w:rsid w:val="002A7F74"/>
    <w:rsid w:val="002A7FA7"/>
    <w:rsid w:val="002B001F"/>
    <w:rsid w:val="002B0044"/>
    <w:rsid w:val="002B0067"/>
    <w:rsid w:val="002B00B8"/>
    <w:rsid w:val="002B017D"/>
    <w:rsid w:val="002B01B8"/>
    <w:rsid w:val="002B0311"/>
    <w:rsid w:val="002B031E"/>
    <w:rsid w:val="002B0452"/>
    <w:rsid w:val="002B0458"/>
    <w:rsid w:val="002B0461"/>
    <w:rsid w:val="002B046A"/>
    <w:rsid w:val="002B04E3"/>
    <w:rsid w:val="002B0515"/>
    <w:rsid w:val="002B0533"/>
    <w:rsid w:val="002B05E4"/>
    <w:rsid w:val="002B0679"/>
    <w:rsid w:val="002B06AA"/>
    <w:rsid w:val="002B06D5"/>
    <w:rsid w:val="002B06FA"/>
    <w:rsid w:val="002B075C"/>
    <w:rsid w:val="002B07D9"/>
    <w:rsid w:val="002B082F"/>
    <w:rsid w:val="002B08A3"/>
    <w:rsid w:val="002B08CD"/>
    <w:rsid w:val="002B08F5"/>
    <w:rsid w:val="002B092F"/>
    <w:rsid w:val="002B0968"/>
    <w:rsid w:val="002B0976"/>
    <w:rsid w:val="002B098A"/>
    <w:rsid w:val="002B09DE"/>
    <w:rsid w:val="002B0A9D"/>
    <w:rsid w:val="002B0AA8"/>
    <w:rsid w:val="002B0B33"/>
    <w:rsid w:val="002B0BF9"/>
    <w:rsid w:val="002B0C12"/>
    <w:rsid w:val="002B0CA1"/>
    <w:rsid w:val="002B0D3A"/>
    <w:rsid w:val="002B0D60"/>
    <w:rsid w:val="002B0D61"/>
    <w:rsid w:val="002B0D94"/>
    <w:rsid w:val="002B0DF6"/>
    <w:rsid w:val="002B0E9D"/>
    <w:rsid w:val="002B0EF4"/>
    <w:rsid w:val="002B0F1F"/>
    <w:rsid w:val="002B0FEF"/>
    <w:rsid w:val="002B0FF4"/>
    <w:rsid w:val="002B108C"/>
    <w:rsid w:val="002B113D"/>
    <w:rsid w:val="002B119B"/>
    <w:rsid w:val="002B11BB"/>
    <w:rsid w:val="002B11D4"/>
    <w:rsid w:val="002B131E"/>
    <w:rsid w:val="002B1336"/>
    <w:rsid w:val="002B136E"/>
    <w:rsid w:val="002B13A3"/>
    <w:rsid w:val="002B13A6"/>
    <w:rsid w:val="002B1453"/>
    <w:rsid w:val="002B1462"/>
    <w:rsid w:val="002B14FF"/>
    <w:rsid w:val="002B1575"/>
    <w:rsid w:val="002B15E6"/>
    <w:rsid w:val="002B1619"/>
    <w:rsid w:val="002B16B1"/>
    <w:rsid w:val="002B16D4"/>
    <w:rsid w:val="002B174F"/>
    <w:rsid w:val="002B1750"/>
    <w:rsid w:val="002B1774"/>
    <w:rsid w:val="002B17DB"/>
    <w:rsid w:val="002B186B"/>
    <w:rsid w:val="002B186D"/>
    <w:rsid w:val="002B1894"/>
    <w:rsid w:val="002B189D"/>
    <w:rsid w:val="002B18B7"/>
    <w:rsid w:val="002B1938"/>
    <w:rsid w:val="002B1997"/>
    <w:rsid w:val="002B19B6"/>
    <w:rsid w:val="002B19F7"/>
    <w:rsid w:val="002B1A40"/>
    <w:rsid w:val="002B1A7F"/>
    <w:rsid w:val="002B1AAB"/>
    <w:rsid w:val="002B1AD0"/>
    <w:rsid w:val="002B1B6A"/>
    <w:rsid w:val="002B1C33"/>
    <w:rsid w:val="002B1C67"/>
    <w:rsid w:val="002B1C73"/>
    <w:rsid w:val="002B1CE1"/>
    <w:rsid w:val="002B1D39"/>
    <w:rsid w:val="002B1D9F"/>
    <w:rsid w:val="002B1DDB"/>
    <w:rsid w:val="002B1E77"/>
    <w:rsid w:val="002B1E81"/>
    <w:rsid w:val="002B1ED6"/>
    <w:rsid w:val="002B1F00"/>
    <w:rsid w:val="002B1F33"/>
    <w:rsid w:val="002B1F66"/>
    <w:rsid w:val="002B1FC1"/>
    <w:rsid w:val="002B1FE5"/>
    <w:rsid w:val="002B1FF4"/>
    <w:rsid w:val="002B204C"/>
    <w:rsid w:val="002B20C3"/>
    <w:rsid w:val="002B20D9"/>
    <w:rsid w:val="002B2247"/>
    <w:rsid w:val="002B2260"/>
    <w:rsid w:val="002B22B6"/>
    <w:rsid w:val="002B22D7"/>
    <w:rsid w:val="002B22DE"/>
    <w:rsid w:val="002B22FA"/>
    <w:rsid w:val="002B2414"/>
    <w:rsid w:val="002B2436"/>
    <w:rsid w:val="002B252D"/>
    <w:rsid w:val="002B2532"/>
    <w:rsid w:val="002B25DC"/>
    <w:rsid w:val="002B25EF"/>
    <w:rsid w:val="002B25FC"/>
    <w:rsid w:val="002B262F"/>
    <w:rsid w:val="002B263E"/>
    <w:rsid w:val="002B2673"/>
    <w:rsid w:val="002B26AB"/>
    <w:rsid w:val="002B26AF"/>
    <w:rsid w:val="002B26F1"/>
    <w:rsid w:val="002B2756"/>
    <w:rsid w:val="002B2781"/>
    <w:rsid w:val="002B27B1"/>
    <w:rsid w:val="002B27ED"/>
    <w:rsid w:val="002B27F7"/>
    <w:rsid w:val="002B27FF"/>
    <w:rsid w:val="002B2822"/>
    <w:rsid w:val="002B299B"/>
    <w:rsid w:val="002B29E2"/>
    <w:rsid w:val="002B29E9"/>
    <w:rsid w:val="002B2A08"/>
    <w:rsid w:val="002B2A28"/>
    <w:rsid w:val="002B2A76"/>
    <w:rsid w:val="002B2AD1"/>
    <w:rsid w:val="002B2AEA"/>
    <w:rsid w:val="002B2B88"/>
    <w:rsid w:val="002B2C6E"/>
    <w:rsid w:val="002B2C91"/>
    <w:rsid w:val="002B2D15"/>
    <w:rsid w:val="002B2D3F"/>
    <w:rsid w:val="002B2DAB"/>
    <w:rsid w:val="002B2DCD"/>
    <w:rsid w:val="002B2E2A"/>
    <w:rsid w:val="002B2F46"/>
    <w:rsid w:val="002B2F47"/>
    <w:rsid w:val="002B2F7F"/>
    <w:rsid w:val="002B2F9F"/>
    <w:rsid w:val="002B300B"/>
    <w:rsid w:val="002B3054"/>
    <w:rsid w:val="002B3092"/>
    <w:rsid w:val="002B30A5"/>
    <w:rsid w:val="002B318E"/>
    <w:rsid w:val="002B31E6"/>
    <w:rsid w:val="002B3234"/>
    <w:rsid w:val="002B323E"/>
    <w:rsid w:val="002B3332"/>
    <w:rsid w:val="002B33C7"/>
    <w:rsid w:val="002B3633"/>
    <w:rsid w:val="002B364E"/>
    <w:rsid w:val="002B3698"/>
    <w:rsid w:val="002B3705"/>
    <w:rsid w:val="002B3808"/>
    <w:rsid w:val="002B3829"/>
    <w:rsid w:val="002B3886"/>
    <w:rsid w:val="002B398C"/>
    <w:rsid w:val="002B3995"/>
    <w:rsid w:val="002B3A0F"/>
    <w:rsid w:val="002B3AC7"/>
    <w:rsid w:val="002B3B2A"/>
    <w:rsid w:val="002B3B2B"/>
    <w:rsid w:val="002B3B94"/>
    <w:rsid w:val="002B3BE2"/>
    <w:rsid w:val="002B3BE6"/>
    <w:rsid w:val="002B3C69"/>
    <w:rsid w:val="002B3CD8"/>
    <w:rsid w:val="002B3CDC"/>
    <w:rsid w:val="002B3CFB"/>
    <w:rsid w:val="002B3E31"/>
    <w:rsid w:val="002B3E42"/>
    <w:rsid w:val="002B3EA1"/>
    <w:rsid w:val="002B3F46"/>
    <w:rsid w:val="002B3F59"/>
    <w:rsid w:val="002B40C1"/>
    <w:rsid w:val="002B4104"/>
    <w:rsid w:val="002B4178"/>
    <w:rsid w:val="002B41EF"/>
    <w:rsid w:val="002B4233"/>
    <w:rsid w:val="002B4278"/>
    <w:rsid w:val="002B42AA"/>
    <w:rsid w:val="002B42D8"/>
    <w:rsid w:val="002B4337"/>
    <w:rsid w:val="002B4343"/>
    <w:rsid w:val="002B434D"/>
    <w:rsid w:val="002B43C2"/>
    <w:rsid w:val="002B43EF"/>
    <w:rsid w:val="002B449C"/>
    <w:rsid w:val="002B4502"/>
    <w:rsid w:val="002B450A"/>
    <w:rsid w:val="002B4512"/>
    <w:rsid w:val="002B4579"/>
    <w:rsid w:val="002B45E7"/>
    <w:rsid w:val="002B4608"/>
    <w:rsid w:val="002B47CE"/>
    <w:rsid w:val="002B4800"/>
    <w:rsid w:val="002B4839"/>
    <w:rsid w:val="002B4846"/>
    <w:rsid w:val="002B48B1"/>
    <w:rsid w:val="002B48E3"/>
    <w:rsid w:val="002B4903"/>
    <w:rsid w:val="002B4977"/>
    <w:rsid w:val="002B49CC"/>
    <w:rsid w:val="002B4A18"/>
    <w:rsid w:val="002B4A61"/>
    <w:rsid w:val="002B4AFD"/>
    <w:rsid w:val="002B4B2B"/>
    <w:rsid w:val="002B4B97"/>
    <w:rsid w:val="002B4B99"/>
    <w:rsid w:val="002B4DD9"/>
    <w:rsid w:val="002B4DF5"/>
    <w:rsid w:val="002B4E2C"/>
    <w:rsid w:val="002B4E81"/>
    <w:rsid w:val="002B4ECD"/>
    <w:rsid w:val="002B4EED"/>
    <w:rsid w:val="002B4F95"/>
    <w:rsid w:val="002B5041"/>
    <w:rsid w:val="002B50A5"/>
    <w:rsid w:val="002B50D4"/>
    <w:rsid w:val="002B5194"/>
    <w:rsid w:val="002B51AC"/>
    <w:rsid w:val="002B51B3"/>
    <w:rsid w:val="002B523B"/>
    <w:rsid w:val="002B5280"/>
    <w:rsid w:val="002B52FB"/>
    <w:rsid w:val="002B52FE"/>
    <w:rsid w:val="002B5321"/>
    <w:rsid w:val="002B537F"/>
    <w:rsid w:val="002B549A"/>
    <w:rsid w:val="002B5507"/>
    <w:rsid w:val="002B5648"/>
    <w:rsid w:val="002B5708"/>
    <w:rsid w:val="002B5796"/>
    <w:rsid w:val="002B57F6"/>
    <w:rsid w:val="002B5806"/>
    <w:rsid w:val="002B587A"/>
    <w:rsid w:val="002B5892"/>
    <w:rsid w:val="002B58EB"/>
    <w:rsid w:val="002B58EE"/>
    <w:rsid w:val="002B590E"/>
    <w:rsid w:val="002B59A5"/>
    <w:rsid w:val="002B59BA"/>
    <w:rsid w:val="002B59F6"/>
    <w:rsid w:val="002B5A70"/>
    <w:rsid w:val="002B5AD7"/>
    <w:rsid w:val="002B5B1D"/>
    <w:rsid w:val="002B5B29"/>
    <w:rsid w:val="002B5B3B"/>
    <w:rsid w:val="002B5B4B"/>
    <w:rsid w:val="002B5B7B"/>
    <w:rsid w:val="002B5C1C"/>
    <w:rsid w:val="002B5C55"/>
    <w:rsid w:val="002B5C77"/>
    <w:rsid w:val="002B5CA5"/>
    <w:rsid w:val="002B5CFF"/>
    <w:rsid w:val="002B5E8D"/>
    <w:rsid w:val="002B5E8E"/>
    <w:rsid w:val="002B5EC7"/>
    <w:rsid w:val="002B5ED3"/>
    <w:rsid w:val="002B5F45"/>
    <w:rsid w:val="002B60BC"/>
    <w:rsid w:val="002B60C5"/>
    <w:rsid w:val="002B6109"/>
    <w:rsid w:val="002B6185"/>
    <w:rsid w:val="002B61A4"/>
    <w:rsid w:val="002B61F6"/>
    <w:rsid w:val="002B61FE"/>
    <w:rsid w:val="002B6230"/>
    <w:rsid w:val="002B62C0"/>
    <w:rsid w:val="002B6365"/>
    <w:rsid w:val="002B6408"/>
    <w:rsid w:val="002B6429"/>
    <w:rsid w:val="002B6432"/>
    <w:rsid w:val="002B64F2"/>
    <w:rsid w:val="002B64FC"/>
    <w:rsid w:val="002B6543"/>
    <w:rsid w:val="002B6546"/>
    <w:rsid w:val="002B6588"/>
    <w:rsid w:val="002B65FF"/>
    <w:rsid w:val="002B661D"/>
    <w:rsid w:val="002B6666"/>
    <w:rsid w:val="002B6669"/>
    <w:rsid w:val="002B6743"/>
    <w:rsid w:val="002B6780"/>
    <w:rsid w:val="002B679E"/>
    <w:rsid w:val="002B67AD"/>
    <w:rsid w:val="002B6840"/>
    <w:rsid w:val="002B6889"/>
    <w:rsid w:val="002B6906"/>
    <w:rsid w:val="002B69BD"/>
    <w:rsid w:val="002B69C8"/>
    <w:rsid w:val="002B69F9"/>
    <w:rsid w:val="002B6AEC"/>
    <w:rsid w:val="002B6AF4"/>
    <w:rsid w:val="002B6B47"/>
    <w:rsid w:val="002B6B9E"/>
    <w:rsid w:val="002B6BD4"/>
    <w:rsid w:val="002B6C1A"/>
    <w:rsid w:val="002B6C38"/>
    <w:rsid w:val="002B6C8B"/>
    <w:rsid w:val="002B6CC2"/>
    <w:rsid w:val="002B6CCC"/>
    <w:rsid w:val="002B6CFA"/>
    <w:rsid w:val="002B6CFD"/>
    <w:rsid w:val="002B6D0B"/>
    <w:rsid w:val="002B6D46"/>
    <w:rsid w:val="002B6DBF"/>
    <w:rsid w:val="002B6DC0"/>
    <w:rsid w:val="002B6DFA"/>
    <w:rsid w:val="002B6E08"/>
    <w:rsid w:val="002B6E90"/>
    <w:rsid w:val="002B6EAE"/>
    <w:rsid w:val="002B6EB9"/>
    <w:rsid w:val="002B6EC2"/>
    <w:rsid w:val="002B6F19"/>
    <w:rsid w:val="002B6F54"/>
    <w:rsid w:val="002B6FBB"/>
    <w:rsid w:val="002B703B"/>
    <w:rsid w:val="002B7069"/>
    <w:rsid w:val="002B7072"/>
    <w:rsid w:val="002B70AF"/>
    <w:rsid w:val="002B7152"/>
    <w:rsid w:val="002B71D5"/>
    <w:rsid w:val="002B71DD"/>
    <w:rsid w:val="002B7249"/>
    <w:rsid w:val="002B7330"/>
    <w:rsid w:val="002B737E"/>
    <w:rsid w:val="002B737F"/>
    <w:rsid w:val="002B73B8"/>
    <w:rsid w:val="002B73CD"/>
    <w:rsid w:val="002B7400"/>
    <w:rsid w:val="002B7538"/>
    <w:rsid w:val="002B7549"/>
    <w:rsid w:val="002B75E1"/>
    <w:rsid w:val="002B7610"/>
    <w:rsid w:val="002B7657"/>
    <w:rsid w:val="002B7673"/>
    <w:rsid w:val="002B768A"/>
    <w:rsid w:val="002B76CE"/>
    <w:rsid w:val="002B776E"/>
    <w:rsid w:val="002B7812"/>
    <w:rsid w:val="002B783D"/>
    <w:rsid w:val="002B7888"/>
    <w:rsid w:val="002B791D"/>
    <w:rsid w:val="002B796B"/>
    <w:rsid w:val="002B79A0"/>
    <w:rsid w:val="002B79AC"/>
    <w:rsid w:val="002B7A36"/>
    <w:rsid w:val="002B7A8E"/>
    <w:rsid w:val="002B7A94"/>
    <w:rsid w:val="002B7AEA"/>
    <w:rsid w:val="002B7B4D"/>
    <w:rsid w:val="002B7B66"/>
    <w:rsid w:val="002B7BB4"/>
    <w:rsid w:val="002B7BCA"/>
    <w:rsid w:val="002B7C65"/>
    <w:rsid w:val="002B7CE9"/>
    <w:rsid w:val="002B7D01"/>
    <w:rsid w:val="002B7D0A"/>
    <w:rsid w:val="002B7D11"/>
    <w:rsid w:val="002B7E00"/>
    <w:rsid w:val="002B7E22"/>
    <w:rsid w:val="002B7E68"/>
    <w:rsid w:val="002B7EC7"/>
    <w:rsid w:val="002B7F12"/>
    <w:rsid w:val="002B7F42"/>
    <w:rsid w:val="002C003B"/>
    <w:rsid w:val="002C019D"/>
    <w:rsid w:val="002C0214"/>
    <w:rsid w:val="002C021A"/>
    <w:rsid w:val="002C02EB"/>
    <w:rsid w:val="002C033A"/>
    <w:rsid w:val="002C037C"/>
    <w:rsid w:val="002C0387"/>
    <w:rsid w:val="002C04B3"/>
    <w:rsid w:val="002C04D5"/>
    <w:rsid w:val="002C04FD"/>
    <w:rsid w:val="002C0543"/>
    <w:rsid w:val="002C066A"/>
    <w:rsid w:val="002C0691"/>
    <w:rsid w:val="002C071A"/>
    <w:rsid w:val="002C0769"/>
    <w:rsid w:val="002C0797"/>
    <w:rsid w:val="002C07BB"/>
    <w:rsid w:val="002C0802"/>
    <w:rsid w:val="002C082B"/>
    <w:rsid w:val="002C0868"/>
    <w:rsid w:val="002C086A"/>
    <w:rsid w:val="002C092D"/>
    <w:rsid w:val="002C0947"/>
    <w:rsid w:val="002C094B"/>
    <w:rsid w:val="002C097A"/>
    <w:rsid w:val="002C099A"/>
    <w:rsid w:val="002C09EF"/>
    <w:rsid w:val="002C0A0D"/>
    <w:rsid w:val="002C0A29"/>
    <w:rsid w:val="002C0A9C"/>
    <w:rsid w:val="002C0B35"/>
    <w:rsid w:val="002C0BA3"/>
    <w:rsid w:val="002C0CB1"/>
    <w:rsid w:val="002C0D12"/>
    <w:rsid w:val="002C0D6C"/>
    <w:rsid w:val="002C0E12"/>
    <w:rsid w:val="002C0E50"/>
    <w:rsid w:val="002C0EC1"/>
    <w:rsid w:val="002C0F28"/>
    <w:rsid w:val="002C0F5D"/>
    <w:rsid w:val="002C0FA6"/>
    <w:rsid w:val="002C1013"/>
    <w:rsid w:val="002C104F"/>
    <w:rsid w:val="002C105A"/>
    <w:rsid w:val="002C1097"/>
    <w:rsid w:val="002C10B6"/>
    <w:rsid w:val="002C10EA"/>
    <w:rsid w:val="002C112D"/>
    <w:rsid w:val="002C1156"/>
    <w:rsid w:val="002C1198"/>
    <w:rsid w:val="002C11DB"/>
    <w:rsid w:val="002C12F4"/>
    <w:rsid w:val="002C1322"/>
    <w:rsid w:val="002C134E"/>
    <w:rsid w:val="002C135A"/>
    <w:rsid w:val="002C1365"/>
    <w:rsid w:val="002C13BE"/>
    <w:rsid w:val="002C145B"/>
    <w:rsid w:val="002C1521"/>
    <w:rsid w:val="002C1543"/>
    <w:rsid w:val="002C169B"/>
    <w:rsid w:val="002C1738"/>
    <w:rsid w:val="002C177C"/>
    <w:rsid w:val="002C17B6"/>
    <w:rsid w:val="002C1846"/>
    <w:rsid w:val="002C186F"/>
    <w:rsid w:val="002C18B4"/>
    <w:rsid w:val="002C1950"/>
    <w:rsid w:val="002C197B"/>
    <w:rsid w:val="002C198A"/>
    <w:rsid w:val="002C19A2"/>
    <w:rsid w:val="002C19CB"/>
    <w:rsid w:val="002C19EE"/>
    <w:rsid w:val="002C1A2A"/>
    <w:rsid w:val="002C1AB6"/>
    <w:rsid w:val="002C1B5D"/>
    <w:rsid w:val="002C1C48"/>
    <w:rsid w:val="002C1C5F"/>
    <w:rsid w:val="002C1CEB"/>
    <w:rsid w:val="002C1D20"/>
    <w:rsid w:val="002C1D31"/>
    <w:rsid w:val="002C1D57"/>
    <w:rsid w:val="002C1D6B"/>
    <w:rsid w:val="002C1D8C"/>
    <w:rsid w:val="002C1DB3"/>
    <w:rsid w:val="002C1DC8"/>
    <w:rsid w:val="002C1E1A"/>
    <w:rsid w:val="002C1ED5"/>
    <w:rsid w:val="002C1F28"/>
    <w:rsid w:val="002C1F2C"/>
    <w:rsid w:val="002C1F37"/>
    <w:rsid w:val="002C203D"/>
    <w:rsid w:val="002C2067"/>
    <w:rsid w:val="002C2086"/>
    <w:rsid w:val="002C209B"/>
    <w:rsid w:val="002C2283"/>
    <w:rsid w:val="002C22A2"/>
    <w:rsid w:val="002C22B6"/>
    <w:rsid w:val="002C22EF"/>
    <w:rsid w:val="002C22F9"/>
    <w:rsid w:val="002C2338"/>
    <w:rsid w:val="002C23D6"/>
    <w:rsid w:val="002C2404"/>
    <w:rsid w:val="002C252C"/>
    <w:rsid w:val="002C255D"/>
    <w:rsid w:val="002C2595"/>
    <w:rsid w:val="002C25A0"/>
    <w:rsid w:val="002C2638"/>
    <w:rsid w:val="002C26C8"/>
    <w:rsid w:val="002C26E1"/>
    <w:rsid w:val="002C282E"/>
    <w:rsid w:val="002C2856"/>
    <w:rsid w:val="002C2871"/>
    <w:rsid w:val="002C2882"/>
    <w:rsid w:val="002C2A10"/>
    <w:rsid w:val="002C2A22"/>
    <w:rsid w:val="002C2A33"/>
    <w:rsid w:val="002C2AA8"/>
    <w:rsid w:val="002C2B0D"/>
    <w:rsid w:val="002C2B59"/>
    <w:rsid w:val="002C2C01"/>
    <w:rsid w:val="002C2C85"/>
    <w:rsid w:val="002C2C9D"/>
    <w:rsid w:val="002C2CD3"/>
    <w:rsid w:val="002C2CED"/>
    <w:rsid w:val="002C2CFA"/>
    <w:rsid w:val="002C2DC5"/>
    <w:rsid w:val="002C2E30"/>
    <w:rsid w:val="002C2E41"/>
    <w:rsid w:val="002C2EEF"/>
    <w:rsid w:val="002C2F74"/>
    <w:rsid w:val="002C2FAF"/>
    <w:rsid w:val="002C2FC0"/>
    <w:rsid w:val="002C3000"/>
    <w:rsid w:val="002C300F"/>
    <w:rsid w:val="002C3011"/>
    <w:rsid w:val="002C3081"/>
    <w:rsid w:val="002C308F"/>
    <w:rsid w:val="002C30D0"/>
    <w:rsid w:val="002C3132"/>
    <w:rsid w:val="002C3262"/>
    <w:rsid w:val="002C3287"/>
    <w:rsid w:val="002C32A2"/>
    <w:rsid w:val="002C32DB"/>
    <w:rsid w:val="002C337F"/>
    <w:rsid w:val="002C34FD"/>
    <w:rsid w:val="002C3572"/>
    <w:rsid w:val="002C35A6"/>
    <w:rsid w:val="002C368C"/>
    <w:rsid w:val="002C376F"/>
    <w:rsid w:val="002C3782"/>
    <w:rsid w:val="002C37B9"/>
    <w:rsid w:val="002C37E4"/>
    <w:rsid w:val="002C3820"/>
    <w:rsid w:val="002C3827"/>
    <w:rsid w:val="002C3901"/>
    <w:rsid w:val="002C3906"/>
    <w:rsid w:val="002C39A1"/>
    <w:rsid w:val="002C39A3"/>
    <w:rsid w:val="002C39BF"/>
    <w:rsid w:val="002C39E4"/>
    <w:rsid w:val="002C3B52"/>
    <w:rsid w:val="002C3B62"/>
    <w:rsid w:val="002C3B9A"/>
    <w:rsid w:val="002C3BA6"/>
    <w:rsid w:val="002C3BD9"/>
    <w:rsid w:val="002C3C02"/>
    <w:rsid w:val="002C3C42"/>
    <w:rsid w:val="002C3C4D"/>
    <w:rsid w:val="002C3D82"/>
    <w:rsid w:val="002C3E39"/>
    <w:rsid w:val="002C3E3C"/>
    <w:rsid w:val="002C3E4E"/>
    <w:rsid w:val="002C3E85"/>
    <w:rsid w:val="002C3E9C"/>
    <w:rsid w:val="002C3EB0"/>
    <w:rsid w:val="002C3F61"/>
    <w:rsid w:val="002C3F8E"/>
    <w:rsid w:val="002C3FA8"/>
    <w:rsid w:val="002C3FEC"/>
    <w:rsid w:val="002C4061"/>
    <w:rsid w:val="002C40A6"/>
    <w:rsid w:val="002C4146"/>
    <w:rsid w:val="002C4149"/>
    <w:rsid w:val="002C41E0"/>
    <w:rsid w:val="002C4273"/>
    <w:rsid w:val="002C4388"/>
    <w:rsid w:val="002C43DE"/>
    <w:rsid w:val="002C4422"/>
    <w:rsid w:val="002C447B"/>
    <w:rsid w:val="002C4533"/>
    <w:rsid w:val="002C454D"/>
    <w:rsid w:val="002C4561"/>
    <w:rsid w:val="002C4575"/>
    <w:rsid w:val="002C459C"/>
    <w:rsid w:val="002C45C7"/>
    <w:rsid w:val="002C45CF"/>
    <w:rsid w:val="002C45F7"/>
    <w:rsid w:val="002C4612"/>
    <w:rsid w:val="002C462D"/>
    <w:rsid w:val="002C4678"/>
    <w:rsid w:val="002C46D3"/>
    <w:rsid w:val="002C47CC"/>
    <w:rsid w:val="002C4819"/>
    <w:rsid w:val="002C488D"/>
    <w:rsid w:val="002C48A9"/>
    <w:rsid w:val="002C48EA"/>
    <w:rsid w:val="002C494F"/>
    <w:rsid w:val="002C4954"/>
    <w:rsid w:val="002C4964"/>
    <w:rsid w:val="002C49D4"/>
    <w:rsid w:val="002C4B2B"/>
    <w:rsid w:val="002C4B36"/>
    <w:rsid w:val="002C4B94"/>
    <w:rsid w:val="002C4C80"/>
    <w:rsid w:val="002C4CCD"/>
    <w:rsid w:val="002C4D05"/>
    <w:rsid w:val="002C4D35"/>
    <w:rsid w:val="002C4E1B"/>
    <w:rsid w:val="002C4E1D"/>
    <w:rsid w:val="002C4E30"/>
    <w:rsid w:val="002C4E4F"/>
    <w:rsid w:val="002C4EBD"/>
    <w:rsid w:val="002C4F17"/>
    <w:rsid w:val="002C4FD3"/>
    <w:rsid w:val="002C4FD5"/>
    <w:rsid w:val="002C507B"/>
    <w:rsid w:val="002C5087"/>
    <w:rsid w:val="002C50C3"/>
    <w:rsid w:val="002C51F7"/>
    <w:rsid w:val="002C51FF"/>
    <w:rsid w:val="002C524D"/>
    <w:rsid w:val="002C530F"/>
    <w:rsid w:val="002C535F"/>
    <w:rsid w:val="002C53BC"/>
    <w:rsid w:val="002C53F7"/>
    <w:rsid w:val="002C5448"/>
    <w:rsid w:val="002C54A0"/>
    <w:rsid w:val="002C54AB"/>
    <w:rsid w:val="002C5533"/>
    <w:rsid w:val="002C5689"/>
    <w:rsid w:val="002C56F7"/>
    <w:rsid w:val="002C5709"/>
    <w:rsid w:val="002C5722"/>
    <w:rsid w:val="002C577C"/>
    <w:rsid w:val="002C57FF"/>
    <w:rsid w:val="002C582B"/>
    <w:rsid w:val="002C590D"/>
    <w:rsid w:val="002C59B3"/>
    <w:rsid w:val="002C5A2B"/>
    <w:rsid w:val="002C5A99"/>
    <w:rsid w:val="002C5B16"/>
    <w:rsid w:val="002C5B82"/>
    <w:rsid w:val="002C5C3D"/>
    <w:rsid w:val="002C5C5D"/>
    <w:rsid w:val="002C5C78"/>
    <w:rsid w:val="002C5CFD"/>
    <w:rsid w:val="002C5D2E"/>
    <w:rsid w:val="002C5D69"/>
    <w:rsid w:val="002C5D8B"/>
    <w:rsid w:val="002C5DCF"/>
    <w:rsid w:val="002C5F00"/>
    <w:rsid w:val="002C5F5A"/>
    <w:rsid w:val="002C5F67"/>
    <w:rsid w:val="002C5F90"/>
    <w:rsid w:val="002C5F91"/>
    <w:rsid w:val="002C5FC8"/>
    <w:rsid w:val="002C606A"/>
    <w:rsid w:val="002C6090"/>
    <w:rsid w:val="002C60D1"/>
    <w:rsid w:val="002C61E7"/>
    <w:rsid w:val="002C6254"/>
    <w:rsid w:val="002C6256"/>
    <w:rsid w:val="002C6278"/>
    <w:rsid w:val="002C6283"/>
    <w:rsid w:val="002C6284"/>
    <w:rsid w:val="002C6316"/>
    <w:rsid w:val="002C6343"/>
    <w:rsid w:val="002C6381"/>
    <w:rsid w:val="002C63A5"/>
    <w:rsid w:val="002C6478"/>
    <w:rsid w:val="002C65BC"/>
    <w:rsid w:val="002C6651"/>
    <w:rsid w:val="002C668A"/>
    <w:rsid w:val="002C66CE"/>
    <w:rsid w:val="002C66F1"/>
    <w:rsid w:val="002C66F7"/>
    <w:rsid w:val="002C675A"/>
    <w:rsid w:val="002C675F"/>
    <w:rsid w:val="002C67B4"/>
    <w:rsid w:val="002C681F"/>
    <w:rsid w:val="002C6875"/>
    <w:rsid w:val="002C6900"/>
    <w:rsid w:val="002C69F8"/>
    <w:rsid w:val="002C6B1F"/>
    <w:rsid w:val="002C6B76"/>
    <w:rsid w:val="002C6C3B"/>
    <w:rsid w:val="002C6C73"/>
    <w:rsid w:val="002C6CA7"/>
    <w:rsid w:val="002C6CE2"/>
    <w:rsid w:val="002C6D11"/>
    <w:rsid w:val="002C6D7F"/>
    <w:rsid w:val="002C6DE2"/>
    <w:rsid w:val="002C6E4C"/>
    <w:rsid w:val="002C6F1E"/>
    <w:rsid w:val="002C6F59"/>
    <w:rsid w:val="002C6F6F"/>
    <w:rsid w:val="002C6F91"/>
    <w:rsid w:val="002C6FAB"/>
    <w:rsid w:val="002C6FB3"/>
    <w:rsid w:val="002C7038"/>
    <w:rsid w:val="002C7085"/>
    <w:rsid w:val="002C70FA"/>
    <w:rsid w:val="002C711C"/>
    <w:rsid w:val="002C711F"/>
    <w:rsid w:val="002C7135"/>
    <w:rsid w:val="002C7144"/>
    <w:rsid w:val="002C717E"/>
    <w:rsid w:val="002C71BF"/>
    <w:rsid w:val="002C7208"/>
    <w:rsid w:val="002C7263"/>
    <w:rsid w:val="002C7268"/>
    <w:rsid w:val="002C72E6"/>
    <w:rsid w:val="002C733F"/>
    <w:rsid w:val="002C7344"/>
    <w:rsid w:val="002C7347"/>
    <w:rsid w:val="002C7376"/>
    <w:rsid w:val="002C7399"/>
    <w:rsid w:val="002C73A2"/>
    <w:rsid w:val="002C73C9"/>
    <w:rsid w:val="002C744D"/>
    <w:rsid w:val="002C74F7"/>
    <w:rsid w:val="002C7542"/>
    <w:rsid w:val="002C7638"/>
    <w:rsid w:val="002C765D"/>
    <w:rsid w:val="002C76A8"/>
    <w:rsid w:val="002C76B5"/>
    <w:rsid w:val="002C76D3"/>
    <w:rsid w:val="002C7775"/>
    <w:rsid w:val="002C77B1"/>
    <w:rsid w:val="002C7826"/>
    <w:rsid w:val="002C78D7"/>
    <w:rsid w:val="002C78E7"/>
    <w:rsid w:val="002C79CB"/>
    <w:rsid w:val="002C7A17"/>
    <w:rsid w:val="002C7A70"/>
    <w:rsid w:val="002C7A8A"/>
    <w:rsid w:val="002C7AB8"/>
    <w:rsid w:val="002C7B4D"/>
    <w:rsid w:val="002C7B76"/>
    <w:rsid w:val="002C7B9D"/>
    <w:rsid w:val="002C7BCF"/>
    <w:rsid w:val="002C7C56"/>
    <w:rsid w:val="002C7C67"/>
    <w:rsid w:val="002C7C7C"/>
    <w:rsid w:val="002C7DA8"/>
    <w:rsid w:val="002C7DAD"/>
    <w:rsid w:val="002C7DBB"/>
    <w:rsid w:val="002C7DD6"/>
    <w:rsid w:val="002C7DFC"/>
    <w:rsid w:val="002C7E45"/>
    <w:rsid w:val="002C7E55"/>
    <w:rsid w:val="002C7EB4"/>
    <w:rsid w:val="002C7EC3"/>
    <w:rsid w:val="002C7FAC"/>
    <w:rsid w:val="002D0018"/>
    <w:rsid w:val="002D006F"/>
    <w:rsid w:val="002D0070"/>
    <w:rsid w:val="002D0194"/>
    <w:rsid w:val="002D019D"/>
    <w:rsid w:val="002D023A"/>
    <w:rsid w:val="002D024A"/>
    <w:rsid w:val="002D02E8"/>
    <w:rsid w:val="002D0384"/>
    <w:rsid w:val="002D03FE"/>
    <w:rsid w:val="002D043C"/>
    <w:rsid w:val="002D0454"/>
    <w:rsid w:val="002D045D"/>
    <w:rsid w:val="002D0547"/>
    <w:rsid w:val="002D0551"/>
    <w:rsid w:val="002D0588"/>
    <w:rsid w:val="002D061F"/>
    <w:rsid w:val="002D0644"/>
    <w:rsid w:val="002D06A8"/>
    <w:rsid w:val="002D072F"/>
    <w:rsid w:val="002D0798"/>
    <w:rsid w:val="002D0823"/>
    <w:rsid w:val="002D0919"/>
    <w:rsid w:val="002D092A"/>
    <w:rsid w:val="002D092D"/>
    <w:rsid w:val="002D095F"/>
    <w:rsid w:val="002D09CB"/>
    <w:rsid w:val="002D09EA"/>
    <w:rsid w:val="002D0A93"/>
    <w:rsid w:val="002D0AA4"/>
    <w:rsid w:val="002D0AC4"/>
    <w:rsid w:val="002D0AD4"/>
    <w:rsid w:val="002D0BC5"/>
    <w:rsid w:val="002D0C14"/>
    <w:rsid w:val="002D0C5E"/>
    <w:rsid w:val="002D0C65"/>
    <w:rsid w:val="002D0C86"/>
    <w:rsid w:val="002D0D68"/>
    <w:rsid w:val="002D0DA1"/>
    <w:rsid w:val="002D0DA2"/>
    <w:rsid w:val="002D0DCB"/>
    <w:rsid w:val="002D0E48"/>
    <w:rsid w:val="002D0E86"/>
    <w:rsid w:val="002D0E8D"/>
    <w:rsid w:val="002D0EEF"/>
    <w:rsid w:val="002D0F34"/>
    <w:rsid w:val="002D101E"/>
    <w:rsid w:val="002D1071"/>
    <w:rsid w:val="002D1177"/>
    <w:rsid w:val="002D1192"/>
    <w:rsid w:val="002D1245"/>
    <w:rsid w:val="002D12A4"/>
    <w:rsid w:val="002D12FA"/>
    <w:rsid w:val="002D1306"/>
    <w:rsid w:val="002D1338"/>
    <w:rsid w:val="002D1343"/>
    <w:rsid w:val="002D134F"/>
    <w:rsid w:val="002D1353"/>
    <w:rsid w:val="002D1383"/>
    <w:rsid w:val="002D1424"/>
    <w:rsid w:val="002D14A5"/>
    <w:rsid w:val="002D1528"/>
    <w:rsid w:val="002D15B9"/>
    <w:rsid w:val="002D15DC"/>
    <w:rsid w:val="002D1618"/>
    <w:rsid w:val="002D162B"/>
    <w:rsid w:val="002D1672"/>
    <w:rsid w:val="002D16A5"/>
    <w:rsid w:val="002D1723"/>
    <w:rsid w:val="002D1816"/>
    <w:rsid w:val="002D18AA"/>
    <w:rsid w:val="002D1903"/>
    <w:rsid w:val="002D19B0"/>
    <w:rsid w:val="002D19B8"/>
    <w:rsid w:val="002D19C2"/>
    <w:rsid w:val="002D19CC"/>
    <w:rsid w:val="002D1A2F"/>
    <w:rsid w:val="002D1A78"/>
    <w:rsid w:val="002D1AF4"/>
    <w:rsid w:val="002D1BD5"/>
    <w:rsid w:val="002D1BDF"/>
    <w:rsid w:val="002D1BFD"/>
    <w:rsid w:val="002D1D27"/>
    <w:rsid w:val="002D1E13"/>
    <w:rsid w:val="002D1E1C"/>
    <w:rsid w:val="002D1E6B"/>
    <w:rsid w:val="002D1E9F"/>
    <w:rsid w:val="002D1EF3"/>
    <w:rsid w:val="002D1EFC"/>
    <w:rsid w:val="002D1F00"/>
    <w:rsid w:val="002D1F21"/>
    <w:rsid w:val="002D1FA2"/>
    <w:rsid w:val="002D1FAD"/>
    <w:rsid w:val="002D1FDF"/>
    <w:rsid w:val="002D2018"/>
    <w:rsid w:val="002D2127"/>
    <w:rsid w:val="002D2145"/>
    <w:rsid w:val="002D214C"/>
    <w:rsid w:val="002D219B"/>
    <w:rsid w:val="002D21AB"/>
    <w:rsid w:val="002D21AD"/>
    <w:rsid w:val="002D2242"/>
    <w:rsid w:val="002D2248"/>
    <w:rsid w:val="002D22A5"/>
    <w:rsid w:val="002D22D1"/>
    <w:rsid w:val="002D238D"/>
    <w:rsid w:val="002D2413"/>
    <w:rsid w:val="002D24E7"/>
    <w:rsid w:val="002D2569"/>
    <w:rsid w:val="002D258B"/>
    <w:rsid w:val="002D25F1"/>
    <w:rsid w:val="002D2617"/>
    <w:rsid w:val="002D261F"/>
    <w:rsid w:val="002D265E"/>
    <w:rsid w:val="002D26C4"/>
    <w:rsid w:val="002D270A"/>
    <w:rsid w:val="002D270C"/>
    <w:rsid w:val="002D2749"/>
    <w:rsid w:val="002D2765"/>
    <w:rsid w:val="002D27BA"/>
    <w:rsid w:val="002D27E6"/>
    <w:rsid w:val="002D27F5"/>
    <w:rsid w:val="002D2813"/>
    <w:rsid w:val="002D289E"/>
    <w:rsid w:val="002D2917"/>
    <w:rsid w:val="002D29D3"/>
    <w:rsid w:val="002D2A9B"/>
    <w:rsid w:val="002D2AFF"/>
    <w:rsid w:val="002D2B30"/>
    <w:rsid w:val="002D2B3F"/>
    <w:rsid w:val="002D2B4A"/>
    <w:rsid w:val="002D2B5D"/>
    <w:rsid w:val="002D2B7E"/>
    <w:rsid w:val="002D2BA5"/>
    <w:rsid w:val="002D2C06"/>
    <w:rsid w:val="002D2C07"/>
    <w:rsid w:val="002D2D08"/>
    <w:rsid w:val="002D2D53"/>
    <w:rsid w:val="002D2DA2"/>
    <w:rsid w:val="002D2DFE"/>
    <w:rsid w:val="002D2E14"/>
    <w:rsid w:val="002D2E54"/>
    <w:rsid w:val="002D2E78"/>
    <w:rsid w:val="002D2EC1"/>
    <w:rsid w:val="002D2EC4"/>
    <w:rsid w:val="002D2F9D"/>
    <w:rsid w:val="002D302E"/>
    <w:rsid w:val="002D306F"/>
    <w:rsid w:val="002D3085"/>
    <w:rsid w:val="002D309E"/>
    <w:rsid w:val="002D30D5"/>
    <w:rsid w:val="002D30E5"/>
    <w:rsid w:val="002D30E7"/>
    <w:rsid w:val="002D30F2"/>
    <w:rsid w:val="002D3221"/>
    <w:rsid w:val="002D325F"/>
    <w:rsid w:val="002D327C"/>
    <w:rsid w:val="002D3295"/>
    <w:rsid w:val="002D32AD"/>
    <w:rsid w:val="002D32CC"/>
    <w:rsid w:val="002D32F5"/>
    <w:rsid w:val="002D3314"/>
    <w:rsid w:val="002D331A"/>
    <w:rsid w:val="002D341B"/>
    <w:rsid w:val="002D3439"/>
    <w:rsid w:val="002D343C"/>
    <w:rsid w:val="002D34D7"/>
    <w:rsid w:val="002D3580"/>
    <w:rsid w:val="002D35DF"/>
    <w:rsid w:val="002D361A"/>
    <w:rsid w:val="002D36A5"/>
    <w:rsid w:val="002D36D2"/>
    <w:rsid w:val="002D36E5"/>
    <w:rsid w:val="002D3711"/>
    <w:rsid w:val="002D376F"/>
    <w:rsid w:val="002D37A2"/>
    <w:rsid w:val="002D37AB"/>
    <w:rsid w:val="002D37B8"/>
    <w:rsid w:val="002D37B9"/>
    <w:rsid w:val="002D37D5"/>
    <w:rsid w:val="002D3812"/>
    <w:rsid w:val="002D3842"/>
    <w:rsid w:val="002D3881"/>
    <w:rsid w:val="002D3925"/>
    <w:rsid w:val="002D3945"/>
    <w:rsid w:val="002D39A6"/>
    <w:rsid w:val="002D3A31"/>
    <w:rsid w:val="002D3AB7"/>
    <w:rsid w:val="002D3B2B"/>
    <w:rsid w:val="002D3B3D"/>
    <w:rsid w:val="002D3B99"/>
    <w:rsid w:val="002D3BC2"/>
    <w:rsid w:val="002D3BDD"/>
    <w:rsid w:val="002D3C27"/>
    <w:rsid w:val="002D3C64"/>
    <w:rsid w:val="002D3C68"/>
    <w:rsid w:val="002D3D4A"/>
    <w:rsid w:val="002D3DE0"/>
    <w:rsid w:val="002D3E82"/>
    <w:rsid w:val="002D3EA2"/>
    <w:rsid w:val="002D3FB7"/>
    <w:rsid w:val="002D4074"/>
    <w:rsid w:val="002D4086"/>
    <w:rsid w:val="002D4101"/>
    <w:rsid w:val="002D41B3"/>
    <w:rsid w:val="002D41D2"/>
    <w:rsid w:val="002D427F"/>
    <w:rsid w:val="002D4320"/>
    <w:rsid w:val="002D4333"/>
    <w:rsid w:val="002D4395"/>
    <w:rsid w:val="002D439D"/>
    <w:rsid w:val="002D43BA"/>
    <w:rsid w:val="002D445A"/>
    <w:rsid w:val="002D44C2"/>
    <w:rsid w:val="002D4584"/>
    <w:rsid w:val="002D45A8"/>
    <w:rsid w:val="002D45BC"/>
    <w:rsid w:val="002D45E1"/>
    <w:rsid w:val="002D4613"/>
    <w:rsid w:val="002D4664"/>
    <w:rsid w:val="002D468A"/>
    <w:rsid w:val="002D46B5"/>
    <w:rsid w:val="002D4776"/>
    <w:rsid w:val="002D482D"/>
    <w:rsid w:val="002D4884"/>
    <w:rsid w:val="002D48A1"/>
    <w:rsid w:val="002D48ED"/>
    <w:rsid w:val="002D4958"/>
    <w:rsid w:val="002D4993"/>
    <w:rsid w:val="002D4A1F"/>
    <w:rsid w:val="002D4A86"/>
    <w:rsid w:val="002D4AA3"/>
    <w:rsid w:val="002D4AB7"/>
    <w:rsid w:val="002D4B3B"/>
    <w:rsid w:val="002D4B3E"/>
    <w:rsid w:val="002D4B87"/>
    <w:rsid w:val="002D4B95"/>
    <w:rsid w:val="002D4CD6"/>
    <w:rsid w:val="002D4D42"/>
    <w:rsid w:val="002D4D86"/>
    <w:rsid w:val="002D4E35"/>
    <w:rsid w:val="002D4EB7"/>
    <w:rsid w:val="002D4EFD"/>
    <w:rsid w:val="002D4F62"/>
    <w:rsid w:val="002D4F8B"/>
    <w:rsid w:val="002D4FF6"/>
    <w:rsid w:val="002D500C"/>
    <w:rsid w:val="002D5015"/>
    <w:rsid w:val="002D503F"/>
    <w:rsid w:val="002D50E8"/>
    <w:rsid w:val="002D514D"/>
    <w:rsid w:val="002D52A4"/>
    <w:rsid w:val="002D52CB"/>
    <w:rsid w:val="002D52E1"/>
    <w:rsid w:val="002D5301"/>
    <w:rsid w:val="002D5358"/>
    <w:rsid w:val="002D53CE"/>
    <w:rsid w:val="002D53D7"/>
    <w:rsid w:val="002D5400"/>
    <w:rsid w:val="002D54BC"/>
    <w:rsid w:val="002D54DD"/>
    <w:rsid w:val="002D55B4"/>
    <w:rsid w:val="002D5621"/>
    <w:rsid w:val="002D5636"/>
    <w:rsid w:val="002D567D"/>
    <w:rsid w:val="002D56CB"/>
    <w:rsid w:val="002D56F2"/>
    <w:rsid w:val="002D5742"/>
    <w:rsid w:val="002D57AE"/>
    <w:rsid w:val="002D57B1"/>
    <w:rsid w:val="002D57E0"/>
    <w:rsid w:val="002D5817"/>
    <w:rsid w:val="002D586A"/>
    <w:rsid w:val="002D5919"/>
    <w:rsid w:val="002D591F"/>
    <w:rsid w:val="002D5A0D"/>
    <w:rsid w:val="002D5A2D"/>
    <w:rsid w:val="002D5A3D"/>
    <w:rsid w:val="002D5A87"/>
    <w:rsid w:val="002D5ACA"/>
    <w:rsid w:val="002D5ACD"/>
    <w:rsid w:val="002D5AD3"/>
    <w:rsid w:val="002D5AE7"/>
    <w:rsid w:val="002D5B18"/>
    <w:rsid w:val="002D5B5D"/>
    <w:rsid w:val="002D5C15"/>
    <w:rsid w:val="002D5C20"/>
    <w:rsid w:val="002D5D6C"/>
    <w:rsid w:val="002D5DA0"/>
    <w:rsid w:val="002D5DC7"/>
    <w:rsid w:val="002D5E98"/>
    <w:rsid w:val="002D5EB2"/>
    <w:rsid w:val="002D5F35"/>
    <w:rsid w:val="002D5F6B"/>
    <w:rsid w:val="002D5FBF"/>
    <w:rsid w:val="002D603D"/>
    <w:rsid w:val="002D6120"/>
    <w:rsid w:val="002D6144"/>
    <w:rsid w:val="002D6150"/>
    <w:rsid w:val="002D6160"/>
    <w:rsid w:val="002D617A"/>
    <w:rsid w:val="002D633B"/>
    <w:rsid w:val="002D6390"/>
    <w:rsid w:val="002D6421"/>
    <w:rsid w:val="002D6492"/>
    <w:rsid w:val="002D649A"/>
    <w:rsid w:val="002D64F9"/>
    <w:rsid w:val="002D654B"/>
    <w:rsid w:val="002D6581"/>
    <w:rsid w:val="002D6590"/>
    <w:rsid w:val="002D659D"/>
    <w:rsid w:val="002D65A4"/>
    <w:rsid w:val="002D663E"/>
    <w:rsid w:val="002D66A6"/>
    <w:rsid w:val="002D673F"/>
    <w:rsid w:val="002D6765"/>
    <w:rsid w:val="002D679A"/>
    <w:rsid w:val="002D689A"/>
    <w:rsid w:val="002D6AC7"/>
    <w:rsid w:val="002D6AF5"/>
    <w:rsid w:val="002D6B4D"/>
    <w:rsid w:val="002D6B7A"/>
    <w:rsid w:val="002D6BDD"/>
    <w:rsid w:val="002D6C2C"/>
    <w:rsid w:val="002D6C4E"/>
    <w:rsid w:val="002D6C8A"/>
    <w:rsid w:val="002D6CEA"/>
    <w:rsid w:val="002D6D24"/>
    <w:rsid w:val="002D6D48"/>
    <w:rsid w:val="002D6D53"/>
    <w:rsid w:val="002D6DDD"/>
    <w:rsid w:val="002D6E00"/>
    <w:rsid w:val="002D6E77"/>
    <w:rsid w:val="002D6E9F"/>
    <w:rsid w:val="002D6EDC"/>
    <w:rsid w:val="002D6F27"/>
    <w:rsid w:val="002D7006"/>
    <w:rsid w:val="002D7032"/>
    <w:rsid w:val="002D707F"/>
    <w:rsid w:val="002D70A0"/>
    <w:rsid w:val="002D7174"/>
    <w:rsid w:val="002D7179"/>
    <w:rsid w:val="002D7185"/>
    <w:rsid w:val="002D72CC"/>
    <w:rsid w:val="002D7358"/>
    <w:rsid w:val="002D73AB"/>
    <w:rsid w:val="002D7451"/>
    <w:rsid w:val="002D74B4"/>
    <w:rsid w:val="002D74B8"/>
    <w:rsid w:val="002D7500"/>
    <w:rsid w:val="002D7501"/>
    <w:rsid w:val="002D7536"/>
    <w:rsid w:val="002D754B"/>
    <w:rsid w:val="002D7555"/>
    <w:rsid w:val="002D75B2"/>
    <w:rsid w:val="002D761A"/>
    <w:rsid w:val="002D76BB"/>
    <w:rsid w:val="002D771F"/>
    <w:rsid w:val="002D775C"/>
    <w:rsid w:val="002D7765"/>
    <w:rsid w:val="002D7840"/>
    <w:rsid w:val="002D7908"/>
    <w:rsid w:val="002D7999"/>
    <w:rsid w:val="002D79C2"/>
    <w:rsid w:val="002D7A25"/>
    <w:rsid w:val="002D7A2B"/>
    <w:rsid w:val="002D7A2D"/>
    <w:rsid w:val="002D7A76"/>
    <w:rsid w:val="002D7AAA"/>
    <w:rsid w:val="002D7AC9"/>
    <w:rsid w:val="002D7AD3"/>
    <w:rsid w:val="002D7AFF"/>
    <w:rsid w:val="002D7B03"/>
    <w:rsid w:val="002D7B05"/>
    <w:rsid w:val="002D7B23"/>
    <w:rsid w:val="002D7B98"/>
    <w:rsid w:val="002D7BCD"/>
    <w:rsid w:val="002D7BD0"/>
    <w:rsid w:val="002D7C2B"/>
    <w:rsid w:val="002D7C5F"/>
    <w:rsid w:val="002D7C60"/>
    <w:rsid w:val="002D7C83"/>
    <w:rsid w:val="002D7C8A"/>
    <w:rsid w:val="002D7CA0"/>
    <w:rsid w:val="002D7CC8"/>
    <w:rsid w:val="002D7CC9"/>
    <w:rsid w:val="002D7CF6"/>
    <w:rsid w:val="002D7D00"/>
    <w:rsid w:val="002D7DE0"/>
    <w:rsid w:val="002D7DFA"/>
    <w:rsid w:val="002D7EF4"/>
    <w:rsid w:val="002D7FAA"/>
    <w:rsid w:val="002D7FEF"/>
    <w:rsid w:val="002E0000"/>
    <w:rsid w:val="002E00E4"/>
    <w:rsid w:val="002E0157"/>
    <w:rsid w:val="002E018B"/>
    <w:rsid w:val="002E01EC"/>
    <w:rsid w:val="002E01FF"/>
    <w:rsid w:val="002E020D"/>
    <w:rsid w:val="002E0223"/>
    <w:rsid w:val="002E0297"/>
    <w:rsid w:val="002E02F0"/>
    <w:rsid w:val="002E0305"/>
    <w:rsid w:val="002E039E"/>
    <w:rsid w:val="002E0466"/>
    <w:rsid w:val="002E04F2"/>
    <w:rsid w:val="002E04FE"/>
    <w:rsid w:val="002E0508"/>
    <w:rsid w:val="002E057A"/>
    <w:rsid w:val="002E05B6"/>
    <w:rsid w:val="002E061F"/>
    <w:rsid w:val="002E0642"/>
    <w:rsid w:val="002E0646"/>
    <w:rsid w:val="002E06AF"/>
    <w:rsid w:val="002E0760"/>
    <w:rsid w:val="002E077A"/>
    <w:rsid w:val="002E0782"/>
    <w:rsid w:val="002E0794"/>
    <w:rsid w:val="002E07DD"/>
    <w:rsid w:val="002E07E2"/>
    <w:rsid w:val="002E0840"/>
    <w:rsid w:val="002E086A"/>
    <w:rsid w:val="002E088C"/>
    <w:rsid w:val="002E08A2"/>
    <w:rsid w:val="002E08AE"/>
    <w:rsid w:val="002E0980"/>
    <w:rsid w:val="002E0990"/>
    <w:rsid w:val="002E0A13"/>
    <w:rsid w:val="002E0A5A"/>
    <w:rsid w:val="002E0B05"/>
    <w:rsid w:val="002E0B23"/>
    <w:rsid w:val="002E0B7A"/>
    <w:rsid w:val="002E0B98"/>
    <w:rsid w:val="002E0BF5"/>
    <w:rsid w:val="002E0DAE"/>
    <w:rsid w:val="002E0DC4"/>
    <w:rsid w:val="002E0DE8"/>
    <w:rsid w:val="002E0DF1"/>
    <w:rsid w:val="002E0E38"/>
    <w:rsid w:val="002E0E51"/>
    <w:rsid w:val="002E0E90"/>
    <w:rsid w:val="002E0E9F"/>
    <w:rsid w:val="002E0F10"/>
    <w:rsid w:val="002E0FE2"/>
    <w:rsid w:val="002E1027"/>
    <w:rsid w:val="002E105F"/>
    <w:rsid w:val="002E10B2"/>
    <w:rsid w:val="002E118E"/>
    <w:rsid w:val="002E11A5"/>
    <w:rsid w:val="002E124C"/>
    <w:rsid w:val="002E12FB"/>
    <w:rsid w:val="002E130F"/>
    <w:rsid w:val="002E1318"/>
    <w:rsid w:val="002E1358"/>
    <w:rsid w:val="002E136D"/>
    <w:rsid w:val="002E1370"/>
    <w:rsid w:val="002E137D"/>
    <w:rsid w:val="002E13A7"/>
    <w:rsid w:val="002E13CA"/>
    <w:rsid w:val="002E1453"/>
    <w:rsid w:val="002E1466"/>
    <w:rsid w:val="002E1471"/>
    <w:rsid w:val="002E1562"/>
    <w:rsid w:val="002E15AD"/>
    <w:rsid w:val="002E1723"/>
    <w:rsid w:val="002E17C1"/>
    <w:rsid w:val="002E17ED"/>
    <w:rsid w:val="002E17F7"/>
    <w:rsid w:val="002E1882"/>
    <w:rsid w:val="002E18A4"/>
    <w:rsid w:val="002E1907"/>
    <w:rsid w:val="002E191C"/>
    <w:rsid w:val="002E1961"/>
    <w:rsid w:val="002E1970"/>
    <w:rsid w:val="002E197C"/>
    <w:rsid w:val="002E198E"/>
    <w:rsid w:val="002E19B1"/>
    <w:rsid w:val="002E19FA"/>
    <w:rsid w:val="002E1A04"/>
    <w:rsid w:val="002E1B4C"/>
    <w:rsid w:val="002E1B88"/>
    <w:rsid w:val="002E1BD7"/>
    <w:rsid w:val="002E1C2D"/>
    <w:rsid w:val="002E1C97"/>
    <w:rsid w:val="002E1CA9"/>
    <w:rsid w:val="002E1CCD"/>
    <w:rsid w:val="002E1CDD"/>
    <w:rsid w:val="002E1D26"/>
    <w:rsid w:val="002E1D56"/>
    <w:rsid w:val="002E1D9C"/>
    <w:rsid w:val="002E1E56"/>
    <w:rsid w:val="002E1E63"/>
    <w:rsid w:val="002E1ED3"/>
    <w:rsid w:val="002E1F48"/>
    <w:rsid w:val="002E1F9C"/>
    <w:rsid w:val="002E1FB6"/>
    <w:rsid w:val="002E1FD4"/>
    <w:rsid w:val="002E200C"/>
    <w:rsid w:val="002E2034"/>
    <w:rsid w:val="002E20E8"/>
    <w:rsid w:val="002E2150"/>
    <w:rsid w:val="002E2186"/>
    <w:rsid w:val="002E219A"/>
    <w:rsid w:val="002E2231"/>
    <w:rsid w:val="002E223A"/>
    <w:rsid w:val="002E2245"/>
    <w:rsid w:val="002E229E"/>
    <w:rsid w:val="002E22B4"/>
    <w:rsid w:val="002E22D8"/>
    <w:rsid w:val="002E236C"/>
    <w:rsid w:val="002E2371"/>
    <w:rsid w:val="002E23D4"/>
    <w:rsid w:val="002E242C"/>
    <w:rsid w:val="002E24B1"/>
    <w:rsid w:val="002E24B3"/>
    <w:rsid w:val="002E24F5"/>
    <w:rsid w:val="002E258E"/>
    <w:rsid w:val="002E25B4"/>
    <w:rsid w:val="002E25B5"/>
    <w:rsid w:val="002E25D5"/>
    <w:rsid w:val="002E25E6"/>
    <w:rsid w:val="002E25FB"/>
    <w:rsid w:val="002E264B"/>
    <w:rsid w:val="002E2668"/>
    <w:rsid w:val="002E2675"/>
    <w:rsid w:val="002E26C3"/>
    <w:rsid w:val="002E2764"/>
    <w:rsid w:val="002E27F9"/>
    <w:rsid w:val="002E28A4"/>
    <w:rsid w:val="002E2A0C"/>
    <w:rsid w:val="002E2A3D"/>
    <w:rsid w:val="002E2A86"/>
    <w:rsid w:val="002E2AA1"/>
    <w:rsid w:val="002E2D3F"/>
    <w:rsid w:val="002E2D7E"/>
    <w:rsid w:val="002E2D88"/>
    <w:rsid w:val="002E2E81"/>
    <w:rsid w:val="002E2EC7"/>
    <w:rsid w:val="002E2F0B"/>
    <w:rsid w:val="002E2FDC"/>
    <w:rsid w:val="002E3008"/>
    <w:rsid w:val="002E3017"/>
    <w:rsid w:val="002E302A"/>
    <w:rsid w:val="002E309F"/>
    <w:rsid w:val="002E3177"/>
    <w:rsid w:val="002E31A5"/>
    <w:rsid w:val="002E31E5"/>
    <w:rsid w:val="002E3205"/>
    <w:rsid w:val="002E3246"/>
    <w:rsid w:val="002E328B"/>
    <w:rsid w:val="002E32B6"/>
    <w:rsid w:val="002E33B6"/>
    <w:rsid w:val="002E33C5"/>
    <w:rsid w:val="002E340E"/>
    <w:rsid w:val="002E3427"/>
    <w:rsid w:val="002E347F"/>
    <w:rsid w:val="002E34E5"/>
    <w:rsid w:val="002E3528"/>
    <w:rsid w:val="002E352E"/>
    <w:rsid w:val="002E3532"/>
    <w:rsid w:val="002E357A"/>
    <w:rsid w:val="002E3596"/>
    <w:rsid w:val="002E3613"/>
    <w:rsid w:val="002E363E"/>
    <w:rsid w:val="002E36C4"/>
    <w:rsid w:val="002E3720"/>
    <w:rsid w:val="002E3739"/>
    <w:rsid w:val="002E3745"/>
    <w:rsid w:val="002E374E"/>
    <w:rsid w:val="002E37E7"/>
    <w:rsid w:val="002E3854"/>
    <w:rsid w:val="002E38F3"/>
    <w:rsid w:val="002E393D"/>
    <w:rsid w:val="002E3958"/>
    <w:rsid w:val="002E3973"/>
    <w:rsid w:val="002E398D"/>
    <w:rsid w:val="002E39B4"/>
    <w:rsid w:val="002E39C6"/>
    <w:rsid w:val="002E3A40"/>
    <w:rsid w:val="002E3A4F"/>
    <w:rsid w:val="002E3ABE"/>
    <w:rsid w:val="002E3AE1"/>
    <w:rsid w:val="002E3B23"/>
    <w:rsid w:val="002E3B3C"/>
    <w:rsid w:val="002E3B84"/>
    <w:rsid w:val="002E3B91"/>
    <w:rsid w:val="002E3BC7"/>
    <w:rsid w:val="002E3CAF"/>
    <w:rsid w:val="002E3CC7"/>
    <w:rsid w:val="002E3CD0"/>
    <w:rsid w:val="002E3D5E"/>
    <w:rsid w:val="002E3DA4"/>
    <w:rsid w:val="002E3DE0"/>
    <w:rsid w:val="002E3E9E"/>
    <w:rsid w:val="002E3EAA"/>
    <w:rsid w:val="002E3F1F"/>
    <w:rsid w:val="002E3FAB"/>
    <w:rsid w:val="002E3FC4"/>
    <w:rsid w:val="002E3FC6"/>
    <w:rsid w:val="002E4005"/>
    <w:rsid w:val="002E4020"/>
    <w:rsid w:val="002E40FA"/>
    <w:rsid w:val="002E41B8"/>
    <w:rsid w:val="002E41F9"/>
    <w:rsid w:val="002E4394"/>
    <w:rsid w:val="002E43F3"/>
    <w:rsid w:val="002E440B"/>
    <w:rsid w:val="002E441A"/>
    <w:rsid w:val="002E44FF"/>
    <w:rsid w:val="002E4509"/>
    <w:rsid w:val="002E453F"/>
    <w:rsid w:val="002E454C"/>
    <w:rsid w:val="002E456B"/>
    <w:rsid w:val="002E458B"/>
    <w:rsid w:val="002E45A9"/>
    <w:rsid w:val="002E45C9"/>
    <w:rsid w:val="002E45E1"/>
    <w:rsid w:val="002E4649"/>
    <w:rsid w:val="002E469B"/>
    <w:rsid w:val="002E46B8"/>
    <w:rsid w:val="002E46CA"/>
    <w:rsid w:val="002E4706"/>
    <w:rsid w:val="002E471A"/>
    <w:rsid w:val="002E473E"/>
    <w:rsid w:val="002E475F"/>
    <w:rsid w:val="002E4839"/>
    <w:rsid w:val="002E48B3"/>
    <w:rsid w:val="002E48BF"/>
    <w:rsid w:val="002E48D2"/>
    <w:rsid w:val="002E48EB"/>
    <w:rsid w:val="002E493C"/>
    <w:rsid w:val="002E496A"/>
    <w:rsid w:val="002E49A4"/>
    <w:rsid w:val="002E4A03"/>
    <w:rsid w:val="002E4A7C"/>
    <w:rsid w:val="002E4AAA"/>
    <w:rsid w:val="002E4AB8"/>
    <w:rsid w:val="002E4AEE"/>
    <w:rsid w:val="002E4B9E"/>
    <w:rsid w:val="002E4BE9"/>
    <w:rsid w:val="002E4BEC"/>
    <w:rsid w:val="002E4C36"/>
    <w:rsid w:val="002E4DAD"/>
    <w:rsid w:val="002E4E05"/>
    <w:rsid w:val="002E4E0C"/>
    <w:rsid w:val="002E5044"/>
    <w:rsid w:val="002E5053"/>
    <w:rsid w:val="002E5078"/>
    <w:rsid w:val="002E509F"/>
    <w:rsid w:val="002E50D9"/>
    <w:rsid w:val="002E5125"/>
    <w:rsid w:val="002E514B"/>
    <w:rsid w:val="002E515B"/>
    <w:rsid w:val="002E51D6"/>
    <w:rsid w:val="002E51E2"/>
    <w:rsid w:val="002E5262"/>
    <w:rsid w:val="002E53AA"/>
    <w:rsid w:val="002E53DB"/>
    <w:rsid w:val="002E5448"/>
    <w:rsid w:val="002E548D"/>
    <w:rsid w:val="002E54C1"/>
    <w:rsid w:val="002E54E4"/>
    <w:rsid w:val="002E556D"/>
    <w:rsid w:val="002E5576"/>
    <w:rsid w:val="002E55E2"/>
    <w:rsid w:val="002E56B0"/>
    <w:rsid w:val="002E578F"/>
    <w:rsid w:val="002E5827"/>
    <w:rsid w:val="002E5838"/>
    <w:rsid w:val="002E5851"/>
    <w:rsid w:val="002E5881"/>
    <w:rsid w:val="002E5915"/>
    <w:rsid w:val="002E592E"/>
    <w:rsid w:val="002E5945"/>
    <w:rsid w:val="002E595D"/>
    <w:rsid w:val="002E59C4"/>
    <w:rsid w:val="002E59CE"/>
    <w:rsid w:val="002E59F6"/>
    <w:rsid w:val="002E5A06"/>
    <w:rsid w:val="002E5A0F"/>
    <w:rsid w:val="002E5A43"/>
    <w:rsid w:val="002E5A66"/>
    <w:rsid w:val="002E5AB6"/>
    <w:rsid w:val="002E5ACC"/>
    <w:rsid w:val="002E5AF8"/>
    <w:rsid w:val="002E5B49"/>
    <w:rsid w:val="002E5BA0"/>
    <w:rsid w:val="002E5BA9"/>
    <w:rsid w:val="002E5BC6"/>
    <w:rsid w:val="002E5BCA"/>
    <w:rsid w:val="002E5C4C"/>
    <w:rsid w:val="002E5C5B"/>
    <w:rsid w:val="002E5C9D"/>
    <w:rsid w:val="002E5CC3"/>
    <w:rsid w:val="002E5D5E"/>
    <w:rsid w:val="002E5DAA"/>
    <w:rsid w:val="002E5DC5"/>
    <w:rsid w:val="002E5F12"/>
    <w:rsid w:val="002E5F94"/>
    <w:rsid w:val="002E5FB9"/>
    <w:rsid w:val="002E5FDC"/>
    <w:rsid w:val="002E5FF4"/>
    <w:rsid w:val="002E6040"/>
    <w:rsid w:val="002E6059"/>
    <w:rsid w:val="002E6116"/>
    <w:rsid w:val="002E6147"/>
    <w:rsid w:val="002E6150"/>
    <w:rsid w:val="002E624E"/>
    <w:rsid w:val="002E6252"/>
    <w:rsid w:val="002E625E"/>
    <w:rsid w:val="002E6292"/>
    <w:rsid w:val="002E6301"/>
    <w:rsid w:val="002E631D"/>
    <w:rsid w:val="002E63BA"/>
    <w:rsid w:val="002E63F2"/>
    <w:rsid w:val="002E645C"/>
    <w:rsid w:val="002E6506"/>
    <w:rsid w:val="002E6552"/>
    <w:rsid w:val="002E6665"/>
    <w:rsid w:val="002E66BB"/>
    <w:rsid w:val="002E66F0"/>
    <w:rsid w:val="002E671C"/>
    <w:rsid w:val="002E688F"/>
    <w:rsid w:val="002E689B"/>
    <w:rsid w:val="002E68DC"/>
    <w:rsid w:val="002E68F6"/>
    <w:rsid w:val="002E691A"/>
    <w:rsid w:val="002E695A"/>
    <w:rsid w:val="002E695D"/>
    <w:rsid w:val="002E6963"/>
    <w:rsid w:val="002E69A6"/>
    <w:rsid w:val="002E69C4"/>
    <w:rsid w:val="002E69CD"/>
    <w:rsid w:val="002E69E8"/>
    <w:rsid w:val="002E6A7A"/>
    <w:rsid w:val="002E6B90"/>
    <w:rsid w:val="002E6BD3"/>
    <w:rsid w:val="002E6C2C"/>
    <w:rsid w:val="002E6C2F"/>
    <w:rsid w:val="002E6C32"/>
    <w:rsid w:val="002E6C72"/>
    <w:rsid w:val="002E6CC9"/>
    <w:rsid w:val="002E6CF5"/>
    <w:rsid w:val="002E6D0C"/>
    <w:rsid w:val="002E6DB2"/>
    <w:rsid w:val="002E6DDB"/>
    <w:rsid w:val="002E6DDD"/>
    <w:rsid w:val="002E6E11"/>
    <w:rsid w:val="002E6E4A"/>
    <w:rsid w:val="002E6EF5"/>
    <w:rsid w:val="002E6F22"/>
    <w:rsid w:val="002E6F25"/>
    <w:rsid w:val="002E6F69"/>
    <w:rsid w:val="002E6FCA"/>
    <w:rsid w:val="002E700A"/>
    <w:rsid w:val="002E71C9"/>
    <w:rsid w:val="002E7256"/>
    <w:rsid w:val="002E730B"/>
    <w:rsid w:val="002E737E"/>
    <w:rsid w:val="002E73BE"/>
    <w:rsid w:val="002E7401"/>
    <w:rsid w:val="002E7420"/>
    <w:rsid w:val="002E7456"/>
    <w:rsid w:val="002E746B"/>
    <w:rsid w:val="002E7537"/>
    <w:rsid w:val="002E75F4"/>
    <w:rsid w:val="002E761A"/>
    <w:rsid w:val="002E7640"/>
    <w:rsid w:val="002E765A"/>
    <w:rsid w:val="002E7681"/>
    <w:rsid w:val="002E76C1"/>
    <w:rsid w:val="002E76F6"/>
    <w:rsid w:val="002E7710"/>
    <w:rsid w:val="002E77AD"/>
    <w:rsid w:val="002E77D5"/>
    <w:rsid w:val="002E783C"/>
    <w:rsid w:val="002E789D"/>
    <w:rsid w:val="002E798F"/>
    <w:rsid w:val="002E79C9"/>
    <w:rsid w:val="002E7A34"/>
    <w:rsid w:val="002E7A4F"/>
    <w:rsid w:val="002E7A80"/>
    <w:rsid w:val="002E7AA1"/>
    <w:rsid w:val="002E7B39"/>
    <w:rsid w:val="002E7B96"/>
    <w:rsid w:val="002E7C14"/>
    <w:rsid w:val="002E7CD3"/>
    <w:rsid w:val="002E7CE2"/>
    <w:rsid w:val="002E7D51"/>
    <w:rsid w:val="002E7D85"/>
    <w:rsid w:val="002E7DD0"/>
    <w:rsid w:val="002E7DD3"/>
    <w:rsid w:val="002E7DDE"/>
    <w:rsid w:val="002E7DF0"/>
    <w:rsid w:val="002E7E0C"/>
    <w:rsid w:val="002E7E60"/>
    <w:rsid w:val="002E7F43"/>
    <w:rsid w:val="002E7FC0"/>
    <w:rsid w:val="002E7FD8"/>
    <w:rsid w:val="002E7FE0"/>
    <w:rsid w:val="002F0016"/>
    <w:rsid w:val="002F001E"/>
    <w:rsid w:val="002F001F"/>
    <w:rsid w:val="002F0102"/>
    <w:rsid w:val="002F0283"/>
    <w:rsid w:val="002F02BD"/>
    <w:rsid w:val="002F0344"/>
    <w:rsid w:val="002F0361"/>
    <w:rsid w:val="002F0375"/>
    <w:rsid w:val="002F03FC"/>
    <w:rsid w:val="002F0401"/>
    <w:rsid w:val="002F04B8"/>
    <w:rsid w:val="002F04EC"/>
    <w:rsid w:val="002F051E"/>
    <w:rsid w:val="002F0561"/>
    <w:rsid w:val="002F05A0"/>
    <w:rsid w:val="002F0618"/>
    <w:rsid w:val="002F062F"/>
    <w:rsid w:val="002F0703"/>
    <w:rsid w:val="002F0755"/>
    <w:rsid w:val="002F0784"/>
    <w:rsid w:val="002F0794"/>
    <w:rsid w:val="002F07A2"/>
    <w:rsid w:val="002F07EF"/>
    <w:rsid w:val="002F0880"/>
    <w:rsid w:val="002F0925"/>
    <w:rsid w:val="002F09BF"/>
    <w:rsid w:val="002F0A3B"/>
    <w:rsid w:val="002F0A58"/>
    <w:rsid w:val="002F0A8B"/>
    <w:rsid w:val="002F0ABF"/>
    <w:rsid w:val="002F0AF6"/>
    <w:rsid w:val="002F0B5C"/>
    <w:rsid w:val="002F0BC4"/>
    <w:rsid w:val="002F0D16"/>
    <w:rsid w:val="002F0DAB"/>
    <w:rsid w:val="002F0E1D"/>
    <w:rsid w:val="002F0F2D"/>
    <w:rsid w:val="002F0F48"/>
    <w:rsid w:val="002F0FB2"/>
    <w:rsid w:val="002F102F"/>
    <w:rsid w:val="002F10D9"/>
    <w:rsid w:val="002F1109"/>
    <w:rsid w:val="002F1170"/>
    <w:rsid w:val="002F1199"/>
    <w:rsid w:val="002F11C2"/>
    <w:rsid w:val="002F1236"/>
    <w:rsid w:val="002F1276"/>
    <w:rsid w:val="002F1277"/>
    <w:rsid w:val="002F12A1"/>
    <w:rsid w:val="002F12BE"/>
    <w:rsid w:val="002F12D2"/>
    <w:rsid w:val="002F131A"/>
    <w:rsid w:val="002F1497"/>
    <w:rsid w:val="002F1535"/>
    <w:rsid w:val="002F1553"/>
    <w:rsid w:val="002F1558"/>
    <w:rsid w:val="002F15EE"/>
    <w:rsid w:val="002F15F9"/>
    <w:rsid w:val="002F1682"/>
    <w:rsid w:val="002F1690"/>
    <w:rsid w:val="002F16CB"/>
    <w:rsid w:val="002F171D"/>
    <w:rsid w:val="002F1726"/>
    <w:rsid w:val="002F17A3"/>
    <w:rsid w:val="002F17A8"/>
    <w:rsid w:val="002F17C6"/>
    <w:rsid w:val="002F17C7"/>
    <w:rsid w:val="002F1825"/>
    <w:rsid w:val="002F183D"/>
    <w:rsid w:val="002F18A5"/>
    <w:rsid w:val="002F18BA"/>
    <w:rsid w:val="002F1944"/>
    <w:rsid w:val="002F197E"/>
    <w:rsid w:val="002F1992"/>
    <w:rsid w:val="002F1A06"/>
    <w:rsid w:val="002F1AAC"/>
    <w:rsid w:val="002F1AC1"/>
    <w:rsid w:val="002F1B8E"/>
    <w:rsid w:val="002F1C14"/>
    <w:rsid w:val="002F1C93"/>
    <w:rsid w:val="002F1C9E"/>
    <w:rsid w:val="002F1CBA"/>
    <w:rsid w:val="002F1CCA"/>
    <w:rsid w:val="002F1D15"/>
    <w:rsid w:val="002F1D81"/>
    <w:rsid w:val="002F1E04"/>
    <w:rsid w:val="002F1E72"/>
    <w:rsid w:val="002F1ECB"/>
    <w:rsid w:val="002F2072"/>
    <w:rsid w:val="002F207B"/>
    <w:rsid w:val="002F20E8"/>
    <w:rsid w:val="002F20EF"/>
    <w:rsid w:val="002F21BF"/>
    <w:rsid w:val="002F21D5"/>
    <w:rsid w:val="002F21F4"/>
    <w:rsid w:val="002F225F"/>
    <w:rsid w:val="002F2324"/>
    <w:rsid w:val="002F2451"/>
    <w:rsid w:val="002F260E"/>
    <w:rsid w:val="002F2683"/>
    <w:rsid w:val="002F26CB"/>
    <w:rsid w:val="002F273C"/>
    <w:rsid w:val="002F2759"/>
    <w:rsid w:val="002F28BA"/>
    <w:rsid w:val="002F2A98"/>
    <w:rsid w:val="002F2AA9"/>
    <w:rsid w:val="002F2BCA"/>
    <w:rsid w:val="002F2BF3"/>
    <w:rsid w:val="002F2C13"/>
    <w:rsid w:val="002F2C8F"/>
    <w:rsid w:val="002F2D3C"/>
    <w:rsid w:val="002F2DC7"/>
    <w:rsid w:val="002F2E0F"/>
    <w:rsid w:val="002F2E10"/>
    <w:rsid w:val="002F2E48"/>
    <w:rsid w:val="002F2E7C"/>
    <w:rsid w:val="002F2E94"/>
    <w:rsid w:val="002F2F4A"/>
    <w:rsid w:val="002F2F50"/>
    <w:rsid w:val="002F2F8E"/>
    <w:rsid w:val="002F3038"/>
    <w:rsid w:val="002F305C"/>
    <w:rsid w:val="002F3076"/>
    <w:rsid w:val="002F31A4"/>
    <w:rsid w:val="002F31A6"/>
    <w:rsid w:val="002F3213"/>
    <w:rsid w:val="002F3237"/>
    <w:rsid w:val="002F3255"/>
    <w:rsid w:val="002F3350"/>
    <w:rsid w:val="002F3396"/>
    <w:rsid w:val="002F33DA"/>
    <w:rsid w:val="002F340F"/>
    <w:rsid w:val="002F34A1"/>
    <w:rsid w:val="002F3557"/>
    <w:rsid w:val="002F357B"/>
    <w:rsid w:val="002F3600"/>
    <w:rsid w:val="002F361B"/>
    <w:rsid w:val="002F365F"/>
    <w:rsid w:val="002F36BF"/>
    <w:rsid w:val="002F37B5"/>
    <w:rsid w:val="002F37C3"/>
    <w:rsid w:val="002F3812"/>
    <w:rsid w:val="002F38C2"/>
    <w:rsid w:val="002F3922"/>
    <w:rsid w:val="002F397F"/>
    <w:rsid w:val="002F3996"/>
    <w:rsid w:val="002F3BA8"/>
    <w:rsid w:val="002F3D51"/>
    <w:rsid w:val="002F3E9E"/>
    <w:rsid w:val="002F3EB1"/>
    <w:rsid w:val="002F3EE6"/>
    <w:rsid w:val="002F4089"/>
    <w:rsid w:val="002F4105"/>
    <w:rsid w:val="002F4123"/>
    <w:rsid w:val="002F4160"/>
    <w:rsid w:val="002F4161"/>
    <w:rsid w:val="002F4166"/>
    <w:rsid w:val="002F417C"/>
    <w:rsid w:val="002F4187"/>
    <w:rsid w:val="002F4334"/>
    <w:rsid w:val="002F441B"/>
    <w:rsid w:val="002F44A0"/>
    <w:rsid w:val="002F44D6"/>
    <w:rsid w:val="002F45F5"/>
    <w:rsid w:val="002F4648"/>
    <w:rsid w:val="002F47BE"/>
    <w:rsid w:val="002F4831"/>
    <w:rsid w:val="002F4848"/>
    <w:rsid w:val="002F489A"/>
    <w:rsid w:val="002F48E4"/>
    <w:rsid w:val="002F4979"/>
    <w:rsid w:val="002F49C1"/>
    <w:rsid w:val="002F49D6"/>
    <w:rsid w:val="002F4A9B"/>
    <w:rsid w:val="002F4AA2"/>
    <w:rsid w:val="002F4AB4"/>
    <w:rsid w:val="002F4B4C"/>
    <w:rsid w:val="002F4BDB"/>
    <w:rsid w:val="002F4D5D"/>
    <w:rsid w:val="002F4D9A"/>
    <w:rsid w:val="002F4DB3"/>
    <w:rsid w:val="002F4DF5"/>
    <w:rsid w:val="002F4EC2"/>
    <w:rsid w:val="002F4ECA"/>
    <w:rsid w:val="002F4ECE"/>
    <w:rsid w:val="002F4EEC"/>
    <w:rsid w:val="002F4F3F"/>
    <w:rsid w:val="002F4F76"/>
    <w:rsid w:val="002F4F98"/>
    <w:rsid w:val="002F500F"/>
    <w:rsid w:val="002F5119"/>
    <w:rsid w:val="002F5142"/>
    <w:rsid w:val="002F51D2"/>
    <w:rsid w:val="002F51F6"/>
    <w:rsid w:val="002F52C7"/>
    <w:rsid w:val="002F52D3"/>
    <w:rsid w:val="002F5347"/>
    <w:rsid w:val="002F534E"/>
    <w:rsid w:val="002F5395"/>
    <w:rsid w:val="002F5408"/>
    <w:rsid w:val="002F547B"/>
    <w:rsid w:val="002F54CD"/>
    <w:rsid w:val="002F54DC"/>
    <w:rsid w:val="002F54ED"/>
    <w:rsid w:val="002F5520"/>
    <w:rsid w:val="002F5563"/>
    <w:rsid w:val="002F55EA"/>
    <w:rsid w:val="002F55EB"/>
    <w:rsid w:val="002F5611"/>
    <w:rsid w:val="002F5690"/>
    <w:rsid w:val="002F577D"/>
    <w:rsid w:val="002F5AC5"/>
    <w:rsid w:val="002F5B56"/>
    <w:rsid w:val="002F5B66"/>
    <w:rsid w:val="002F5B73"/>
    <w:rsid w:val="002F5CF6"/>
    <w:rsid w:val="002F5DB4"/>
    <w:rsid w:val="002F5E66"/>
    <w:rsid w:val="002F5E68"/>
    <w:rsid w:val="002F5E8F"/>
    <w:rsid w:val="002F5EA6"/>
    <w:rsid w:val="002F5F2D"/>
    <w:rsid w:val="002F5F7F"/>
    <w:rsid w:val="002F5F8D"/>
    <w:rsid w:val="002F6090"/>
    <w:rsid w:val="002F6093"/>
    <w:rsid w:val="002F610C"/>
    <w:rsid w:val="002F617F"/>
    <w:rsid w:val="002F6209"/>
    <w:rsid w:val="002F626A"/>
    <w:rsid w:val="002F6285"/>
    <w:rsid w:val="002F62A2"/>
    <w:rsid w:val="002F62AA"/>
    <w:rsid w:val="002F62FE"/>
    <w:rsid w:val="002F63C6"/>
    <w:rsid w:val="002F63EC"/>
    <w:rsid w:val="002F63ED"/>
    <w:rsid w:val="002F6415"/>
    <w:rsid w:val="002F64B9"/>
    <w:rsid w:val="002F6526"/>
    <w:rsid w:val="002F659B"/>
    <w:rsid w:val="002F66F0"/>
    <w:rsid w:val="002F67CE"/>
    <w:rsid w:val="002F6800"/>
    <w:rsid w:val="002F68C6"/>
    <w:rsid w:val="002F6931"/>
    <w:rsid w:val="002F6960"/>
    <w:rsid w:val="002F698C"/>
    <w:rsid w:val="002F69FC"/>
    <w:rsid w:val="002F6A44"/>
    <w:rsid w:val="002F6B1E"/>
    <w:rsid w:val="002F6B64"/>
    <w:rsid w:val="002F6B84"/>
    <w:rsid w:val="002F6C90"/>
    <w:rsid w:val="002F6D7C"/>
    <w:rsid w:val="002F6DA2"/>
    <w:rsid w:val="002F6DDD"/>
    <w:rsid w:val="002F6E6C"/>
    <w:rsid w:val="002F6F03"/>
    <w:rsid w:val="002F6F05"/>
    <w:rsid w:val="002F6F14"/>
    <w:rsid w:val="002F6F24"/>
    <w:rsid w:val="002F6F41"/>
    <w:rsid w:val="002F6F4A"/>
    <w:rsid w:val="002F6F96"/>
    <w:rsid w:val="002F6FB5"/>
    <w:rsid w:val="002F6FD9"/>
    <w:rsid w:val="002F705C"/>
    <w:rsid w:val="002F706A"/>
    <w:rsid w:val="002F70BF"/>
    <w:rsid w:val="002F7197"/>
    <w:rsid w:val="002F726B"/>
    <w:rsid w:val="002F7309"/>
    <w:rsid w:val="002F7345"/>
    <w:rsid w:val="002F7381"/>
    <w:rsid w:val="002F73E0"/>
    <w:rsid w:val="002F7432"/>
    <w:rsid w:val="002F74D2"/>
    <w:rsid w:val="002F74F6"/>
    <w:rsid w:val="002F7654"/>
    <w:rsid w:val="002F76CA"/>
    <w:rsid w:val="002F76CC"/>
    <w:rsid w:val="002F76FB"/>
    <w:rsid w:val="002F7714"/>
    <w:rsid w:val="002F77A5"/>
    <w:rsid w:val="002F77B5"/>
    <w:rsid w:val="002F7863"/>
    <w:rsid w:val="002F787B"/>
    <w:rsid w:val="002F789E"/>
    <w:rsid w:val="002F78A7"/>
    <w:rsid w:val="002F796D"/>
    <w:rsid w:val="002F79BC"/>
    <w:rsid w:val="002F79C3"/>
    <w:rsid w:val="002F7A19"/>
    <w:rsid w:val="002F7A56"/>
    <w:rsid w:val="002F7AE7"/>
    <w:rsid w:val="002F7B9E"/>
    <w:rsid w:val="002F7BA5"/>
    <w:rsid w:val="002F7BAA"/>
    <w:rsid w:val="002F7BC7"/>
    <w:rsid w:val="002F7BDC"/>
    <w:rsid w:val="002F7C26"/>
    <w:rsid w:val="002F7D21"/>
    <w:rsid w:val="002F7DD2"/>
    <w:rsid w:val="002F7E16"/>
    <w:rsid w:val="002F7E51"/>
    <w:rsid w:val="002F7E6C"/>
    <w:rsid w:val="002F7F22"/>
    <w:rsid w:val="002F7F4E"/>
    <w:rsid w:val="002F7F57"/>
    <w:rsid w:val="002F7F5E"/>
    <w:rsid w:val="002F7F96"/>
    <w:rsid w:val="002F7FD7"/>
    <w:rsid w:val="002F7FEC"/>
    <w:rsid w:val="0030006D"/>
    <w:rsid w:val="00300077"/>
    <w:rsid w:val="00300102"/>
    <w:rsid w:val="00300109"/>
    <w:rsid w:val="0030017F"/>
    <w:rsid w:val="00300182"/>
    <w:rsid w:val="003001E4"/>
    <w:rsid w:val="0030029D"/>
    <w:rsid w:val="003002C5"/>
    <w:rsid w:val="00300364"/>
    <w:rsid w:val="00300452"/>
    <w:rsid w:val="00300468"/>
    <w:rsid w:val="003004BC"/>
    <w:rsid w:val="00300533"/>
    <w:rsid w:val="0030053B"/>
    <w:rsid w:val="0030059E"/>
    <w:rsid w:val="003005F5"/>
    <w:rsid w:val="00300678"/>
    <w:rsid w:val="00300772"/>
    <w:rsid w:val="0030083A"/>
    <w:rsid w:val="00300894"/>
    <w:rsid w:val="00300975"/>
    <w:rsid w:val="00300988"/>
    <w:rsid w:val="0030099C"/>
    <w:rsid w:val="003009E4"/>
    <w:rsid w:val="00300A2B"/>
    <w:rsid w:val="00300A2E"/>
    <w:rsid w:val="00300A79"/>
    <w:rsid w:val="00300AA8"/>
    <w:rsid w:val="00300B34"/>
    <w:rsid w:val="00300B67"/>
    <w:rsid w:val="00300CA3"/>
    <w:rsid w:val="00300CB4"/>
    <w:rsid w:val="00300CC3"/>
    <w:rsid w:val="00300D12"/>
    <w:rsid w:val="00300D68"/>
    <w:rsid w:val="00300DB9"/>
    <w:rsid w:val="00300E0D"/>
    <w:rsid w:val="00300E39"/>
    <w:rsid w:val="00300E45"/>
    <w:rsid w:val="00300F24"/>
    <w:rsid w:val="00300F96"/>
    <w:rsid w:val="00301002"/>
    <w:rsid w:val="00301029"/>
    <w:rsid w:val="00301050"/>
    <w:rsid w:val="003010A9"/>
    <w:rsid w:val="003011FA"/>
    <w:rsid w:val="0030121B"/>
    <w:rsid w:val="0030127C"/>
    <w:rsid w:val="00301321"/>
    <w:rsid w:val="00301328"/>
    <w:rsid w:val="003013DC"/>
    <w:rsid w:val="00301401"/>
    <w:rsid w:val="00301406"/>
    <w:rsid w:val="0030147A"/>
    <w:rsid w:val="00301539"/>
    <w:rsid w:val="00301563"/>
    <w:rsid w:val="00301570"/>
    <w:rsid w:val="00301579"/>
    <w:rsid w:val="003015F3"/>
    <w:rsid w:val="0030160F"/>
    <w:rsid w:val="0030169E"/>
    <w:rsid w:val="003016C0"/>
    <w:rsid w:val="003016CA"/>
    <w:rsid w:val="003016F6"/>
    <w:rsid w:val="0030170F"/>
    <w:rsid w:val="00301755"/>
    <w:rsid w:val="0030177B"/>
    <w:rsid w:val="0030178B"/>
    <w:rsid w:val="003017DA"/>
    <w:rsid w:val="003018AD"/>
    <w:rsid w:val="003018B4"/>
    <w:rsid w:val="003018C1"/>
    <w:rsid w:val="003018C9"/>
    <w:rsid w:val="0030192D"/>
    <w:rsid w:val="0030193F"/>
    <w:rsid w:val="003019EE"/>
    <w:rsid w:val="00301A50"/>
    <w:rsid w:val="00301A95"/>
    <w:rsid w:val="00301AB5"/>
    <w:rsid w:val="00301B01"/>
    <w:rsid w:val="00301B36"/>
    <w:rsid w:val="00301B3B"/>
    <w:rsid w:val="00301B3E"/>
    <w:rsid w:val="00301BC0"/>
    <w:rsid w:val="00301BD6"/>
    <w:rsid w:val="00301C64"/>
    <w:rsid w:val="00301C99"/>
    <w:rsid w:val="00301D4B"/>
    <w:rsid w:val="00301E18"/>
    <w:rsid w:val="00301E25"/>
    <w:rsid w:val="00301E41"/>
    <w:rsid w:val="00301E46"/>
    <w:rsid w:val="00301E6E"/>
    <w:rsid w:val="00301E93"/>
    <w:rsid w:val="00301E95"/>
    <w:rsid w:val="00301EB7"/>
    <w:rsid w:val="00301EB8"/>
    <w:rsid w:val="00301EC1"/>
    <w:rsid w:val="00301EF5"/>
    <w:rsid w:val="00301F78"/>
    <w:rsid w:val="00301FA5"/>
    <w:rsid w:val="0030204B"/>
    <w:rsid w:val="003020E3"/>
    <w:rsid w:val="003021CF"/>
    <w:rsid w:val="0030221A"/>
    <w:rsid w:val="00302296"/>
    <w:rsid w:val="003022B7"/>
    <w:rsid w:val="003022D5"/>
    <w:rsid w:val="003022ED"/>
    <w:rsid w:val="00302314"/>
    <w:rsid w:val="0030237A"/>
    <w:rsid w:val="00302386"/>
    <w:rsid w:val="0030240A"/>
    <w:rsid w:val="003024DB"/>
    <w:rsid w:val="003024FF"/>
    <w:rsid w:val="003025C0"/>
    <w:rsid w:val="003025DA"/>
    <w:rsid w:val="003025E1"/>
    <w:rsid w:val="00302636"/>
    <w:rsid w:val="0030269E"/>
    <w:rsid w:val="003026CF"/>
    <w:rsid w:val="003026FC"/>
    <w:rsid w:val="0030274A"/>
    <w:rsid w:val="00302751"/>
    <w:rsid w:val="0030276B"/>
    <w:rsid w:val="00302809"/>
    <w:rsid w:val="00302827"/>
    <w:rsid w:val="003028A7"/>
    <w:rsid w:val="0030297D"/>
    <w:rsid w:val="00302A0B"/>
    <w:rsid w:val="00302A3D"/>
    <w:rsid w:val="00302AC7"/>
    <w:rsid w:val="00302ACD"/>
    <w:rsid w:val="00302AF3"/>
    <w:rsid w:val="00302B4E"/>
    <w:rsid w:val="00302BBB"/>
    <w:rsid w:val="00302C06"/>
    <w:rsid w:val="00302C5D"/>
    <w:rsid w:val="00302CC1"/>
    <w:rsid w:val="00302D1C"/>
    <w:rsid w:val="00302D5C"/>
    <w:rsid w:val="00302E2D"/>
    <w:rsid w:val="00302E43"/>
    <w:rsid w:val="00302E58"/>
    <w:rsid w:val="00302EE3"/>
    <w:rsid w:val="00302F9E"/>
    <w:rsid w:val="00303027"/>
    <w:rsid w:val="0030309D"/>
    <w:rsid w:val="003030D4"/>
    <w:rsid w:val="003030DF"/>
    <w:rsid w:val="003030E6"/>
    <w:rsid w:val="003030FA"/>
    <w:rsid w:val="003031FC"/>
    <w:rsid w:val="0030329F"/>
    <w:rsid w:val="003032E5"/>
    <w:rsid w:val="003032FC"/>
    <w:rsid w:val="0030334B"/>
    <w:rsid w:val="00303352"/>
    <w:rsid w:val="00303456"/>
    <w:rsid w:val="00303461"/>
    <w:rsid w:val="0030352D"/>
    <w:rsid w:val="003035E9"/>
    <w:rsid w:val="00303612"/>
    <w:rsid w:val="0030363F"/>
    <w:rsid w:val="00303646"/>
    <w:rsid w:val="0030368C"/>
    <w:rsid w:val="003036C6"/>
    <w:rsid w:val="00303734"/>
    <w:rsid w:val="003037BE"/>
    <w:rsid w:val="003037DD"/>
    <w:rsid w:val="00303833"/>
    <w:rsid w:val="00303853"/>
    <w:rsid w:val="00303862"/>
    <w:rsid w:val="0030387D"/>
    <w:rsid w:val="00303887"/>
    <w:rsid w:val="003038B0"/>
    <w:rsid w:val="00303923"/>
    <w:rsid w:val="0030394E"/>
    <w:rsid w:val="003039DA"/>
    <w:rsid w:val="003039F7"/>
    <w:rsid w:val="00303A21"/>
    <w:rsid w:val="00303ACE"/>
    <w:rsid w:val="00303B0A"/>
    <w:rsid w:val="00303B25"/>
    <w:rsid w:val="00303B56"/>
    <w:rsid w:val="00303B76"/>
    <w:rsid w:val="00303BEC"/>
    <w:rsid w:val="00303D91"/>
    <w:rsid w:val="00303DD8"/>
    <w:rsid w:val="00303E30"/>
    <w:rsid w:val="00303EAE"/>
    <w:rsid w:val="00303F0B"/>
    <w:rsid w:val="00303F50"/>
    <w:rsid w:val="00303FF5"/>
    <w:rsid w:val="0030405F"/>
    <w:rsid w:val="0030409B"/>
    <w:rsid w:val="003040C3"/>
    <w:rsid w:val="003040CF"/>
    <w:rsid w:val="0030410C"/>
    <w:rsid w:val="00304116"/>
    <w:rsid w:val="00304118"/>
    <w:rsid w:val="003041B6"/>
    <w:rsid w:val="003041BB"/>
    <w:rsid w:val="003041F1"/>
    <w:rsid w:val="00304230"/>
    <w:rsid w:val="0030423B"/>
    <w:rsid w:val="00304245"/>
    <w:rsid w:val="0030426C"/>
    <w:rsid w:val="003042CE"/>
    <w:rsid w:val="003042E9"/>
    <w:rsid w:val="0030433B"/>
    <w:rsid w:val="00304360"/>
    <w:rsid w:val="0030438D"/>
    <w:rsid w:val="003043B8"/>
    <w:rsid w:val="003043CC"/>
    <w:rsid w:val="003043F0"/>
    <w:rsid w:val="00304463"/>
    <w:rsid w:val="003045DC"/>
    <w:rsid w:val="003045E5"/>
    <w:rsid w:val="00304660"/>
    <w:rsid w:val="00304686"/>
    <w:rsid w:val="00304751"/>
    <w:rsid w:val="003048C4"/>
    <w:rsid w:val="0030495D"/>
    <w:rsid w:val="00304981"/>
    <w:rsid w:val="00304989"/>
    <w:rsid w:val="003049AC"/>
    <w:rsid w:val="003049AE"/>
    <w:rsid w:val="00304A53"/>
    <w:rsid w:val="00304A56"/>
    <w:rsid w:val="00304A89"/>
    <w:rsid w:val="00304B4F"/>
    <w:rsid w:val="00304BA0"/>
    <w:rsid w:val="00304BAA"/>
    <w:rsid w:val="00304BD6"/>
    <w:rsid w:val="00304C3D"/>
    <w:rsid w:val="00304D33"/>
    <w:rsid w:val="00304DA3"/>
    <w:rsid w:val="00304DA4"/>
    <w:rsid w:val="00304DC6"/>
    <w:rsid w:val="00304DC7"/>
    <w:rsid w:val="00304E51"/>
    <w:rsid w:val="00304F2C"/>
    <w:rsid w:val="00304F51"/>
    <w:rsid w:val="0030502E"/>
    <w:rsid w:val="00305068"/>
    <w:rsid w:val="00305073"/>
    <w:rsid w:val="003050D0"/>
    <w:rsid w:val="003050E1"/>
    <w:rsid w:val="0030513E"/>
    <w:rsid w:val="0030516B"/>
    <w:rsid w:val="00305188"/>
    <w:rsid w:val="0030518A"/>
    <w:rsid w:val="003051DA"/>
    <w:rsid w:val="003051F2"/>
    <w:rsid w:val="00305212"/>
    <w:rsid w:val="00305274"/>
    <w:rsid w:val="00305370"/>
    <w:rsid w:val="003053A0"/>
    <w:rsid w:val="003053B4"/>
    <w:rsid w:val="00305480"/>
    <w:rsid w:val="00305488"/>
    <w:rsid w:val="003054FC"/>
    <w:rsid w:val="00305585"/>
    <w:rsid w:val="0030558C"/>
    <w:rsid w:val="003055A7"/>
    <w:rsid w:val="003055BF"/>
    <w:rsid w:val="0030575B"/>
    <w:rsid w:val="00305796"/>
    <w:rsid w:val="0030583B"/>
    <w:rsid w:val="0030584B"/>
    <w:rsid w:val="00305914"/>
    <w:rsid w:val="0030593F"/>
    <w:rsid w:val="003059C1"/>
    <w:rsid w:val="003059FA"/>
    <w:rsid w:val="00305A70"/>
    <w:rsid w:val="00305A99"/>
    <w:rsid w:val="00305AC7"/>
    <w:rsid w:val="00305B58"/>
    <w:rsid w:val="00305B82"/>
    <w:rsid w:val="00305BBB"/>
    <w:rsid w:val="00305BFB"/>
    <w:rsid w:val="00305C2D"/>
    <w:rsid w:val="00305C6D"/>
    <w:rsid w:val="00305C70"/>
    <w:rsid w:val="00305CD0"/>
    <w:rsid w:val="00305CFF"/>
    <w:rsid w:val="00305D02"/>
    <w:rsid w:val="00305D11"/>
    <w:rsid w:val="00305D29"/>
    <w:rsid w:val="00305E13"/>
    <w:rsid w:val="00305E40"/>
    <w:rsid w:val="00305EF4"/>
    <w:rsid w:val="00305F1B"/>
    <w:rsid w:val="00305F30"/>
    <w:rsid w:val="00305F4B"/>
    <w:rsid w:val="00305F70"/>
    <w:rsid w:val="0030606F"/>
    <w:rsid w:val="00306074"/>
    <w:rsid w:val="003060A2"/>
    <w:rsid w:val="003060AD"/>
    <w:rsid w:val="003060E2"/>
    <w:rsid w:val="00306125"/>
    <w:rsid w:val="00306139"/>
    <w:rsid w:val="0030617F"/>
    <w:rsid w:val="003061A1"/>
    <w:rsid w:val="00306209"/>
    <w:rsid w:val="0030626C"/>
    <w:rsid w:val="00306331"/>
    <w:rsid w:val="0030637E"/>
    <w:rsid w:val="0030645D"/>
    <w:rsid w:val="0030648E"/>
    <w:rsid w:val="003064BA"/>
    <w:rsid w:val="003064C2"/>
    <w:rsid w:val="003064C9"/>
    <w:rsid w:val="0030657B"/>
    <w:rsid w:val="003065C2"/>
    <w:rsid w:val="003065CF"/>
    <w:rsid w:val="00306645"/>
    <w:rsid w:val="00306652"/>
    <w:rsid w:val="00306659"/>
    <w:rsid w:val="0030665E"/>
    <w:rsid w:val="00306700"/>
    <w:rsid w:val="00306708"/>
    <w:rsid w:val="00306768"/>
    <w:rsid w:val="003067A0"/>
    <w:rsid w:val="0030687B"/>
    <w:rsid w:val="00306894"/>
    <w:rsid w:val="00306913"/>
    <w:rsid w:val="00306918"/>
    <w:rsid w:val="0030697B"/>
    <w:rsid w:val="00306987"/>
    <w:rsid w:val="00306A0D"/>
    <w:rsid w:val="00306A9A"/>
    <w:rsid w:val="00306AE6"/>
    <w:rsid w:val="00306B16"/>
    <w:rsid w:val="00306B23"/>
    <w:rsid w:val="00306B3C"/>
    <w:rsid w:val="00306B59"/>
    <w:rsid w:val="00306BB1"/>
    <w:rsid w:val="00306BB3"/>
    <w:rsid w:val="00306C37"/>
    <w:rsid w:val="00306C9E"/>
    <w:rsid w:val="00306D11"/>
    <w:rsid w:val="00306D14"/>
    <w:rsid w:val="00306DB8"/>
    <w:rsid w:val="00306EEE"/>
    <w:rsid w:val="00306F4E"/>
    <w:rsid w:val="00306F82"/>
    <w:rsid w:val="00306FBA"/>
    <w:rsid w:val="00307050"/>
    <w:rsid w:val="00307089"/>
    <w:rsid w:val="003070E3"/>
    <w:rsid w:val="0030712E"/>
    <w:rsid w:val="00307198"/>
    <w:rsid w:val="003071F7"/>
    <w:rsid w:val="00307214"/>
    <w:rsid w:val="00307230"/>
    <w:rsid w:val="003072BB"/>
    <w:rsid w:val="0030735C"/>
    <w:rsid w:val="00307450"/>
    <w:rsid w:val="003074E0"/>
    <w:rsid w:val="0030752E"/>
    <w:rsid w:val="003076AB"/>
    <w:rsid w:val="0030770B"/>
    <w:rsid w:val="0030774B"/>
    <w:rsid w:val="003077E9"/>
    <w:rsid w:val="00307825"/>
    <w:rsid w:val="0030785C"/>
    <w:rsid w:val="0030787A"/>
    <w:rsid w:val="00307894"/>
    <w:rsid w:val="003078F5"/>
    <w:rsid w:val="0030799D"/>
    <w:rsid w:val="003079BF"/>
    <w:rsid w:val="003079E1"/>
    <w:rsid w:val="003079E3"/>
    <w:rsid w:val="00307BAD"/>
    <w:rsid w:val="00307C00"/>
    <w:rsid w:val="00307C18"/>
    <w:rsid w:val="00307C67"/>
    <w:rsid w:val="00307C88"/>
    <w:rsid w:val="00307CB1"/>
    <w:rsid w:val="00307CB9"/>
    <w:rsid w:val="00307E4B"/>
    <w:rsid w:val="00307ED0"/>
    <w:rsid w:val="00307F30"/>
    <w:rsid w:val="00307FDE"/>
    <w:rsid w:val="0031000C"/>
    <w:rsid w:val="00310084"/>
    <w:rsid w:val="003100A3"/>
    <w:rsid w:val="003100E7"/>
    <w:rsid w:val="0031011B"/>
    <w:rsid w:val="003101F9"/>
    <w:rsid w:val="00310216"/>
    <w:rsid w:val="00310241"/>
    <w:rsid w:val="00310242"/>
    <w:rsid w:val="003102B0"/>
    <w:rsid w:val="00310313"/>
    <w:rsid w:val="00310330"/>
    <w:rsid w:val="00310341"/>
    <w:rsid w:val="00310380"/>
    <w:rsid w:val="00310432"/>
    <w:rsid w:val="00310496"/>
    <w:rsid w:val="00310517"/>
    <w:rsid w:val="00310591"/>
    <w:rsid w:val="00310688"/>
    <w:rsid w:val="0031068A"/>
    <w:rsid w:val="003106BC"/>
    <w:rsid w:val="003107CB"/>
    <w:rsid w:val="00310840"/>
    <w:rsid w:val="0031085E"/>
    <w:rsid w:val="003108A0"/>
    <w:rsid w:val="003108D1"/>
    <w:rsid w:val="003108F2"/>
    <w:rsid w:val="00310975"/>
    <w:rsid w:val="003109A4"/>
    <w:rsid w:val="003109D4"/>
    <w:rsid w:val="00310AA7"/>
    <w:rsid w:val="00310B03"/>
    <w:rsid w:val="00310B05"/>
    <w:rsid w:val="00310B45"/>
    <w:rsid w:val="00310B59"/>
    <w:rsid w:val="00310C22"/>
    <w:rsid w:val="00310C8E"/>
    <w:rsid w:val="00310E9F"/>
    <w:rsid w:val="00310FDF"/>
    <w:rsid w:val="00311046"/>
    <w:rsid w:val="0031104D"/>
    <w:rsid w:val="0031104F"/>
    <w:rsid w:val="00311152"/>
    <w:rsid w:val="00311166"/>
    <w:rsid w:val="003112A5"/>
    <w:rsid w:val="0031131F"/>
    <w:rsid w:val="0031132A"/>
    <w:rsid w:val="0031134E"/>
    <w:rsid w:val="00311365"/>
    <w:rsid w:val="00311373"/>
    <w:rsid w:val="00311413"/>
    <w:rsid w:val="00311465"/>
    <w:rsid w:val="0031149B"/>
    <w:rsid w:val="003115D9"/>
    <w:rsid w:val="00311602"/>
    <w:rsid w:val="0031164F"/>
    <w:rsid w:val="003116EA"/>
    <w:rsid w:val="003116F3"/>
    <w:rsid w:val="00311738"/>
    <w:rsid w:val="00311757"/>
    <w:rsid w:val="0031184A"/>
    <w:rsid w:val="003118AC"/>
    <w:rsid w:val="00311910"/>
    <w:rsid w:val="00311977"/>
    <w:rsid w:val="003119FC"/>
    <w:rsid w:val="003119FE"/>
    <w:rsid w:val="00311A62"/>
    <w:rsid w:val="00311A85"/>
    <w:rsid w:val="00311AC0"/>
    <w:rsid w:val="00311AF5"/>
    <w:rsid w:val="00311BBC"/>
    <w:rsid w:val="00311BC5"/>
    <w:rsid w:val="00311BCD"/>
    <w:rsid w:val="00311BF3"/>
    <w:rsid w:val="00311BFD"/>
    <w:rsid w:val="00311C1A"/>
    <w:rsid w:val="00311C1E"/>
    <w:rsid w:val="00311C6D"/>
    <w:rsid w:val="00311C8A"/>
    <w:rsid w:val="00311C9D"/>
    <w:rsid w:val="00311CB6"/>
    <w:rsid w:val="00311D6B"/>
    <w:rsid w:val="00311D72"/>
    <w:rsid w:val="00311D9B"/>
    <w:rsid w:val="00311DB5"/>
    <w:rsid w:val="00311DBF"/>
    <w:rsid w:val="00311DD8"/>
    <w:rsid w:val="00311F0D"/>
    <w:rsid w:val="00311F19"/>
    <w:rsid w:val="00311F4D"/>
    <w:rsid w:val="00311F69"/>
    <w:rsid w:val="00311FF2"/>
    <w:rsid w:val="0031202A"/>
    <w:rsid w:val="00312038"/>
    <w:rsid w:val="0031203E"/>
    <w:rsid w:val="00312040"/>
    <w:rsid w:val="00312051"/>
    <w:rsid w:val="00312106"/>
    <w:rsid w:val="00312112"/>
    <w:rsid w:val="00312150"/>
    <w:rsid w:val="00312162"/>
    <w:rsid w:val="00312225"/>
    <w:rsid w:val="00312254"/>
    <w:rsid w:val="00312263"/>
    <w:rsid w:val="003122F4"/>
    <w:rsid w:val="00312300"/>
    <w:rsid w:val="0031230F"/>
    <w:rsid w:val="0031243E"/>
    <w:rsid w:val="00312466"/>
    <w:rsid w:val="0031249E"/>
    <w:rsid w:val="003124A3"/>
    <w:rsid w:val="0031252E"/>
    <w:rsid w:val="003125C4"/>
    <w:rsid w:val="003125D1"/>
    <w:rsid w:val="00312635"/>
    <w:rsid w:val="00312690"/>
    <w:rsid w:val="003126E3"/>
    <w:rsid w:val="003126EF"/>
    <w:rsid w:val="00312777"/>
    <w:rsid w:val="0031280D"/>
    <w:rsid w:val="003128DA"/>
    <w:rsid w:val="00312B79"/>
    <w:rsid w:val="00312C19"/>
    <w:rsid w:val="00312C4F"/>
    <w:rsid w:val="00312C70"/>
    <w:rsid w:val="00312C8F"/>
    <w:rsid w:val="00312CA7"/>
    <w:rsid w:val="00312CF4"/>
    <w:rsid w:val="00312D61"/>
    <w:rsid w:val="00312DA9"/>
    <w:rsid w:val="00312DC9"/>
    <w:rsid w:val="00312DE6"/>
    <w:rsid w:val="00312E29"/>
    <w:rsid w:val="00312E6B"/>
    <w:rsid w:val="00312F60"/>
    <w:rsid w:val="00313006"/>
    <w:rsid w:val="00313036"/>
    <w:rsid w:val="00313042"/>
    <w:rsid w:val="00313111"/>
    <w:rsid w:val="00313156"/>
    <w:rsid w:val="0031317B"/>
    <w:rsid w:val="00313213"/>
    <w:rsid w:val="00313225"/>
    <w:rsid w:val="0031328B"/>
    <w:rsid w:val="00313311"/>
    <w:rsid w:val="0031335B"/>
    <w:rsid w:val="00313378"/>
    <w:rsid w:val="003133A9"/>
    <w:rsid w:val="003133CE"/>
    <w:rsid w:val="00313416"/>
    <w:rsid w:val="00313418"/>
    <w:rsid w:val="003134ED"/>
    <w:rsid w:val="003135BC"/>
    <w:rsid w:val="003136A7"/>
    <w:rsid w:val="003136E0"/>
    <w:rsid w:val="003136EF"/>
    <w:rsid w:val="00313753"/>
    <w:rsid w:val="003137FE"/>
    <w:rsid w:val="00313828"/>
    <w:rsid w:val="003138DA"/>
    <w:rsid w:val="003138EB"/>
    <w:rsid w:val="00313951"/>
    <w:rsid w:val="00313A1E"/>
    <w:rsid w:val="00313A7F"/>
    <w:rsid w:val="00313AFA"/>
    <w:rsid w:val="00313C7F"/>
    <w:rsid w:val="00313C89"/>
    <w:rsid w:val="00313CC0"/>
    <w:rsid w:val="00313CF0"/>
    <w:rsid w:val="00313DFC"/>
    <w:rsid w:val="00313E10"/>
    <w:rsid w:val="00313E93"/>
    <w:rsid w:val="00314029"/>
    <w:rsid w:val="0031402C"/>
    <w:rsid w:val="00314032"/>
    <w:rsid w:val="00314038"/>
    <w:rsid w:val="003140AA"/>
    <w:rsid w:val="003140B2"/>
    <w:rsid w:val="003140C0"/>
    <w:rsid w:val="0031415D"/>
    <w:rsid w:val="0031418F"/>
    <w:rsid w:val="00314198"/>
    <w:rsid w:val="003141ED"/>
    <w:rsid w:val="00314270"/>
    <w:rsid w:val="003142C9"/>
    <w:rsid w:val="003142FD"/>
    <w:rsid w:val="00314310"/>
    <w:rsid w:val="00314322"/>
    <w:rsid w:val="0031433A"/>
    <w:rsid w:val="0031433B"/>
    <w:rsid w:val="0031437E"/>
    <w:rsid w:val="00314389"/>
    <w:rsid w:val="00314472"/>
    <w:rsid w:val="00314480"/>
    <w:rsid w:val="00314488"/>
    <w:rsid w:val="003144AA"/>
    <w:rsid w:val="0031452E"/>
    <w:rsid w:val="003145C9"/>
    <w:rsid w:val="003145D3"/>
    <w:rsid w:val="003145E3"/>
    <w:rsid w:val="003145F6"/>
    <w:rsid w:val="00314648"/>
    <w:rsid w:val="00314667"/>
    <w:rsid w:val="003146A5"/>
    <w:rsid w:val="003146B7"/>
    <w:rsid w:val="003146C5"/>
    <w:rsid w:val="00314711"/>
    <w:rsid w:val="00314714"/>
    <w:rsid w:val="00314812"/>
    <w:rsid w:val="0031485F"/>
    <w:rsid w:val="0031488A"/>
    <w:rsid w:val="003148C3"/>
    <w:rsid w:val="00314900"/>
    <w:rsid w:val="0031499A"/>
    <w:rsid w:val="003149A9"/>
    <w:rsid w:val="003149B1"/>
    <w:rsid w:val="003149EE"/>
    <w:rsid w:val="00314A65"/>
    <w:rsid w:val="00314AAD"/>
    <w:rsid w:val="00314AB1"/>
    <w:rsid w:val="00314ABA"/>
    <w:rsid w:val="00314AFF"/>
    <w:rsid w:val="00314B00"/>
    <w:rsid w:val="00314B8F"/>
    <w:rsid w:val="00314BCE"/>
    <w:rsid w:val="00314BF1"/>
    <w:rsid w:val="00314C2A"/>
    <w:rsid w:val="00314D39"/>
    <w:rsid w:val="00314DE6"/>
    <w:rsid w:val="00314E8C"/>
    <w:rsid w:val="00314F49"/>
    <w:rsid w:val="00314F7C"/>
    <w:rsid w:val="00314FB1"/>
    <w:rsid w:val="00315073"/>
    <w:rsid w:val="003150C8"/>
    <w:rsid w:val="003150FF"/>
    <w:rsid w:val="0031514F"/>
    <w:rsid w:val="00315187"/>
    <w:rsid w:val="0031519A"/>
    <w:rsid w:val="003151A7"/>
    <w:rsid w:val="003151B5"/>
    <w:rsid w:val="003151DA"/>
    <w:rsid w:val="00315265"/>
    <w:rsid w:val="003152D2"/>
    <w:rsid w:val="00315363"/>
    <w:rsid w:val="003153F7"/>
    <w:rsid w:val="0031547F"/>
    <w:rsid w:val="003154A1"/>
    <w:rsid w:val="003154CF"/>
    <w:rsid w:val="0031555B"/>
    <w:rsid w:val="00315572"/>
    <w:rsid w:val="00315606"/>
    <w:rsid w:val="003156C8"/>
    <w:rsid w:val="003156E2"/>
    <w:rsid w:val="003157D2"/>
    <w:rsid w:val="003157DB"/>
    <w:rsid w:val="003157F4"/>
    <w:rsid w:val="0031585E"/>
    <w:rsid w:val="00315879"/>
    <w:rsid w:val="00315889"/>
    <w:rsid w:val="003158A3"/>
    <w:rsid w:val="003158CE"/>
    <w:rsid w:val="003158D2"/>
    <w:rsid w:val="0031593E"/>
    <w:rsid w:val="003159F7"/>
    <w:rsid w:val="00315A01"/>
    <w:rsid w:val="00315A4E"/>
    <w:rsid w:val="00315A5E"/>
    <w:rsid w:val="00315AC4"/>
    <w:rsid w:val="00315BE1"/>
    <w:rsid w:val="00315C4E"/>
    <w:rsid w:val="00315CB6"/>
    <w:rsid w:val="00315D11"/>
    <w:rsid w:val="00315D8E"/>
    <w:rsid w:val="00315E79"/>
    <w:rsid w:val="00315EB9"/>
    <w:rsid w:val="00315F27"/>
    <w:rsid w:val="00315F3D"/>
    <w:rsid w:val="00315F85"/>
    <w:rsid w:val="00316047"/>
    <w:rsid w:val="0031607F"/>
    <w:rsid w:val="003160C3"/>
    <w:rsid w:val="00316157"/>
    <w:rsid w:val="00316170"/>
    <w:rsid w:val="003161B8"/>
    <w:rsid w:val="00316226"/>
    <w:rsid w:val="00316236"/>
    <w:rsid w:val="003162CF"/>
    <w:rsid w:val="0031632C"/>
    <w:rsid w:val="003163B9"/>
    <w:rsid w:val="0031646C"/>
    <w:rsid w:val="0031649A"/>
    <w:rsid w:val="00316574"/>
    <w:rsid w:val="003165D0"/>
    <w:rsid w:val="00316603"/>
    <w:rsid w:val="00316660"/>
    <w:rsid w:val="00316729"/>
    <w:rsid w:val="00316767"/>
    <w:rsid w:val="00316769"/>
    <w:rsid w:val="003167A1"/>
    <w:rsid w:val="003167B0"/>
    <w:rsid w:val="003167CA"/>
    <w:rsid w:val="00316840"/>
    <w:rsid w:val="0031698E"/>
    <w:rsid w:val="003169E9"/>
    <w:rsid w:val="003169F1"/>
    <w:rsid w:val="00316A3A"/>
    <w:rsid w:val="00316A4D"/>
    <w:rsid w:val="00316A68"/>
    <w:rsid w:val="00316A70"/>
    <w:rsid w:val="00316AE2"/>
    <w:rsid w:val="00316AFE"/>
    <w:rsid w:val="00316B3D"/>
    <w:rsid w:val="00316B76"/>
    <w:rsid w:val="00316C78"/>
    <w:rsid w:val="00316C80"/>
    <w:rsid w:val="00316CB4"/>
    <w:rsid w:val="00316D14"/>
    <w:rsid w:val="00316D16"/>
    <w:rsid w:val="00316DB5"/>
    <w:rsid w:val="00316DC5"/>
    <w:rsid w:val="00316DF2"/>
    <w:rsid w:val="00316EA4"/>
    <w:rsid w:val="00316F20"/>
    <w:rsid w:val="00316F34"/>
    <w:rsid w:val="00316FC5"/>
    <w:rsid w:val="003171D2"/>
    <w:rsid w:val="003171FD"/>
    <w:rsid w:val="0031721E"/>
    <w:rsid w:val="0031724F"/>
    <w:rsid w:val="00317253"/>
    <w:rsid w:val="003172A6"/>
    <w:rsid w:val="003172AA"/>
    <w:rsid w:val="003172D4"/>
    <w:rsid w:val="0031732B"/>
    <w:rsid w:val="0031735F"/>
    <w:rsid w:val="00317369"/>
    <w:rsid w:val="0031737C"/>
    <w:rsid w:val="00317393"/>
    <w:rsid w:val="00317395"/>
    <w:rsid w:val="003173C9"/>
    <w:rsid w:val="003173E8"/>
    <w:rsid w:val="0031743B"/>
    <w:rsid w:val="003174B7"/>
    <w:rsid w:val="0031752B"/>
    <w:rsid w:val="003175BA"/>
    <w:rsid w:val="003175E8"/>
    <w:rsid w:val="00317603"/>
    <w:rsid w:val="0031763B"/>
    <w:rsid w:val="003176C9"/>
    <w:rsid w:val="00317721"/>
    <w:rsid w:val="00317755"/>
    <w:rsid w:val="0031776B"/>
    <w:rsid w:val="00317773"/>
    <w:rsid w:val="003177D8"/>
    <w:rsid w:val="003177EF"/>
    <w:rsid w:val="003177F6"/>
    <w:rsid w:val="00317865"/>
    <w:rsid w:val="003178A9"/>
    <w:rsid w:val="0031796D"/>
    <w:rsid w:val="003179B0"/>
    <w:rsid w:val="00317AB3"/>
    <w:rsid w:val="00317ACC"/>
    <w:rsid w:val="00317B34"/>
    <w:rsid w:val="00317BEE"/>
    <w:rsid w:val="00317C4C"/>
    <w:rsid w:val="00317C55"/>
    <w:rsid w:val="00317C97"/>
    <w:rsid w:val="00317D27"/>
    <w:rsid w:val="00317D9A"/>
    <w:rsid w:val="00317DA3"/>
    <w:rsid w:val="00317E63"/>
    <w:rsid w:val="00317EAB"/>
    <w:rsid w:val="00317EE4"/>
    <w:rsid w:val="00317EEE"/>
    <w:rsid w:val="00317F27"/>
    <w:rsid w:val="00320073"/>
    <w:rsid w:val="0032008C"/>
    <w:rsid w:val="0032014F"/>
    <w:rsid w:val="00320150"/>
    <w:rsid w:val="0032017C"/>
    <w:rsid w:val="003201D0"/>
    <w:rsid w:val="003201DE"/>
    <w:rsid w:val="00320217"/>
    <w:rsid w:val="0032022F"/>
    <w:rsid w:val="0032033C"/>
    <w:rsid w:val="0032034D"/>
    <w:rsid w:val="0032036D"/>
    <w:rsid w:val="00320371"/>
    <w:rsid w:val="003203D9"/>
    <w:rsid w:val="003203FA"/>
    <w:rsid w:val="00320418"/>
    <w:rsid w:val="00320430"/>
    <w:rsid w:val="00320480"/>
    <w:rsid w:val="003204DA"/>
    <w:rsid w:val="00320528"/>
    <w:rsid w:val="003205C9"/>
    <w:rsid w:val="003205F8"/>
    <w:rsid w:val="00320600"/>
    <w:rsid w:val="0032075C"/>
    <w:rsid w:val="0032077B"/>
    <w:rsid w:val="003207C0"/>
    <w:rsid w:val="003207CF"/>
    <w:rsid w:val="003207D4"/>
    <w:rsid w:val="003207DC"/>
    <w:rsid w:val="00320846"/>
    <w:rsid w:val="003208BB"/>
    <w:rsid w:val="003208E7"/>
    <w:rsid w:val="003208F3"/>
    <w:rsid w:val="003209B2"/>
    <w:rsid w:val="00320A98"/>
    <w:rsid w:val="00320B1D"/>
    <w:rsid w:val="00320C63"/>
    <w:rsid w:val="00320C6B"/>
    <w:rsid w:val="00320C6E"/>
    <w:rsid w:val="00320CE9"/>
    <w:rsid w:val="00320D3B"/>
    <w:rsid w:val="00320D4A"/>
    <w:rsid w:val="00320E1B"/>
    <w:rsid w:val="00320E38"/>
    <w:rsid w:val="00320E4F"/>
    <w:rsid w:val="00320EE8"/>
    <w:rsid w:val="00320EFD"/>
    <w:rsid w:val="00320FCC"/>
    <w:rsid w:val="0032101D"/>
    <w:rsid w:val="0032102C"/>
    <w:rsid w:val="0032109F"/>
    <w:rsid w:val="00321145"/>
    <w:rsid w:val="00321192"/>
    <w:rsid w:val="003212AE"/>
    <w:rsid w:val="0032130A"/>
    <w:rsid w:val="00321358"/>
    <w:rsid w:val="003213B0"/>
    <w:rsid w:val="003213D3"/>
    <w:rsid w:val="003213DD"/>
    <w:rsid w:val="0032141E"/>
    <w:rsid w:val="00321664"/>
    <w:rsid w:val="00321667"/>
    <w:rsid w:val="0032167D"/>
    <w:rsid w:val="0032168F"/>
    <w:rsid w:val="003216AB"/>
    <w:rsid w:val="003216B1"/>
    <w:rsid w:val="00321741"/>
    <w:rsid w:val="003217D3"/>
    <w:rsid w:val="003217F4"/>
    <w:rsid w:val="0032186A"/>
    <w:rsid w:val="00321952"/>
    <w:rsid w:val="0032196B"/>
    <w:rsid w:val="0032196E"/>
    <w:rsid w:val="003219B3"/>
    <w:rsid w:val="00321A0B"/>
    <w:rsid w:val="00321A37"/>
    <w:rsid w:val="00321ACF"/>
    <w:rsid w:val="00321AD5"/>
    <w:rsid w:val="00321B1F"/>
    <w:rsid w:val="00321B64"/>
    <w:rsid w:val="00321B7F"/>
    <w:rsid w:val="00321B9C"/>
    <w:rsid w:val="00321C09"/>
    <w:rsid w:val="00321C1A"/>
    <w:rsid w:val="00321C21"/>
    <w:rsid w:val="00321C32"/>
    <w:rsid w:val="00321C94"/>
    <w:rsid w:val="00321C9F"/>
    <w:rsid w:val="00321CB4"/>
    <w:rsid w:val="00321D28"/>
    <w:rsid w:val="00321D2C"/>
    <w:rsid w:val="00321D7F"/>
    <w:rsid w:val="00321D81"/>
    <w:rsid w:val="00321D9C"/>
    <w:rsid w:val="00321DD8"/>
    <w:rsid w:val="00321DE2"/>
    <w:rsid w:val="00321E2D"/>
    <w:rsid w:val="00321E5F"/>
    <w:rsid w:val="00321E81"/>
    <w:rsid w:val="00321EB7"/>
    <w:rsid w:val="00321ECF"/>
    <w:rsid w:val="00321ED3"/>
    <w:rsid w:val="00321EF7"/>
    <w:rsid w:val="00321F40"/>
    <w:rsid w:val="00322035"/>
    <w:rsid w:val="00322038"/>
    <w:rsid w:val="00322095"/>
    <w:rsid w:val="003220A6"/>
    <w:rsid w:val="003220DC"/>
    <w:rsid w:val="00322151"/>
    <w:rsid w:val="003221A2"/>
    <w:rsid w:val="00322201"/>
    <w:rsid w:val="0032222E"/>
    <w:rsid w:val="003223C8"/>
    <w:rsid w:val="003223EB"/>
    <w:rsid w:val="003223F0"/>
    <w:rsid w:val="003224AD"/>
    <w:rsid w:val="003224BC"/>
    <w:rsid w:val="003224F4"/>
    <w:rsid w:val="00322508"/>
    <w:rsid w:val="00322553"/>
    <w:rsid w:val="003225AE"/>
    <w:rsid w:val="003225B6"/>
    <w:rsid w:val="00322715"/>
    <w:rsid w:val="00322881"/>
    <w:rsid w:val="00322899"/>
    <w:rsid w:val="0032293A"/>
    <w:rsid w:val="003229CB"/>
    <w:rsid w:val="003229D1"/>
    <w:rsid w:val="003229E1"/>
    <w:rsid w:val="003229E3"/>
    <w:rsid w:val="00322A48"/>
    <w:rsid w:val="00322A53"/>
    <w:rsid w:val="00322AAA"/>
    <w:rsid w:val="00322AD5"/>
    <w:rsid w:val="00322B01"/>
    <w:rsid w:val="00322B19"/>
    <w:rsid w:val="00322B29"/>
    <w:rsid w:val="00322B42"/>
    <w:rsid w:val="00322BA9"/>
    <w:rsid w:val="00322C27"/>
    <w:rsid w:val="00322C39"/>
    <w:rsid w:val="00322CF2"/>
    <w:rsid w:val="00322D22"/>
    <w:rsid w:val="00322DF2"/>
    <w:rsid w:val="00322E0D"/>
    <w:rsid w:val="00322E1B"/>
    <w:rsid w:val="00322E51"/>
    <w:rsid w:val="00322E6D"/>
    <w:rsid w:val="00322EAD"/>
    <w:rsid w:val="00322EC0"/>
    <w:rsid w:val="00322EE3"/>
    <w:rsid w:val="00322F03"/>
    <w:rsid w:val="00322F4A"/>
    <w:rsid w:val="00322FA3"/>
    <w:rsid w:val="00322FF4"/>
    <w:rsid w:val="0032308E"/>
    <w:rsid w:val="0032309F"/>
    <w:rsid w:val="00323151"/>
    <w:rsid w:val="00323177"/>
    <w:rsid w:val="003231D2"/>
    <w:rsid w:val="00323228"/>
    <w:rsid w:val="00323239"/>
    <w:rsid w:val="00323258"/>
    <w:rsid w:val="00323296"/>
    <w:rsid w:val="003232BD"/>
    <w:rsid w:val="003232F1"/>
    <w:rsid w:val="003232F5"/>
    <w:rsid w:val="00323374"/>
    <w:rsid w:val="003233C4"/>
    <w:rsid w:val="0032343A"/>
    <w:rsid w:val="00323464"/>
    <w:rsid w:val="0032352A"/>
    <w:rsid w:val="00323569"/>
    <w:rsid w:val="003235E0"/>
    <w:rsid w:val="00323615"/>
    <w:rsid w:val="00323747"/>
    <w:rsid w:val="00323752"/>
    <w:rsid w:val="003237B8"/>
    <w:rsid w:val="003237C7"/>
    <w:rsid w:val="00323805"/>
    <w:rsid w:val="00323882"/>
    <w:rsid w:val="00323969"/>
    <w:rsid w:val="003239B6"/>
    <w:rsid w:val="003239C6"/>
    <w:rsid w:val="00323A21"/>
    <w:rsid w:val="00323AB2"/>
    <w:rsid w:val="00323B03"/>
    <w:rsid w:val="00323B06"/>
    <w:rsid w:val="00323B16"/>
    <w:rsid w:val="00323B88"/>
    <w:rsid w:val="00323C13"/>
    <w:rsid w:val="00323C35"/>
    <w:rsid w:val="00323C53"/>
    <w:rsid w:val="00323C5A"/>
    <w:rsid w:val="00323C82"/>
    <w:rsid w:val="00323CD7"/>
    <w:rsid w:val="00323CD9"/>
    <w:rsid w:val="00323D53"/>
    <w:rsid w:val="00323DB5"/>
    <w:rsid w:val="00323E1B"/>
    <w:rsid w:val="00323E1C"/>
    <w:rsid w:val="00323E66"/>
    <w:rsid w:val="00323E96"/>
    <w:rsid w:val="00323F1A"/>
    <w:rsid w:val="00323F5B"/>
    <w:rsid w:val="00323F76"/>
    <w:rsid w:val="00323F9A"/>
    <w:rsid w:val="003240B3"/>
    <w:rsid w:val="00324102"/>
    <w:rsid w:val="00324158"/>
    <w:rsid w:val="00324162"/>
    <w:rsid w:val="00324313"/>
    <w:rsid w:val="003243AE"/>
    <w:rsid w:val="00324408"/>
    <w:rsid w:val="0032443E"/>
    <w:rsid w:val="003244E6"/>
    <w:rsid w:val="003244F1"/>
    <w:rsid w:val="00324514"/>
    <w:rsid w:val="0032459B"/>
    <w:rsid w:val="003245BA"/>
    <w:rsid w:val="00324660"/>
    <w:rsid w:val="003246A0"/>
    <w:rsid w:val="003246FC"/>
    <w:rsid w:val="0032474D"/>
    <w:rsid w:val="003247AE"/>
    <w:rsid w:val="00324898"/>
    <w:rsid w:val="0032489C"/>
    <w:rsid w:val="003248D8"/>
    <w:rsid w:val="00324901"/>
    <w:rsid w:val="0032495C"/>
    <w:rsid w:val="003249C7"/>
    <w:rsid w:val="003249E9"/>
    <w:rsid w:val="00324ACB"/>
    <w:rsid w:val="00324AD4"/>
    <w:rsid w:val="00324B59"/>
    <w:rsid w:val="00324D78"/>
    <w:rsid w:val="00324D8A"/>
    <w:rsid w:val="00324D96"/>
    <w:rsid w:val="00324DFF"/>
    <w:rsid w:val="00324E4C"/>
    <w:rsid w:val="00324E74"/>
    <w:rsid w:val="00324EB9"/>
    <w:rsid w:val="00324FA6"/>
    <w:rsid w:val="00324FCE"/>
    <w:rsid w:val="00325014"/>
    <w:rsid w:val="0032502B"/>
    <w:rsid w:val="0032503E"/>
    <w:rsid w:val="0032504C"/>
    <w:rsid w:val="0032507A"/>
    <w:rsid w:val="0032509D"/>
    <w:rsid w:val="003250A9"/>
    <w:rsid w:val="003250D6"/>
    <w:rsid w:val="003250F3"/>
    <w:rsid w:val="0032510B"/>
    <w:rsid w:val="00325140"/>
    <w:rsid w:val="003251B9"/>
    <w:rsid w:val="003252A1"/>
    <w:rsid w:val="003252AB"/>
    <w:rsid w:val="0032536F"/>
    <w:rsid w:val="003254CC"/>
    <w:rsid w:val="00325549"/>
    <w:rsid w:val="003255C9"/>
    <w:rsid w:val="00325733"/>
    <w:rsid w:val="00325748"/>
    <w:rsid w:val="00325834"/>
    <w:rsid w:val="0032591A"/>
    <w:rsid w:val="0032594F"/>
    <w:rsid w:val="003259B6"/>
    <w:rsid w:val="003259E0"/>
    <w:rsid w:val="003259ED"/>
    <w:rsid w:val="00325A9D"/>
    <w:rsid w:val="00325B2E"/>
    <w:rsid w:val="00325B61"/>
    <w:rsid w:val="00325B6F"/>
    <w:rsid w:val="00325B7D"/>
    <w:rsid w:val="00325C5D"/>
    <w:rsid w:val="00325C9E"/>
    <w:rsid w:val="00325CAA"/>
    <w:rsid w:val="00325CB7"/>
    <w:rsid w:val="00325CDE"/>
    <w:rsid w:val="00325D1A"/>
    <w:rsid w:val="00325D27"/>
    <w:rsid w:val="00325D61"/>
    <w:rsid w:val="00325E08"/>
    <w:rsid w:val="00325EAB"/>
    <w:rsid w:val="00325ECE"/>
    <w:rsid w:val="00325FA8"/>
    <w:rsid w:val="00325FBA"/>
    <w:rsid w:val="00325FFA"/>
    <w:rsid w:val="0032607E"/>
    <w:rsid w:val="0032607F"/>
    <w:rsid w:val="003261FC"/>
    <w:rsid w:val="00326209"/>
    <w:rsid w:val="00326278"/>
    <w:rsid w:val="003262F6"/>
    <w:rsid w:val="003262F8"/>
    <w:rsid w:val="00326313"/>
    <w:rsid w:val="00326335"/>
    <w:rsid w:val="00326428"/>
    <w:rsid w:val="00326445"/>
    <w:rsid w:val="00326484"/>
    <w:rsid w:val="00326499"/>
    <w:rsid w:val="0032651C"/>
    <w:rsid w:val="0032652A"/>
    <w:rsid w:val="00326600"/>
    <w:rsid w:val="003266CD"/>
    <w:rsid w:val="003266D7"/>
    <w:rsid w:val="003266ED"/>
    <w:rsid w:val="00326751"/>
    <w:rsid w:val="00326770"/>
    <w:rsid w:val="003267A5"/>
    <w:rsid w:val="003267F8"/>
    <w:rsid w:val="003267FC"/>
    <w:rsid w:val="003267FD"/>
    <w:rsid w:val="0032681C"/>
    <w:rsid w:val="0032689F"/>
    <w:rsid w:val="003268D5"/>
    <w:rsid w:val="003268FF"/>
    <w:rsid w:val="003269A6"/>
    <w:rsid w:val="00326A27"/>
    <w:rsid w:val="00326A37"/>
    <w:rsid w:val="00326AD9"/>
    <w:rsid w:val="00326B17"/>
    <w:rsid w:val="00326B3A"/>
    <w:rsid w:val="00326BBA"/>
    <w:rsid w:val="00326C1E"/>
    <w:rsid w:val="00326D6B"/>
    <w:rsid w:val="00326E50"/>
    <w:rsid w:val="00326E5E"/>
    <w:rsid w:val="00326E7A"/>
    <w:rsid w:val="00326EBF"/>
    <w:rsid w:val="00326FD9"/>
    <w:rsid w:val="00326FE9"/>
    <w:rsid w:val="00326FF3"/>
    <w:rsid w:val="00327028"/>
    <w:rsid w:val="0032702D"/>
    <w:rsid w:val="0032704D"/>
    <w:rsid w:val="003270A1"/>
    <w:rsid w:val="003270DC"/>
    <w:rsid w:val="00327109"/>
    <w:rsid w:val="0032710C"/>
    <w:rsid w:val="003271FB"/>
    <w:rsid w:val="00327225"/>
    <w:rsid w:val="00327239"/>
    <w:rsid w:val="003272A3"/>
    <w:rsid w:val="003272FB"/>
    <w:rsid w:val="00327310"/>
    <w:rsid w:val="0032732B"/>
    <w:rsid w:val="0032738D"/>
    <w:rsid w:val="0032739C"/>
    <w:rsid w:val="00327405"/>
    <w:rsid w:val="00327459"/>
    <w:rsid w:val="0032746E"/>
    <w:rsid w:val="003274DB"/>
    <w:rsid w:val="00327584"/>
    <w:rsid w:val="00327603"/>
    <w:rsid w:val="00327676"/>
    <w:rsid w:val="00327690"/>
    <w:rsid w:val="003276BE"/>
    <w:rsid w:val="003276D0"/>
    <w:rsid w:val="003276EE"/>
    <w:rsid w:val="00327787"/>
    <w:rsid w:val="003277DD"/>
    <w:rsid w:val="0032785D"/>
    <w:rsid w:val="003278B6"/>
    <w:rsid w:val="00327931"/>
    <w:rsid w:val="003279CC"/>
    <w:rsid w:val="00327A12"/>
    <w:rsid w:val="00327AD6"/>
    <w:rsid w:val="00327AFC"/>
    <w:rsid w:val="00327B28"/>
    <w:rsid w:val="00327BC9"/>
    <w:rsid w:val="00327C3D"/>
    <w:rsid w:val="00327C74"/>
    <w:rsid w:val="00327C99"/>
    <w:rsid w:val="00327CC3"/>
    <w:rsid w:val="00327DDF"/>
    <w:rsid w:val="00327DF7"/>
    <w:rsid w:val="00327E06"/>
    <w:rsid w:val="00327E30"/>
    <w:rsid w:val="00327E9B"/>
    <w:rsid w:val="00327ED4"/>
    <w:rsid w:val="00327EFB"/>
    <w:rsid w:val="00327EFC"/>
    <w:rsid w:val="00327F0E"/>
    <w:rsid w:val="00327F92"/>
    <w:rsid w:val="00330024"/>
    <w:rsid w:val="00330090"/>
    <w:rsid w:val="003300F6"/>
    <w:rsid w:val="00330152"/>
    <w:rsid w:val="00330192"/>
    <w:rsid w:val="00330224"/>
    <w:rsid w:val="003302A9"/>
    <w:rsid w:val="003302E7"/>
    <w:rsid w:val="003303F1"/>
    <w:rsid w:val="003303F9"/>
    <w:rsid w:val="00330413"/>
    <w:rsid w:val="003304DC"/>
    <w:rsid w:val="0033050C"/>
    <w:rsid w:val="00330541"/>
    <w:rsid w:val="0033055C"/>
    <w:rsid w:val="00330666"/>
    <w:rsid w:val="00330699"/>
    <w:rsid w:val="00330772"/>
    <w:rsid w:val="003307D5"/>
    <w:rsid w:val="00330809"/>
    <w:rsid w:val="00330872"/>
    <w:rsid w:val="003308A2"/>
    <w:rsid w:val="003308C8"/>
    <w:rsid w:val="003309F8"/>
    <w:rsid w:val="00330A64"/>
    <w:rsid w:val="00330AB5"/>
    <w:rsid w:val="00330B0A"/>
    <w:rsid w:val="00330B3E"/>
    <w:rsid w:val="00330B86"/>
    <w:rsid w:val="00330B89"/>
    <w:rsid w:val="00330BF1"/>
    <w:rsid w:val="00330C31"/>
    <w:rsid w:val="00330C36"/>
    <w:rsid w:val="00330CD9"/>
    <w:rsid w:val="00330D63"/>
    <w:rsid w:val="00330D90"/>
    <w:rsid w:val="00330DC7"/>
    <w:rsid w:val="00330DD8"/>
    <w:rsid w:val="00330E58"/>
    <w:rsid w:val="00330E9C"/>
    <w:rsid w:val="00330F0A"/>
    <w:rsid w:val="00330F27"/>
    <w:rsid w:val="00330F2D"/>
    <w:rsid w:val="00330F4F"/>
    <w:rsid w:val="00330F69"/>
    <w:rsid w:val="00330FE7"/>
    <w:rsid w:val="00331044"/>
    <w:rsid w:val="0033109C"/>
    <w:rsid w:val="003310CF"/>
    <w:rsid w:val="00331109"/>
    <w:rsid w:val="00331161"/>
    <w:rsid w:val="003311BD"/>
    <w:rsid w:val="003311F3"/>
    <w:rsid w:val="0033123C"/>
    <w:rsid w:val="00331259"/>
    <w:rsid w:val="00331299"/>
    <w:rsid w:val="003312B7"/>
    <w:rsid w:val="00331353"/>
    <w:rsid w:val="00331370"/>
    <w:rsid w:val="0033146A"/>
    <w:rsid w:val="0033148A"/>
    <w:rsid w:val="003314B6"/>
    <w:rsid w:val="003314BE"/>
    <w:rsid w:val="0033153A"/>
    <w:rsid w:val="00331555"/>
    <w:rsid w:val="00331580"/>
    <w:rsid w:val="003315A2"/>
    <w:rsid w:val="003315A9"/>
    <w:rsid w:val="00331663"/>
    <w:rsid w:val="003316A6"/>
    <w:rsid w:val="003316AB"/>
    <w:rsid w:val="003316C4"/>
    <w:rsid w:val="0033175A"/>
    <w:rsid w:val="0033177C"/>
    <w:rsid w:val="003317EA"/>
    <w:rsid w:val="00331871"/>
    <w:rsid w:val="0033187A"/>
    <w:rsid w:val="0033199B"/>
    <w:rsid w:val="00331A56"/>
    <w:rsid w:val="00331AC7"/>
    <w:rsid w:val="00331B5E"/>
    <w:rsid w:val="00331B6F"/>
    <w:rsid w:val="00331BB8"/>
    <w:rsid w:val="00331C02"/>
    <w:rsid w:val="00331C53"/>
    <w:rsid w:val="00331C76"/>
    <w:rsid w:val="00331CED"/>
    <w:rsid w:val="00331DB7"/>
    <w:rsid w:val="00331DD3"/>
    <w:rsid w:val="00331DE1"/>
    <w:rsid w:val="00331E3B"/>
    <w:rsid w:val="00331E63"/>
    <w:rsid w:val="00331E82"/>
    <w:rsid w:val="00331E85"/>
    <w:rsid w:val="00331EA5"/>
    <w:rsid w:val="00331EDF"/>
    <w:rsid w:val="00331EF0"/>
    <w:rsid w:val="00331F1D"/>
    <w:rsid w:val="00331F7E"/>
    <w:rsid w:val="00331FED"/>
    <w:rsid w:val="00331FFA"/>
    <w:rsid w:val="00332055"/>
    <w:rsid w:val="003320D1"/>
    <w:rsid w:val="0033214A"/>
    <w:rsid w:val="003321B2"/>
    <w:rsid w:val="00332228"/>
    <w:rsid w:val="003322AF"/>
    <w:rsid w:val="00332326"/>
    <w:rsid w:val="0033238E"/>
    <w:rsid w:val="0033239B"/>
    <w:rsid w:val="003324FD"/>
    <w:rsid w:val="00332504"/>
    <w:rsid w:val="00332608"/>
    <w:rsid w:val="00332649"/>
    <w:rsid w:val="00332712"/>
    <w:rsid w:val="0033284F"/>
    <w:rsid w:val="003328C8"/>
    <w:rsid w:val="003329A6"/>
    <w:rsid w:val="00332A7E"/>
    <w:rsid w:val="00332ACC"/>
    <w:rsid w:val="00332B05"/>
    <w:rsid w:val="00332C40"/>
    <w:rsid w:val="00332C8C"/>
    <w:rsid w:val="00332D9D"/>
    <w:rsid w:val="00332E37"/>
    <w:rsid w:val="00332EAE"/>
    <w:rsid w:val="00332FE8"/>
    <w:rsid w:val="00333037"/>
    <w:rsid w:val="00333094"/>
    <w:rsid w:val="00333143"/>
    <w:rsid w:val="00333170"/>
    <w:rsid w:val="00333216"/>
    <w:rsid w:val="0033325A"/>
    <w:rsid w:val="003333AF"/>
    <w:rsid w:val="003334F0"/>
    <w:rsid w:val="00333569"/>
    <w:rsid w:val="0033358E"/>
    <w:rsid w:val="003335DD"/>
    <w:rsid w:val="0033361B"/>
    <w:rsid w:val="0033370F"/>
    <w:rsid w:val="0033371E"/>
    <w:rsid w:val="0033375D"/>
    <w:rsid w:val="003337A1"/>
    <w:rsid w:val="003337B5"/>
    <w:rsid w:val="00333828"/>
    <w:rsid w:val="0033386F"/>
    <w:rsid w:val="00333874"/>
    <w:rsid w:val="003338C8"/>
    <w:rsid w:val="0033390A"/>
    <w:rsid w:val="003339AC"/>
    <w:rsid w:val="003339B6"/>
    <w:rsid w:val="003339C8"/>
    <w:rsid w:val="00333A19"/>
    <w:rsid w:val="00333AD5"/>
    <w:rsid w:val="00333AF4"/>
    <w:rsid w:val="00333B54"/>
    <w:rsid w:val="00333B79"/>
    <w:rsid w:val="00333BA8"/>
    <w:rsid w:val="00333BF8"/>
    <w:rsid w:val="00333C03"/>
    <w:rsid w:val="00333C37"/>
    <w:rsid w:val="00333C5E"/>
    <w:rsid w:val="00333DCB"/>
    <w:rsid w:val="00333E4A"/>
    <w:rsid w:val="00333E76"/>
    <w:rsid w:val="00333EED"/>
    <w:rsid w:val="00333FB7"/>
    <w:rsid w:val="00334031"/>
    <w:rsid w:val="00334097"/>
    <w:rsid w:val="003340DE"/>
    <w:rsid w:val="00334111"/>
    <w:rsid w:val="00334118"/>
    <w:rsid w:val="00334186"/>
    <w:rsid w:val="003341A3"/>
    <w:rsid w:val="003341F0"/>
    <w:rsid w:val="0033420D"/>
    <w:rsid w:val="00334236"/>
    <w:rsid w:val="00334237"/>
    <w:rsid w:val="00334266"/>
    <w:rsid w:val="003342ED"/>
    <w:rsid w:val="003343BC"/>
    <w:rsid w:val="00334425"/>
    <w:rsid w:val="00334464"/>
    <w:rsid w:val="00334569"/>
    <w:rsid w:val="00334584"/>
    <w:rsid w:val="003345EA"/>
    <w:rsid w:val="00334614"/>
    <w:rsid w:val="0033464D"/>
    <w:rsid w:val="00334655"/>
    <w:rsid w:val="00334692"/>
    <w:rsid w:val="00334697"/>
    <w:rsid w:val="0033471D"/>
    <w:rsid w:val="00334721"/>
    <w:rsid w:val="00334763"/>
    <w:rsid w:val="0033477C"/>
    <w:rsid w:val="003347E5"/>
    <w:rsid w:val="00334867"/>
    <w:rsid w:val="0033489F"/>
    <w:rsid w:val="003348A0"/>
    <w:rsid w:val="003348E7"/>
    <w:rsid w:val="00334926"/>
    <w:rsid w:val="0033497F"/>
    <w:rsid w:val="003349AF"/>
    <w:rsid w:val="00334A14"/>
    <w:rsid w:val="00334AB6"/>
    <w:rsid w:val="00334AB7"/>
    <w:rsid w:val="00334AFD"/>
    <w:rsid w:val="00334B5A"/>
    <w:rsid w:val="00334BF2"/>
    <w:rsid w:val="00334C46"/>
    <w:rsid w:val="00334C55"/>
    <w:rsid w:val="00334D1E"/>
    <w:rsid w:val="00334D3F"/>
    <w:rsid w:val="00334D57"/>
    <w:rsid w:val="00334DA6"/>
    <w:rsid w:val="00334E27"/>
    <w:rsid w:val="00334E34"/>
    <w:rsid w:val="00334E83"/>
    <w:rsid w:val="00334EB9"/>
    <w:rsid w:val="00334EE7"/>
    <w:rsid w:val="00334EF5"/>
    <w:rsid w:val="00334FD5"/>
    <w:rsid w:val="00335014"/>
    <w:rsid w:val="00335090"/>
    <w:rsid w:val="0033514D"/>
    <w:rsid w:val="0033518E"/>
    <w:rsid w:val="003351B0"/>
    <w:rsid w:val="003351DF"/>
    <w:rsid w:val="00335219"/>
    <w:rsid w:val="003352FC"/>
    <w:rsid w:val="00335300"/>
    <w:rsid w:val="0033537F"/>
    <w:rsid w:val="003353DE"/>
    <w:rsid w:val="003353E8"/>
    <w:rsid w:val="0033544A"/>
    <w:rsid w:val="00335470"/>
    <w:rsid w:val="00335497"/>
    <w:rsid w:val="0033549E"/>
    <w:rsid w:val="0033550A"/>
    <w:rsid w:val="003355E9"/>
    <w:rsid w:val="00335621"/>
    <w:rsid w:val="00335657"/>
    <w:rsid w:val="00335661"/>
    <w:rsid w:val="00335686"/>
    <w:rsid w:val="003356BE"/>
    <w:rsid w:val="0033571D"/>
    <w:rsid w:val="00335750"/>
    <w:rsid w:val="00335782"/>
    <w:rsid w:val="003357FF"/>
    <w:rsid w:val="00335820"/>
    <w:rsid w:val="00335840"/>
    <w:rsid w:val="00335858"/>
    <w:rsid w:val="003358AD"/>
    <w:rsid w:val="0033598F"/>
    <w:rsid w:val="0033599C"/>
    <w:rsid w:val="00335A2A"/>
    <w:rsid w:val="00335AC0"/>
    <w:rsid w:val="00335B1B"/>
    <w:rsid w:val="00335B26"/>
    <w:rsid w:val="00335B2B"/>
    <w:rsid w:val="00335B37"/>
    <w:rsid w:val="00335BB6"/>
    <w:rsid w:val="00335BDF"/>
    <w:rsid w:val="00335C2C"/>
    <w:rsid w:val="00335C5D"/>
    <w:rsid w:val="00335C6F"/>
    <w:rsid w:val="00335CA0"/>
    <w:rsid w:val="00335CBE"/>
    <w:rsid w:val="00335D49"/>
    <w:rsid w:val="00335DBF"/>
    <w:rsid w:val="00335E1B"/>
    <w:rsid w:val="00335E44"/>
    <w:rsid w:val="00335E7A"/>
    <w:rsid w:val="00335EE8"/>
    <w:rsid w:val="00335F0B"/>
    <w:rsid w:val="00335FB6"/>
    <w:rsid w:val="00335FD3"/>
    <w:rsid w:val="003360C8"/>
    <w:rsid w:val="00336143"/>
    <w:rsid w:val="003361C8"/>
    <w:rsid w:val="003361DE"/>
    <w:rsid w:val="0033620F"/>
    <w:rsid w:val="003363A0"/>
    <w:rsid w:val="0033648F"/>
    <w:rsid w:val="00336497"/>
    <w:rsid w:val="003364F2"/>
    <w:rsid w:val="003365E6"/>
    <w:rsid w:val="003366AC"/>
    <w:rsid w:val="0033671D"/>
    <w:rsid w:val="00336721"/>
    <w:rsid w:val="00336788"/>
    <w:rsid w:val="003367D6"/>
    <w:rsid w:val="00336884"/>
    <w:rsid w:val="00336886"/>
    <w:rsid w:val="0033690F"/>
    <w:rsid w:val="003369AD"/>
    <w:rsid w:val="00336A2B"/>
    <w:rsid w:val="00336A4C"/>
    <w:rsid w:val="00336A96"/>
    <w:rsid w:val="00336AB9"/>
    <w:rsid w:val="00336B32"/>
    <w:rsid w:val="00336B3F"/>
    <w:rsid w:val="00336BAE"/>
    <w:rsid w:val="00336BBC"/>
    <w:rsid w:val="00336C07"/>
    <w:rsid w:val="00336C0D"/>
    <w:rsid w:val="00336CDA"/>
    <w:rsid w:val="00336D47"/>
    <w:rsid w:val="00336D92"/>
    <w:rsid w:val="0033706C"/>
    <w:rsid w:val="003370E7"/>
    <w:rsid w:val="003370F2"/>
    <w:rsid w:val="00337112"/>
    <w:rsid w:val="0033717A"/>
    <w:rsid w:val="003371D7"/>
    <w:rsid w:val="003371EF"/>
    <w:rsid w:val="0033722A"/>
    <w:rsid w:val="0033730E"/>
    <w:rsid w:val="00337372"/>
    <w:rsid w:val="00337392"/>
    <w:rsid w:val="003373E2"/>
    <w:rsid w:val="00337411"/>
    <w:rsid w:val="0033743A"/>
    <w:rsid w:val="0033744A"/>
    <w:rsid w:val="003374A9"/>
    <w:rsid w:val="0033753E"/>
    <w:rsid w:val="00337549"/>
    <w:rsid w:val="0033755F"/>
    <w:rsid w:val="00337560"/>
    <w:rsid w:val="003375C4"/>
    <w:rsid w:val="00337609"/>
    <w:rsid w:val="00337647"/>
    <w:rsid w:val="00337790"/>
    <w:rsid w:val="003377DF"/>
    <w:rsid w:val="00337850"/>
    <w:rsid w:val="0033789D"/>
    <w:rsid w:val="0033794B"/>
    <w:rsid w:val="00337A20"/>
    <w:rsid w:val="00337AA1"/>
    <w:rsid w:val="00337B28"/>
    <w:rsid w:val="00337B47"/>
    <w:rsid w:val="00337C0A"/>
    <w:rsid w:val="00337C2E"/>
    <w:rsid w:val="00337C47"/>
    <w:rsid w:val="00337C49"/>
    <w:rsid w:val="00337D26"/>
    <w:rsid w:val="00337D2E"/>
    <w:rsid w:val="00337DE5"/>
    <w:rsid w:val="00337E06"/>
    <w:rsid w:val="00337E14"/>
    <w:rsid w:val="00337E4E"/>
    <w:rsid w:val="00337E63"/>
    <w:rsid w:val="00337EBA"/>
    <w:rsid w:val="00337F7D"/>
    <w:rsid w:val="00337FB1"/>
    <w:rsid w:val="00337FD5"/>
    <w:rsid w:val="0034004B"/>
    <w:rsid w:val="003400C5"/>
    <w:rsid w:val="003400DF"/>
    <w:rsid w:val="003400E8"/>
    <w:rsid w:val="00340148"/>
    <w:rsid w:val="0034014C"/>
    <w:rsid w:val="00340180"/>
    <w:rsid w:val="003401DE"/>
    <w:rsid w:val="003402B4"/>
    <w:rsid w:val="003402CA"/>
    <w:rsid w:val="00340379"/>
    <w:rsid w:val="003403BA"/>
    <w:rsid w:val="003403BB"/>
    <w:rsid w:val="003403E8"/>
    <w:rsid w:val="00340414"/>
    <w:rsid w:val="00340479"/>
    <w:rsid w:val="00340485"/>
    <w:rsid w:val="003404E8"/>
    <w:rsid w:val="00340501"/>
    <w:rsid w:val="00340503"/>
    <w:rsid w:val="0034055A"/>
    <w:rsid w:val="0034058D"/>
    <w:rsid w:val="003405A8"/>
    <w:rsid w:val="00340637"/>
    <w:rsid w:val="00340711"/>
    <w:rsid w:val="00340812"/>
    <w:rsid w:val="00340826"/>
    <w:rsid w:val="003408AD"/>
    <w:rsid w:val="00340917"/>
    <w:rsid w:val="00340983"/>
    <w:rsid w:val="00340A35"/>
    <w:rsid w:val="00340A45"/>
    <w:rsid w:val="00340A4B"/>
    <w:rsid w:val="00340AB4"/>
    <w:rsid w:val="00340AD4"/>
    <w:rsid w:val="00340B03"/>
    <w:rsid w:val="00340B5F"/>
    <w:rsid w:val="00340BA2"/>
    <w:rsid w:val="00340BED"/>
    <w:rsid w:val="00340C16"/>
    <w:rsid w:val="00340D35"/>
    <w:rsid w:val="00340D99"/>
    <w:rsid w:val="00340D9D"/>
    <w:rsid w:val="00340DF3"/>
    <w:rsid w:val="00340EDD"/>
    <w:rsid w:val="00340EFB"/>
    <w:rsid w:val="00340F0F"/>
    <w:rsid w:val="003410A2"/>
    <w:rsid w:val="003410B5"/>
    <w:rsid w:val="003411A4"/>
    <w:rsid w:val="003411B8"/>
    <w:rsid w:val="003411CB"/>
    <w:rsid w:val="003411D1"/>
    <w:rsid w:val="00341222"/>
    <w:rsid w:val="003412C5"/>
    <w:rsid w:val="00341330"/>
    <w:rsid w:val="0034135C"/>
    <w:rsid w:val="003413D7"/>
    <w:rsid w:val="003414A9"/>
    <w:rsid w:val="003414EA"/>
    <w:rsid w:val="00341567"/>
    <w:rsid w:val="003415A1"/>
    <w:rsid w:val="003415B1"/>
    <w:rsid w:val="00341638"/>
    <w:rsid w:val="00341642"/>
    <w:rsid w:val="00341652"/>
    <w:rsid w:val="00341675"/>
    <w:rsid w:val="0034167F"/>
    <w:rsid w:val="0034183F"/>
    <w:rsid w:val="00341887"/>
    <w:rsid w:val="00341895"/>
    <w:rsid w:val="003418C3"/>
    <w:rsid w:val="00341921"/>
    <w:rsid w:val="0034192C"/>
    <w:rsid w:val="00341953"/>
    <w:rsid w:val="0034196E"/>
    <w:rsid w:val="00341AC5"/>
    <w:rsid w:val="00341AE0"/>
    <w:rsid w:val="00341B37"/>
    <w:rsid w:val="00341B78"/>
    <w:rsid w:val="00341BAC"/>
    <w:rsid w:val="00341BFA"/>
    <w:rsid w:val="00341C0F"/>
    <w:rsid w:val="00341C32"/>
    <w:rsid w:val="00341C36"/>
    <w:rsid w:val="00341C68"/>
    <w:rsid w:val="00341C6E"/>
    <w:rsid w:val="00341D09"/>
    <w:rsid w:val="00341DA8"/>
    <w:rsid w:val="00341E44"/>
    <w:rsid w:val="00341F80"/>
    <w:rsid w:val="00341F90"/>
    <w:rsid w:val="00341F99"/>
    <w:rsid w:val="00341FD2"/>
    <w:rsid w:val="00341FFB"/>
    <w:rsid w:val="00342048"/>
    <w:rsid w:val="0034205B"/>
    <w:rsid w:val="00342072"/>
    <w:rsid w:val="0034208E"/>
    <w:rsid w:val="003420C6"/>
    <w:rsid w:val="003420F8"/>
    <w:rsid w:val="00342136"/>
    <w:rsid w:val="003421BC"/>
    <w:rsid w:val="003421C9"/>
    <w:rsid w:val="0034221D"/>
    <w:rsid w:val="003422A1"/>
    <w:rsid w:val="003422E1"/>
    <w:rsid w:val="003422F7"/>
    <w:rsid w:val="00342301"/>
    <w:rsid w:val="00342372"/>
    <w:rsid w:val="003423D9"/>
    <w:rsid w:val="003423DE"/>
    <w:rsid w:val="003423FB"/>
    <w:rsid w:val="003424AA"/>
    <w:rsid w:val="003424DC"/>
    <w:rsid w:val="0034252B"/>
    <w:rsid w:val="00342547"/>
    <w:rsid w:val="003425AE"/>
    <w:rsid w:val="003425C1"/>
    <w:rsid w:val="003425EC"/>
    <w:rsid w:val="003425EE"/>
    <w:rsid w:val="00342682"/>
    <w:rsid w:val="00342732"/>
    <w:rsid w:val="00342794"/>
    <w:rsid w:val="003427B4"/>
    <w:rsid w:val="003427B6"/>
    <w:rsid w:val="0034285C"/>
    <w:rsid w:val="00342868"/>
    <w:rsid w:val="003428A0"/>
    <w:rsid w:val="00342979"/>
    <w:rsid w:val="00342A2B"/>
    <w:rsid w:val="00342AE0"/>
    <w:rsid w:val="00342C07"/>
    <w:rsid w:val="00342C39"/>
    <w:rsid w:val="00342C51"/>
    <w:rsid w:val="00342C81"/>
    <w:rsid w:val="00342C87"/>
    <w:rsid w:val="00342E16"/>
    <w:rsid w:val="00342E95"/>
    <w:rsid w:val="00342EB1"/>
    <w:rsid w:val="00342EBD"/>
    <w:rsid w:val="00342F05"/>
    <w:rsid w:val="00342F1E"/>
    <w:rsid w:val="00342F24"/>
    <w:rsid w:val="00342F75"/>
    <w:rsid w:val="00342F81"/>
    <w:rsid w:val="00342FB2"/>
    <w:rsid w:val="00342FD1"/>
    <w:rsid w:val="00343005"/>
    <w:rsid w:val="00343081"/>
    <w:rsid w:val="003430A1"/>
    <w:rsid w:val="003430C1"/>
    <w:rsid w:val="0034313A"/>
    <w:rsid w:val="0034319F"/>
    <w:rsid w:val="00343251"/>
    <w:rsid w:val="003432D9"/>
    <w:rsid w:val="0034336F"/>
    <w:rsid w:val="003433B2"/>
    <w:rsid w:val="003433DF"/>
    <w:rsid w:val="003433F4"/>
    <w:rsid w:val="0034341F"/>
    <w:rsid w:val="003434A2"/>
    <w:rsid w:val="003434C8"/>
    <w:rsid w:val="00343520"/>
    <w:rsid w:val="00343544"/>
    <w:rsid w:val="00343575"/>
    <w:rsid w:val="00343599"/>
    <w:rsid w:val="003436C3"/>
    <w:rsid w:val="00343756"/>
    <w:rsid w:val="003437B0"/>
    <w:rsid w:val="003437B6"/>
    <w:rsid w:val="003437C4"/>
    <w:rsid w:val="00343823"/>
    <w:rsid w:val="0034387F"/>
    <w:rsid w:val="00343883"/>
    <w:rsid w:val="0034389A"/>
    <w:rsid w:val="003438B2"/>
    <w:rsid w:val="003438C7"/>
    <w:rsid w:val="003438D8"/>
    <w:rsid w:val="003438E7"/>
    <w:rsid w:val="0034390A"/>
    <w:rsid w:val="0034390C"/>
    <w:rsid w:val="0034394E"/>
    <w:rsid w:val="003439D0"/>
    <w:rsid w:val="003439EE"/>
    <w:rsid w:val="003439EF"/>
    <w:rsid w:val="00343A5E"/>
    <w:rsid w:val="00343AB3"/>
    <w:rsid w:val="00343B3D"/>
    <w:rsid w:val="00343B5A"/>
    <w:rsid w:val="00343BA9"/>
    <w:rsid w:val="00343BE2"/>
    <w:rsid w:val="00343C6F"/>
    <w:rsid w:val="00343C7B"/>
    <w:rsid w:val="00343CAE"/>
    <w:rsid w:val="00343CC9"/>
    <w:rsid w:val="00343D31"/>
    <w:rsid w:val="00343D51"/>
    <w:rsid w:val="00343E5D"/>
    <w:rsid w:val="00343E87"/>
    <w:rsid w:val="00343F1F"/>
    <w:rsid w:val="00343F68"/>
    <w:rsid w:val="00343FD3"/>
    <w:rsid w:val="0034401D"/>
    <w:rsid w:val="0034404A"/>
    <w:rsid w:val="00344050"/>
    <w:rsid w:val="0034409E"/>
    <w:rsid w:val="00344157"/>
    <w:rsid w:val="00344188"/>
    <w:rsid w:val="003441E6"/>
    <w:rsid w:val="00344206"/>
    <w:rsid w:val="0034425A"/>
    <w:rsid w:val="00344273"/>
    <w:rsid w:val="00344339"/>
    <w:rsid w:val="00344344"/>
    <w:rsid w:val="00344355"/>
    <w:rsid w:val="00344393"/>
    <w:rsid w:val="003443B2"/>
    <w:rsid w:val="003443CD"/>
    <w:rsid w:val="003443E0"/>
    <w:rsid w:val="0034445B"/>
    <w:rsid w:val="00344488"/>
    <w:rsid w:val="003444A4"/>
    <w:rsid w:val="003444EA"/>
    <w:rsid w:val="00344545"/>
    <w:rsid w:val="00344597"/>
    <w:rsid w:val="003445F9"/>
    <w:rsid w:val="003446AD"/>
    <w:rsid w:val="00344716"/>
    <w:rsid w:val="00344759"/>
    <w:rsid w:val="003447C4"/>
    <w:rsid w:val="00344835"/>
    <w:rsid w:val="00344836"/>
    <w:rsid w:val="0034489F"/>
    <w:rsid w:val="003448F6"/>
    <w:rsid w:val="0034493D"/>
    <w:rsid w:val="003449BE"/>
    <w:rsid w:val="00344B63"/>
    <w:rsid w:val="00344BFC"/>
    <w:rsid w:val="00344C8E"/>
    <w:rsid w:val="00344CC4"/>
    <w:rsid w:val="00344D91"/>
    <w:rsid w:val="00344DF7"/>
    <w:rsid w:val="00344E45"/>
    <w:rsid w:val="00344EA5"/>
    <w:rsid w:val="00344EF2"/>
    <w:rsid w:val="00344F16"/>
    <w:rsid w:val="00344FED"/>
    <w:rsid w:val="00345009"/>
    <w:rsid w:val="00345032"/>
    <w:rsid w:val="00345047"/>
    <w:rsid w:val="003450A5"/>
    <w:rsid w:val="003450DF"/>
    <w:rsid w:val="003451A6"/>
    <w:rsid w:val="00345239"/>
    <w:rsid w:val="003452F0"/>
    <w:rsid w:val="0034536F"/>
    <w:rsid w:val="003453D7"/>
    <w:rsid w:val="003453DD"/>
    <w:rsid w:val="0034545F"/>
    <w:rsid w:val="00345460"/>
    <w:rsid w:val="00345463"/>
    <w:rsid w:val="00345486"/>
    <w:rsid w:val="00345499"/>
    <w:rsid w:val="003454A3"/>
    <w:rsid w:val="00345547"/>
    <w:rsid w:val="00345575"/>
    <w:rsid w:val="003455AA"/>
    <w:rsid w:val="003455BF"/>
    <w:rsid w:val="003455E4"/>
    <w:rsid w:val="00345603"/>
    <w:rsid w:val="0034562C"/>
    <w:rsid w:val="0034568A"/>
    <w:rsid w:val="00345721"/>
    <w:rsid w:val="00345805"/>
    <w:rsid w:val="0034580C"/>
    <w:rsid w:val="0034581D"/>
    <w:rsid w:val="00345836"/>
    <w:rsid w:val="0034586B"/>
    <w:rsid w:val="0034590F"/>
    <w:rsid w:val="00345A3B"/>
    <w:rsid w:val="00345A4C"/>
    <w:rsid w:val="00345B4A"/>
    <w:rsid w:val="00345C08"/>
    <w:rsid w:val="00345C2E"/>
    <w:rsid w:val="00345CC2"/>
    <w:rsid w:val="00345CD9"/>
    <w:rsid w:val="00345D79"/>
    <w:rsid w:val="00345DB3"/>
    <w:rsid w:val="00345DF3"/>
    <w:rsid w:val="00345E27"/>
    <w:rsid w:val="00345E36"/>
    <w:rsid w:val="00345E86"/>
    <w:rsid w:val="00345EDD"/>
    <w:rsid w:val="00345EEA"/>
    <w:rsid w:val="00345F2D"/>
    <w:rsid w:val="00345F40"/>
    <w:rsid w:val="00345F7A"/>
    <w:rsid w:val="00345F7B"/>
    <w:rsid w:val="00345FD8"/>
    <w:rsid w:val="00345FDF"/>
    <w:rsid w:val="0034607D"/>
    <w:rsid w:val="0034609F"/>
    <w:rsid w:val="003460B8"/>
    <w:rsid w:val="003460C8"/>
    <w:rsid w:val="00346142"/>
    <w:rsid w:val="0034615E"/>
    <w:rsid w:val="00346190"/>
    <w:rsid w:val="003461C0"/>
    <w:rsid w:val="003461DA"/>
    <w:rsid w:val="003461EB"/>
    <w:rsid w:val="00346231"/>
    <w:rsid w:val="00346235"/>
    <w:rsid w:val="00346288"/>
    <w:rsid w:val="003463B4"/>
    <w:rsid w:val="0034641F"/>
    <w:rsid w:val="00346482"/>
    <w:rsid w:val="003464C3"/>
    <w:rsid w:val="0034655D"/>
    <w:rsid w:val="00346618"/>
    <w:rsid w:val="00346651"/>
    <w:rsid w:val="00346698"/>
    <w:rsid w:val="003466B1"/>
    <w:rsid w:val="00346734"/>
    <w:rsid w:val="00346742"/>
    <w:rsid w:val="00346858"/>
    <w:rsid w:val="00346884"/>
    <w:rsid w:val="00346918"/>
    <w:rsid w:val="0034694C"/>
    <w:rsid w:val="0034695B"/>
    <w:rsid w:val="0034699A"/>
    <w:rsid w:val="003469A1"/>
    <w:rsid w:val="003469D1"/>
    <w:rsid w:val="003469D7"/>
    <w:rsid w:val="00346A29"/>
    <w:rsid w:val="00346A8E"/>
    <w:rsid w:val="00346AC8"/>
    <w:rsid w:val="00346AEB"/>
    <w:rsid w:val="00346BD1"/>
    <w:rsid w:val="00346C1C"/>
    <w:rsid w:val="00346C76"/>
    <w:rsid w:val="00346C7D"/>
    <w:rsid w:val="00346CDC"/>
    <w:rsid w:val="00346CF6"/>
    <w:rsid w:val="00346DB1"/>
    <w:rsid w:val="00346DF0"/>
    <w:rsid w:val="00346E5D"/>
    <w:rsid w:val="00346EFB"/>
    <w:rsid w:val="00346F4D"/>
    <w:rsid w:val="00346FE5"/>
    <w:rsid w:val="0034708E"/>
    <w:rsid w:val="0034714B"/>
    <w:rsid w:val="0034714C"/>
    <w:rsid w:val="0034716B"/>
    <w:rsid w:val="00347252"/>
    <w:rsid w:val="00347294"/>
    <w:rsid w:val="00347381"/>
    <w:rsid w:val="003473EF"/>
    <w:rsid w:val="00347410"/>
    <w:rsid w:val="003474CD"/>
    <w:rsid w:val="003474FF"/>
    <w:rsid w:val="00347520"/>
    <w:rsid w:val="0034755C"/>
    <w:rsid w:val="003475A2"/>
    <w:rsid w:val="003475B7"/>
    <w:rsid w:val="003475CC"/>
    <w:rsid w:val="003475E8"/>
    <w:rsid w:val="003475FC"/>
    <w:rsid w:val="00347624"/>
    <w:rsid w:val="00347738"/>
    <w:rsid w:val="003477B2"/>
    <w:rsid w:val="0034794C"/>
    <w:rsid w:val="003479BA"/>
    <w:rsid w:val="00347A05"/>
    <w:rsid w:val="00347A70"/>
    <w:rsid w:val="00347AA9"/>
    <w:rsid w:val="00347AFC"/>
    <w:rsid w:val="00347B11"/>
    <w:rsid w:val="00347B28"/>
    <w:rsid w:val="00347BD5"/>
    <w:rsid w:val="00347C2A"/>
    <w:rsid w:val="00347C74"/>
    <w:rsid w:val="00347C78"/>
    <w:rsid w:val="00347CC6"/>
    <w:rsid w:val="00347CF9"/>
    <w:rsid w:val="00347D61"/>
    <w:rsid w:val="00347D76"/>
    <w:rsid w:val="00347D93"/>
    <w:rsid w:val="00347EC0"/>
    <w:rsid w:val="00347F0A"/>
    <w:rsid w:val="00347F2B"/>
    <w:rsid w:val="00347F96"/>
    <w:rsid w:val="00347FE9"/>
    <w:rsid w:val="0035000F"/>
    <w:rsid w:val="00350046"/>
    <w:rsid w:val="00350130"/>
    <w:rsid w:val="0035013A"/>
    <w:rsid w:val="00350187"/>
    <w:rsid w:val="003501DE"/>
    <w:rsid w:val="0035020B"/>
    <w:rsid w:val="00350233"/>
    <w:rsid w:val="00350259"/>
    <w:rsid w:val="00350279"/>
    <w:rsid w:val="00350327"/>
    <w:rsid w:val="00350343"/>
    <w:rsid w:val="0035036C"/>
    <w:rsid w:val="0035049D"/>
    <w:rsid w:val="003504E7"/>
    <w:rsid w:val="00350566"/>
    <w:rsid w:val="00350595"/>
    <w:rsid w:val="0035059E"/>
    <w:rsid w:val="003505AD"/>
    <w:rsid w:val="003505AE"/>
    <w:rsid w:val="003505F2"/>
    <w:rsid w:val="003505FB"/>
    <w:rsid w:val="00350618"/>
    <w:rsid w:val="0035063A"/>
    <w:rsid w:val="00350695"/>
    <w:rsid w:val="003506AA"/>
    <w:rsid w:val="0035071E"/>
    <w:rsid w:val="00350749"/>
    <w:rsid w:val="00350759"/>
    <w:rsid w:val="003507C2"/>
    <w:rsid w:val="0035087D"/>
    <w:rsid w:val="003508C1"/>
    <w:rsid w:val="003509A9"/>
    <w:rsid w:val="00350A31"/>
    <w:rsid w:val="00350A37"/>
    <w:rsid w:val="00350B11"/>
    <w:rsid w:val="00350B2D"/>
    <w:rsid w:val="00350B49"/>
    <w:rsid w:val="00350B62"/>
    <w:rsid w:val="00350BE1"/>
    <w:rsid w:val="00350BFA"/>
    <w:rsid w:val="00350C3E"/>
    <w:rsid w:val="00350CA1"/>
    <w:rsid w:val="00350D61"/>
    <w:rsid w:val="00350D7A"/>
    <w:rsid w:val="00350DC0"/>
    <w:rsid w:val="00350DF0"/>
    <w:rsid w:val="00350EB4"/>
    <w:rsid w:val="00350EC0"/>
    <w:rsid w:val="00350EFC"/>
    <w:rsid w:val="00350F7C"/>
    <w:rsid w:val="00350FB8"/>
    <w:rsid w:val="0035102D"/>
    <w:rsid w:val="00351056"/>
    <w:rsid w:val="00351066"/>
    <w:rsid w:val="0035106D"/>
    <w:rsid w:val="003511C3"/>
    <w:rsid w:val="003511E9"/>
    <w:rsid w:val="0035120D"/>
    <w:rsid w:val="003512FC"/>
    <w:rsid w:val="003512FF"/>
    <w:rsid w:val="0035138A"/>
    <w:rsid w:val="00351475"/>
    <w:rsid w:val="00351489"/>
    <w:rsid w:val="003514BC"/>
    <w:rsid w:val="003514DB"/>
    <w:rsid w:val="0035154C"/>
    <w:rsid w:val="0035155B"/>
    <w:rsid w:val="0035156C"/>
    <w:rsid w:val="003515C4"/>
    <w:rsid w:val="00351685"/>
    <w:rsid w:val="0035168E"/>
    <w:rsid w:val="003516D0"/>
    <w:rsid w:val="0035173C"/>
    <w:rsid w:val="00351756"/>
    <w:rsid w:val="003517CF"/>
    <w:rsid w:val="003518B7"/>
    <w:rsid w:val="0035193A"/>
    <w:rsid w:val="00351941"/>
    <w:rsid w:val="00351990"/>
    <w:rsid w:val="003519C8"/>
    <w:rsid w:val="003519C9"/>
    <w:rsid w:val="00351A65"/>
    <w:rsid w:val="00351AC3"/>
    <w:rsid w:val="00351AF0"/>
    <w:rsid w:val="00351B14"/>
    <w:rsid w:val="00351B83"/>
    <w:rsid w:val="00351BA3"/>
    <w:rsid w:val="00351C91"/>
    <w:rsid w:val="00351C97"/>
    <w:rsid w:val="00351CB5"/>
    <w:rsid w:val="00351CDE"/>
    <w:rsid w:val="00351D0D"/>
    <w:rsid w:val="00351D21"/>
    <w:rsid w:val="00351D69"/>
    <w:rsid w:val="00351D9D"/>
    <w:rsid w:val="00351E01"/>
    <w:rsid w:val="00351EDA"/>
    <w:rsid w:val="0035201A"/>
    <w:rsid w:val="0035208B"/>
    <w:rsid w:val="00352092"/>
    <w:rsid w:val="00352094"/>
    <w:rsid w:val="0035213C"/>
    <w:rsid w:val="0035219E"/>
    <w:rsid w:val="00352208"/>
    <w:rsid w:val="0035220F"/>
    <w:rsid w:val="00352219"/>
    <w:rsid w:val="0035227D"/>
    <w:rsid w:val="003522FF"/>
    <w:rsid w:val="00352317"/>
    <w:rsid w:val="0035231F"/>
    <w:rsid w:val="00352380"/>
    <w:rsid w:val="00352485"/>
    <w:rsid w:val="00352487"/>
    <w:rsid w:val="003525A6"/>
    <w:rsid w:val="003525E7"/>
    <w:rsid w:val="0035262E"/>
    <w:rsid w:val="003526B7"/>
    <w:rsid w:val="00352722"/>
    <w:rsid w:val="003527CC"/>
    <w:rsid w:val="003527CF"/>
    <w:rsid w:val="003527DA"/>
    <w:rsid w:val="00352804"/>
    <w:rsid w:val="00352833"/>
    <w:rsid w:val="0035297F"/>
    <w:rsid w:val="00352A05"/>
    <w:rsid w:val="00352A4C"/>
    <w:rsid w:val="00352C45"/>
    <w:rsid w:val="00352C59"/>
    <w:rsid w:val="00352C8B"/>
    <w:rsid w:val="00352CB0"/>
    <w:rsid w:val="00352CC2"/>
    <w:rsid w:val="00352CDC"/>
    <w:rsid w:val="00352D43"/>
    <w:rsid w:val="00352D52"/>
    <w:rsid w:val="00352D57"/>
    <w:rsid w:val="00352D6B"/>
    <w:rsid w:val="00352D6D"/>
    <w:rsid w:val="00352E46"/>
    <w:rsid w:val="00352E5E"/>
    <w:rsid w:val="00352EB7"/>
    <w:rsid w:val="00352EDB"/>
    <w:rsid w:val="00352F10"/>
    <w:rsid w:val="00352F2D"/>
    <w:rsid w:val="00352FD9"/>
    <w:rsid w:val="00353085"/>
    <w:rsid w:val="00353193"/>
    <w:rsid w:val="00353236"/>
    <w:rsid w:val="00353254"/>
    <w:rsid w:val="0035329B"/>
    <w:rsid w:val="003532FF"/>
    <w:rsid w:val="0035338D"/>
    <w:rsid w:val="003533AC"/>
    <w:rsid w:val="00353409"/>
    <w:rsid w:val="0035340F"/>
    <w:rsid w:val="0035344D"/>
    <w:rsid w:val="00353489"/>
    <w:rsid w:val="0035355B"/>
    <w:rsid w:val="00353615"/>
    <w:rsid w:val="0035361C"/>
    <w:rsid w:val="00353641"/>
    <w:rsid w:val="00353651"/>
    <w:rsid w:val="00353674"/>
    <w:rsid w:val="0035369A"/>
    <w:rsid w:val="003536CD"/>
    <w:rsid w:val="003538D1"/>
    <w:rsid w:val="00353972"/>
    <w:rsid w:val="00353975"/>
    <w:rsid w:val="00353976"/>
    <w:rsid w:val="003539E8"/>
    <w:rsid w:val="00353A11"/>
    <w:rsid w:val="00353A3E"/>
    <w:rsid w:val="00353A48"/>
    <w:rsid w:val="00353A71"/>
    <w:rsid w:val="00353C02"/>
    <w:rsid w:val="00353C0C"/>
    <w:rsid w:val="00353C91"/>
    <w:rsid w:val="00353D00"/>
    <w:rsid w:val="00353D54"/>
    <w:rsid w:val="00353E3B"/>
    <w:rsid w:val="00353EAA"/>
    <w:rsid w:val="00353EBC"/>
    <w:rsid w:val="00353F00"/>
    <w:rsid w:val="0035405D"/>
    <w:rsid w:val="00354097"/>
    <w:rsid w:val="003540C5"/>
    <w:rsid w:val="00354165"/>
    <w:rsid w:val="003541A4"/>
    <w:rsid w:val="0035427A"/>
    <w:rsid w:val="003542AB"/>
    <w:rsid w:val="003542FB"/>
    <w:rsid w:val="003543D7"/>
    <w:rsid w:val="00354476"/>
    <w:rsid w:val="003544D5"/>
    <w:rsid w:val="003544DC"/>
    <w:rsid w:val="003544E6"/>
    <w:rsid w:val="0035450C"/>
    <w:rsid w:val="0035451A"/>
    <w:rsid w:val="0035458A"/>
    <w:rsid w:val="003545A8"/>
    <w:rsid w:val="0035461D"/>
    <w:rsid w:val="00354656"/>
    <w:rsid w:val="00354675"/>
    <w:rsid w:val="00354705"/>
    <w:rsid w:val="003547D2"/>
    <w:rsid w:val="003547E5"/>
    <w:rsid w:val="0035482D"/>
    <w:rsid w:val="003548DF"/>
    <w:rsid w:val="0035494A"/>
    <w:rsid w:val="003549C2"/>
    <w:rsid w:val="00354A47"/>
    <w:rsid w:val="00354A69"/>
    <w:rsid w:val="00354A93"/>
    <w:rsid w:val="00354C07"/>
    <w:rsid w:val="00354CA5"/>
    <w:rsid w:val="00354CB0"/>
    <w:rsid w:val="00354CC6"/>
    <w:rsid w:val="00354D27"/>
    <w:rsid w:val="00354D30"/>
    <w:rsid w:val="00354D4D"/>
    <w:rsid w:val="00354D63"/>
    <w:rsid w:val="00354D6A"/>
    <w:rsid w:val="00354F1F"/>
    <w:rsid w:val="00354F3C"/>
    <w:rsid w:val="00354F3E"/>
    <w:rsid w:val="00354FD4"/>
    <w:rsid w:val="00354FFC"/>
    <w:rsid w:val="00355014"/>
    <w:rsid w:val="0035501B"/>
    <w:rsid w:val="0035502B"/>
    <w:rsid w:val="003550C4"/>
    <w:rsid w:val="003551FE"/>
    <w:rsid w:val="00355229"/>
    <w:rsid w:val="00355234"/>
    <w:rsid w:val="00355253"/>
    <w:rsid w:val="003552F1"/>
    <w:rsid w:val="00355311"/>
    <w:rsid w:val="003553A3"/>
    <w:rsid w:val="0035544D"/>
    <w:rsid w:val="0035549E"/>
    <w:rsid w:val="003554C3"/>
    <w:rsid w:val="00355514"/>
    <w:rsid w:val="00355585"/>
    <w:rsid w:val="0035561A"/>
    <w:rsid w:val="00355653"/>
    <w:rsid w:val="0035569D"/>
    <w:rsid w:val="003556A5"/>
    <w:rsid w:val="003556D4"/>
    <w:rsid w:val="00355780"/>
    <w:rsid w:val="00355784"/>
    <w:rsid w:val="003557A5"/>
    <w:rsid w:val="003557AA"/>
    <w:rsid w:val="0035585E"/>
    <w:rsid w:val="00355861"/>
    <w:rsid w:val="003558EB"/>
    <w:rsid w:val="0035595D"/>
    <w:rsid w:val="003559A6"/>
    <w:rsid w:val="003559B9"/>
    <w:rsid w:val="003559CB"/>
    <w:rsid w:val="00355AB2"/>
    <w:rsid w:val="00355ADC"/>
    <w:rsid w:val="00355B37"/>
    <w:rsid w:val="00355B9D"/>
    <w:rsid w:val="00355BD6"/>
    <w:rsid w:val="00355CE3"/>
    <w:rsid w:val="00355CFF"/>
    <w:rsid w:val="00355D1B"/>
    <w:rsid w:val="00355D6B"/>
    <w:rsid w:val="00355D8C"/>
    <w:rsid w:val="00355DB4"/>
    <w:rsid w:val="00355E39"/>
    <w:rsid w:val="00355E3D"/>
    <w:rsid w:val="00355E68"/>
    <w:rsid w:val="00355EAC"/>
    <w:rsid w:val="00355F12"/>
    <w:rsid w:val="00355FBB"/>
    <w:rsid w:val="00355FD7"/>
    <w:rsid w:val="003560F2"/>
    <w:rsid w:val="003560F6"/>
    <w:rsid w:val="00356171"/>
    <w:rsid w:val="0035628E"/>
    <w:rsid w:val="003562AE"/>
    <w:rsid w:val="003562BB"/>
    <w:rsid w:val="00356361"/>
    <w:rsid w:val="0035636C"/>
    <w:rsid w:val="00356391"/>
    <w:rsid w:val="003563B4"/>
    <w:rsid w:val="003563F7"/>
    <w:rsid w:val="003564D3"/>
    <w:rsid w:val="003564F3"/>
    <w:rsid w:val="003565FB"/>
    <w:rsid w:val="003566AF"/>
    <w:rsid w:val="0035679A"/>
    <w:rsid w:val="003567A5"/>
    <w:rsid w:val="003568B8"/>
    <w:rsid w:val="003568BB"/>
    <w:rsid w:val="00356A3B"/>
    <w:rsid w:val="00356A56"/>
    <w:rsid w:val="00356ACA"/>
    <w:rsid w:val="00356AE8"/>
    <w:rsid w:val="00356B07"/>
    <w:rsid w:val="00356B65"/>
    <w:rsid w:val="00356BAB"/>
    <w:rsid w:val="00356BFC"/>
    <w:rsid w:val="00356C43"/>
    <w:rsid w:val="00356E0D"/>
    <w:rsid w:val="00356E34"/>
    <w:rsid w:val="00356EFF"/>
    <w:rsid w:val="00356F9D"/>
    <w:rsid w:val="003570EB"/>
    <w:rsid w:val="0035710B"/>
    <w:rsid w:val="00357143"/>
    <w:rsid w:val="0035715E"/>
    <w:rsid w:val="00357194"/>
    <w:rsid w:val="00357292"/>
    <w:rsid w:val="00357297"/>
    <w:rsid w:val="00357303"/>
    <w:rsid w:val="00357343"/>
    <w:rsid w:val="0035738A"/>
    <w:rsid w:val="0035739C"/>
    <w:rsid w:val="003573F1"/>
    <w:rsid w:val="0035744E"/>
    <w:rsid w:val="00357459"/>
    <w:rsid w:val="003574B6"/>
    <w:rsid w:val="00357505"/>
    <w:rsid w:val="00357548"/>
    <w:rsid w:val="003575F7"/>
    <w:rsid w:val="0035763C"/>
    <w:rsid w:val="00357649"/>
    <w:rsid w:val="00357666"/>
    <w:rsid w:val="0035766C"/>
    <w:rsid w:val="0035766F"/>
    <w:rsid w:val="00357781"/>
    <w:rsid w:val="003577C2"/>
    <w:rsid w:val="00357814"/>
    <w:rsid w:val="00357885"/>
    <w:rsid w:val="00357930"/>
    <w:rsid w:val="00357A0B"/>
    <w:rsid w:val="00357A45"/>
    <w:rsid w:val="00357A61"/>
    <w:rsid w:val="00357A69"/>
    <w:rsid w:val="00357AB5"/>
    <w:rsid w:val="00357ABE"/>
    <w:rsid w:val="00357AE3"/>
    <w:rsid w:val="00357B09"/>
    <w:rsid w:val="00357B2E"/>
    <w:rsid w:val="00357B7E"/>
    <w:rsid w:val="00357BA5"/>
    <w:rsid w:val="00357BF2"/>
    <w:rsid w:val="00357C0A"/>
    <w:rsid w:val="00357CC4"/>
    <w:rsid w:val="00357DAB"/>
    <w:rsid w:val="00357E29"/>
    <w:rsid w:val="00357E72"/>
    <w:rsid w:val="00357EB7"/>
    <w:rsid w:val="00357EC9"/>
    <w:rsid w:val="00357F53"/>
    <w:rsid w:val="00357F65"/>
    <w:rsid w:val="00357F75"/>
    <w:rsid w:val="0036001B"/>
    <w:rsid w:val="00360071"/>
    <w:rsid w:val="00360137"/>
    <w:rsid w:val="003601B9"/>
    <w:rsid w:val="003601D7"/>
    <w:rsid w:val="00360235"/>
    <w:rsid w:val="003602F4"/>
    <w:rsid w:val="00360431"/>
    <w:rsid w:val="00360470"/>
    <w:rsid w:val="00360483"/>
    <w:rsid w:val="00360495"/>
    <w:rsid w:val="003605B2"/>
    <w:rsid w:val="003605DA"/>
    <w:rsid w:val="003605F6"/>
    <w:rsid w:val="0036065E"/>
    <w:rsid w:val="003606B7"/>
    <w:rsid w:val="00360755"/>
    <w:rsid w:val="00360764"/>
    <w:rsid w:val="00360779"/>
    <w:rsid w:val="003607DA"/>
    <w:rsid w:val="0036081C"/>
    <w:rsid w:val="00360841"/>
    <w:rsid w:val="00360873"/>
    <w:rsid w:val="0036088E"/>
    <w:rsid w:val="003608E5"/>
    <w:rsid w:val="0036099E"/>
    <w:rsid w:val="003609A7"/>
    <w:rsid w:val="003609B5"/>
    <w:rsid w:val="003609E5"/>
    <w:rsid w:val="00360A2A"/>
    <w:rsid w:val="00360A58"/>
    <w:rsid w:val="00360BF3"/>
    <w:rsid w:val="00360C43"/>
    <w:rsid w:val="00360C5D"/>
    <w:rsid w:val="00360CB4"/>
    <w:rsid w:val="00360CD2"/>
    <w:rsid w:val="00360D90"/>
    <w:rsid w:val="00360DA1"/>
    <w:rsid w:val="00360E07"/>
    <w:rsid w:val="00360E74"/>
    <w:rsid w:val="00360F2E"/>
    <w:rsid w:val="00360F81"/>
    <w:rsid w:val="00360FF6"/>
    <w:rsid w:val="0036104F"/>
    <w:rsid w:val="00361075"/>
    <w:rsid w:val="003610A3"/>
    <w:rsid w:val="00361181"/>
    <w:rsid w:val="003611AF"/>
    <w:rsid w:val="003611C4"/>
    <w:rsid w:val="00361231"/>
    <w:rsid w:val="003612A6"/>
    <w:rsid w:val="003612C5"/>
    <w:rsid w:val="003612D8"/>
    <w:rsid w:val="0036132D"/>
    <w:rsid w:val="00361352"/>
    <w:rsid w:val="003613AA"/>
    <w:rsid w:val="00361408"/>
    <w:rsid w:val="00361487"/>
    <w:rsid w:val="00361535"/>
    <w:rsid w:val="00361536"/>
    <w:rsid w:val="0036165F"/>
    <w:rsid w:val="003616BF"/>
    <w:rsid w:val="003616CC"/>
    <w:rsid w:val="003616F9"/>
    <w:rsid w:val="00361725"/>
    <w:rsid w:val="00361859"/>
    <w:rsid w:val="003618D4"/>
    <w:rsid w:val="003618E1"/>
    <w:rsid w:val="00361907"/>
    <w:rsid w:val="00361961"/>
    <w:rsid w:val="003619DC"/>
    <w:rsid w:val="00361A15"/>
    <w:rsid w:val="00361A1A"/>
    <w:rsid w:val="00361A32"/>
    <w:rsid w:val="00361AEF"/>
    <w:rsid w:val="00361B7B"/>
    <w:rsid w:val="00361BEA"/>
    <w:rsid w:val="00361C02"/>
    <w:rsid w:val="00361C10"/>
    <w:rsid w:val="00361C14"/>
    <w:rsid w:val="00361C1E"/>
    <w:rsid w:val="00361C45"/>
    <w:rsid w:val="00361C9A"/>
    <w:rsid w:val="00361CC1"/>
    <w:rsid w:val="00361CED"/>
    <w:rsid w:val="00361D38"/>
    <w:rsid w:val="00361D5C"/>
    <w:rsid w:val="00361DE9"/>
    <w:rsid w:val="00361E8A"/>
    <w:rsid w:val="00361EA3"/>
    <w:rsid w:val="00361FBC"/>
    <w:rsid w:val="0036204C"/>
    <w:rsid w:val="0036219E"/>
    <w:rsid w:val="003622A9"/>
    <w:rsid w:val="00362373"/>
    <w:rsid w:val="003623D7"/>
    <w:rsid w:val="003624C0"/>
    <w:rsid w:val="003624CA"/>
    <w:rsid w:val="003624E4"/>
    <w:rsid w:val="003624EF"/>
    <w:rsid w:val="003625A5"/>
    <w:rsid w:val="003625AD"/>
    <w:rsid w:val="003625C9"/>
    <w:rsid w:val="00362630"/>
    <w:rsid w:val="003626DC"/>
    <w:rsid w:val="003626FD"/>
    <w:rsid w:val="0036273F"/>
    <w:rsid w:val="00362771"/>
    <w:rsid w:val="00362799"/>
    <w:rsid w:val="003627F6"/>
    <w:rsid w:val="003627FB"/>
    <w:rsid w:val="00362865"/>
    <w:rsid w:val="0036292A"/>
    <w:rsid w:val="00362966"/>
    <w:rsid w:val="00362978"/>
    <w:rsid w:val="0036297F"/>
    <w:rsid w:val="0036298F"/>
    <w:rsid w:val="003629BD"/>
    <w:rsid w:val="00362A24"/>
    <w:rsid w:val="00362BA5"/>
    <w:rsid w:val="00362BF9"/>
    <w:rsid w:val="00362C4C"/>
    <w:rsid w:val="00362C53"/>
    <w:rsid w:val="00362C56"/>
    <w:rsid w:val="00362D08"/>
    <w:rsid w:val="00362D39"/>
    <w:rsid w:val="00362D3E"/>
    <w:rsid w:val="00362D86"/>
    <w:rsid w:val="00362D89"/>
    <w:rsid w:val="00362DCA"/>
    <w:rsid w:val="00362E10"/>
    <w:rsid w:val="00362E1C"/>
    <w:rsid w:val="00362E3C"/>
    <w:rsid w:val="00362E7A"/>
    <w:rsid w:val="00362F1C"/>
    <w:rsid w:val="00362F35"/>
    <w:rsid w:val="00362F46"/>
    <w:rsid w:val="00362FEA"/>
    <w:rsid w:val="00363077"/>
    <w:rsid w:val="003630ED"/>
    <w:rsid w:val="00363111"/>
    <w:rsid w:val="0036311A"/>
    <w:rsid w:val="00363189"/>
    <w:rsid w:val="00363226"/>
    <w:rsid w:val="00363310"/>
    <w:rsid w:val="0036332D"/>
    <w:rsid w:val="00363340"/>
    <w:rsid w:val="00363482"/>
    <w:rsid w:val="00363483"/>
    <w:rsid w:val="00363554"/>
    <w:rsid w:val="003635EB"/>
    <w:rsid w:val="00363622"/>
    <w:rsid w:val="00363650"/>
    <w:rsid w:val="00363729"/>
    <w:rsid w:val="00363763"/>
    <w:rsid w:val="00363788"/>
    <w:rsid w:val="003637D3"/>
    <w:rsid w:val="00363825"/>
    <w:rsid w:val="003638CE"/>
    <w:rsid w:val="0036393B"/>
    <w:rsid w:val="0036397F"/>
    <w:rsid w:val="0036399E"/>
    <w:rsid w:val="003639BA"/>
    <w:rsid w:val="00363A20"/>
    <w:rsid w:val="00363ABE"/>
    <w:rsid w:val="00363AFC"/>
    <w:rsid w:val="00363B07"/>
    <w:rsid w:val="00363B15"/>
    <w:rsid w:val="00363BAB"/>
    <w:rsid w:val="00363C9C"/>
    <w:rsid w:val="00363CDA"/>
    <w:rsid w:val="00363DE1"/>
    <w:rsid w:val="00363E42"/>
    <w:rsid w:val="00363E92"/>
    <w:rsid w:val="00363EFE"/>
    <w:rsid w:val="00363F09"/>
    <w:rsid w:val="00363FAC"/>
    <w:rsid w:val="003640C1"/>
    <w:rsid w:val="00364114"/>
    <w:rsid w:val="00364127"/>
    <w:rsid w:val="00364293"/>
    <w:rsid w:val="003642A1"/>
    <w:rsid w:val="00364322"/>
    <w:rsid w:val="0036433F"/>
    <w:rsid w:val="00364376"/>
    <w:rsid w:val="00364460"/>
    <w:rsid w:val="00364495"/>
    <w:rsid w:val="003644AF"/>
    <w:rsid w:val="0036457B"/>
    <w:rsid w:val="00364586"/>
    <w:rsid w:val="00364647"/>
    <w:rsid w:val="0036466B"/>
    <w:rsid w:val="0036466C"/>
    <w:rsid w:val="003646A6"/>
    <w:rsid w:val="00364778"/>
    <w:rsid w:val="0036481A"/>
    <w:rsid w:val="00364875"/>
    <w:rsid w:val="0036489B"/>
    <w:rsid w:val="003648B0"/>
    <w:rsid w:val="003649BD"/>
    <w:rsid w:val="00364A6F"/>
    <w:rsid w:val="00364C1D"/>
    <w:rsid w:val="00364C6F"/>
    <w:rsid w:val="00364CB1"/>
    <w:rsid w:val="00364CCD"/>
    <w:rsid w:val="00364CDC"/>
    <w:rsid w:val="00364CEB"/>
    <w:rsid w:val="00364D1F"/>
    <w:rsid w:val="00364D37"/>
    <w:rsid w:val="00364D78"/>
    <w:rsid w:val="00364D98"/>
    <w:rsid w:val="00364E02"/>
    <w:rsid w:val="00364E4D"/>
    <w:rsid w:val="00364E7A"/>
    <w:rsid w:val="00364F0D"/>
    <w:rsid w:val="00364F30"/>
    <w:rsid w:val="00364F65"/>
    <w:rsid w:val="00364F97"/>
    <w:rsid w:val="00364FD5"/>
    <w:rsid w:val="00365019"/>
    <w:rsid w:val="00365044"/>
    <w:rsid w:val="00365080"/>
    <w:rsid w:val="003650A1"/>
    <w:rsid w:val="0036517D"/>
    <w:rsid w:val="003651F6"/>
    <w:rsid w:val="00365287"/>
    <w:rsid w:val="0036528D"/>
    <w:rsid w:val="003652EC"/>
    <w:rsid w:val="003652F9"/>
    <w:rsid w:val="00365319"/>
    <w:rsid w:val="003653A1"/>
    <w:rsid w:val="003653C2"/>
    <w:rsid w:val="00365431"/>
    <w:rsid w:val="003654B3"/>
    <w:rsid w:val="003654D4"/>
    <w:rsid w:val="0036552C"/>
    <w:rsid w:val="0036555B"/>
    <w:rsid w:val="0036559E"/>
    <w:rsid w:val="003655A3"/>
    <w:rsid w:val="00365675"/>
    <w:rsid w:val="003656B0"/>
    <w:rsid w:val="003656DB"/>
    <w:rsid w:val="00365739"/>
    <w:rsid w:val="0036578B"/>
    <w:rsid w:val="003657B9"/>
    <w:rsid w:val="0036584A"/>
    <w:rsid w:val="00365921"/>
    <w:rsid w:val="00365925"/>
    <w:rsid w:val="0036593D"/>
    <w:rsid w:val="00365978"/>
    <w:rsid w:val="00365980"/>
    <w:rsid w:val="00365990"/>
    <w:rsid w:val="003659AC"/>
    <w:rsid w:val="003659ED"/>
    <w:rsid w:val="00365A6E"/>
    <w:rsid w:val="00365AED"/>
    <w:rsid w:val="00365B51"/>
    <w:rsid w:val="00365C2B"/>
    <w:rsid w:val="00365CD2"/>
    <w:rsid w:val="00365CE4"/>
    <w:rsid w:val="00365D17"/>
    <w:rsid w:val="00365E0E"/>
    <w:rsid w:val="00365E2C"/>
    <w:rsid w:val="00365E6C"/>
    <w:rsid w:val="00365EC5"/>
    <w:rsid w:val="00365F98"/>
    <w:rsid w:val="00366059"/>
    <w:rsid w:val="0036605D"/>
    <w:rsid w:val="003660B2"/>
    <w:rsid w:val="00366171"/>
    <w:rsid w:val="00366184"/>
    <w:rsid w:val="003661DD"/>
    <w:rsid w:val="0036638E"/>
    <w:rsid w:val="003663A5"/>
    <w:rsid w:val="003663E0"/>
    <w:rsid w:val="0036641F"/>
    <w:rsid w:val="00366421"/>
    <w:rsid w:val="0036642F"/>
    <w:rsid w:val="0036647C"/>
    <w:rsid w:val="0036648B"/>
    <w:rsid w:val="003664B4"/>
    <w:rsid w:val="003664EA"/>
    <w:rsid w:val="003664F4"/>
    <w:rsid w:val="003665E9"/>
    <w:rsid w:val="0036668A"/>
    <w:rsid w:val="003666BE"/>
    <w:rsid w:val="003666D9"/>
    <w:rsid w:val="00366801"/>
    <w:rsid w:val="003668E8"/>
    <w:rsid w:val="00366AA2"/>
    <w:rsid w:val="00366B3C"/>
    <w:rsid w:val="00366B6E"/>
    <w:rsid w:val="00366B95"/>
    <w:rsid w:val="00366D16"/>
    <w:rsid w:val="00366D2E"/>
    <w:rsid w:val="00366D36"/>
    <w:rsid w:val="00366D4B"/>
    <w:rsid w:val="00366D77"/>
    <w:rsid w:val="00366E23"/>
    <w:rsid w:val="00366EBB"/>
    <w:rsid w:val="00366ED4"/>
    <w:rsid w:val="00366F16"/>
    <w:rsid w:val="00366F4B"/>
    <w:rsid w:val="00366F6F"/>
    <w:rsid w:val="00366F7A"/>
    <w:rsid w:val="00367048"/>
    <w:rsid w:val="003670AB"/>
    <w:rsid w:val="003670E9"/>
    <w:rsid w:val="00367142"/>
    <w:rsid w:val="00367190"/>
    <w:rsid w:val="0036721B"/>
    <w:rsid w:val="0036727F"/>
    <w:rsid w:val="003672F0"/>
    <w:rsid w:val="0036730A"/>
    <w:rsid w:val="00367330"/>
    <w:rsid w:val="00367352"/>
    <w:rsid w:val="00367362"/>
    <w:rsid w:val="00367486"/>
    <w:rsid w:val="003674B6"/>
    <w:rsid w:val="00367819"/>
    <w:rsid w:val="00367821"/>
    <w:rsid w:val="00367833"/>
    <w:rsid w:val="00367890"/>
    <w:rsid w:val="003678AC"/>
    <w:rsid w:val="0036792A"/>
    <w:rsid w:val="00367930"/>
    <w:rsid w:val="00367936"/>
    <w:rsid w:val="00367964"/>
    <w:rsid w:val="00367A16"/>
    <w:rsid w:val="00367B78"/>
    <w:rsid w:val="00367BB4"/>
    <w:rsid w:val="00367BE1"/>
    <w:rsid w:val="00367BF6"/>
    <w:rsid w:val="00367C03"/>
    <w:rsid w:val="00367C4D"/>
    <w:rsid w:val="00367C4F"/>
    <w:rsid w:val="00367C7D"/>
    <w:rsid w:val="00367D57"/>
    <w:rsid w:val="00367DA7"/>
    <w:rsid w:val="00367DAF"/>
    <w:rsid w:val="00367E7A"/>
    <w:rsid w:val="00367EB2"/>
    <w:rsid w:val="00367ED4"/>
    <w:rsid w:val="00367F33"/>
    <w:rsid w:val="00370007"/>
    <w:rsid w:val="00370074"/>
    <w:rsid w:val="0037007D"/>
    <w:rsid w:val="003700DB"/>
    <w:rsid w:val="003701C0"/>
    <w:rsid w:val="003701FD"/>
    <w:rsid w:val="00370235"/>
    <w:rsid w:val="003702BE"/>
    <w:rsid w:val="003702C6"/>
    <w:rsid w:val="003702DC"/>
    <w:rsid w:val="00370318"/>
    <w:rsid w:val="00370330"/>
    <w:rsid w:val="003704A0"/>
    <w:rsid w:val="003704B0"/>
    <w:rsid w:val="00370500"/>
    <w:rsid w:val="0037055F"/>
    <w:rsid w:val="00370643"/>
    <w:rsid w:val="00370664"/>
    <w:rsid w:val="003706BE"/>
    <w:rsid w:val="0037079A"/>
    <w:rsid w:val="0037079E"/>
    <w:rsid w:val="003707E9"/>
    <w:rsid w:val="003708F1"/>
    <w:rsid w:val="0037095C"/>
    <w:rsid w:val="003709F0"/>
    <w:rsid w:val="003709FD"/>
    <w:rsid w:val="00370A1A"/>
    <w:rsid w:val="00370A26"/>
    <w:rsid w:val="00370A69"/>
    <w:rsid w:val="00370A9A"/>
    <w:rsid w:val="00370AC2"/>
    <w:rsid w:val="00370B49"/>
    <w:rsid w:val="00370B5A"/>
    <w:rsid w:val="00370BAB"/>
    <w:rsid w:val="00370BB3"/>
    <w:rsid w:val="00370BE1"/>
    <w:rsid w:val="00370C16"/>
    <w:rsid w:val="00370C63"/>
    <w:rsid w:val="00370D1F"/>
    <w:rsid w:val="00370D3C"/>
    <w:rsid w:val="00370F22"/>
    <w:rsid w:val="00370F8A"/>
    <w:rsid w:val="00370F96"/>
    <w:rsid w:val="00370FCE"/>
    <w:rsid w:val="00371090"/>
    <w:rsid w:val="0037115D"/>
    <w:rsid w:val="0037118D"/>
    <w:rsid w:val="003711B6"/>
    <w:rsid w:val="003711CF"/>
    <w:rsid w:val="0037123C"/>
    <w:rsid w:val="0037123F"/>
    <w:rsid w:val="00371245"/>
    <w:rsid w:val="00371290"/>
    <w:rsid w:val="003712D4"/>
    <w:rsid w:val="003712EB"/>
    <w:rsid w:val="003712F4"/>
    <w:rsid w:val="00371343"/>
    <w:rsid w:val="0037139A"/>
    <w:rsid w:val="003713FE"/>
    <w:rsid w:val="00371555"/>
    <w:rsid w:val="00371588"/>
    <w:rsid w:val="0037162E"/>
    <w:rsid w:val="00371690"/>
    <w:rsid w:val="003716B2"/>
    <w:rsid w:val="003716CB"/>
    <w:rsid w:val="00371737"/>
    <w:rsid w:val="00371757"/>
    <w:rsid w:val="003717CE"/>
    <w:rsid w:val="00371827"/>
    <w:rsid w:val="00371832"/>
    <w:rsid w:val="00371863"/>
    <w:rsid w:val="00371866"/>
    <w:rsid w:val="003718A9"/>
    <w:rsid w:val="0037195B"/>
    <w:rsid w:val="003719D7"/>
    <w:rsid w:val="003719EC"/>
    <w:rsid w:val="00371A33"/>
    <w:rsid w:val="00371A71"/>
    <w:rsid w:val="00371AA3"/>
    <w:rsid w:val="00371ACC"/>
    <w:rsid w:val="00371B55"/>
    <w:rsid w:val="00371B5D"/>
    <w:rsid w:val="00371B88"/>
    <w:rsid w:val="00371C06"/>
    <w:rsid w:val="00371C0A"/>
    <w:rsid w:val="00371C34"/>
    <w:rsid w:val="00371D4E"/>
    <w:rsid w:val="00371D66"/>
    <w:rsid w:val="00371D69"/>
    <w:rsid w:val="00371D88"/>
    <w:rsid w:val="00371E11"/>
    <w:rsid w:val="00371E33"/>
    <w:rsid w:val="00371EDC"/>
    <w:rsid w:val="00371F19"/>
    <w:rsid w:val="00371F44"/>
    <w:rsid w:val="00371F9A"/>
    <w:rsid w:val="00372080"/>
    <w:rsid w:val="00372103"/>
    <w:rsid w:val="00372110"/>
    <w:rsid w:val="0037211D"/>
    <w:rsid w:val="00372124"/>
    <w:rsid w:val="0037220D"/>
    <w:rsid w:val="00372339"/>
    <w:rsid w:val="0037234F"/>
    <w:rsid w:val="00372364"/>
    <w:rsid w:val="0037241A"/>
    <w:rsid w:val="003724B6"/>
    <w:rsid w:val="003724FA"/>
    <w:rsid w:val="003724FF"/>
    <w:rsid w:val="00372571"/>
    <w:rsid w:val="0037272D"/>
    <w:rsid w:val="00372792"/>
    <w:rsid w:val="0037279E"/>
    <w:rsid w:val="003727A5"/>
    <w:rsid w:val="00372899"/>
    <w:rsid w:val="003729F7"/>
    <w:rsid w:val="00372A79"/>
    <w:rsid w:val="00372AFD"/>
    <w:rsid w:val="00372B67"/>
    <w:rsid w:val="00372B79"/>
    <w:rsid w:val="00372BAC"/>
    <w:rsid w:val="00372BB3"/>
    <w:rsid w:val="00372C69"/>
    <w:rsid w:val="00372C7E"/>
    <w:rsid w:val="00372D0A"/>
    <w:rsid w:val="00372D70"/>
    <w:rsid w:val="00372E15"/>
    <w:rsid w:val="00372E39"/>
    <w:rsid w:val="00372E42"/>
    <w:rsid w:val="00372E87"/>
    <w:rsid w:val="00372EA1"/>
    <w:rsid w:val="00372EB7"/>
    <w:rsid w:val="00372F46"/>
    <w:rsid w:val="0037301F"/>
    <w:rsid w:val="0037304E"/>
    <w:rsid w:val="003730DA"/>
    <w:rsid w:val="0037318B"/>
    <w:rsid w:val="003731D2"/>
    <w:rsid w:val="0037321F"/>
    <w:rsid w:val="0037323C"/>
    <w:rsid w:val="003732BF"/>
    <w:rsid w:val="003732C5"/>
    <w:rsid w:val="00373327"/>
    <w:rsid w:val="00373328"/>
    <w:rsid w:val="003733F8"/>
    <w:rsid w:val="00373428"/>
    <w:rsid w:val="0037342A"/>
    <w:rsid w:val="00373445"/>
    <w:rsid w:val="00373452"/>
    <w:rsid w:val="00373468"/>
    <w:rsid w:val="0037346C"/>
    <w:rsid w:val="003734A2"/>
    <w:rsid w:val="003734E5"/>
    <w:rsid w:val="00373503"/>
    <w:rsid w:val="00373532"/>
    <w:rsid w:val="00373551"/>
    <w:rsid w:val="00373598"/>
    <w:rsid w:val="0037361F"/>
    <w:rsid w:val="003736F2"/>
    <w:rsid w:val="0037378C"/>
    <w:rsid w:val="003737E0"/>
    <w:rsid w:val="00373815"/>
    <w:rsid w:val="003738BF"/>
    <w:rsid w:val="0037397F"/>
    <w:rsid w:val="003739CC"/>
    <w:rsid w:val="003739E2"/>
    <w:rsid w:val="00373A56"/>
    <w:rsid w:val="00373AA0"/>
    <w:rsid w:val="00373AA3"/>
    <w:rsid w:val="00373AA5"/>
    <w:rsid w:val="00373BA0"/>
    <w:rsid w:val="00373BA6"/>
    <w:rsid w:val="00373BD8"/>
    <w:rsid w:val="00373BFB"/>
    <w:rsid w:val="00373D59"/>
    <w:rsid w:val="00373DF1"/>
    <w:rsid w:val="00373E14"/>
    <w:rsid w:val="00373ED7"/>
    <w:rsid w:val="00373EED"/>
    <w:rsid w:val="00373F28"/>
    <w:rsid w:val="00373F2C"/>
    <w:rsid w:val="00373F77"/>
    <w:rsid w:val="00373F9B"/>
    <w:rsid w:val="00373FF9"/>
    <w:rsid w:val="003740E0"/>
    <w:rsid w:val="00374101"/>
    <w:rsid w:val="00374249"/>
    <w:rsid w:val="003742B6"/>
    <w:rsid w:val="003742F5"/>
    <w:rsid w:val="003743A1"/>
    <w:rsid w:val="00374457"/>
    <w:rsid w:val="00374487"/>
    <w:rsid w:val="00374597"/>
    <w:rsid w:val="003745B4"/>
    <w:rsid w:val="003746E3"/>
    <w:rsid w:val="00374716"/>
    <w:rsid w:val="00374742"/>
    <w:rsid w:val="00374773"/>
    <w:rsid w:val="00374788"/>
    <w:rsid w:val="0037478A"/>
    <w:rsid w:val="003747C5"/>
    <w:rsid w:val="0037484F"/>
    <w:rsid w:val="003748C3"/>
    <w:rsid w:val="003748F3"/>
    <w:rsid w:val="0037490B"/>
    <w:rsid w:val="00374A50"/>
    <w:rsid w:val="00374A9B"/>
    <w:rsid w:val="00374B7E"/>
    <w:rsid w:val="00374B9F"/>
    <w:rsid w:val="00374BEC"/>
    <w:rsid w:val="00374BF2"/>
    <w:rsid w:val="00374C74"/>
    <w:rsid w:val="00374CA9"/>
    <w:rsid w:val="00374D4B"/>
    <w:rsid w:val="00374E36"/>
    <w:rsid w:val="00374ED1"/>
    <w:rsid w:val="00374F4C"/>
    <w:rsid w:val="00374FF4"/>
    <w:rsid w:val="0037507E"/>
    <w:rsid w:val="00375131"/>
    <w:rsid w:val="00375146"/>
    <w:rsid w:val="00375177"/>
    <w:rsid w:val="003751E7"/>
    <w:rsid w:val="00375213"/>
    <w:rsid w:val="0037521A"/>
    <w:rsid w:val="00375255"/>
    <w:rsid w:val="003752B7"/>
    <w:rsid w:val="00375307"/>
    <w:rsid w:val="00375354"/>
    <w:rsid w:val="0037536C"/>
    <w:rsid w:val="003753D8"/>
    <w:rsid w:val="003753E3"/>
    <w:rsid w:val="003753EF"/>
    <w:rsid w:val="003753F6"/>
    <w:rsid w:val="00375466"/>
    <w:rsid w:val="0037547A"/>
    <w:rsid w:val="00375498"/>
    <w:rsid w:val="00375562"/>
    <w:rsid w:val="003755ED"/>
    <w:rsid w:val="00375634"/>
    <w:rsid w:val="00375655"/>
    <w:rsid w:val="003756A5"/>
    <w:rsid w:val="003756D2"/>
    <w:rsid w:val="0037573C"/>
    <w:rsid w:val="0037578C"/>
    <w:rsid w:val="00375813"/>
    <w:rsid w:val="0037588C"/>
    <w:rsid w:val="0037589F"/>
    <w:rsid w:val="003758BD"/>
    <w:rsid w:val="003758EE"/>
    <w:rsid w:val="00375965"/>
    <w:rsid w:val="003759CA"/>
    <w:rsid w:val="003759CB"/>
    <w:rsid w:val="003759F7"/>
    <w:rsid w:val="003759F9"/>
    <w:rsid w:val="00375A05"/>
    <w:rsid w:val="00375A1A"/>
    <w:rsid w:val="00375B52"/>
    <w:rsid w:val="00375B85"/>
    <w:rsid w:val="00375B8B"/>
    <w:rsid w:val="00375C20"/>
    <w:rsid w:val="00375C6D"/>
    <w:rsid w:val="00375CC6"/>
    <w:rsid w:val="00375CE0"/>
    <w:rsid w:val="00375D69"/>
    <w:rsid w:val="00375E44"/>
    <w:rsid w:val="00375EB3"/>
    <w:rsid w:val="00375EDD"/>
    <w:rsid w:val="00375EFB"/>
    <w:rsid w:val="00376020"/>
    <w:rsid w:val="00376092"/>
    <w:rsid w:val="003761EA"/>
    <w:rsid w:val="00376218"/>
    <w:rsid w:val="00376226"/>
    <w:rsid w:val="00376231"/>
    <w:rsid w:val="00376243"/>
    <w:rsid w:val="00376286"/>
    <w:rsid w:val="003762DE"/>
    <w:rsid w:val="00376331"/>
    <w:rsid w:val="00376335"/>
    <w:rsid w:val="00376369"/>
    <w:rsid w:val="003763D1"/>
    <w:rsid w:val="00376450"/>
    <w:rsid w:val="00376458"/>
    <w:rsid w:val="0037646F"/>
    <w:rsid w:val="00376473"/>
    <w:rsid w:val="003764D7"/>
    <w:rsid w:val="003764DA"/>
    <w:rsid w:val="0037650B"/>
    <w:rsid w:val="003765DE"/>
    <w:rsid w:val="003765E9"/>
    <w:rsid w:val="00376645"/>
    <w:rsid w:val="00376661"/>
    <w:rsid w:val="0037676B"/>
    <w:rsid w:val="00376772"/>
    <w:rsid w:val="0037678C"/>
    <w:rsid w:val="003767A4"/>
    <w:rsid w:val="00376817"/>
    <w:rsid w:val="00376844"/>
    <w:rsid w:val="003768DE"/>
    <w:rsid w:val="003768EA"/>
    <w:rsid w:val="003768FC"/>
    <w:rsid w:val="00376947"/>
    <w:rsid w:val="00376A78"/>
    <w:rsid w:val="00376B57"/>
    <w:rsid w:val="00376B88"/>
    <w:rsid w:val="00376CFB"/>
    <w:rsid w:val="00376D1A"/>
    <w:rsid w:val="00376D45"/>
    <w:rsid w:val="00376DF8"/>
    <w:rsid w:val="00376EA4"/>
    <w:rsid w:val="00376EC2"/>
    <w:rsid w:val="00376ED6"/>
    <w:rsid w:val="00376F50"/>
    <w:rsid w:val="00376FCF"/>
    <w:rsid w:val="00377007"/>
    <w:rsid w:val="0037704B"/>
    <w:rsid w:val="0037704F"/>
    <w:rsid w:val="003770A1"/>
    <w:rsid w:val="003771AC"/>
    <w:rsid w:val="003772F9"/>
    <w:rsid w:val="003772FC"/>
    <w:rsid w:val="003773B7"/>
    <w:rsid w:val="003773E9"/>
    <w:rsid w:val="00377420"/>
    <w:rsid w:val="0037745C"/>
    <w:rsid w:val="00377472"/>
    <w:rsid w:val="00377508"/>
    <w:rsid w:val="003775A3"/>
    <w:rsid w:val="00377654"/>
    <w:rsid w:val="00377662"/>
    <w:rsid w:val="0037767A"/>
    <w:rsid w:val="003776AB"/>
    <w:rsid w:val="00377726"/>
    <w:rsid w:val="0037773D"/>
    <w:rsid w:val="00377833"/>
    <w:rsid w:val="0037788F"/>
    <w:rsid w:val="00377891"/>
    <w:rsid w:val="00377897"/>
    <w:rsid w:val="003778FC"/>
    <w:rsid w:val="00377959"/>
    <w:rsid w:val="003779DC"/>
    <w:rsid w:val="003779F8"/>
    <w:rsid w:val="00377A20"/>
    <w:rsid w:val="00377AA5"/>
    <w:rsid w:val="00377B67"/>
    <w:rsid w:val="00377B6B"/>
    <w:rsid w:val="00377BBD"/>
    <w:rsid w:val="00377C2F"/>
    <w:rsid w:val="00377C5F"/>
    <w:rsid w:val="00377C86"/>
    <w:rsid w:val="00377CEC"/>
    <w:rsid w:val="00377D9E"/>
    <w:rsid w:val="00377DE3"/>
    <w:rsid w:val="00377DF2"/>
    <w:rsid w:val="00377E7F"/>
    <w:rsid w:val="00377EED"/>
    <w:rsid w:val="00377F28"/>
    <w:rsid w:val="00377F34"/>
    <w:rsid w:val="00377F90"/>
    <w:rsid w:val="003800A8"/>
    <w:rsid w:val="003800BF"/>
    <w:rsid w:val="00380124"/>
    <w:rsid w:val="003801B1"/>
    <w:rsid w:val="0038022D"/>
    <w:rsid w:val="0038023B"/>
    <w:rsid w:val="00380265"/>
    <w:rsid w:val="003802F0"/>
    <w:rsid w:val="003803B5"/>
    <w:rsid w:val="003804B1"/>
    <w:rsid w:val="003804FB"/>
    <w:rsid w:val="00380567"/>
    <w:rsid w:val="00380594"/>
    <w:rsid w:val="003805EF"/>
    <w:rsid w:val="00380676"/>
    <w:rsid w:val="003806A6"/>
    <w:rsid w:val="00380761"/>
    <w:rsid w:val="00380789"/>
    <w:rsid w:val="0038078C"/>
    <w:rsid w:val="00380878"/>
    <w:rsid w:val="003808B0"/>
    <w:rsid w:val="003808CA"/>
    <w:rsid w:val="0038091B"/>
    <w:rsid w:val="0038098D"/>
    <w:rsid w:val="003809F5"/>
    <w:rsid w:val="00380A64"/>
    <w:rsid w:val="00380AB0"/>
    <w:rsid w:val="00380AC7"/>
    <w:rsid w:val="00380ACD"/>
    <w:rsid w:val="00380B09"/>
    <w:rsid w:val="00380B18"/>
    <w:rsid w:val="00380B1F"/>
    <w:rsid w:val="00380C44"/>
    <w:rsid w:val="00380C6E"/>
    <w:rsid w:val="00380CA8"/>
    <w:rsid w:val="00380CD9"/>
    <w:rsid w:val="00380DE0"/>
    <w:rsid w:val="00380DFC"/>
    <w:rsid w:val="00380E11"/>
    <w:rsid w:val="00380E58"/>
    <w:rsid w:val="00380E65"/>
    <w:rsid w:val="00380EB5"/>
    <w:rsid w:val="00380F03"/>
    <w:rsid w:val="00380F07"/>
    <w:rsid w:val="00380F10"/>
    <w:rsid w:val="00380F9B"/>
    <w:rsid w:val="00380FC4"/>
    <w:rsid w:val="00381011"/>
    <w:rsid w:val="00381027"/>
    <w:rsid w:val="00381094"/>
    <w:rsid w:val="003810B1"/>
    <w:rsid w:val="003810DF"/>
    <w:rsid w:val="003810E5"/>
    <w:rsid w:val="003810EE"/>
    <w:rsid w:val="003810FF"/>
    <w:rsid w:val="00381110"/>
    <w:rsid w:val="00381143"/>
    <w:rsid w:val="00381167"/>
    <w:rsid w:val="0038118F"/>
    <w:rsid w:val="003811A0"/>
    <w:rsid w:val="003811A5"/>
    <w:rsid w:val="00381277"/>
    <w:rsid w:val="00381280"/>
    <w:rsid w:val="003812E1"/>
    <w:rsid w:val="0038140D"/>
    <w:rsid w:val="003815EC"/>
    <w:rsid w:val="0038166C"/>
    <w:rsid w:val="00381721"/>
    <w:rsid w:val="0038179F"/>
    <w:rsid w:val="003817E7"/>
    <w:rsid w:val="003817F4"/>
    <w:rsid w:val="00381868"/>
    <w:rsid w:val="00381875"/>
    <w:rsid w:val="003818D3"/>
    <w:rsid w:val="0038197A"/>
    <w:rsid w:val="003819C5"/>
    <w:rsid w:val="00381A79"/>
    <w:rsid w:val="00381AA7"/>
    <w:rsid w:val="00381AA8"/>
    <w:rsid w:val="00381ACD"/>
    <w:rsid w:val="00381AF1"/>
    <w:rsid w:val="00381B09"/>
    <w:rsid w:val="00381B15"/>
    <w:rsid w:val="00381B26"/>
    <w:rsid w:val="00381B5B"/>
    <w:rsid w:val="00381B92"/>
    <w:rsid w:val="00381C45"/>
    <w:rsid w:val="00381C58"/>
    <w:rsid w:val="00381C5E"/>
    <w:rsid w:val="00381CA0"/>
    <w:rsid w:val="00381D25"/>
    <w:rsid w:val="00381D4A"/>
    <w:rsid w:val="00381E43"/>
    <w:rsid w:val="00381EDD"/>
    <w:rsid w:val="00381F59"/>
    <w:rsid w:val="00382169"/>
    <w:rsid w:val="003821C4"/>
    <w:rsid w:val="00382201"/>
    <w:rsid w:val="0038224A"/>
    <w:rsid w:val="00382259"/>
    <w:rsid w:val="00382260"/>
    <w:rsid w:val="003822F6"/>
    <w:rsid w:val="003823B3"/>
    <w:rsid w:val="003823CE"/>
    <w:rsid w:val="003823F7"/>
    <w:rsid w:val="003824BB"/>
    <w:rsid w:val="003824DB"/>
    <w:rsid w:val="003824F8"/>
    <w:rsid w:val="0038253E"/>
    <w:rsid w:val="003825D6"/>
    <w:rsid w:val="003825FD"/>
    <w:rsid w:val="0038262D"/>
    <w:rsid w:val="003826A6"/>
    <w:rsid w:val="003826D7"/>
    <w:rsid w:val="003826DB"/>
    <w:rsid w:val="00382736"/>
    <w:rsid w:val="00382754"/>
    <w:rsid w:val="00382765"/>
    <w:rsid w:val="0038278A"/>
    <w:rsid w:val="00382799"/>
    <w:rsid w:val="003828CB"/>
    <w:rsid w:val="003828E1"/>
    <w:rsid w:val="0038290A"/>
    <w:rsid w:val="0038291D"/>
    <w:rsid w:val="00382923"/>
    <w:rsid w:val="00382A13"/>
    <w:rsid w:val="00382A46"/>
    <w:rsid w:val="00382A98"/>
    <w:rsid w:val="00382AD4"/>
    <w:rsid w:val="00382B56"/>
    <w:rsid w:val="00382B8A"/>
    <w:rsid w:val="00382BD5"/>
    <w:rsid w:val="00382C1F"/>
    <w:rsid w:val="00382C59"/>
    <w:rsid w:val="00382D55"/>
    <w:rsid w:val="00382D5F"/>
    <w:rsid w:val="00382DA4"/>
    <w:rsid w:val="00382E1F"/>
    <w:rsid w:val="00382E63"/>
    <w:rsid w:val="00382EB1"/>
    <w:rsid w:val="00382F16"/>
    <w:rsid w:val="0038303F"/>
    <w:rsid w:val="00383112"/>
    <w:rsid w:val="0038312F"/>
    <w:rsid w:val="003832C2"/>
    <w:rsid w:val="003832CC"/>
    <w:rsid w:val="003832E6"/>
    <w:rsid w:val="003832EA"/>
    <w:rsid w:val="003832F3"/>
    <w:rsid w:val="003832F6"/>
    <w:rsid w:val="00383318"/>
    <w:rsid w:val="0038334D"/>
    <w:rsid w:val="00383411"/>
    <w:rsid w:val="00383412"/>
    <w:rsid w:val="00383418"/>
    <w:rsid w:val="00383470"/>
    <w:rsid w:val="003834A3"/>
    <w:rsid w:val="0038351A"/>
    <w:rsid w:val="00383539"/>
    <w:rsid w:val="003835D7"/>
    <w:rsid w:val="0038362E"/>
    <w:rsid w:val="0038366D"/>
    <w:rsid w:val="00383686"/>
    <w:rsid w:val="003836F5"/>
    <w:rsid w:val="00383740"/>
    <w:rsid w:val="003837A0"/>
    <w:rsid w:val="003837FF"/>
    <w:rsid w:val="003838CB"/>
    <w:rsid w:val="003838DD"/>
    <w:rsid w:val="003838F2"/>
    <w:rsid w:val="0038394F"/>
    <w:rsid w:val="0038397C"/>
    <w:rsid w:val="0038397D"/>
    <w:rsid w:val="003839EE"/>
    <w:rsid w:val="00383A25"/>
    <w:rsid w:val="00383A35"/>
    <w:rsid w:val="00383A46"/>
    <w:rsid w:val="00383A4D"/>
    <w:rsid w:val="00383C1B"/>
    <w:rsid w:val="00383C59"/>
    <w:rsid w:val="00383CE8"/>
    <w:rsid w:val="00383D0C"/>
    <w:rsid w:val="00383D6B"/>
    <w:rsid w:val="00383D85"/>
    <w:rsid w:val="00383E94"/>
    <w:rsid w:val="00383EF8"/>
    <w:rsid w:val="00383F49"/>
    <w:rsid w:val="00383FF5"/>
    <w:rsid w:val="0038400E"/>
    <w:rsid w:val="00384063"/>
    <w:rsid w:val="00384078"/>
    <w:rsid w:val="003840FA"/>
    <w:rsid w:val="00384176"/>
    <w:rsid w:val="00384190"/>
    <w:rsid w:val="003842EE"/>
    <w:rsid w:val="003843CC"/>
    <w:rsid w:val="003843D6"/>
    <w:rsid w:val="00384448"/>
    <w:rsid w:val="00384463"/>
    <w:rsid w:val="003845B3"/>
    <w:rsid w:val="003845FE"/>
    <w:rsid w:val="0038462D"/>
    <w:rsid w:val="00384639"/>
    <w:rsid w:val="00384652"/>
    <w:rsid w:val="0038465E"/>
    <w:rsid w:val="00384694"/>
    <w:rsid w:val="0038478E"/>
    <w:rsid w:val="003847C6"/>
    <w:rsid w:val="003847F1"/>
    <w:rsid w:val="00384805"/>
    <w:rsid w:val="003848F4"/>
    <w:rsid w:val="00384929"/>
    <w:rsid w:val="00384931"/>
    <w:rsid w:val="00384A64"/>
    <w:rsid w:val="00384A7F"/>
    <w:rsid w:val="00384ADA"/>
    <w:rsid w:val="00384B27"/>
    <w:rsid w:val="00384B28"/>
    <w:rsid w:val="00384B5B"/>
    <w:rsid w:val="00384B8B"/>
    <w:rsid w:val="00384BB2"/>
    <w:rsid w:val="00384C87"/>
    <w:rsid w:val="00384CD8"/>
    <w:rsid w:val="00384D4B"/>
    <w:rsid w:val="00384D88"/>
    <w:rsid w:val="00384D9A"/>
    <w:rsid w:val="00384DAC"/>
    <w:rsid w:val="00384DB2"/>
    <w:rsid w:val="00384DCB"/>
    <w:rsid w:val="00384DD6"/>
    <w:rsid w:val="00384E26"/>
    <w:rsid w:val="00384E44"/>
    <w:rsid w:val="00384ECE"/>
    <w:rsid w:val="00384ED2"/>
    <w:rsid w:val="00384F38"/>
    <w:rsid w:val="00384F85"/>
    <w:rsid w:val="00384FCB"/>
    <w:rsid w:val="0038509B"/>
    <w:rsid w:val="003850D6"/>
    <w:rsid w:val="0038513B"/>
    <w:rsid w:val="00385162"/>
    <w:rsid w:val="003851D3"/>
    <w:rsid w:val="003851EE"/>
    <w:rsid w:val="00385236"/>
    <w:rsid w:val="0038524F"/>
    <w:rsid w:val="00385266"/>
    <w:rsid w:val="00385299"/>
    <w:rsid w:val="003852A6"/>
    <w:rsid w:val="003852BD"/>
    <w:rsid w:val="003852E3"/>
    <w:rsid w:val="003853D5"/>
    <w:rsid w:val="003854FA"/>
    <w:rsid w:val="00385507"/>
    <w:rsid w:val="003855AC"/>
    <w:rsid w:val="00385679"/>
    <w:rsid w:val="00385684"/>
    <w:rsid w:val="0038577E"/>
    <w:rsid w:val="003857B3"/>
    <w:rsid w:val="003857BE"/>
    <w:rsid w:val="003857E6"/>
    <w:rsid w:val="00385801"/>
    <w:rsid w:val="00385853"/>
    <w:rsid w:val="003858A6"/>
    <w:rsid w:val="003858B4"/>
    <w:rsid w:val="003858FF"/>
    <w:rsid w:val="0038593F"/>
    <w:rsid w:val="00385949"/>
    <w:rsid w:val="003859C4"/>
    <w:rsid w:val="00385A0B"/>
    <w:rsid w:val="00385AB9"/>
    <w:rsid w:val="00385C71"/>
    <w:rsid w:val="00385D0C"/>
    <w:rsid w:val="00385D19"/>
    <w:rsid w:val="00385D9F"/>
    <w:rsid w:val="00385EA9"/>
    <w:rsid w:val="00385F71"/>
    <w:rsid w:val="00385FD8"/>
    <w:rsid w:val="00385FF0"/>
    <w:rsid w:val="00386032"/>
    <w:rsid w:val="00386085"/>
    <w:rsid w:val="00386108"/>
    <w:rsid w:val="0038616C"/>
    <w:rsid w:val="003861C4"/>
    <w:rsid w:val="0038624D"/>
    <w:rsid w:val="00386264"/>
    <w:rsid w:val="00386297"/>
    <w:rsid w:val="003862B9"/>
    <w:rsid w:val="003862EF"/>
    <w:rsid w:val="0038634E"/>
    <w:rsid w:val="00386385"/>
    <w:rsid w:val="003863F4"/>
    <w:rsid w:val="00386463"/>
    <w:rsid w:val="003864DD"/>
    <w:rsid w:val="00386517"/>
    <w:rsid w:val="00386518"/>
    <w:rsid w:val="0038658E"/>
    <w:rsid w:val="00386598"/>
    <w:rsid w:val="003865F1"/>
    <w:rsid w:val="00386611"/>
    <w:rsid w:val="00386682"/>
    <w:rsid w:val="0038669A"/>
    <w:rsid w:val="00386712"/>
    <w:rsid w:val="003867CF"/>
    <w:rsid w:val="003867D6"/>
    <w:rsid w:val="00386851"/>
    <w:rsid w:val="003868D7"/>
    <w:rsid w:val="003868DD"/>
    <w:rsid w:val="0038690F"/>
    <w:rsid w:val="0038696F"/>
    <w:rsid w:val="00386A5A"/>
    <w:rsid w:val="00386C87"/>
    <w:rsid w:val="00386C9D"/>
    <w:rsid w:val="00386CA5"/>
    <w:rsid w:val="00386CA7"/>
    <w:rsid w:val="00386CB2"/>
    <w:rsid w:val="00386CFD"/>
    <w:rsid w:val="00386D6C"/>
    <w:rsid w:val="00386D82"/>
    <w:rsid w:val="00386E06"/>
    <w:rsid w:val="00386E19"/>
    <w:rsid w:val="00386E32"/>
    <w:rsid w:val="00386E70"/>
    <w:rsid w:val="00386F85"/>
    <w:rsid w:val="00387003"/>
    <w:rsid w:val="00387039"/>
    <w:rsid w:val="003870B1"/>
    <w:rsid w:val="00387133"/>
    <w:rsid w:val="0038713C"/>
    <w:rsid w:val="003871AE"/>
    <w:rsid w:val="003871CC"/>
    <w:rsid w:val="00387218"/>
    <w:rsid w:val="00387348"/>
    <w:rsid w:val="00387386"/>
    <w:rsid w:val="00387446"/>
    <w:rsid w:val="00387460"/>
    <w:rsid w:val="003874B7"/>
    <w:rsid w:val="00387515"/>
    <w:rsid w:val="0038753C"/>
    <w:rsid w:val="00387593"/>
    <w:rsid w:val="003876D7"/>
    <w:rsid w:val="003876EE"/>
    <w:rsid w:val="003877CD"/>
    <w:rsid w:val="003878AB"/>
    <w:rsid w:val="003878BA"/>
    <w:rsid w:val="003878C7"/>
    <w:rsid w:val="003878CF"/>
    <w:rsid w:val="00387949"/>
    <w:rsid w:val="00387997"/>
    <w:rsid w:val="003879C9"/>
    <w:rsid w:val="00387ADC"/>
    <w:rsid w:val="00387B43"/>
    <w:rsid w:val="00387B80"/>
    <w:rsid w:val="00387C29"/>
    <w:rsid w:val="00387C74"/>
    <w:rsid w:val="00387D39"/>
    <w:rsid w:val="00387D9A"/>
    <w:rsid w:val="00387DB3"/>
    <w:rsid w:val="00387DFE"/>
    <w:rsid w:val="00387E18"/>
    <w:rsid w:val="00387EC8"/>
    <w:rsid w:val="003900AC"/>
    <w:rsid w:val="003900AE"/>
    <w:rsid w:val="003900EA"/>
    <w:rsid w:val="00390117"/>
    <w:rsid w:val="00390140"/>
    <w:rsid w:val="003901DB"/>
    <w:rsid w:val="003901EA"/>
    <w:rsid w:val="003903E1"/>
    <w:rsid w:val="0039043C"/>
    <w:rsid w:val="00390511"/>
    <w:rsid w:val="00390512"/>
    <w:rsid w:val="00390530"/>
    <w:rsid w:val="00390586"/>
    <w:rsid w:val="003905A0"/>
    <w:rsid w:val="003905AB"/>
    <w:rsid w:val="00390608"/>
    <w:rsid w:val="0039061B"/>
    <w:rsid w:val="003906AE"/>
    <w:rsid w:val="00390710"/>
    <w:rsid w:val="0039073D"/>
    <w:rsid w:val="00390760"/>
    <w:rsid w:val="003907F8"/>
    <w:rsid w:val="00390826"/>
    <w:rsid w:val="0039096F"/>
    <w:rsid w:val="00390982"/>
    <w:rsid w:val="00390A77"/>
    <w:rsid w:val="00390A86"/>
    <w:rsid w:val="00390A96"/>
    <w:rsid w:val="00390AAF"/>
    <w:rsid w:val="00390AB4"/>
    <w:rsid w:val="00390ADA"/>
    <w:rsid w:val="00390ADB"/>
    <w:rsid w:val="00390B17"/>
    <w:rsid w:val="00390B7A"/>
    <w:rsid w:val="00390BA6"/>
    <w:rsid w:val="00390C24"/>
    <w:rsid w:val="00390C2E"/>
    <w:rsid w:val="00390CD0"/>
    <w:rsid w:val="00390CF8"/>
    <w:rsid w:val="00390DE3"/>
    <w:rsid w:val="00390E3C"/>
    <w:rsid w:val="00390E4A"/>
    <w:rsid w:val="00390E60"/>
    <w:rsid w:val="00390F9B"/>
    <w:rsid w:val="0039103E"/>
    <w:rsid w:val="003910F4"/>
    <w:rsid w:val="003911CC"/>
    <w:rsid w:val="0039122F"/>
    <w:rsid w:val="00391273"/>
    <w:rsid w:val="00391294"/>
    <w:rsid w:val="00391314"/>
    <w:rsid w:val="00391320"/>
    <w:rsid w:val="00391392"/>
    <w:rsid w:val="003913DD"/>
    <w:rsid w:val="00391413"/>
    <w:rsid w:val="0039143E"/>
    <w:rsid w:val="00391472"/>
    <w:rsid w:val="00391475"/>
    <w:rsid w:val="00391483"/>
    <w:rsid w:val="003914E3"/>
    <w:rsid w:val="00391525"/>
    <w:rsid w:val="00391642"/>
    <w:rsid w:val="0039168A"/>
    <w:rsid w:val="00391753"/>
    <w:rsid w:val="003917BC"/>
    <w:rsid w:val="0039180F"/>
    <w:rsid w:val="0039186D"/>
    <w:rsid w:val="00391881"/>
    <w:rsid w:val="003918D5"/>
    <w:rsid w:val="0039191E"/>
    <w:rsid w:val="00391987"/>
    <w:rsid w:val="003919DE"/>
    <w:rsid w:val="00391A80"/>
    <w:rsid w:val="00391ACB"/>
    <w:rsid w:val="00391B29"/>
    <w:rsid w:val="00391BBE"/>
    <w:rsid w:val="00391BC3"/>
    <w:rsid w:val="00391BEB"/>
    <w:rsid w:val="00391BFB"/>
    <w:rsid w:val="00391C28"/>
    <w:rsid w:val="00391C36"/>
    <w:rsid w:val="00391C45"/>
    <w:rsid w:val="00391C4D"/>
    <w:rsid w:val="00391D69"/>
    <w:rsid w:val="00391D6D"/>
    <w:rsid w:val="00391DF7"/>
    <w:rsid w:val="00391E0A"/>
    <w:rsid w:val="00391E11"/>
    <w:rsid w:val="00391EAC"/>
    <w:rsid w:val="00391EAD"/>
    <w:rsid w:val="00391F0A"/>
    <w:rsid w:val="00391F2B"/>
    <w:rsid w:val="00391F8E"/>
    <w:rsid w:val="00391FAD"/>
    <w:rsid w:val="003920CD"/>
    <w:rsid w:val="003920FF"/>
    <w:rsid w:val="0039220B"/>
    <w:rsid w:val="0039227F"/>
    <w:rsid w:val="003922C6"/>
    <w:rsid w:val="00392350"/>
    <w:rsid w:val="003924E7"/>
    <w:rsid w:val="00392502"/>
    <w:rsid w:val="00392516"/>
    <w:rsid w:val="003925B2"/>
    <w:rsid w:val="003926B0"/>
    <w:rsid w:val="00392733"/>
    <w:rsid w:val="0039278C"/>
    <w:rsid w:val="00392812"/>
    <w:rsid w:val="003928DA"/>
    <w:rsid w:val="00392920"/>
    <w:rsid w:val="00392937"/>
    <w:rsid w:val="003929E8"/>
    <w:rsid w:val="003929F6"/>
    <w:rsid w:val="00392A15"/>
    <w:rsid w:val="00392B13"/>
    <w:rsid w:val="00392B1A"/>
    <w:rsid w:val="00392B78"/>
    <w:rsid w:val="00392C8E"/>
    <w:rsid w:val="00392C90"/>
    <w:rsid w:val="00392CA5"/>
    <w:rsid w:val="00392D26"/>
    <w:rsid w:val="00392D45"/>
    <w:rsid w:val="00392D94"/>
    <w:rsid w:val="00392DB2"/>
    <w:rsid w:val="00392DCC"/>
    <w:rsid w:val="00392E00"/>
    <w:rsid w:val="00392E47"/>
    <w:rsid w:val="00392E5D"/>
    <w:rsid w:val="00392E94"/>
    <w:rsid w:val="00392F3F"/>
    <w:rsid w:val="00392F5F"/>
    <w:rsid w:val="00392FD7"/>
    <w:rsid w:val="0039304B"/>
    <w:rsid w:val="00393135"/>
    <w:rsid w:val="00393177"/>
    <w:rsid w:val="0039319F"/>
    <w:rsid w:val="003932D7"/>
    <w:rsid w:val="003932E6"/>
    <w:rsid w:val="003933B0"/>
    <w:rsid w:val="003933B6"/>
    <w:rsid w:val="0039349C"/>
    <w:rsid w:val="003934EC"/>
    <w:rsid w:val="00393551"/>
    <w:rsid w:val="00393598"/>
    <w:rsid w:val="0039362B"/>
    <w:rsid w:val="00393634"/>
    <w:rsid w:val="0039364A"/>
    <w:rsid w:val="0039367C"/>
    <w:rsid w:val="00393694"/>
    <w:rsid w:val="003936E5"/>
    <w:rsid w:val="003936EB"/>
    <w:rsid w:val="0039371B"/>
    <w:rsid w:val="0039371C"/>
    <w:rsid w:val="0039372A"/>
    <w:rsid w:val="00393731"/>
    <w:rsid w:val="00393810"/>
    <w:rsid w:val="00393894"/>
    <w:rsid w:val="003938CD"/>
    <w:rsid w:val="003938E1"/>
    <w:rsid w:val="003938F6"/>
    <w:rsid w:val="003938FE"/>
    <w:rsid w:val="0039395D"/>
    <w:rsid w:val="003939CC"/>
    <w:rsid w:val="003939EC"/>
    <w:rsid w:val="00393A32"/>
    <w:rsid w:val="00393A8B"/>
    <w:rsid w:val="00393AB8"/>
    <w:rsid w:val="00393ABC"/>
    <w:rsid w:val="00393ACA"/>
    <w:rsid w:val="00393AED"/>
    <w:rsid w:val="00393B11"/>
    <w:rsid w:val="00393B1D"/>
    <w:rsid w:val="00393B48"/>
    <w:rsid w:val="00393BE0"/>
    <w:rsid w:val="00393C29"/>
    <w:rsid w:val="00393C6C"/>
    <w:rsid w:val="00393CA3"/>
    <w:rsid w:val="00393F15"/>
    <w:rsid w:val="00393F90"/>
    <w:rsid w:val="00393FA8"/>
    <w:rsid w:val="00394003"/>
    <w:rsid w:val="00394045"/>
    <w:rsid w:val="00394057"/>
    <w:rsid w:val="0039407D"/>
    <w:rsid w:val="0039408E"/>
    <w:rsid w:val="003940B7"/>
    <w:rsid w:val="0039413C"/>
    <w:rsid w:val="00394158"/>
    <w:rsid w:val="003941E0"/>
    <w:rsid w:val="0039430E"/>
    <w:rsid w:val="0039430F"/>
    <w:rsid w:val="0039431D"/>
    <w:rsid w:val="003943DA"/>
    <w:rsid w:val="00394479"/>
    <w:rsid w:val="00394498"/>
    <w:rsid w:val="00394553"/>
    <w:rsid w:val="003945DF"/>
    <w:rsid w:val="0039467D"/>
    <w:rsid w:val="0039468B"/>
    <w:rsid w:val="0039469E"/>
    <w:rsid w:val="003946DE"/>
    <w:rsid w:val="00394736"/>
    <w:rsid w:val="0039477F"/>
    <w:rsid w:val="0039482D"/>
    <w:rsid w:val="00394834"/>
    <w:rsid w:val="00394858"/>
    <w:rsid w:val="003948D0"/>
    <w:rsid w:val="003948E1"/>
    <w:rsid w:val="00394914"/>
    <w:rsid w:val="00394936"/>
    <w:rsid w:val="00394938"/>
    <w:rsid w:val="00394A40"/>
    <w:rsid w:val="00394A96"/>
    <w:rsid w:val="00394B0A"/>
    <w:rsid w:val="00394BB8"/>
    <w:rsid w:val="00394C13"/>
    <w:rsid w:val="00394C26"/>
    <w:rsid w:val="00394C93"/>
    <w:rsid w:val="00394CA7"/>
    <w:rsid w:val="00394D78"/>
    <w:rsid w:val="00394E23"/>
    <w:rsid w:val="00394E35"/>
    <w:rsid w:val="00394E79"/>
    <w:rsid w:val="00394E96"/>
    <w:rsid w:val="00394E97"/>
    <w:rsid w:val="00394EC3"/>
    <w:rsid w:val="00394ED1"/>
    <w:rsid w:val="00394EFB"/>
    <w:rsid w:val="00394F71"/>
    <w:rsid w:val="00395030"/>
    <w:rsid w:val="0039513B"/>
    <w:rsid w:val="0039517A"/>
    <w:rsid w:val="003951A9"/>
    <w:rsid w:val="0039521D"/>
    <w:rsid w:val="00395273"/>
    <w:rsid w:val="003952C1"/>
    <w:rsid w:val="00395301"/>
    <w:rsid w:val="0039531C"/>
    <w:rsid w:val="0039534C"/>
    <w:rsid w:val="003953DE"/>
    <w:rsid w:val="0039540D"/>
    <w:rsid w:val="00395432"/>
    <w:rsid w:val="0039544B"/>
    <w:rsid w:val="00395474"/>
    <w:rsid w:val="00395485"/>
    <w:rsid w:val="00395491"/>
    <w:rsid w:val="0039557E"/>
    <w:rsid w:val="00395597"/>
    <w:rsid w:val="003955AF"/>
    <w:rsid w:val="00395642"/>
    <w:rsid w:val="00395648"/>
    <w:rsid w:val="0039575D"/>
    <w:rsid w:val="0039578C"/>
    <w:rsid w:val="0039581B"/>
    <w:rsid w:val="003959F3"/>
    <w:rsid w:val="00395A19"/>
    <w:rsid w:val="00395B8C"/>
    <w:rsid w:val="00395BA2"/>
    <w:rsid w:val="00395C09"/>
    <w:rsid w:val="00395C60"/>
    <w:rsid w:val="00395CBA"/>
    <w:rsid w:val="00395D64"/>
    <w:rsid w:val="00395D65"/>
    <w:rsid w:val="00395D88"/>
    <w:rsid w:val="00395DE4"/>
    <w:rsid w:val="00395DFB"/>
    <w:rsid w:val="00395E00"/>
    <w:rsid w:val="00395E4E"/>
    <w:rsid w:val="00395EB7"/>
    <w:rsid w:val="0039603A"/>
    <w:rsid w:val="00396052"/>
    <w:rsid w:val="0039608A"/>
    <w:rsid w:val="003960B8"/>
    <w:rsid w:val="0039618E"/>
    <w:rsid w:val="0039619A"/>
    <w:rsid w:val="00396225"/>
    <w:rsid w:val="00396295"/>
    <w:rsid w:val="00396373"/>
    <w:rsid w:val="003963D1"/>
    <w:rsid w:val="003964C5"/>
    <w:rsid w:val="0039650A"/>
    <w:rsid w:val="00396513"/>
    <w:rsid w:val="00396544"/>
    <w:rsid w:val="00396585"/>
    <w:rsid w:val="003965DA"/>
    <w:rsid w:val="00396618"/>
    <w:rsid w:val="0039668B"/>
    <w:rsid w:val="003966B0"/>
    <w:rsid w:val="0039670F"/>
    <w:rsid w:val="00396729"/>
    <w:rsid w:val="00396752"/>
    <w:rsid w:val="0039675A"/>
    <w:rsid w:val="0039682B"/>
    <w:rsid w:val="00396857"/>
    <w:rsid w:val="003968C9"/>
    <w:rsid w:val="00396916"/>
    <w:rsid w:val="00396934"/>
    <w:rsid w:val="00396946"/>
    <w:rsid w:val="00396956"/>
    <w:rsid w:val="00396961"/>
    <w:rsid w:val="00396A02"/>
    <w:rsid w:val="00396A5C"/>
    <w:rsid w:val="00396A91"/>
    <w:rsid w:val="00396A9A"/>
    <w:rsid w:val="00396AD0"/>
    <w:rsid w:val="00396B33"/>
    <w:rsid w:val="00396BF1"/>
    <w:rsid w:val="00396C09"/>
    <w:rsid w:val="00396C4A"/>
    <w:rsid w:val="00396EE0"/>
    <w:rsid w:val="00396EF4"/>
    <w:rsid w:val="00396F02"/>
    <w:rsid w:val="00396F71"/>
    <w:rsid w:val="00396FD4"/>
    <w:rsid w:val="00397042"/>
    <w:rsid w:val="00397056"/>
    <w:rsid w:val="00397109"/>
    <w:rsid w:val="00397197"/>
    <w:rsid w:val="0039724A"/>
    <w:rsid w:val="00397252"/>
    <w:rsid w:val="003972FC"/>
    <w:rsid w:val="00397309"/>
    <w:rsid w:val="0039735D"/>
    <w:rsid w:val="00397377"/>
    <w:rsid w:val="003973CD"/>
    <w:rsid w:val="003973D4"/>
    <w:rsid w:val="003973E6"/>
    <w:rsid w:val="00397419"/>
    <w:rsid w:val="0039742F"/>
    <w:rsid w:val="00397443"/>
    <w:rsid w:val="0039746A"/>
    <w:rsid w:val="00397513"/>
    <w:rsid w:val="0039757D"/>
    <w:rsid w:val="003975AE"/>
    <w:rsid w:val="0039765E"/>
    <w:rsid w:val="0039766B"/>
    <w:rsid w:val="003976D4"/>
    <w:rsid w:val="003976F9"/>
    <w:rsid w:val="00397764"/>
    <w:rsid w:val="003978D7"/>
    <w:rsid w:val="003979C8"/>
    <w:rsid w:val="00397A74"/>
    <w:rsid w:val="00397ACC"/>
    <w:rsid w:val="00397B72"/>
    <w:rsid w:val="00397B9C"/>
    <w:rsid w:val="00397BB5"/>
    <w:rsid w:val="00397CB7"/>
    <w:rsid w:val="00397D0B"/>
    <w:rsid w:val="00397DCF"/>
    <w:rsid w:val="00397DEA"/>
    <w:rsid w:val="00397E22"/>
    <w:rsid w:val="00397E42"/>
    <w:rsid w:val="00397E4A"/>
    <w:rsid w:val="00397E9D"/>
    <w:rsid w:val="00397F3D"/>
    <w:rsid w:val="00397F47"/>
    <w:rsid w:val="003A005F"/>
    <w:rsid w:val="003A0077"/>
    <w:rsid w:val="003A009C"/>
    <w:rsid w:val="003A011B"/>
    <w:rsid w:val="003A0258"/>
    <w:rsid w:val="003A0259"/>
    <w:rsid w:val="003A0297"/>
    <w:rsid w:val="003A02F4"/>
    <w:rsid w:val="003A033F"/>
    <w:rsid w:val="003A0377"/>
    <w:rsid w:val="003A039B"/>
    <w:rsid w:val="003A03DC"/>
    <w:rsid w:val="003A045E"/>
    <w:rsid w:val="003A04A9"/>
    <w:rsid w:val="003A04E6"/>
    <w:rsid w:val="003A0599"/>
    <w:rsid w:val="003A06AC"/>
    <w:rsid w:val="003A074C"/>
    <w:rsid w:val="003A0796"/>
    <w:rsid w:val="003A07CF"/>
    <w:rsid w:val="003A07EB"/>
    <w:rsid w:val="003A0810"/>
    <w:rsid w:val="003A0819"/>
    <w:rsid w:val="003A087C"/>
    <w:rsid w:val="003A08A5"/>
    <w:rsid w:val="003A0920"/>
    <w:rsid w:val="003A0933"/>
    <w:rsid w:val="003A0938"/>
    <w:rsid w:val="003A0A1E"/>
    <w:rsid w:val="003A0A6F"/>
    <w:rsid w:val="003A0AD8"/>
    <w:rsid w:val="003A0AEF"/>
    <w:rsid w:val="003A0B2B"/>
    <w:rsid w:val="003A0B3A"/>
    <w:rsid w:val="003A0B5B"/>
    <w:rsid w:val="003A0B5D"/>
    <w:rsid w:val="003A0B9D"/>
    <w:rsid w:val="003A0BAC"/>
    <w:rsid w:val="003A0C4C"/>
    <w:rsid w:val="003A0C9E"/>
    <w:rsid w:val="003A0DA3"/>
    <w:rsid w:val="003A0DA7"/>
    <w:rsid w:val="003A0DC3"/>
    <w:rsid w:val="003A0DD7"/>
    <w:rsid w:val="003A0EB2"/>
    <w:rsid w:val="003A0ED4"/>
    <w:rsid w:val="003A0F91"/>
    <w:rsid w:val="003A102E"/>
    <w:rsid w:val="003A108A"/>
    <w:rsid w:val="003A10B9"/>
    <w:rsid w:val="003A10E3"/>
    <w:rsid w:val="003A1127"/>
    <w:rsid w:val="003A115D"/>
    <w:rsid w:val="003A11A8"/>
    <w:rsid w:val="003A1279"/>
    <w:rsid w:val="003A127F"/>
    <w:rsid w:val="003A1286"/>
    <w:rsid w:val="003A12BA"/>
    <w:rsid w:val="003A12BD"/>
    <w:rsid w:val="003A133F"/>
    <w:rsid w:val="003A136C"/>
    <w:rsid w:val="003A13A4"/>
    <w:rsid w:val="003A13AC"/>
    <w:rsid w:val="003A13D5"/>
    <w:rsid w:val="003A141B"/>
    <w:rsid w:val="003A1475"/>
    <w:rsid w:val="003A14D0"/>
    <w:rsid w:val="003A153B"/>
    <w:rsid w:val="003A15B5"/>
    <w:rsid w:val="003A1641"/>
    <w:rsid w:val="003A16C7"/>
    <w:rsid w:val="003A1798"/>
    <w:rsid w:val="003A18BA"/>
    <w:rsid w:val="003A1989"/>
    <w:rsid w:val="003A1994"/>
    <w:rsid w:val="003A19A4"/>
    <w:rsid w:val="003A1A14"/>
    <w:rsid w:val="003A1A89"/>
    <w:rsid w:val="003A1B0B"/>
    <w:rsid w:val="003A1B73"/>
    <w:rsid w:val="003A1C46"/>
    <w:rsid w:val="003A1C5B"/>
    <w:rsid w:val="003A1CCE"/>
    <w:rsid w:val="003A1D39"/>
    <w:rsid w:val="003A1D4A"/>
    <w:rsid w:val="003A1DB7"/>
    <w:rsid w:val="003A1DF3"/>
    <w:rsid w:val="003A1E95"/>
    <w:rsid w:val="003A1ED4"/>
    <w:rsid w:val="003A1EFE"/>
    <w:rsid w:val="003A1F00"/>
    <w:rsid w:val="003A1F4C"/>
    <w:rsid w:val="003A1F51"/>
    <w:rsid w:val="003A1F89"/>
    <w:rsid w:val="003A2021"/>
    <w:rsid w:val="003A207D"/>
    <w:rsid w:val="003A208D"/>
    <w:rsid w:val="003A20A0"/>
    <w:rsid w:val="003A20C8"/>
    <w:rsid w:val="003A2211"/>
    <w:rsid w:val="003A2281"/>
    <w:rsid w:val="003A228E"/>
    <w:rsid w:val="003A22B4"/>
    <w:rsid w:val="003A22BE"/>
    <w:rsid w:val="003A22C6"/>
    <w:rsid w:val="003A238A"/>
    <w:rsid w:val="003A23AF"/>
    <w:rsid w:val="003A23D8"/>
    <w:rsid w:val="003A2408"/>
    <w:rsid w:val="003A2428"/>
    <w:rsid w:val="003A2462"/>
    <w:rsid w:val="003A2504"/>
    <w:rsid w:val="003A2512"/>
    <w:rsid w:val="003A2539"/>
    <w:rsid w:val="003A25B8"/>
    <w:rsid w:val="003A2602"/>
    <w:rsid w:val="003A2603"/>
    <w:rsid w:val="003A2609"/>
    <w:rsid w:val="003A2717"/>
    <w:rsid w:val="003A273A"/>
    <w:rsid w:val="003A280B"/>
    <w:rsid w:val="003A28C8"/>
    <w:rsid w:val="003A28FB"/>
    <w:rsid w:val="003A293D"/>
    <w:rsid w:val="003A29DA"/>
    <w:rsid w:val="003A2AD6"/>
    <w:rsid w:val="003A2B18"/>
    <w:rsid w:val="003A2B7C"/>
    <w:rsid w:val="003A2B91"/>
    <w:rsid w:val="003A2BA6"/>
    <w:rsid w:val="003A2BBE"/>
    <w:rsid w:val="003A2CF2"/>
    <w:rsid w:val="003A2DC4"/>
    <w:rsid w:val="003A2E61"/>
    <w:rsid w:val="003A2EB7"/>
    <w:rsid w:val="003A2ECF"/>
    <w:rsid w:val="003A3024"/>
    <w:rsid w:val="003A30B6"/>
    <w:rsid w:val="003A3126"/>
    <w:rsid w:val="003A3142"/>
    <w:rsid w:val="003A3143"/>
    <w:rsid w:val="003A318B"/>
    <w:rsid w:val="003A31EB"/>
    <w:rsid w:val="003A31EF"/>
    <w:rsid w:val="003A31F2"/>
    <w:rsid w:val="003A31F9"/>
    <w:rsid w:val="003A325C"/>
    <w:rsid w:val="003A32BA"/>
    <w:rsid w:val="003A3301"/>
    <w:rsid w:val="003A338E"/>
    <w:rsid w:val="003A33AB"/>
    <w:rsid w:val="003A33C7"/>
    <w:rsid w:val="003A33D5"/>
    <w:rsid w:val="003A33DE"/>
    <w:rsid w:val="003A3410"/>
    <w:rsid w:val="003A34C3"/>
    <w:rsid w:val="003A3562"/>
    <w:rsid w:val="003A35D6"/>
    <w:rsid w:val="003A3637"/>
    <w:rsid w:val="003A3675"/>
    <w:rsid w:val="003A3690"/>
    <w:rsid w:val="003A372F"/>
    <w:rsid w:val="003A375A"/>
    <w:rsid w:val="003A37F4"/>
    <w:rsid w:val="003A3838"/>
    <w:rsid w:val="003A3866"/>
    <w:rsid w:val="003A3872"/>
    <w:rsid w:val="003A38F1"/>
    <w:rsid w:val="003A39DB"/>
    <w:rsid w:val="003A3A24"/>
    <w:rsid w:val="003A3A90"/>
    <w:rsid w:val="003A3B76"/>
    <w:rsid w:val="003A3B77"/>
    <w:rsid w:val="003A3B7B"/>
    <w:rsid w:val="003A3B7C"/>
    <w:rsid w:val="003A3BF9"/>
    <w:rsid w:val="003A3C3D"/>
    <w:rsid w:val="003A3C62"/>
    <w:rsid w:val="003A3CF0"/>
    <w:rsid w:val="003A3D23"/>
    <w:rsid w:val="003A3E27"/>
    <w:rsid w:val="003A3E95"/>
    <w:rsid w:val="003A3E9E"/>
    <w:rsid w:val="003A3EB7"/>
    <w:rsid w:val="003A3F87"/>
    <w:rsid w:val="003A3FA4"/>
    <w:rsid w:val="003A4011"/>
    <w:rsid w:val="003A402A"/>
    <w:rsid w:val="003A4032"/>
    <w:rsid w:val="003A40C0"/>
    <w:rsid w:val="003A40C4"/>
    <w:rsid w:val="003A410F"/>
    <w:rsid w:val="003A419A"/>
    <w:rsid w:val="003A41A9"/>
    <w:rsid w:val="003A41F8"/>
    <w:rsid w:val="003A41FD"/>
    <w:rsid w:val="003A4212"/>
    <w:rsid w:val="003A4274"/>
    <w:rsid w:val="003A42B6"/>
    <w:rsid w:val="003A42BB"/>
    <w:rsid w:val="003A430B"/>
    <w:rsid w:val="003A435C"/>
    <w:rsid w:val="003A439A"/>
    <w:rsid w:val="003A43A6"/>
    <w:rsid w:val="003A43B5"/>
    <w:rsid w:val="003A4479"/>
    <w:rsid w:val="003A4487"/>
    <w:rsid w:val="003A4554"/>
    <w:rsid w:val="003A45B6"/>
    <w:rsid w:val="003A46BD"/>
    <w:rsid w:val="003A4702"/>
    <w:rsid w:val="003A475D"/>
    <w:rsid w:val="003A47F3"/>
    <w:rsid w:val="003A4821"/>
    <w:rsid w:val="003A482D"/>
    <w:rsid w:val="003A492B"/>
    <w:rsid w:val="003A4951"/>
    <w:rsid w:val="003A49FD"/>
    <w:rsid w:val="003A4A1E"/>
    <w:rsid w:val="003A4A37"/>
    <w:rsid w:val="003A4C18"/>
    <w:rsid w:val="003A4C8F"/>
    <w:rsid w:val="003A4C9F"/>
    <w:rsid w:val="003A4CE9"/>
    <w:rsid w:val="003A4D49"/>
    <w:rsid w:val="003A4D52"/>
    <w:rsid w:val="003A4D72"/>
    <w:rsid w:val="003A4D83"/>
    <w:rsid w:val="003A4E47"/>
    <w:rsid w:val="003A500E"/>
    <w:rsid w:val="003A5027"/>
    <w:rsid w:val="003A5079"/>
    <w:rsid w:val="003A5188"/>
    <w:rsid w:val="003A51EA"/>
    <w:rsid w:val="003A5205"/>
    <w:rsid w:val="003A525D"/>
    <w:rsid w:val="003A5486"/>
    <w:rsid w:val="003A5498"/>
    <w:rsid w:val="003A54C7"/>
    <w:rsid w:val="003A553F"/>
    <w:rsid w:val="003A55DE"/>
    <w:rsid w:val="003A5626"/>
    <w:rsid w:val="003A567E"/>
    <w:rsid w:val="003A56CD"/>
    <w:rsid w:val="003A575E"/>
    <w:rsid w:val="003A57A2"/>
    <w:rsid w:val="003A57AB"/>
    <w:rsid w:val="003A57E0"/>
    <w:rsid w:val="003A5858"/>
    <w:rsid w:val="003A5866"/>
    <w:rsid w:val="003A58DA"/>
    <w:rsid w:val="003A58FF"/>
    <w:rsid w:val="003A5919"/>
    <w:rsid w:val="003A5963"/>
    <w:rsid w:val="003A5A57"/>
    <w:rsid w:val="003A5A78"/>
    <w:rsid w:val="003A5AB3"/>
    <w:rsid w:val="003A5AE3"/>
    <w:rsid w:val="003A5AF5"/>
    <w:rsid w:val="003A5B2B"/>
    <w:rsid w:val="003A5B31"/>
    <w:rsid w:val="003A5B36"/>
    <w:rsid w:val="003A5BC2"/>
    <w:rsid w:val="003A5C51"/>
    <w:rsid w:val="003A5C7F"/>
    <w:rsid w:val="003A5CEA"/>
    <w:rsid w:val="003A5CEF"/>
    <w:rsid w:val="003A5D56"/>
    <w:rsid w:val="003A5DD9"/>
    <w:rsid w:val="003A5E03"/>
    <w:rsid w:val="003A5E95"/>
    <w:rsid w:val="003A5F09"/>
    <w:rsid w:val="003A5F68"/>
    <w:rsid w:val="003A6054"/>
    <w:rsid w:val="003A6064"/>
    <w:rsid w:val="003A60C2"/>
    <w:rsid w:val="003A6192"/>
    <w:rsid w:val="003A61FA"/>
    <w:rsid w:val="003A6213"/>
    <w:rsid w:val="003A6218"/>
    <w:rsid w:val="003A624D"/>
    <w:rsid w:val="003A62B4"/>
    <w:rsid w:val="003A62F5"/>
    <w:rsid w:val="003A6418"/>
    <w:rsid w:val="003A657A"/>
    <w:rsid w:val="003A6636"/>
    <w:rsid w:val="003A6643"/>
    <w:rsid w:val="003A664E"/>
    <w:rsid w:val="003A666E"/>
    <w:rsid w:val="003A66DD"/>
    <w:rsid w:val="003A675A"/>
    <w:rsid w:val="003A6815"/>
    <w:rsid w:val="003A6868"/>
    <w:rsid w:val="003A6903"/>
    <w:rsid w:val="003A6926"/>
    <w:rsid w:val="003A6A47"/>
    <w:rsid w:val="003A6A51"/>
    <w:rsid w:val="003A6A52"/>
    <w:rsid w:val="003A6AC5"/>
    <w:rsid w:val="003A6BBB"/>
    <w:rsid w:val="003A6C8C"/>
    <w:rsid w:val="003A6D28"/>
    <w:rsid w:val="003A6D46"/>
    <w:rsid w:val="003A6DDD"/>
    <w:rsid w:val="003A6E1A"/>
    <w:rsid w:val="003A6E20"/>
    <w:rsid w:val="003A6E57"/>
    <w:rsid w:val="003A6E8F"/>
    <w:rsid w:val="003A6EC0"/>
    <w:rsid w:val="003A6F05"/>
    <w:rsid w:val="003A6FDA"/>
    <w:rsid w:val="003A7017"/>
    <w:rsid w:val="003A7035"/>
    <w:rsid w:val="003A70B2"/>
    <w:rsid w:val="003A70FB"/>
    <w:rsid w:val="003A714F"/>
    <w:rsid w:val="003A7154"/>
    <w:rsid w:val="003A7176"/>
    <w:rsid w:val="003A7282"/>
    <w:rsid w:val="003A72A0"/>
    <w:rsid w:val="003A72CB"/>
    <w:rsid w:val="003A72E2"/>
    <w:rsid w:val="003A737D"/>
    <w:rsid w:val="003A73B3"/>
    <w:rsid w:val="003A744F"/>
    <w:rsid w:val="003A74FB"/>
    <w:rsid w:val="003A7523"/>
    <w:rsid w:val="003A75EC"/>
    <w:rsid w:val="003A76E4"/>
    <w:rsid w:val="003A7702"/>
    <w:rsid w:val="003A7724"/>
    <w:rsid w:val="003A77E1"/>
    <w:rsid w:val="003A77E5"/>
    <w:rsid w:val="003A78FE"/>
    <w:rsid w:val="003A7A49"/>
    <w:rsid w:val="003A7AC3"/>
    <w:rsid w:val="003A7B24"/>
    <w:rsid w:val="003A7C84"/>
    <w:rsid w:val="003A7CE6"/>
    <w:rsid w:val="003A7D5B"/>
    <w:rsid w:val="003A7D5E"/>
    <w:rsid w:val="003A7D7C"/>
    <w:rsid w:val="003A7DAC"/>
    <w:rsid w:val="003A7DDF"/>
    <w:rsid w:val="003A7E2A"/>
    <w:rsid w:val="003A7E2F"/>
    <w:rsid w:val="003A7E42"/>
    <w:rsid w:val="003A7EF8"/>
    <w:rsid w:val="003A7F2E"/>
    <w:rsid w:val="003A7F69"/>
    <w:rsid w:val="003A7FCD"/>
    <w:rsid w:val="003A7FEE"/>
    <w:rsid w:val="003B0061"/>
    <w:rsid w:val="003B007B"/>
    <w:rsid w:val="003B0099"/>
    <w:rsid w:val="003B00C0"/>
    <w:rsid w:val="003B00FE"/>
    <w:rsid w:val="003B013F"/>
    <w:rsid w:val="003B017B"/>
    <w:rsid w:val="003B01B3"/>
    <w:rsid w:val="003B01CF"/>
    <w:rsid w:val="003B01E4"/>
    <w:rsid w:val="003B025B"/>
    <w:rsid w:val="003B02D9"/>
    <w:rsid w:val="003B02E0"/>
    <w:rsid w:val="003B03B7"/>
    <w:rsid w:val="003B03BC"/>
    <w:rsid w:val="003B045D"/>
    <w:rsid w:val="003B0478"/>
    <w:rsid w:val="003B0486"/>
    <w:rsid w:val="003B04DF"/>
    <w:rsid w:val="003B04F6"/>
    <w:rsid w:val="003B054E"/>
    <w:rsid w:val="003B05FD"/>
    <w:rsid w:val="003B068C"/>
    <w:rsid w:val="003B06A7"/>
    <w:rsid w:val="003B06AC"/>
    <w:rsid w:val="003B0787"/>
    <w:rsid w:val="003B07AC"/>
    <w:rsid w:val="003B07C6"/>
    <w:rsid w:val="003B083D"/>
    <w:rsid w:val="003B08F2"/>
    <w:rsid w:val="003B095B"/>
    <w:rsid w:val="003B095C"/>
    <w:rsid w:val="003B096B"/>
    <w:rsid w:val="003B0983"/>
    <w:rsid w:val="003B0A1A"/>
    <w:rsid w:val="003B0A39"/>
    <w:rsid w:val="003B0AA8"/>
    <w:rsid w:val="003B0B37"/>
    <w:rsid w:val="003B0B6F"/>
    <w:rsid w:val="003B0BC5"/>
    <w:rsid w:val="003B0CFB"/>
    <w:rsid w:val="003B0D3A"/>
    <w:rsid w:val="003B0D42"/>
    <w:rsid w:val="003B0D45"/>
    <w:rsid w:val="003B0D6D"/>
    <w:rsid w:val="003B0E5E"/>
    <w:rsid w:val="003B0E91"/>
    <w:rsid w:val="003B0F49"/>
    <w:rsid w:val="003B0FBD"/>
    <w:rsid w:val="003B0FCF"/>
    <w:rsid w:val="003B0FD5"/>
    <w:rsid w:val="003B100E"/>
    <w:rsid w:val="003B1038"/>
    <w:rsid w:val="003B10CE"/>
    <w:rsid w:val="003B10E9"/>
    <w:rsid w:val="003B129A"/>
    <w:rsid w:val="003B12A8"/>
    <w:rsid w:val="003B1322"/>
    <w:rsid w:val="003B13A5"/>
    <w:rsid w:val="003B13D0"/>
    <w:rsid w:val="003B1402"/>
    <w:rsid w:val="003B1412"/>
    <w:rsid w:val="003B1413"/>
    <w:rsid w:val="003B1487"/>
    <w:rsid w:val="003B14B3"/>
    <w:rsid w:val="003B14B5"/>
    <w:rsid w:val="003B15C1"/>
    <w:rsid w:val="003B15CF"/>
    <w:rsid w:val="003B16B7"/>
    <w:rsid w:val="003B16C7"/>
    <w:rsid w:val="003B1712"/>
    <w:rsid w:val="003B172D"/>
    <w:rsid w:val="003B1755"/>
    <w:rsid w:val="003B1757"/>
    <w:rsid w:val="003B17BA"/>
    <w:rsid w:val="003B17D8"/>
    <w:rsid w:val="003B1809"/>
    <w:rsid w:val="003B1834"/>
    <w:rsid w:val="003B1844"/>
    <w:rsid w:val="003B1913"/>
    <w:rsid w:val="003B195A"/>
    <w:rsid w:val="003B19F7"/>
    <w:rsid w:val="003B1A9D"/>
    <w:rsid w:val="003B1B64"/>
    <w:rsid w:val="003B1C3C"/>
    <w:rsid w:val="003B1C66"/>
    <w:rsid w:val="003B1CB1"/>
    <w:rsid w:val="003B1CBE"/>
    <w:rsid w:val="003B1CC3"/>
    <w:rsid w:val="003B1D59"/>
    <w:rsid w:val="003B1D70"/>
    <w:rsid w:val="003B1D8D"/>
    <w:rsid w:val="003B1DC6"/>
    <w:rsid w:val="003B1EF5"/>
    <w:rsid w:val="003B1F35"/>
    <w:rsid w:val="003B1F40"/>
    <w:rsid w:val="003B20F0"/>
    <w:rsid w:val="003B2112"/>
    <w:rsid w:val="003B214C"/>
    <w:rsid w:val="003B2172"/>
    <w:rsid w:val="003B22B2"/>
    <w:rsid w:val="003B22B8"/>
    <w:rsid w:val="003B2311"/>
    <w:rsid w:val="003B231A"/>
    <w:rsid w:val="003B237A"/>
    <w:rsid w:val="003B23D4"/>
    <w:rsid w:val="003B23ED"/>
    <w:rsid w:val="003B2411"/>
    <w:rsid w:val="003B2481"/>
    <w:rsid w:val="003B24CF"/>
    <w:rsid w:val="003B24E8"/>
    <w:rsid w:val="003B250F"/>
    <w:rsid w:val="003B25D6"/>
    <w:rsid w:val="003B2645"/>
    <w:rsid w:val="003B266D"/>
    <w:rsid w:val="003B27D2"/>
    <w:rsid w:val="003B28FB"/>
    <w:rsid w:val="003B2969"/>
    <w:rsid w:val="003B29D9"/>
    <w:rsid w:val="003B29F8"/>
    <w:rsid w:val="003B2A3A"/>
    <w:rsid w:val="003B2B11"/>
    <w:rsid w:val="003B2B79"/>
    <w:rsid w:val="003B2B93"/>
    <w:rsid w:val="003B2BFD"/>
    <w:rsid w:val="003B2C35"/>
    <w:rsid w:val="003B2C37"/>
    <w:rsid w:val="003B2D54"/>
    <w:rsid w:val="003B2D7D"/>
    <w:rsid w:val="003B2DC1"/>
    <w:rsid w:val="003B2E76"/>
    <w:rsid w:val="003B2F23"/>
    <w:rsid w:val="003B2F8D"/>
    <w:rsid w:val="003B2FC4"/>
    <w:rsid w:val="003B2FE7"/>
    <w:rsid w:val="003B30E7"/>
    <w:rsid w:val="003B3109"/>
    <w:rsid w:val="003B315A"/>
    <w:rsid w:val="003B3177"/>
    <w:rsid w:val="003B31C3"/>
    <w:rsid w:val="003B31D3"/>
    <w:rsid w:val="003B31E3"/>
    <w:rsid w:val="003B33B3"/>
    <w:rsid w:val="003B33E6"/>
    <w:rsid w:val="003B34A2"/>
    <w:rsid w:val="003B354C"/>
    <w:rsid w:val="003B3566"/>
    <w:rsid w:val="003B3570"/>
    <w:rsid w:val="003B3580"/>
    <w:rsid w:val="003B365A"/>
    <w:rsid w:val="003B37A9"/>
    <w:rsid w:val="003B37DD"/>
    <w:rsid w:val="003B3833"/>
    <w:rsid w:val="003B387E"/>
    <w:rsid w:val="003B3893"/>
    <w:rsid w:val="003B3916"/>
    <w:rsid w:val="003B396D"/>
    <w:rsid w:val="003B3A00"/>
    <w:rsid w:val="003B3A56"/>
    <w:rsid w:val="003B3A65"/>
    <w:rsid w:val="003B3AFC"/>
    <w:rsid w:val="003B3CD7"/>
    <w:rsid w:val="003B3CDB"/>
    <w:rsid w:val="003B3CEE"/>
    <w:rsid w:val="003B3CF4"/>
    <w:rsid w:val="003B3D4B"/>
    <w:rsid w:val="003B3D8E"/>
    <w:rsid w:val="003B3EB9"/>
    <w:rsid w:val="003B3F6D"/>
    <w:rsid w:val="003B3FFA"/>
    <w:rsid w:val="003B4044"/>
    <w:rsid w:val="003B404B"/>
    <w:rsid w:val="003B4059"/>
    <w:rsid w:val="003B40A0"/>
    <w:rsid w:val="003B4137"/>
    <w:rsid w:val="003B4177"/>
    <w:rsid w:val="003B41A9"/>
    <w:rsid w:val="003B41D6"/>
    <w:rsid w:val="003B4213"/>
    <w:rsid w:val="003B423A"/>
    <w:rsid w:val="003B4244"/>
    <w:rsid w:val="003B4245"/>
    <w:rsid w:val="003B4276"/>
    <w:rsid w:val="003B4291"/>
    <w:rsid w:val="003B42B9"/>
    <w:rsid w:val="003B42CA"/>
    <w:rsid w:val="003B42DC"/>
    <w:rsid w:val="003B4333"/>
    <w:rsid w:val="003B43D9"/>
    <w:rsid w:val="003B43F9"/>
    <w:rsid w:val="003B444A"/>
    <w:rsid w:val="003B444E"/>
    <w:rsid w:val="003B4486"/>
    <w:rsid w:val="003B4590"/>
    <w:rsid w:val="003B45BB"/>
    <w:rsid w:val="003B4684"/>
    <w:rsid w:val="003B46B9"/>
    <w:rsid w:val="003B46E6"/>
    <w:rsid w:val="003B46F9"/>
    <w:rsid w:val="003B4706"/>
    <w:rsid w:val="003B47B4"/>
    <w:rsid w:val="003B47BD"/>
    <w:rsid w:val="003B4801"/>
    <w:rsid w:val="003B486B"/>
    <w:rsid w:val="003B4907"/>
    <w:rsid w:val="003B4971"/>
    <w:rsid w:val="003B4986"/>
    <w:rsid w:val="003B4AA3"/>
    <w:rsid w:val="003B4B12"/>
    <w:rsid w:val="003B4B37"/>
    <w:rsid w:val="003B4B39"/>
    <w:rsid w:val="003B4B8A"/>
    <w:rsid w:val="003B4B8B"/>
    <w:rsid w:val="003B4BB2"/>
    <w:rsid w:val="003B4BB7"/>
    <w:rsid w:val="003B4BFB"/>
    <w:rsid w:val="003B4C28"/>
    <w:rsid w:val="003B4C5B"/>
    <w:rsid w:val="003B4C94"/>
    <w:rsid w:val="003B4C9A"/>
    <w:rsid w:val="003B4D59"/>
    <w:rsid w:val="003B4D9C"/>
    <w:rsid w:val="003B4DAD"/>
    <w:rsid w:val="003B4DCF"/>
    <w:rsid w:val="003B4DE9"/>
    <w:rsid w:val="003B4EAB"/>
    <w:rsid w:val="003B4ED9"/>
    <w:rsid w:val="003B4EFF"/>
    <w:rsid w:val="003B4F64"/>
    <w:rsid w:val="003B4F66"/>
    <w:rsid w:val="003B4FB8"/>
    <w:rsid w:val="003B502C"/>
    <w:rsid w:val="003B5085"/>
    <w:rsid w:val="003B50FF"/>
    <w:rsid w:val="003B514B"/>
    <w:rsid w:val="003B5189"/>
    <w:rsid w:val="003B51E7"/>
    <w:rsid w:val="003B520B"/>
    <w:rsid w:val="003B525B"/>
    <w:rsid w:val="003B526B"/>
    <w:rsid w:val="003B52DF"/>
    <w:rsid w:val="003B52F8"/>
    <w:rsid w:val="003B5321"/>
    <w:rsid w:val="003B53AC"/>
    <w:rsid w:val="003B53B4"/>
    <w:rsid w:val="003B53E7"/>
    <w:rsid w:val="003B5409"/>
    <w:rsid w:val="003B5410"/>
    <w:rsid w:val="003B5490"/>
    <w:rsid w:val="003B56D8"/>
    <w:rsid w:val="003B57AA"/>
    <w:rsid w:val="003B57BA"/>
    <w:rsid w:val="003B57CF"/>
    <w:rsid w:val="003B5820"/>
    <w:rsid w:val="003B58E2"/>
    <w:rsid w:val="003B5915"/>
    <w:rsid w:val="003B593D"/>
    <w:rsid w:val="003B5942"/>
    <w:rsid w:val="003B5944"/>
    <w:rsid w:val="003B5987"/>
    <w:rsid w:val="003B59C2"/>
    <w:rsid w:val="003B59CA"/>
    <w:rsid w:val="003B59FB"/>
    <w:rsid w:val="003B5A09"/>
    <w:rsid w:val="003B5A1D"/>
    <w:rsid w:val="003B5A32"/>
    <w:rsid w:val="003B5A41"/>
    <w:rsid w:val="003B5AA3"/>
    <w:rsid w:val="003B5AA4"/>
    <w:rsid w:val="003B5AAC"/>
    <w:rsid w:val="003B5B16"/>
    <w:rsid w:val="003B5BB4"/>
    <w:rsid w:val="003B5BBA"/>
    <w:rsid w:val="003B5BE7"/>
    <w:rsid w:val="003B5C21"/>
    <w:rsid w:val="003B5C2B"/>
    <w:rsid w:val="003B5C65"/>
    <w:rsid w:val="003B5C74"/>
    <w:rsid w:val="003B5CB0"/>
    <w:rsid w:val="003B5D4B"/>
    <w:rsid w:val="003B5D83"/>
    <w:rsid w:val="003B5DAD"/>
    <w:rsid w:val="003B5DBA"/>
    <w:rsid w:val="003B5EC3"/>
    <w:rsid w:val="003B5EF6"/>
    <w:rsid w:val="003B5FD3"/>
    <w:rsid w:val="003B5FE5"/>
    <w:rsid w:val="003B6058"/>
    <w:rsid w:val="003B60B2"/>
    <w:rsid w:val="003B60CC"/>
    <w:rsid w:val="003B6158"/>
    <w:rsid w:val="003B6195"/>
    <w:rsid w:val="003B61A9"/>
    <w:rsid w:val="003B6240"/>
    <w:rsid w:val="003B627A"/>
    <w:rsid w:val="003B6283"/>
    <w:rsid w:val="003B6330"/>
    <w:rsid w:val="003B633E"/>
    <w:rsid w:val="003B6352"/>
    <w:rsid w:val="003B63FE"/>
    <w:rsid w:val="003B64C4"/>
    <w:rsid w:val="003B64CA"/>
    <w:rsid w:val="003B6534"/>
    <w:rsid w:val="003B6538"/>
    <w:rsid w:val="003B659E"/>
    <w:rsid w:val="003B65D8"/>
    <w:rsid w:val="003B6614"/>
    <w:rsid w:val="003B669F"/>
    <w:rsid w:val="003B66AF"/>
    <w:rsid w:val="003B66C5"/>
    <w:rsid w:val="003B66F1"/>
    <w:rsid w:val="003B6845"/>
    <w:rsid w:val="003B686F"/>
    <w:rsid w:val="003B68D4"/>
    <w:rsid w:val="003B6913"/>
    <w:rsid w:val="003B693B"/>
    <w:rsid w:val="003B6951"/>
    <w:rsid w:val="003B6958"/>
    <w:rsid w:val="003B696C"/>
    <w:rsid w:val="003B6971"/>
    <w:rsid w:val="003B69CB"/>
    <w:rsid w:val="003B6A32"/>
    <w:rsid w:val="003B6A89"/>
    <w:rsid w:val="003B6AB0"/>
    <w:rsid w:val="003B6AB4"/>
    <w:rsid w:val="003B6B0B"/>
    <w:rsid w:val="003B6B13"/>
    <w:rsid w:val="003B6B5A"/>
    <w:rsid w:val="003B6BB1"/>
    <w:rsid w:val="003B6C15"/>
    <w:rsid w:val="003B6C46"/>
    <w:rsid w:val="003B6C76"/>
    <w:rsid w:val="003B6CB9"/>
    <w:rsid w:val="003B6D0F"/>
    <w:rsid w:val="003B6F0E"/>
    <w:rsid w:val="003B6FB0"/>
    <w:rsid w:val="003B6FB3"/>
    <w:rsid w:val="003B6FCA"/>
    <w:rsid w:val="003B6FE5"/>
    <w:rsid w:val="003B707D"/>
    <w:rsid w:val="003B70FB"/>
    <w:rsid w:val="003B7140"/>
    <w:rsid w:val="003B71E3"/>
    <w:rsid w:val="003B7201"/>
    <w:rsid w:val="003B72DB"/>
    <w:rsid w:val="003B7360"/>
    <w:rsid w:val="003B73B3"/>
    <w:rsid w:val="003B7403"/>
    <w:rsid w:val="003B745C"/>
    <w:rsid w:val="003B74FF"/>
    <w:rsid w:val="003B7574"/>
    <w:rsid w:val="003B7586"/>
    <w:rsid w:val="003B7590"/>
    <w:rsid w:val="003B759F"/>
    <w:rsid w:val="003B75DC"/>
    <w:rsid w:val="003B7635"/>
    <w:rsid w:val="003B7688"/>
    <w:rsid w:val="003B768E"/>
    <w:rsid w:val="003B76D4"/>
    <w:rsid w:val="003B76E8"/>
    <w:rsid w:val="003B7725"/>
    <w:rsid w:val="003B7763"/>
    <w:rsid w:val="003B77E9"/>
    <w:rsid w:val="003B7808"/>
    <w:rsid w:val="003B7832"/>
    <w:rsid w:val="003B78D5"/>
    <w:rsid w:val="003B7917"/>
    <w:rsid w:val="003B7943"/>
    <w:rsid w:val="003B7977"/>
    <w:rsid w:val="003B7A39"/>
    <w:rsid w:val="003B7A71"/>
    <w:rsid w:val="003B7A75"/>
    <w:rsid w:val="003B7B42"/>
    <w:rsid w:val="003B7BB8"/>
    <w:rsid w:val="003B7CC7"/>
    <w:rsid w:val="003B7D7F"/>
    <w:rsid w:val="003B7DE5"/>
    <w:rsid w:val="003B7E85"/>
    <w:rsid w:val="003B7EB5"/>
    <w:rsid w:val="003B7EC5"/>
    <w:rsid w:val="003C0004"/>
    <w:rsid w:val="003C000E"/>
    <w:rsid w:val="003C006C"/>
    <w:rsid w:val="003C0123"/>
    <w:rsid w:val="003C0136"/>
    <w:rsid w:val="003C0177"/>
    <w:rsid w:val="003C01D6"/>
    <w:rsid w:val="003C01DE"/>
    <w:rsid w:val="003C01E6"/>
    <w:rsid w:val="003C0200"/>
    <w:rsid w:val="003C0315"/>
    <w:rsid w:val="003C031F"/>
    <w:rsid w:val="003C038F"/>
    <w:rsid w:val="003C04DE"/>
    <w:rsid w:val="003C0545"/>
    <w:rsid w:val="003C05BF"/>
    <w:rsid w:val="003C05F4"/>
    <w:rsid w:val="003C05FD"/>
    <w:rsid w:val="003C06F2"/>
    <w:rsid w:val="003C070D"/>
    <w:rsid w:val="003C073C"/>
    <w:rsid w:val="003C073E"/>
    <w:rsid w:val="003C075F"/>
    <w:rsid w:val="003C077C"/>
    <w:rsid w:val="003C079A"/>
    <w:rsid w:val="003C07B2"/>
    <w:rsid w:val="003C0803"/>
    <w:rsid w:val="003C0819"/>
    <w:rsid w:val="003C0832"/>
    <w:rsid w:val="003C087C"/>
    <w:rsid w:val="003C0886"/>
    <w:rsid w:val="003C089A"/>
    <w:rsid w:val="003C08CC"/>
    <w:rsid w:val="003C09A9"/>
    <w:rsid w:val="003C09B4"/>
    <w:rsid w:val="003C0A6C"/>
    <w:rsid w:val="003C0A7C"/>
    <w:rsid w:val="003C0AC5"/>
    <w:rsid w:val="003C0B90"/>
    <w:rsid w:val="003C0CA6"/>
    <w:rsid w:val="003C0E94"/>
    <w:rsid w:val="003C0EE7"/>
    <w:rsid w:val="003C0EF4"/>
    <w:rsid w:val="003C0F4E"/>
    <w:rsid w:val="003C0F72"/>
    <w:rsid w:val="003C100A"/>
    <w:rsid w:val="003C104F"/>
    <w:rsid w:val="003C105A"/>
    <w:rsid w:val="003C10F5"/>
    <w:rsid w:val="003C1194"/>
    <w:rsid w:val="003C129C"/>
    <w:rsid w:val="003C1301"/>
    <w:rsid w:val="003C1313"/>
    <w:rsid w:val="003C1354"/>
    <w:rsid w:val="003C1375"/>
    <w:rsid w:val="003C13F1"/>
    <w:rsid w:val="003C13F8"/>
    <w:rsid w:val="003C1483"/>
    <w:rsid w:val="003C14DF"/>
    <w:rsid w:val="003C1509"/>
    <w:rsid w:val="003C15C5"/>
    <w:rsid w:val="003C16A0"/>
    <w:rsid w:val="003C16AE"/>
    <w:rsid w:val="003C171C"/>
    <w:rsid w:val="003C1729"/>
    <w:rsid w:val="003C1785"/>
    <w:rsid w:val="003C17AB"/>
    <w:rsid w:val="003C17AF"/>
    <w:rsid w:val="003C1808"/>
    <w:rsid w:val="003C1823"/>
    <w:rsid w:val="003C18B6"/>
    <w:rsid w:val="003C18BE"/>
    <w:rsid w:val="003C18E1"/>
    <w:rsid w:val="003C193D"/>
    <w:rsid w:val="003C196B"/>
    <w:rsid w:val="003C197D"/>
    <w:rsid w:val="003C1A9F"/>
    <w:rsid w:val="003C1AC0"/>
    <w:rsid w:val="003C1AC1"/>
    <w:rsid w:val="003C1B57"/>
    <w:rsid w:val="003C1C2C"/>
    <w:rsid w:val="003C1C3F"/>
    <w:rsid w:val="003C1C70"/>
    <w:rsid w:val="003C1D05"/>
    <w:rsid w:val="003C1D2C"/>
    <w:rsid w:val="003C1D98"/>
    <w:rsid w:val="003C1D9E"/>
    <w:rsid w:val="003C1E47"/>
    <w:rsid w:val="003C1E73"/>
    <w:rsid w:val="003C1EB4"/>
    <w:rsid w:val="003C1F17"/>
    <w:rsid w:val="003C2010"/>
    <w:rsid w:val="003C209E"/>
    <w:rsid w:val="003C2113"/>
    <w:rsid w:val="003C214F"/>
    <w:rsid w:val="003C21EB"/>
    <w:rsid w:val="003C2209"/>
    <w:rsid w:val="003C222E"/>
    <w:rsid w:val="003C2269"/>
    <w:rsid w:val="003C2312"/>
    <w:rsid w:val="003C2321"/>
    <w:rsid w:val="003C2329"/>
    <w:rsid w:val="003C2332"/>
    <w:rsid w:val="003C23A7"/>
    <w:rsid w:val="003C243F"/>
    <w:rsid w:val="003C247B"/>
    <w:rsid w:val="003C24B4"/>
    <w:rsid w:val="003C24DD"/>
    <w:rsid w:val="003C252D"/>
    <w:rsid w:val="003C2541"/>
    <w:rsid w:val="003C2599"/>
    <w:rsid w:val="003C271E"/>
    <w:rsid w:val="003C281A"/>
    <w:rsid w:val="003C281D"/>
    <w:rsid w:val="003C28A4"/>
    <w:rsid w:val="003C28C4"/>
    <w:rsid w:val="003C28C9"/>
    <w:rsid w:val="003C28EB"/>
    <w:rsid w:val="003C2905"/>
    <w:rsid w:val="003C2945"/>
    <w:rsid w:val="003C299B"/>
    <w:rsid w:val="003C29A8"/>
    <w:rsid w:val="003C29D2"/>
    <w:rsid w:val="003C29F2"/>
    <w:rsid w:val="003C2A54"/>
    <w:rsid w:val="003C2AC7"/>
    <w:rsid w:val="003C2BCB"/>
    <w:rsid w:val="003C2BE3"/>
    <w:rsid w:val="003C2BF0"/>
    <w:rsid w:val="003C2C27"/>
    <w:rsid w:val="003C2C60"/>
    <w:rsid w:val="003C2C9A"/>
    <w:rsid w:val="003C2DC8"/>
    <w:rsid w:val="003C2E62"/>
    <w:rsid w:val="003C2E9E"/>
    <w:rsid w:val="003C2F07"/>
    <w:rsid w:val="003C2F20"/>
    <w:rsid w:val="003C2F77"/>
    <w:rsid w:val="003C2FD2"/>
    <w:rsid w:val="003C300B"/>
    <w:rsid w:val="003C3077"/>
    <w:rsid w:val="003C3086"/>
    <w:rsid w:val="003C309F"/>
    <w:rsid w:val="003C30B2"/>
    <w:rsid w:val="003C30FD"/>
    <w:rsid w:val="003C310D"/>
    <w:rsid w:val="003C311F"/>
    <w:rsid w:val="003C31CD"/>
    <w:rsid w:val="003C31D5"/>
    <w:rsid w:val="003C31E3"/>
    <w:rsid w:val="003C320E"/>
    <w:rsid w:val="003C327F"/>
    <w:rsid w:val="003C32A4"/>
    <w:rsid w:val="003C32DE"/>
    <w:rsid w:val="003C334C"/>
    <w:rsid w:val="003C3372"/>
    <w:rsid w:val="003C33C2"/>
    <w:rsid w:val="003C345A"/>
    <w:rsid w:val="003C3463"/>
    <w:rsid w:val="003C34A4"/>
    <w:rsid w:val="003C34D7"/>
    <w:rsid w:val="003C34DE"/>
    <w:rsid w:val="003C351B"/>
    <w:rsid w:val="003C35C8"/>
    <w:rsid w:val="003C3627"/>
    <w:rsid w:val="003C364D"/>
    <w:rsid w:val="003C3694"/>
    <w:rsid w:val="003C373B"/>
    <w:rsid w:val="003C37A1"/>
    <w:rsid w:val="003C37F5"/>
    <w:rsid w:val="003C3870"/>
    <w:rsid w:val="003C38A2"/>
    <w:rsid w:val="003C38C6"/>
    <w:rsid w:val="003C3946"/>
    <w:rsid w:val="003C3A85"/>
    <w:rsid w:val="003C3A9D"/>
    <w:rsid w:val="003C3ABA"/>
    <w:rsid w:val="003C3AC4"/>
    <w:rsid w:val="003C3ACD"/>
    <w:rsid w:val="003C3ADD"/>
    <w:rsid w:val="003C3BA0"/>
    <w:rsid w:val="003C3CC5"/>
    <w:rsid w:val="003C3CEF"/>
    <w:rsid w:val="003C3D2B"/>
    <w:rsid w:val="003C3DD3"/>
    <w:rsid w:val="003C3E3B"/>
    <w:rsid w:val="003C3EE2"/>
    <w:rsid w:val="003C3EE3"/>
    <w:rsid w:val="003C3F05"/>
    <w:rsid w:val="003C3F2A"/>
    <w:rsid w:val="003C3F2D"/>
    <w:rsid w:val="003C3F31"/>
    <w:rsid w:val="003C3F65"/>
    <w:rsid w:val="003C3FA4"/>
    <w:rsid w:val="003C406F"/>
    <w:rsid w:val="003C4093"/>
    <w:rsid w:val="003C4107"/>
    <w:rsid w:val="003C4118"/>
    <w:rsid w:val="003C4135"/>
    <w:rsid w:val="003C4238"/>
    <w:rsid w:val="003C424F"/>
    <w:rsid w:val="003C432B"/>
    <w:rsid w:val="003C43D7"/>
    <w:rsid w:val="003C43E0"/>
    <w:rsid w:val="003C44E6"/>
    <w:rsid w:val="003C4510"/>
    <w:rsid w:val="003C4531"/>
    <w:rsid w:val="003C46C8"/>
    <w:rsid w:val="003C4789"/>
    <w:rsid w:val="003C47D0"/>
    <w:rsid w:val="003C47E4"/>
    <w:rsid w:val="003C484C"/>
    <w:rsid w:val="003C4873"/>
    <w:rsid w:val="003C4880"/>
    <w:rsid w:val="003C498E"/>
    <w:rsid w:val="003C49D6"/>
    <w:rsid w:val="003C49F8"/>
    <w:rsid w:val="003C49FA"/>
    <w:rsid w:val="003C4A7F"/>
    <w:rsid w:val="003C4AF1"/>
    <w:rsid w:val="003C4B24"/>
    <w:rsid w:val="003C4B57"/>
    <w:rsid w:val="003C4C5C"/>
    <w:rsid w:val="003C4C67"/>
    <w:rsid w:val="003C4D08"/>
    <w:rsid w:val="003C4DAE"/>
    <w:rsid w:val="003C4DFE"/>
    <w:rsid w:val="003C4E9E"/>
    <w:rsid w:val="003C4F3B"/>
    <w:rsid w:val="003C4FC0"/>
    <w:rsid w:val="003C4FE5"/>
    <w:rsid w:val="003C5036"/>
    <w:rsid w:val="003C503B"/>
    <w:rsid w:val="003C5048"/>
    <w:rsid w:val="003C5095"/>
    <w:rsid w:val="003C5096"/>
    <w:rsid w:val="003C514E"/>
    <w:rsid w:val="003C5230"/>
    <w:rsid w:val="003C5232"/>
    <w:rsid w:val="003C5241"/>
    <w:rsid w:val="003C52B6"/>
    <w:rsid w:val="003C5315"/>
    <w:rsid w:val="003C5342"/>
    <w:rsid w:val="003C5384"/>
    <w:rsid w:val="003C53D0"/>
    <w:rsid w:val="003C53E5"/>
    <w:rsid w:val="003C53EC"/>
    <w:rsid w:val="003C5486"/>
    <w:rsid w:val="003C54D5"/>
    <w:rsid w:val="003C54D7"/>
    <w:rsid w:val="003C556F"/>
    <w:rsid w:val="003C5584"/>
    <w:rsid w:val="003C56C0"/>
    <w:rsid w:val="003C56F0"/>
    <w:rsid w:val="003C575A"/>
    <w:rsid w:val="003C57AF"/>
    <w:rsid w:val="003C57F9"/>
    <w:rsid w:val="003C592C"/>
    <w:rsid w:val="003C5936"/>
    <w:rsid w:val="003C59C1"/>
    <w:rsid w:val="003C59E0"/>
    <w:rsid w:val="003C59FD"/>
    <w:rsid w:val="003C5A01"/>
    <w:rsid w:val="003C5A0F"/>
    <w:rsid w:val="003C5A1F"/>
    <w:rsid w:val="003C5B07"/>
    <w:rsid w:val="003C5B9F"/>
    <w:rsid w:val="003C5C04"/>
    <w:rsid w:val="003C5C7D"/>
    <w:rsid w:val="003C5D1A"/>
    <w:rsid w:val="003C5DB9"/>
    <w:rsid w:val="003C5DBC"/>
    <w:rsid w:val="003C5E39"/>
    <w:rsid w:val="003C5EF0"/>
    <w:rsid w:val="003C615F"/>
    <w:rsid w:val="003C6161"/>
    <w:rsid w:val="003C616F"/>
    <w:rsid w:val="003C618B"/>
    <w:rsid w:val="003C619F"/>
    <w:rsid w:val="003C61D4"/>
    <w:rsid w:val="003C61DB"/>
    <w:rsid w:val="003C626F"/>
    <w:rsid w:val="003C6282"/>
    <w:rsid w:val="003C628A"/>
    <w:rsid w:val="003C6308"/>
    <w:rsid w:val="003C6349"/>
    <w:rsid w:val="003C6375"/>
    <w:rsid w:val="003C637C"/>
    <w:rsid w:val="003C6443"/>
    <w:rsid w:val="003C64EE"/>
    <w:rsid w:val="003C6526"/>
    <w:rsid w:val="003C656F"/>
    <w:rsid w:val="003C65BF"/>
    <w:rsid w:val="003C6666"/>
    <w:rsid w:val="003C666C"/>
    <w:rsid w:val="003C67F5"/>
    <w:rsid w:val="003C6804"/>
    <w:rsid w:val="003C68CF"/>
    <w:rsid w:val="003C6952"/>
    <w:rsid w:val="003C6987"/>
    <w:rsid w:val="003C69B6"/>
    <w:rsid w:val="003C6A19"/>
    <w:rsid w:val="003C6A98"/>
    <w:rsid w:val="003C6B12"/>
    <w:rsid w:val="003C6B43"/>
    <w:rsid w:val="003C6B75"/>
    <w:rsid w:val="003C6BA7"/>
    <w:rsid w:val="003C6BAE"/>
    <w:rsid w:val="003C6CB6"/>
    <w:rsid w:val="003C6CD1"/>
    <w:rsid w:val="003C6CE1"/>
    <w:rsid w:val="003C6CE7"/>
    <w:rsid w:val="003C6D40"/>
    <w:rsid w:val="003C6D42"/>
    <w:rsid w:val="003C6E5B"/>
    <w:rsid w:val="003C6E6C"/>
    <w:rsid w:val="003C6FC4"/>
    <w:rsid w:val="003C700A"/>
    <w:rsid w:val="003C706F"/>
    <w:rsid w:val="003C7072"/>
    <w:rsid w:val="003C7073"/>
    <w:rsid w:val="003C71A9"/>
    <w:rsid w:val="003C71AB"/>
    <w:rsid w:val="003C729C"/>
    <w:rsid w:val="003C73C5"/>
    <w:rsid w:val="003C741A"/>
    <w:rsid w:val="003C747D"/>
    <w:rsid w:val="003C7518"/>
    <w:rsid w:val="003C753A"/>
    <w:rsid w:val="003C758D"/>
    <w:rsid w:val="003C768A"/>
    <w:rsid w:val="003C76E2"/>
    <w:rsid w:val="003C7706"/>
    <w:rsid w:val="003C774C"/>
    <w:rsid w:val="003C777B"/>
    <w:rsid w:val="003C77B8"/>
    <w:rsid w:val="003C782C"/>
    <w:rsid w:val="003C788D"/>
    <w:rsid w:val="003C7922"/>
    <w:rsid w:val="003C79F8"/>
    <w:rsid w:val="003C7A44"/>
    <w:rsid w:val="003C7AD3"/>
    <w:rsid w:val="003C7AD4"/>
    <w:rsid w:val="003C7AF8"/>
    <w:rsid w:val="003C7AFE"/>
    <w:rsid w:val="003C7D03"/>
    <w:rsid w:val="003C7D44"/>
    <w:rsid w:val="003C7DF2"/>
    <w:rsid w:val="003C7E89"/>
    <w:rsid w:val="003C7E98"/>
    <w:rsid w:val="003C7EBB"/>
    <w:rsid w:val="003C7ED0"/>
    <w:rsid w:val="003C7F03"/>
    <w:rsid w:val="003C7F25"/>
    <w:rsid w:val="003C7F48"/>
    <w:rsid w:val="003C7F92"/>
    <w:rsid w:val="003C7FD2"/>
    <w:rsid w:val="003C7FF8"/>
    <w:rsid w:val="003D0006"/>
    <w:rsid w:val="003D0077"/>
    <w:rsid w:val="003D0106"/>
    <w:rsid w:val="003D018E"/>
    <w:rsid w:val="003D01F8"/>
    <w:rsid w:val="003D0266"/>
    <w:rsid w:val="003D0270"/>
    <w:rsid w:val="003D02B1"/>
    <w:rsid w:val="003D03E8"/>
    <w:rsid w:val="003D04A7"/>
    <w:rsid w:val="003D05DC"/>
    <w:rsid w:val="003D0602"/>
    <w:rsid w:val="003D0612"/>
    <w:rsid w:val="003D0642"/>
    <w:rsid w:val="003D065F"/>
    <w:rsid w:val="003D0696"/>
    <w:rsid w:val="003D069E"/>
    <w:rsid w:val="003D0703"/>
    <w:rsid w:val="003D072A"/>
    <w:rsid w:val="003D076D"/>
    <w:rsid w:val="003D07B6"/>
    <w:rsid w:val="003D07D3"/>
    <w:rsid w:val="003D07D5"/>
    <w:rsid w:val="003D088B"/>
    <w:rsid w:val="003D092F"/>
    <w:rsid w:val="003D094C"/>
    <w:rsid w:val="003D0965"/>
    <w:rsid w:val="003D09DE"/>
    <w:rsid w:val="003D0A21"/>
    <w:rsid w:val="003D0A3C"/>
    <w:rsid w:val="003D0A9A"/>
    <w:rsid w:val="003D0B10"/>
    <w:rsid w:val="003D0B13"/>
    <w:rsid w:val="003D0C83"/>
    <w:rsid w:val="003D0C9C"/>
    <w:rsid w:val="003D0CDC"/>
    <w:rsid w:val="003D0D0D"/>
    <w:rsid w:val="003D0D30"/>
    <w:rsid w:val="003D0D39"/>
    <w:rsid w:val="003D0DA9"/>
    <w:rsid w:val="003D0DCF"/>
    <w:rsid w:val="003D0E48"/>
    <w:rsid w:val="003D0E4F"/>
    <w:rsid w:val="003D0F06"/>
    <w:rsid w:val="003D0F18"/>
    <w:rsid w:val="003D0F62"/>
    <w:rsid w:val="003D0FA4"/>
    <w:rsid w:val="003D0FAA"/>
    <w:rsid w:val="003D1046"/>
    <w:rsid w:val="003D10B2"/>
    <w:rsid w:val="003D1133"/>
    <w:rsid w:val="003D1158"/>
    <w:rsid w:val="003D11AA"/>
    <w:rsid w:val="003D11DC"/>
    <w:rsid w:val="003D11DD"/>
    <w:rsid w:val="003D12CA"/>
    <w:rsid w:val="003D12F1"/>
    <w:rsid w:val="003D1321"/>
    <w:rsid w:val="003D1399"/>
    <w:rsid w:val="003D13A4"/>
    <w:rsid w:val="003D13CA"/>
    <w:rsid w:val="003D1482"/>
    <w:rsid w:val="003D1508"/>
    <w:rsid w:val="003D1574"/>
    <w:rsid w:val="003D15D1"/>
    <w:rsid w:val="003D1644"/>
    <w:rsid w:val="003D1672"/>
    <w:rsid w:val="003D16B5"/>
    <w:rsid w:val="003D1739"/>
    <w:rsid w:val="003D174D"/>
    <w:rsid w:val="003D1790"/>
    <w:rsid w:val="003D1796"/>
    <w:rsid w:val="003D1833"/>
    <w:rsid w:val="003D190E"/>
    <w:rsid w:val="003D1928"/>
    <w:rsid w:val="003D1931"/>
    <w:rsid w:val="003D194A"/>
    <w:rsid w:val="003D1980"/>
    <w:rsid w:val="003D199F"/>
    <w:rsid w:val="003D19A2"/>
    <w:rsid w:val="003D1A0B"/>
    <w:rsid w:val="003D1A9F"/>
    <w:rsid w:val="003D1AAB"/>
    <w:rsid w:val="003D1B63"/>
    <w:rsid w:val="003D1B76"/>
    <w:rsid w:val="003D1BAB"/>
    <w:rsid w:val="003D1CCF"/>
    <w:rsid w:val="003D1D56"/>
    <w:rsid w:val="003D1D5F"/>
    <w:rsid w:val="003D1D7C"/>
    <w:rsid w:val="003D1E98"/>
    <w:rsid w:val="003D1EA7"/>
    <w:rsid w:val="003D1EFF"/>
    <w:rsid w:val="003D1FDB"/>
    <w:rsid w:val="003D202E"/>
    <w:rsid w:val="003D2212"/>
    <w:rsid w:val="003D221F"/>
    <w:rsid w:val="003D2238"/>
    <w:rsid w:val="003D2283"/>
    <w:rsid w:val="003D2306"/>
    <w:rsid w:val="003D2371"/>
    <w:rsid w:val="003D23AA"/>
    <w:rsid w:val="003D23BE"/>
    <w:rsid w:val="003D243D"/>
    <w:rsid w:val="003D2532"/>
    <w:rsid w:val="003D2558"/>
    <w:rsid w:val="003D2623"/>
    <w:rsid w:val="003D2652"/>
    <w:rsid w:val="003D268A"/>
    <w:rsid w:val="003D26F8"/>
    <w:rsid w:val="003D274B"/>
    <w:rsid w:val="003D2759"/>
    <w:rsid w:val="003D283A"/>
    <w:rsid w:val="003D292B"/>
    <w:rsid w:val="003D2981"/>
    <w:rsid w:val="003D29A8"/>
    <w:rsid w:val="003D29C2"/>
    <w:rsid w:val="003D2A26"/>
    <w:rsid w:val="003D2A2A"/>
    <w:rsid w:val="003D2A7E"/>
    <w:rsid w:val="003D2A89"/>
    <w:rsid w:val="003D2AC4"/>
    <w:rsid w:val="003D2BA9"/>
    <w:rsid w:val="003D2BF3"/>
    <w:rsid w:val="003D2C6B"/>
    <w:rsid w:val="003D2C76"/>
    <w:rsid w:val="003D2C85"/>
    <w:rsid w:val="003D2CD4"/>
    <w:rsid w:val="003D2CDD"/>
    <w:rsid w:val="003D2D14"/>
    <w:rsid w:val="003D2D1B"/>
    <w:rsid w:val="003D2EC8"/>
    <w:rsid w:val="003D2F35"/>
    <w:rsid w:val="003D2F57"/>
    <w:rsid w:val="003D2F77"/>
    <w:rsid w:val="003D2FF9"/>
    <w:rsid w:val="003D313F"/>
    <w:rsid w:val="003D3149"/>
    <w:rsid w:val="003D317A"/>
    <w:rsid w:val="003D3213"/>
    <w:rsid w:val="003D3288"/>
    <w:rsid w:val="003D328F"/>
    <w:rsid w:val="003D32A7"/>
    <w:rsid w:val="003D32E1"/>
    <w:rsid w:val="003D3361"/>
    <w:rsid w:val="003D3424"/>
    <w:rsid w:val="003D3429"/>
    <w:rsid w:val="003D3502"/>
    <w:rsid w:val="003D35F0"/>
    <w:rsid w:val="003D35F1"/>
    <w:rsid w:val="003D3676"/>
    <w:rsid w:val="003D3789"/>
    <w:rsid w:val="003D37AA"/>
    <w:rsid w:val="003D384E"/>
    <w:rsid w:val="003D3934"/>
    <w:rsid w:val="003D39AF"/>
    <w:rsid w:val="003D39D5"/>
    <w:rsid w:val="003D3A9A"/>
    <w:rsid w:val="003D3ABD"/>
    <w:rsid w:val="003D3B3A"/>
    <w:rsid w:val="003D3C02"/>
    <w:rsid w:val="003D3C0F"/>
    <w:rsid w:val="003D3C25"/>
    <w:rsid w:val="003D3C46"/>
    <w:rsid w:val="003D3D03"/>
    <w:rsid w:val="003D3DAA"/>
    <w:rsid w:val="003D3DD7"/>
    <w:rsid w:val="003D3DFC"/>
    <w:rsid w:val="003D3E0E"/>
    <w:rsid w:val="003D3EFA"/>
    <w:rsid w:val="003D3F21"/>
    <w:rsid w:val="003D3F5D"/>
    <w:rsid w:val="003D3FFF"/>
    <w:rsid w:val="003D407C"/>
    <w:rsid w:val="003D40DA"/>
    <w:rsid w:val="003D40DB"/>
    <w:rsid w:val="003D413A"/>
    <w:rsid w:val="003D4272"/>
    <w:rsid w:val="003D4287"/>
    <w:rsid w:val="003D4296"/>
    <w:rsid w:val="003D42B3"/>
    <w:rsid w:val="003D42E7"/>
    <w:rsid w:val="003D4309"/>
    <w:rsid w:val="003D4312"/>
    <w:rsid w:val="003D432B"/>
    <w:rsid w:val="003D435C"/>
    <w:rsid w:val="003D4415"/>
    <w:rsid w:val="003D442A"/>
    <w:rsid w:val="003D4491"/>
    <w:rsid w:val="003D449C"/>
    <w:rsid w:val="003D44A3"/>
    <w:rsid w:val="003D4660"/>
    <w:rsid w:val="003D469A"/>
    <w:rsid w:val="003D46BF"/>
    <w:rsid w:val="003D46E4"/>
    <w:rsid w:val="003D4732"/>
    <w:rsid w:val="003D476B"/>
    <w:rsid w:val="003D47CA"/>
    <w:rsid w:val="003D4844"/>
    <w:rsid w:val="003D48A1"/>
    <w:rsid w:val="003D48A6"/>
    <w:rsid w:val="003D48D8"/>
    <w:rsid w:val="003D494E"/>
    <w:rsid w:val="003D4960"/>
    <w:rsid w:val="003D4991"/>
    <w:rsid w:val="003D49E2"/>
    <w:rsid w:val="003D49E9"/>
    <w:rsid w:val="003D4AB9"/>
    <w:rsid w:val="003D4B6E"/>
    <w:rsid w:val="003D4C4C"/>
    <w:rsid w:val="003D4D3E"/>
    <w:rsid w:val="003D4D4D"/>
    <w:rsid w:val="003D4D5D"/>
    <w:rsid w:val="003D4D6B"/>
    <w:rsid w:val="003D4DD2"/>
    <w:rsid w:val="003D4E2D"/>
    <w:rsid w:val="003D4E42"/>
    <w:rsid w:val="003D4E45"/>
    <w:rsid w:val="003D4E6E"/>
    <w:rsid w:val="003D4E70"/>
    <w:rsid w:val="003D4F25"/>
    <w:rsid w:val="003D5050"/>
    <w:rsid w:val="003D50EF"/>
    <w:rsid w:val="003D5133"/>
    <w:rsid w:val="003D514F"/>
    <w:rsid w:val="003D5197"/>
    <w:rsid w:val="003D51EB"/>
    <w:rsid w:val="003D52FB"/>
    <w:rsid w:val="003D530B"/>
    <w:rsid w:val="003D5312"/>
    <w:rsid w:val="003D5313"/>
    <w:rsid w:val="003D535D"/>
    <w:rsid w:val="003D535E"/>
    <w:rsid w:val="003D5395"/>
    <w:rsid w:val="003D53F0"/>
    <w:rsid w:val="003D5426"/>
    <w:rsid w:val="003D5430"/>
    <w:rsid w:val="003D5481"/>
    <w:rsid w:val="003D54D8"/>
    <w:rsid w:val="003D556F"/>
    <w:rsid w:val="003D5577"/>
    <w:rsid w:val="003D5699"/>
    <w:rsid w:val="003D569D"/>
    <w:rsid w:val="003D56ED"/>
    <w:rsid w:val="003D576C"/>
    <w:rsid w:val="003D5793"/>
    <w:rsid w:val="003D5798"/>
    <w:rsid w:val="003D5887"/>
    <w:rsid w:val="003D5901"/>
    <w:rsid w:val="003D5963"/>
    <w:rsid w:val="003D59EA"/>
    <w:rsid w:val="003D5A4A"/>
    <w:rsid w:val="003D5AA9"/>
    <w:rsid w:val="003D5B2D"/>
    <w:rsid w:val="003D5B44"/>
    <w:rsid w:val="003D5BBD"/>
    <w:rsid w:val="003D5CF5"/>
    <w:rsid w:val="003D5D31"/>
    <w:rsid w:val="003D5D45"/>
    <w:rsid w:val="003D5D97"/>
    <w:rsid w:val="003D5E5D"/>
    <w:rsid w:val="003D5E66"/>
    <w:rsid w:val="003D5E78"/>
    <w:rsid w:val="003D5EF2"/>
    <w:rsid w:val="003D5FC3"/>
    <w:rsid w:val="003D617C"/>
    <w:rsid w:val="003D61C1"/>
    <w:rsid w:val="003D61DE"/>
    <w:rsid w:val="003D61FA"/>
    <w:rsid w:val="003D61FE"/>
    <w:rsid w:val="003D621C"/>
    <w:rsid w:val="003D6246"/>
    <w:rsid w:val="003D6274"/>
    <w:rsid w:val="003D62BF"/>
    <w:rsid w:val="003D62CD"/>
    <w:rsid w:val="003D6303"/>
    <w:rsid w:val="003D6377"/>
    <w:rsid w:val="003D6434"/>
    <w:rsid w:val="003D643E"/>
    <w:rsid w:val="003D6473"/>
    <w:rsid w:val="003D6491"/>
    <w:rsid w:val="003D64DF"/>
    <w:rsid w:val="003D64E0"/>
    <w:rsid w:val="003D6510"/>
    <w:rsid w:val="003D651B"/>
    <w:rsid w:val="003D659C"/>
    <w:rsid w:val="003D663E"/>
    <w:rsid w:val="003D66C6"/>
    <w:rsid w:val="003D67D0"/>
    <w:rsid w:val="003D67E0"/>
    <w:rsid w:val="003D6818"/>
    <w:rsid w:val="003D6833"/>
    <w:rsid w:val="003D6865"/>
    <w:rsid w:val="003D6869"/>
    <w:rsid w:val="003D68D2"/>
    <w:rsid w:val="003D6919"/>
    <w:rsid w:val="003D6949"/>
    <w:rsid w:val="003D6B09"/>
    <w:rsid w:val="003D6B23"/>
    <w:rsid w:val="003D6B59"/>
    <w:rsid w:val="003D6BBF"/>
    <w:rsid w:val="003D6BDD"/>
    <w:rsid w:val="003D6BF7"/>
    <w:rsid w:val="003D6C3C"/>
    <w:rsid w:val="003D6C96"/>
    <w:rsid w:val="003D6CE3"/>
    <w:rsid w:val="003D6D1E"/>
    <w:rsid w:val="003D6DB7"/>
    <w:rsid w:val="003D6DB8"/>
    <w:rsid w:val="003D6E16"/>
    <w:rsid w:val="003D6F10"/>
    <w:rsid w:val="003D6FAB"/>
    <w:rsid w:val="003D7096"/>
    <w:rsid w:val="003D70A8"/>
    <w:rsid w:val="003D70BD"/>
    <w:rsid w:val="003D70D5"/>
    <w:rsid w:val="003D710A"/>
    <w:rsid w:val="003D711E"/>
    <w:rsid w:val="003D7150"/>
    <w:rsid w:val="003D71EE"/>
    <w:rsid w:val="003D720C"/>
    <w:rsid w:val="003D7220"/>
    <w:rsid w:val="003D72DE"/>
    <w:rsid w:val="003D72FC"/>
    <w:rsid w:val="003D7312"/>
    <w:rsid w:val="003D7339"/>
    <w:rsid w:val="003D7361"/>
    <w:rsid w:val="003D7364"/>
    <w:rsid w:val="003D7451"/>
    <w:rsid w:val="003D7485"/>
    <w:rsid w:val="003D74C4"/>
    <w:rsid w:val="003D74DE"/>
    <w:rsid w:val="003D74F3"/>
    <w:rsid w:val="003D753A"/>
    <w:rsid w:val="003D75E5"/>
    <w:rsid w:val="003D7654"/>
    <w:rsid w:val="003D7659"/>
    <w:rsid w:val="003D7664"/>
    <w:rsid w:val="003D7689"/>
    <w:rsid w:val="003D76E9"/>
    <w:rsid w:val="003D77BE"/>
    <w:rsid w:val="003D77CF"/>
    <w:rsid w:val="003D7808"/>
    <w:rsid w:val="003D7814"/>
    <w:rsid w:val="003D7870"/>
    <w:rsid w:val="003D78B9"/>
    <w:rsid w:val="003D7A4C"/>
    <w:rsid w:val="003D7A77"/>
    <w:rsid w:val="003D7B08"/>
    <w:rsid w:val="003D7C25"/>
    <w:rsid w:val="003D7C6B"/>
    <w:rsid w:val="003D7C8D"/>
    <w:rsid w:val="003D7D21"/>
    <w:rsid w:val="003D7D7C"/>
    <w:rsid w:val="003D7E1F"/>
    <w:rsid w:val="003D7E74"/>
    <w:rsid w:val="003D7E81"/>
    <w:rsid w:val="003D7F62"/>
    <w:rsid w:val="003E00E5"/>
    <w:rsid w:val="003E00EB"/>
    <w:rsid w:val="003E0143"/>
    <w:rsid w:val="003E017A"/>
    <w:rsid w:val="003E0191"/>
    <w:rsid w:val="003E01B7"/>
    <w:rsid w:val="003E01BF"/>
    <w:rsid w:val="003E020A"/>
    <w:rsid w:val="003E0236"/>
    <w:rsid w:val="003E02A6"/>
    <w:rsid w:val="003E02BF"/>
    <w:rsid w:val="003E02E5"/>
    <w:rsid w:val="003E037D"/>
    <w:rsid w:val="003E03D2"/>
    <w:rsid w:val="003E04B1"/>
    <w:rsid w:val="003E04D3"/>
    <w:rsid w:val="003E0590"/>
    <w:rsid w:val="003E05AE"/>
    <w:rsid w:val="003E05C7"/>
    <w:rsid w:val="003E05E1"/>
    <w:rsid w:val="003E0610"/>
    <w:rsid w:val="003E06BE"/>
    <w:rsid w:val="003E071C"/>
    <w:rsid w:val="003E073D"/>
    <w:rsid w:val="003E0762"/>
    <w:rsid w:val="003E07A3"/>
    <w:rsid w:val="003E07AA"/>
    <w:rsid w:val="003E086F"/>
    <w:rsid w:val="003E08C9"/>
    <w:rsid w:val="003E0985"/>
    <w:rsid w:val="003E09B8"/>
    <w:rsid w:val="003E0A06"/>
    <w:rsid w:val="003E0A43"/>
    <w:rsid w:val="003E0A75"/>
    <w:rsid w:val="003E0B08"/>
    <w:rsid w:val="003E0BBC"/>
    <w:rsid w:val="003E0BDB"/>
    <w:rsid w:val="003E0C76"/>
    <w:rsid w:val="003E0CA0"/>
    <w:rsid w:val="003E0CF7"/>
    <w:rsid w:val="003E0D12"/>
    <w:rsid w:val="003E0D74"/>
    <w:rsid w:val="003E0DB7"/>
    <w:rsid w:val="003E0DE9"/>
    <w:rsid w:val="003E0E7E"/>
    <w:rsid w:val="003E0EB3"/>
    <w:rsid w:val="003E0F48"/>
    <w:rsid w:val="003E0F4F"/>
    <w:rsid w:val="003E0FAB"/>
    <w:rsid w:val="003E10A7"/>
    <w:rsid w:val="003E10AD"/>
    <w:rsid w:val="003E10C2"/>
    <w:rsid w:val="003E10C6"/>
    <w:rsid w:val="003E110F"/>
    <w:rsid w:val="003E1174"/>
    <w:rsid w:val="003E11D1"/>
    <w:rsid w:val="003E122D"/>
    <w:rsid w:val="003E129F"/>
    <w:rsid w:val="003E12D9"/>
    <w:rsid w:val="003E1304"/>
    <w:rsid w:val="003E13CB"/>
    <w:rsid w:val="003E1411"/>
    <w:rsid w:val="003E1472"/>
    <w:rsid w:val="003E1478"/>
    <w:rsid w:val="003E147A"/>
    <w:rsid w:val="003E14BB"/>
    <w:rsid w:val="003E14CA"/>
    <w:rsid w:val="003E1508"/>
    <w:rsid w:val="003E1685"/>
    <w:rsid w:val="003E16EB"/>
    <w:rsid w:val="003E1721"/>
    <w:rsid w:val="003E17C3"/>
    <w:rsid w:val="003E188D"/>
    <w:rsid w:val="003E1899"/>
    <w:rsid w:val="003E1950"/>
    <w:rsid w:val="003E19E5"/>
    <w:rsid w:val="003E1B0B"/>
    <w:rsid w:val="003E1C26"/>
    <w:rsid w:val="003E1C67"/>
    <w:rsid w:val="003E1C87"/>
    <w:rsid w:val="003E1C97"/>
    <w:rsid w:val="003E1C9A"/>
    <w:rsid w:val="003E1CC1"/>
    <w:rsid w:val="003E1CC6"/>
    <w:rsid w:val="003E1D3D"/>
    <w:rsid w:val="003E1D79"/>
    <w:rsid w:val="003E1DF6"/>
    <w:rsid w:val="003E1ED2"/>
    <w:rsid w:val="003E1EEA"/>
    <w:rsid w:val="003E1F7D"/>
    <w:rsid w:val="003E2038"/>
    <w:rsid w:val="003E20D6"/>
    <w:rsid w:val="003E2162"/>
    <w:rsid w:val="003E2184"/>
    <w:rsid w:val="003E21B2"/>
    <w:rsid w:val="003E221A"/>
    <w:rsid w:val="003E221F"/>
    <w:rsid w:val="003E2249"/>
    <w:rsid w:val="003E2267"/>
    <w:rsid w:val="003E228D"/>
    <w:rsid w:val="003E22EF"/>
    <w:rsid w:val="003E2346"/>
    <w:rsid w:val="003E236F"/>
    <w:rsid w:val="003E23FB"/>
    <w:rsid w:val="003E2537"/>
    <w:rsid w:val="003E25E5"/>
    <w:rsid w:val="003E2663"/>
    <w:rsid w:val="003E2776"/>
    <w:rsid w:val="003E27C9"/>
    <w:rsid w:val="003E27E3"/>
    <w:rsid w:val="003E2838"/>
    <w:rsid w:val="003E2889"/>
    <w:rsid w:val="003E2890"/>
    <w:rsid w:val="003E28CA"/>
    <w:rsid w:val="003E2911"/>
    <w:rsid w:val="003E291A"/>
    <w:rsid w:val="003E293A"/>
    <w:rsid w:val="003E2987"/>
    <w:rsid w:val="003E2A0B"/>
    <w:rsid w:val="003E2A68"/>
    <w:rsid w:val="003E2ABA"/>
    <w:rsid w:val="003E2B25"/>
    <w:rsid w:val="003E2B82"/>
    <w:rsid w:val="003E2B8B"/>
    <w:rsid w:val="003E2BC3"/>
    <w:rsid w:val="003E2BD0"/>
    <w:rsid w:val="003E2BD2"/>
    <w:rsid w:val="003E2C60"/>
    <w:rsid w:val="003E2CAF"/>
    <w:rsid w:val="003E2CDF"/>
    <w:rsid w:val="003E2D2C"/>
    <w:rsid w:val="003E2DCA"/>
    <w:rsid w:val="003E2E12"/>
    <w:rsid w:val="003E2E6C"/>
    <w:rsid w:val="003E2ED2"/>
    <w:rsid w:val="003E2EDD"/>
    <w:rsid w:val="003E2EFD"/>
    <w:rsid w:val="003E2F03"/>
    <w:rsid w:val="003E2FA9"/>
    <w:rsid w:val="003E2FE4"/>
    <w:rsid w:val="003E30F3"/>
    <w:rsid w:val="003E30FE"/>
    <w:rsid w:val="003E3179"/>
    <w:rsid w:val="003E31EB"/>
    <w:rsid w:val="003E322E"/>
    <w:rsid w:val="003E3257"/>
    <w:rsid w:val="003E325B"/>
    <w:rsid w:val="003E3280"/>
    <w:rsid w:val="003E32FA"/>
    <w:rsid w:val="003E33E2"/>
    <w:rsid w:val="003E3409"/>
    <w:rsid w:val="003E3416"/>
    <w:rsid w:val="003E3480"/>
    <w:rsid w:val="003E34EC"/>
    <w:rsid w:val="003E352D"/>
    <w:rsid w:val="003E3719"/>
    <w:rsid w:val="003E372F"/>
    <w:rsid w:val="003E3772"/>
    <w:rsid w:val="003E37BA"/>
    <w:rsid w:val="003E37E7"/>
    <w:rsid w:val="003E385A"/>
    <w:rsid w:val="003E389D"/>
    <w:rsid w:val="003E38BF"/>
    <w:rsid w:val="003E38E6"/>
    <w:rsid w:val="003E3A05"/>
    <w:rsid w:val="003E3A82"/>
    <w:rsid w:val="003E3A88"/>
    <w:rsid w:val="003E3A91"/>
    <w:rsid w:val="003E3AB7"/>
    <w:rsid w:val="003E3AE1"/>
    <w:rsid w:val="003E3B18"/>
    <w:rsid w:val="003E3B31"/>
    <w:rsid w:val="003E3B7C"/>
    <w:rsid w:val="003E3B7D"/>
    <w:rsid w:val="003E3B98"/>
    <w:rsid w:val="003E3BC2"/>
    <w:rsid w:val="003E3C5C"/>
    <w:rsid w:val="003E3C87"/>
    <w:rsid w:val="003E3DD3"/>
    <w:rsid w:val="003E3DD6"/>
    <w:rsid w:val="003E3DE1"/>
    <w:rsid w:val="003E3DFD"/>
    <w:rsid w:val="003E3E13"/>
    <w:rsid w:val="003E3E20"/>
    <w:rsid w:val="003E3EA8"/>
    <w:rsid w:val="003E3F02"/>
    <w:rsid w:val="003E3F6E"/>
    <w:rsid w:val="003E3F94"/>
    <w:rsid w:val="003E4062"/>
    <w:rsid w:val="003E4097"/>
    <w:rsid w:val="003E4124"/>
    <w:rsid w:val="003E41A2"/>
    <w:rsid w:val="003E41AD"/>
    <w:rsid w:val="003E41BB"/>
    <w:rsid w:val="003E429B"/>
    <w:rsid w:val="003E42FD"/>
    <w:rsid w:val="003E4314"/>
    <w:rsid w:val="003E4315"/>
    <w:rsid w:val="003E437F"/>
    <w:rsid w:val="003E43DE"/>
    <w:rsid w:val="003E43F1"/>
    <w:rsid w:val="003E4469"/>
    <w:rsid w:val="003E4483"/>
    <w:rsid w:val="003E4490"/>
    <w:rsid w:val="003E4501"/>
    <w:rsid w:val="003E4520"/>
    <w:rsid w:val="003E4553"/>
    <w:rsid w:val="003E4561"/>
    <w:rsid w:val="003E4700"/>
    <w:rsid w:val="003E474C"/>
    <w:rsid w:val="003E4826"/>
    <w:rsid w:val="003E486B"/>
    <w:rsid w:val="003E4917"/>
    <w:rsid w:val="003E49D0"/>
    <w:rsid w:val="003E49DB"/>
    <w:rsid w:val="003E49DF"/>
    <w:rsid w:val="003E4A28"/>
    <w:rsid w:val="003E4A2B"/>
    <w:rsid w:val="003E4A35"/>
    <w:rsid w:val="003E4A48"/>
    <w:rsid w:val="003E4B85"/>
    <w:rsid w:val="003E4BAC"/>
    <w:rsid w:val="003E4D19"/>
    <w:rsid w:val="003E4D87"/>
    <w:rsid w:val="003E4EB4"/>
    <w:rsid w:val="003E4ED1"/>
    <w:rsid w:val="003E4F92"/>
    <w:rsid w:val="003E4F94"/>
    <w:rsid w:val="003E51BD"/>
    <w:rsid w:val="003E51DA"/>
    <w:rsid w:val="003E524E"/>
    <w:rsid w:val="003E52BD"/>
    <w:rsid w:val="003E5317"/>
    <w:rsid w:val="003E5326"/>
    <w:rsid w:val="003E53A6"/>
    <w:rsid w:val="003E53ED"/>
    <w:rsid w:val="003E548A"/>
    <w:rsid w:val="003E54AF"/>
    <w:rsid w:val="003E54C0"/>
    <w:rsid w:val="003E54E6"/>
    <w:rsid w:val="003E561A"/>
    <w:rsid w:val="003E56B6"/>
    <w:rsid w:val="003E571E"/>
    <w:rsid w:val="003E579D"/>
    <w:rsid w:val="003E5841"/>
    <w:rsid w:val="003E58EB"/>
    <w:rsid w:val="003E5970"/>
    <w:rsid w:val="003E5989"/>
    <w:rsid w:val="003E59D3"/>
    <w:rsid w:val="003E5A1E"/>
    <w:rsid w:val="003E5B2C"/>
    <w:rsid w:val="003E5C0C"/>
    <w:rsid w:val="003E5C17"/>
    <w:rsid w:val="003E5C8B"/>
    <w:rsid w:val="003E5D64"/>
    <w:rsid w:val="003E5DB6"/>
    <w:rsid w:val="003E5E00"/>
    <w:rsid w:val="003E5E38"/>
    <w:rsid w:val="003E5E48"/>
    <w:rsid w:val="003E5F5E"/>
    <w:rsid w:val="003E5FD3"/>
    <w:rsid w:val="003E604D"/>
    <w:rsid w:val="003E6071"/>
    <w:rsid w:val="003E60A6"/>
    <w:rsid w:val="003E60CC"/>
    <w:rsid w:val="003E60CD"/>
    <w:rsid w:val="003E623F"/>
    <w:rsid w:val="003E62AB"/>
    <w:rsid w:val="003E63A3"/>
    <w:rsid w:val="003E63E8"/>
    <w:rsid w:val="003E63F6"/>
    <w:rsid w:val="003E6438"/>
    <w:rsid w:val="003E64A1"/>
    <w:rsid w:val="003E64A4"/>
    <w:rsid w:val="003E6513"/>
    <w:rsid w:val="003E6529"/>
    <w:rsid w:val="003E6589"/>
    <w:rsid w:val="003E65E7"/>
    <w:rsid w:val="003E660F"/>
    <w:rsid w:val="003E6715"/>
    <w:rsid w:val="003E6758"/>
    <w:rsid w:val="003E678F"/>
    <w:rsid w:val="003E67AF"/>
    <w:rsid w:val="003E67D8"/>
    <w:rsid w:val="003E67DC"/>
    <w:rsid w:val="003E6818"/>
    <w:rsid w:val="003E683F"/>
    <w:rsid w:val="003E68FA"/>
    <w:rsid w:val="003E69DA"/>
    <w:rsid w:val="003E69E3"/>
    <w:rsid w:val="003E6B6F"/>
    <w:rsid w:val="003E6B9C"/>
    <w:rsid w:val="003E6BCE"/>
    <w:rsid w:val="003E6BF0"/>
    <w:rsid w:val="003E6BF4"/>
    <w:rsid w:val="003E6C21"/>
    <w:rsid w:val="003E6C79"/>
    <w:rsid w:val="003E6C7C"/>
    <w:rsid w:val="003E6C87"/>
    <w:rsid w:val="003E6CC6"/>
    <w:rsid w:val="003E6CD6"/>
    <w:rsid w:val="003E6D14"/>
    <w:rsid w:val="003E6D51"/>
    <w:rsid w:val="003E6D7D"/>
    <w:rsid w:val="003E6D8B"/>
    <w:rsid w:val="003E6DD5"/>
    <w:rsid w:val="003E6DDA"/>
    <w:rsid w:val="003E6F0C"/>
    <w:rsid w:val="003E6F28"/>
    <w:rsid w:val="003E6F66"/>
    <w:rsid w:val="003E6FD6"/>
    <w:rsid w:val="003E6FE9"/>
    <w:rsid w:val="003E703E"/>
    <w:rsid w:val="003E7060"/>
    <w:rsid w:val="003E709C"/>
    <w:rsid w:val="003E70A1"/>
    <w:rsid w:val="003E70E2"/>
    <w:rsid w:val="003E7130"/>
    <w:rsid w:val="003E72D7"/>
    <w:rsid w:val="003E7324"/>
    <w:rsid w:val="003E73BF"/>
    <w:rsid w:val="003E73DC"/>
    <w:rsid w:val="003E741E"/>
    <w:rsid w:val="003E7439"/>
    <w:rsid w:val="003E7468"/>
    <w:rsid w:val="003E74FA"/>
    <w:rsid w:val="003E754D"/>
    <w:rsid w:val="003E75D0"/>
    <w:rsid w:val="003E764F"/>
    <w:rsid w:val="003E7729"/>
    <w:rsid w:val="003E7756"/>
    <w:rsid w:val="003E77A5"/>
    <w:rsid w:val="003E785B"/>
    <w:rsid w:val="003E7861"/>
    <w:rsid w:val="003E78BD"/>
    <w:rsid w:val="003E7943"/>
    <w:rsid w:val="003E796F"/>
    <w:rsid w:val="003E79AD"/>
    <w:rsid w:val="003E7A75"/>
    <w:rsid w:val="003E7B0D"/>
    <w:rsid w:val="003E7B58"/>
    <w:rsid w:val="003E7B59"/>
    <w:rsid w:val="003E7BA1"/>
    <w:rsid w:val="003E7C26"/>
    <w:rsid w:val="003E7C2C"/>
    <w:rsid w:val="003E7CAA"/>
    <w:rsid w:val="003E7CBC"/>
    <w:rsid w:val="003E7CBF"/>
    <w:rsid w:val="003E7E41"/>
    <w:rsid w:val="003E7E49"/>
    <w:rsid w:val="003E7E93"/>
    <w:rsid w:val="003E7EE8"/>
    <w:rsid w:val="003E7F08"/>
    <w:rsid w:val="003E7F0D"/>
    <w:rsid w:val="003E7F7C"/>
    <w:rsid w:val="003F0073"/>
    <w:rsid w:val="003F00CA"/>
    <w:rsid w:val="003F00E6"/>
    <w:rsid w:val="003F00EC"/>
    <w:rsid w:val="003F00F5"/>
    <w:rsid w:val="003F0116"/>
    <w:rsid w:val="003F0171"/>
    <w:rsid w:val="003F01B2"/>
    <w:rsid w:val="003F01FA"/>
    <w:rsid w:val="003F0225"/>
    <w:rsid w:val="003F02C1"/>
    <w:rsid w:val="003F03CF"/>
    <w:rsid w:val="003F043E"/>
    <w:rsid w:val="003F0441"/>
    <w:rsid w:val="003F0466"/>
    <w:rsid w:val="003F0492"/>
    <w:rsid w:val="003F04D1"/>
    <w:rsid w:val="003F04E0"/>
    <w:rsid w:val="003F04F9"/>
    <w:rsid w:val="003F0527"/>
    <w:rsid w:val="003F0540"/>
    <w:rsid w:val="003F0567"/>
    <w:rsid w:val="003F0592"/>
    <w:rsid w:val="003F05F1"/>
    <w:rsid w:val="003F05F8"/>
    <w:rsid w:val="003F06A2"/>
    <w:rsid w:val="003F06F6"/>
    <w:rsid w:val="003F0742"/>
    <w:rsid w:val="003F0772"/>
    <w:rsid w:val="003F07FF"/>
    <w:rsid w:val="003F085B"/>
    <w:rsid w:val="003F086A"/>
    <w:rsid w:val="003F08C3"/>
    <w:rsid w:val="003F08E6"/>
    <w:rsid w:val="003F0951"/>
    <w:rsid w:val="003F0990"/>
    <w:rsid w:val="003F09CE"/>
    <w:rsid w:val="003F0A61"/>
    <w:rsid w:val="003F0A96"/>
    <w:rsid w:val="003F0AE4"/>
    <w:rsid w:val="003F0B1B"/>
    <w:rsid w:val="003F0B34"/>
    <w:rsid w:val="003F0B60"/>
    <w:rsid w:val="003F0B9E"/>
    <w:rsid w:val="003F0CA1"/>
    <w:rsid w:val="003F0D42"/>
    <w:rsid w:val="003F0EA3"/>
    <w:rsid w:val="003F0F4C"/>
    <w:rsid w:val="003F0FC4"/>
    <w:rsid w:val="003F102E"/>
    <w:rsid w:val="003F110E"/>
    <w:rsid w:val="003F1133"/>
    <w:rsid w:val="003F11C3"/>
    <w:rsid w:val="003F11C7"/>
    <w:rsid w:val="003F120D"/>
    <w:rsid w:val="003F123D"/>
    <w:rsid w:val="003F128A"/>
    <w:rsid w:val="003F12DD"/>
    <w:rsid w:val="003F1315"/>
    <w:rsid w:val="003F135E"/>
    <w:rsid w:val="003F136E"/>
    <w:rsid w:val="003F13DF"/>
    <w:rsid w:val="003F13EC"/>
    <w:rsid w:val="003F1468"/>
    <w:rsid w:val="003F1556"/>
    <w:rsid w:val="003F15A5"/>
    <w:rsid w:val="003F15AC"/>
    <w:rsid w:val="003F162D"/>
    <w:rsid w:val="003F165D"/>
    <w:rsid w:val="003F16D0"/>
    <w:rsid w:val="003F1733"/>
    <w:rsid w:val="003F175B"/>
    <w:rsid w:val="003F1763"/>
    <w:rsid w:val="003F1769"/>
    <w:rsid w:val="003F17F3"/>
    <w:rsid w:val="003F19C2"/>
    <w:rsid w:val="003F19EC"/>
    <w:rsid w:val="003F1A85"/>
    <w:rsid w:val="003F1A8F"/>
    <w:rsid w:val="003F1ABD"/>
    <w:rsid w:val="003F1AC3"/>
    <w:rsid w:val="003F1AE0"/>
    <w:rsid w:val="003F1B02"/>
    <w:rsid w:val="003F1B50"/>
    <w:rsid w:val="003F1BE3"/>
    <w:rsid w:val="003F1BE7"/>
    <w:rsid w:val="003F1BFE"/>
    <w:rsid w:val="003F1C39"/>
    <w:rsid w:val="003F1C41"/>
    <w:rsid w:val="003F1CE0"/>
    <w:rsid w:val="003F1D45"/>
    <w:rsid w:val="003F1E49"/>
    <w:rsid w:val="003F1E53"/>
    <w:rsid w:val="003F1EA6"/>
    <w:rsid w:val="003F1EF5"/>
    <w:rsid w:val="003F1F25"/>
    <w:rsid w:val="003F2085"/>
    <w:rsid w:val="003F20E1"/>
    <w:rsid w:val="003F2104"/>
    <w:rsid w:val="003F2142"/>
    <w:rsid w:val="003F2234"/>
    <w:rsid w:val="003F2274"/>
    <w:rsid w:val="003F22C2"/>
    <w:rsid w:val="003F22E1"/>
    <w:rsid w:val="003F23C4"/>
    <w:rsid w:val="003F23CA"/>
    <w:rsid w:val="003F2493"/>
    <w:rsid w:val="003F2508"/>
    <w:rsid w:val="003F251B"/>
    <w:rsid w:val="003F2529"/>
    <w:rsid w:val="003F2593"/>
    <w:rsid w:val="003F25D1"/>
    <w:rsid w:val="003F25D3"/>
    <w:rsid w:val="003F263F"/>
    <w:rsid w:val="003F264A"/>
    <w:rsid w:val="003F26A5"/>
    <w:rsid w:val="003F26CD"/>
    <w:rsid w:val="003F26CF"/>
    <w:rsid w:val="003F276B"/>
    <w:rsid w:val="003F27AB"/>
    <w:rsid w:val="003F27CC"/>
    <w:rsid w:val="003F2811"/>
    <w:rsid w:val="003F2835"/>
    <w:rsid w:val="003F284C"/>
    <w:rsid w:val="003F288E"/>
    <w:rsid w:val="003F28B2"/>
    <w:rsid w:val="003F28E0"/>
    <w:rsid w:val="003F28FC"/>
    <w:rsid w:val="003F29BC"/>
    <w:rsid w:val="003F29E4"/>
    <w:rsid w:val="003F2A50"/>
    <w:rsid w:val="003F2A7D"/>
    <w:rsid w:val="003F2BCD"/>
    <w:rsid w:val="003F2C71"/>
    <w:rsid w:val="003F2C8C"/>
    <w:rsid w:val="003F2CFD"/>
    <w:rsid w:val="003F2D22"/>
    <w:rsid w:val="003F2D49"/>
    <w:rsid w:val="003F2E00"/>
    <w:rsid w:val="003F2E27"/>
    <w:rsid w:val="003F2E56"/>
    <w:rsid w:val="003F2EBE"/>
    <w:rsid w:val="003F301C"/>
    <w:rsid w:val="003F310C"/>
    <w:rsid w:val="003F3148"/>
    <w:rsid w:val="003F3174"/>
    <w:rsid w:val="003F317F"/>
    <w:rsid w:val="003F31A0"/>
    <w:rsid w:val="003F3210"/>
    <w:rsid w:val="003F3399"/>
    <w:rsid w:val="003F3436"/>
    <w:rsid w:val="003F3447"/>
    <w:rsid w:val="003F346C"/>
    <w:rsid w:val="003F34D9"/>
    <w:rsid w:val="003F359E"/>
    <w:rsid w:val="003F35A4"/>
    <w:rsid w:val="003F35B3"/>
    <w:rsid w:val="003F364A"/>
    <w:rsid w:val="003F3695"/>
    <w:rsid w:val="003F36DC"/>
    <w:rsid w:val="003F370E"/>
    <w:rsid w:val="003F3765"/>
    <w:rsid w:val="003F37B9"/>
    <w:rsid w:val="003F3819"/>
    <w:rsid w:val="003F3857"/>
    <w:rsid w:val="003F388B"/>
    <w:rsid w:val="003F38CC"/>
    <w:rsid w:val="003F392E"/>
    <w:rsid w:val="003F3932"/>
    <w:rsid w:val="003F39B5"/>
    <w:rsid w:val="003F3A0C"/>
    <w:rsid w:val="003F3A5D"/>
    <w:rsid w:val="003F3AC5"/>
    <w:rsid w:val="003F3ADB"/>
    <w:rsid w:val="003F3B42"/>
    <w:rsid w:val="003F3C27"/>
    <w:rsid w:val="003F3D2A"/>
    <w:rsid w:val="003F3D4F"/>
    <w:rsid w:val="003F3DB7"/>
    <w:rsid w:val="003F3DFA"/>
    <w:rsid w:val="003F3E4C"/>
    <w:rsid w:val="003F3E5E"/>
    <w:rsid w:val="003F3E99"/>
    <w:rsid w:val="003F3EE6"/>
    <w:rsid w:val="003F3F12"/>
    <w:rsid w:val="003F3F38"/>
    <w:rsid w:val="003F3F73"/>
    <w:rsid w:val="003F3FAF"/>
    <w:rsid w:val="003F3FDB"/>
    <w:rsid w:val="003F3FE5"/>
    <w:rsid w:val="003F405F"/>
    <w:rsid w:val="003F410E"/>
    <w:rsid w:val="003F4209"/>
    <w:rsid w:val="003F425E"/>
    <w:rsid w:val="003F43A0"/>
    <w:rsid w:val="003F4429"/>
    <w:rsid w:val="003F4445"/>
    <w:rsid w:val="003F4456"/>
    <w:rsid w:val="003F446E"/>
    <w:rsid w:val="003F44E8"/>
    <w:rsid w:val="003F452C"/>
    <w:rsid w:val="003F45C8"/>
    <w:rsid w:val="003F4600"/>
    <w:rsid w:val="003F46AD"/>
    <w:rsid w:val="003F474F"/>
    <w:rsid w:val="003F4815"/>
    <w:rsid w:val="003F4833"/>
    <w:rsid w:val="003F4842"/>
    <w:rsid w:val="003F4854"/>
    <w:rsid w:val="003F489E"/>
    <w:rsid w:val="003F4981"/>
    <w:rsid w:val="003F49D4"/>
    <w:rsid w:val="003F4A2E"/>
    <w:rsid w:val="003F4B5D"/>
    <w:rsid w:val="003F4C37"/>
    <w:rsid w:val="003F4D55"/>
    <w:rsid w:val="003F4DB7"/>
    <w:rsid w:val="003F4E26"/>
    <w:rsid w:val="003F4E78"/>
    <w:rsid w:val="003F4EC0"/>
    <w:rsid w:val="003F4F37"/>
    <w:rsid w:val="003F501D"/>
    <w:rsid w:val="003F5034"/>
    <w:rsid w:val="003F5056"/>
    <w:rsid w:val="003F509E"/>
    <w:rsid w:val="003F50A6"/>
    <w:rsid w:val="003F51AC"/>
    <w:rsid w:val="003F5261"/>
    <w:rsid w:val="003F541F"/>
    <w:rsid w:val="003F5508"/>
    <w:rsid w:val="003F5541"/>
    <w:rsid w:val="003F5570"/>
    <w:rsid w:val="003F559E"/>
    <w:rsid w:val="003F55DA"/>
    <w:rsid w:val="003F5651"/>
    <w:rsid w:val="003F5664"/>
    <w:rsid w:val="003F56D1"/>
    <w:rsid w:val="003F56DE"/>
    <w:rsid w:val="003F5703"/>
    <w:rsid w:val="003F5769"/>
    <w:rsid w:val="003F5874"/>
    <w:rsid w:val="003F594F"/>
    <w:rsid w:val="003F5975"/>
    <w:rsid w:val="003F59B7"/>
    <w:rsid w:val="003F59B9"/>
    <w:rsid w:val="003F5A1A"/>
    <w:rsid w:val="003F5A36"/>
    <w:rsid w:val="003F5B53"/>
    <w:rsid w:val="003F5B70"/>
    <w:rsid w:val="003F5BD5"/>
    <w:rsid w:val="003F5C3A"/>
    <w:rsid w:val="003F5C60"/>
    <w:rsid w:val="003F5C62"/>
    <w:rsid w:val="003F5C74"/>
    <w:rsid w:val="003F5E10"/>
    <w:rsid w:val="003F5E29"/>
    <w:rsid w:val="003F5E7C"/>
    <w:rsid w:val="003F5E94"/>
    <w:rsid w:val="003F5EC6"/>
    <w:rsid w:val="003F5F47"/>
    <w:rsid w:val="003F6001"/>
    <w:rsid w:val="003F6099"/>
    <w:rsid w:val="003F60C7"/>
    <w:rsid w:val="003F6119"/>
    <w:rsid w:val="003F6125"/>
    <w:rsid w:val="003F6127"/>
    <w:rsid w:val="003F6178"/>
    <w:rsid w:val="003F6233"/>
    <w:rsid w:val="003F624E"/>
    <w:rsid w:val="003F6298"/>
    <w:rsid w:val="003F62AD"/>
    <w:rsid w:val="003F6345"/>
    <w:rsid w:val="003F6367"/>
    <w:rsid w:val="003F63D5"/>
    <w:rsid w:val="003F6479"/>
    <w:rsid w:val="003F6487"/>
    <w:rsid w:val="003F64AF"/>
    <w:rsid w:val="003F650D"/>
    <w:rsid w:val="003F6593"/>
    <w:rsid w:val="003F6653"/>
    <w:rsid w:val="003F667B"/>
    <w:rsid w:val="003F6685"/>
    <w:rsid w:val="003F66E1"/>
    <w:rsid w:val="003F66E9"/>
    <w:rsid w:val="003F67BE"/>
    <w:rsid w:val="003F6831"/>
    <w:rsid w:val="003F6882"/>
    <w:rsid w:val="003F68F3"/>
    <w:rsid w:val="003F6975"/>
    <w:rsid w:val="003F6995"/>
    <w:rsid w:val="003F6997"/>
    <w:rsid w:val="003F6A07"/>
    <w:rsid w:val="003F6A74"/>
    <w:rsid w:val="003F6B11"/>
    <w:rsid w:val="003F6B2C"/>
    <w:rsid w:val="003F6BFF"/>
    <w:rsid w:val="003F6C1B"/>
    <w:rsid w:val="003F6C45"/>
    <w:rsid w:val="003F6CB2"/>
    <w:rsid w:val="003F6CF0"/>
    <w:rsid w:val="003F6E51"/>
    <w:rsid w:val="003F6E71"/>
    <w:rsid w:val="003F6E95"/>
    <w:rsid w:val="003F6F0F"/>
    <w:rsid w:val="003F6F63"/>
    <w:rsid w:val="003F6F86"/>
    <w:rsid w:val="003F6FA8"/>
    <w:rsid w:val="003F6FD6"/>
    <w:rsid w:val="003F6FF1"/>
    <w:rsid w:val="003F7065"/>
    <w:rsid w:val="003F7095"/>
    <w:rsid w:val="003F7129"/>
    <w:rsid w:val="003F714B"/>
    <w:rsid w:val="003F71F2"/>
    <w:rsid w:val="003F7255"/>
    <w:rsid w:val="003F7271"/>
    <w:rsid w:val="003F7288"/>
    <w:rsid w:val="003F72E2"/>
    <w:rsid w:val="003F73A4"/>
    <w:rsid w:val="003F7420"/>
    <w:rsid w:val="003F74F4"/>
    <w:rsid w:val="003F7525"/>
    <w:rsid w:val="003F7546"/>
    <w:rsid w:val="003F755A"/>
    <w:rsid w:val="003F7570"/>
    <w:rsid w:val="003F7622"/>
    <w:rsid w:val="003F7802"/>
    <w:rsid w:val="003F7876"/>
    <w:rsid w:val="003F7880"/>
    <w:rsid w:val="003F78E8"/>
    <w:rsid w:val="003F795D"/>
    <w:rsid w:val="003F7972"/>
    <w:rsid w:val="003F79EC"/>
    <w:rsid w:val="003F79F6"/>
    <w:rsid w:val="003F79F9"/>
    <w:rsid w:val="003F7A05"/>
    <w:rsid w:val="003F7A17"/>
    <w:rsid w:val="003F7B57"/>
    <w:rsid w:val="003F7B71"/>
    <w:rsid w:val="003F7BC1"/>
    <w:rsid w:val="003F7BFF"/>
    <w:rsid w:val="003F7CAA"/>
    <w:rsid w:val="003F7CC9"/>
    <w:rsid w:val="003F7CD7"/>
    <w:rsid w:val="003F7D27"/>
    <w:rsid w:val="003F7D3C"/>
    <w:rsid w:val="003F7D40"/>
    <w:rsid w:val="003F7EA3"/>
    <w:rsid w:val="003F7EC1"/>
    <w:rsid w:val="003F7F02"/>
    <w:rsid w:val="003F7F29"/>
    <w:rsid w:val="003F7F53"/>
    <w:rsid w:val="003F7FB5"/>
    <w:rsid w:val="00400029"/>
    <w:rsid w:val="004000DA"/>
    <w:rsid w:val="004000F6"/>
    <w:rsid w:val="00400194"/>
    <w:rsid w:val="004001B3"/>
    <w:rsid w:val="00400202"/>
    <w:rsid w:val="00400213"/>
    <w:rsid w:val="00400220"/>
    <w:rsid w:val="00400244"/>
    <w:rsid w:val="004002DB"/>
    <w:rsid w:val="0040035D"/>
    <w:rsid w:val="0040035E"/>
    <w:rsid w:val="0040048E"/>
    <w:rsid w:val="0040049B"/>
    <w:rsid w:val="00400521"/>
    <w:rsid w:val="00400562"/>
    <w:rsid w:val="004005F3"/>
    <w:rsid w:val="0040064F"/>
    <w:rsid w:val="0040065A"/>
    <w:rsid w:val="004006AB"/>
    <w:rsid w:val="0040073C"/>
    <w:rsid w:val="0040074A"/>
    <w:rsid w:val="0040079E"/>
    <w:rsid w:val="004007BA"/>
    <w:rsid w:val="004007F3"/>
    <w:rsid w:val="00400840"/>
    <w:rsid w:val="004008B6"/>
    <w:rsid w:val="0040093B"/>
    <w:rsid w:val="00400945"/>
    <w:rsid w:val="00400948"/>
    <w:rsid w:val="004009FF"/>
    <w:rsid w:val="00400A9B"/>
    <w:rsid w:val="00400B26"/>
    <w:rsid w:val="00400B52"/>
    <w:rsid w:val="00400C15"/>
    <w:rsid w:val="00400CD5"/>
    <w:rsid w:val="00400D03"/>
    <w:rsid w:val="00400DBD"/>
    <w:rsid w:val="00400EB9"/>
    <w:rsid w:val="00400EED"/>
    <w:rsid w:val="00400F8F"/>
    <w:rsid w:val="00400FCF"/>
    <w:rsid w:val="00400FFD"/>
    <w:rsid w:val="00401070"/>
    <w:rsid w:val="00401082"/>
    <w:rsid w:val="0040108F"/>
    <w:rsid w:val="004010A5"/>
    <w:rsid w:val="004010EA"/>
    <w:rsid w:val="00401103"/>
    <w:rsid w:val="00401139"/>
    <w:rsid w:val="0040119F"/>
    <w:rsid w:val="004011ED"/>
    <w:rsid w:val="00401224"/>
    <w:rsid w:val="004012F4"/>
    <w:rsid w:val="00401334"/>
    <w:rsid w:val="00401353"/>
    <w:rsid w:val="00401382"/>
    <w:rsid w:val="004013CF"/>
    <w:rsid w:val="00401413"/>
    <w:rsid w:val="00401414"/>
    <w:rsid w:val="00401443"/>
    <w:rsid w:val="00401459"/>
    <w:rsid w:val="00401479"/>
    <w:rsid w:val="0040147D"/>
    <w:rsid w:val="00401485"/>
    <w:rsid w:val="0040149F"/>
    <w:rsid w:val="0040153A"/>
    <w:rsid w:val="004015D1"/>
    <w:rsid w:val="0040161C"/>
    <w:rsid w:val="00401638"/>
    <w:rsid w:val="0040165D"/>
    <w:rsid w:val="00401681"/>
    <w:rsid w:val="00401685"/>
    <w:rsid w:val="004016AF"/>
    <w:rsid w:val="004018C1"/>
    <w:rsid w:val="004018E6"/>
    <w:rsid w:val="004018F4"/>
    <w:rsid w:val="00401906"/>
    <w:rsid w:val="00401910"/>
    <w:rsid w:val="004019EF"/>
    <w:rsid w:val="004019F6"/>
    <w:rsid w:val="00401A8A"/>
    <w:rsid w:val="00401AF7"/>
    <w:rsid w:val="00401B27"/>
    <w:rsid w:val="00401B8F"/>
    <w:rsid w:val="00401C00"/>
    <w:rsid w:val="00401C82"/>
    <w:rsid w:val="00401CE9"/>
    <w:rsid w:val="00401CFB"/>
    <w:rsid w:val="00401D33"/>
    <w:rsid w:val="00401D3F"/>
    <w:rsid w:val="00401D58"/>
    <w:rsid w:val="00401DAE"/>
    <w:rsid w:val="00401E3B"/>
    <w:rsid w:val="00401E80"/>
    <w:rsid w:val="00401F0C"/>
    <w:rsid w:val="00401F46"/>
    <w:rsid w:val="00401F6A"/>
    <w:rsid w:val="00401F8A"/>
    <w:rsid w:val="00402035"/>
    <w:rsid w:val="00402054"/>
    <w:rsid w:val="0040216F"/>
    <w:rsid w:val="00402183"/>
    <w:rsid w:val="0040220C"/>
    <w:rsid w:val="00402210"/>
    <w:rsid w:val="0040223D"/>
    <w:rsid w:val="004022F9"/>
    <w:rsid w:val="00402392"/>
    <w:rsid w:val="0040239B"/>
    <w:rsid w:val="004023A8"/>
    <w:rsid w:val="00402454"/>
    <w:rsid w:val="004024C0"/>
    <w:rsid w:val="00402502"/>
    <w:rsid w:val="00402552"/>
    <w:rsid w:val="00402600"/>
    <w:rsid w:val="00402667"/>
    <w:rsid w:val="00402698"/>
    <w:rsid w:val="004026B2"/>
    <w:rsid w:val="00402708"/>
    <w:rsid w:val="0040271E"/>
    <w:rsid w:val="00402726"/>
    <w:rsid w:val="0040278F"/>
    <w:rsid w:val="004027B5"/>
    <w:rsid w:val="00402838"/>
    <w:rsid w:val="00402874"/>
    <w:rsid w:val="00402894"/>
    <w:rsid w:val="004028D4"/>
    <w:rsid w:val="00402901"/>
    <w:rsid w:val="0040291E"/>
    <w:rsid w:val="0040299D"/>
    <w:rsid w:val="004029F1"/>
    <w:rsid w:val="004029F4"/>
    <w:rsid w:val="00402B19"/>
    <w:rsid w:val="00402B9A"/>
    <w:rsid w:val="00402BA2"/>
    <w:rsid w:val="00402BC2"/>
    <w:rsid w:val="00402BCB"/>
    <w:rsid w:val="00402D1A"/>
    <w:rsid w:val="00402DB7"/>
    <w:rsid w:val="00402DC4"/>
    <w:rsid w:val="00402EFB"/>
    <w:rsid w:val="00402F3E"/>
    <w:rsid w:val="00402F44"/>
    <w:rsid w:val="00403023"/>
    <w:rsid w:val="004031A7"/>
    <w:rsid w:val="00403207"/>
    <w:rsid w:val="0040320B"/>
    <w:rsid w:val="00403212"/>
    <w:rsid w:val="0040327B"/>
    <w:rsid w:val="004033F2"/>
    <w:rsid w:val="00403460"/>
    <w:rsid w:val="0040350D"/>
    <w:rsid w:val="0040353C"/>
    <w:rsid w:val="00403544"/>
    <w:rsid w:val="00403572"/>
    <w:rsid w:val="0040361B"/>
    <w:rsid w:val="00403623"/>
    <w:rsid w:val="00403634"/>
    <w:rsid w:val="004036A2"/>
    <w:rsid w:val="0040375E"/>
    <w:rsid w:val="00403859"/>
    <w:rsid w:val="0040385E"/>
    <w:rsid w:val="0040393D"/>
    <w:rsid w:val="00403A39"/>
    <w:rsid w:val="00403AE4"/>
    <w:rsid w:val="00403B08"/>
    <w:rsid w:val="00403BA5"/>
    <w:rsid w:val="00403C03"/>
    <w:rsid w:val="00403C79"/>
    <w:rsid w:val="00403D19"/>
    <w:rsid w:val="00403D77"/>
    <w:rsid w:val="00403E49"/>
    <w:rsid w:val="00403E4C"/>
    <w:rsid w:val="00403F34"/>
    <w:rsid w:val="00404129"/>
    <w:rsid w:val="004041A6"/>
    <w:rsid w:val="004041E4"/>
    <w:rsid w:val="0040428A"/>
    <w:rsid w:val="004042BC"/>
    <w:rsid w:val="00404362"/>
    <w:rsid w:val="00404364"/>
    <w:rsid w:val="0040438F"/>
    <w:rsid w:val="004043D9"/>
    <w:rsid w:val="0040440D"/>
    <w:rsid w:val="00404418"/>
    <w:rsid w:val="00404423"/>
    <w:rsid w:val="00404448"/>
    <w:rsid w:val="004044C2"/>
    <w:rsid w:val="004044D7"/>
    <w:rsid w:val="00404595"/>
    <w:rsid w:val="0040466F"/>
    <w:rsid w:val="004046B1"/>
    <w:rsid w:val="00404719"/>
    <w:rsid w:val="0040474E"/>
    <w:rsid w:val="004047BC"/>
    <w:rsid w:val="004047E4"/>
    <w:rsid w:val="00404822"/>
    <w:rsid w:val="0040484E"/>
    <w:rsid w:val="00404860"/>
    <w:rsid w:val="00404A04"/>
    <w:rsid w:val="00404A65"/>
    <w:rsid w:val="00404A7F"/>
    <w:rsid w:val="00404AB2"/>
    <w:rsid w:val="00404BA6"/>
    <w:rsid w:val="00404BD2"/>
    <w:rsid w:val="00404C98"/>
    <w:rsid w:val="00404CE6"/>
    <w:rsid w:val="00404D07"/>
    <w:rsid w:val="00404D21"/>
    <w:rsid w:val="00404DE3"/>
    <w:rsid w:val="00404E7E"/>
    <w:rsid w:val="00404F23"/>
    <w:rsid w:val="00404F6A"/>
    <w:rsid w:val="00404FFA"/>
    <w:rsid w:val="0040505B"/>
    <w:rsid w:val="0040506C"/>
    <w:rsid w:val="004050A4"/>
    <w:rsid w:val="00405105"/>
    <w:rsid w:val="00405213"/>
    <w:rsid w:val="00405256"/>
    <w:rsid w:val="004052A4"/>
    <w:rsid w:val="00405372"/>
    <w:rsid w:val="004053B9"/>
    <w:rsid w:val="004053C0"/>
    <w:rsid w:val="004053DB"/>
    <w:rsid w:val="00405445"/>
    <w:rsid w:val="00405484"/>
    <w:rsid w:val="00405489"/>
    <w:rsid w:val="00405556"/>
    <w:rsid w:val="00405566"/>
    <w:rsid w:val="0040557E"/>
    <w:rsid w:val="004056DF"/>
    <w:rsid w:val="00405766"/>
    <w:rsid w:val="0040576B"/>
    <w:rsid w:val="0040578B"/>
    <w:rsid w:val="004057A3"/>
    <w:rsid w:val="004057E9"/>
    <w:rsid w:val="0040581C"/>
    <w:rsid w:val="004058BB"/>
    <w:rsid w:val="0040593B"/>
    <w:rsid w:val="00405990"/>
    <w:rsid w:val="004059C6"/>
    <w:rsid w:val="00405A80"/>
    <w:rsid w:val="00405A91"/>
    <w:rsid w:val="00405B3C"/>
    <w:rsid w:val="00405BA6"/>
    <w:rsid w:val="00405C4F"/>
    <w:rsid w:val="00405C6D"/>
    <w:rsid w:val="00405C72"/>
    <w:rsid w:val="00405C9C"/>
    <w:rsid w:val="00405CC9"/>
    <w:rsid w:val="00405D86"/>
    <w:rsid w:val="00405E63"/>
    <w:rsid w:val="00405EC7"/>
    <w:rsid w:val="00405ED1"/>
    <w:rsid w:val="00406106"/>
    <w:rsid w:val="0040610F"/>
    <w:rsid w:val="00406140"/>
    <w:rsid w:val="00406189"/>
    <w:rsid w:val="00406190"/>
    <w:rsid w:val="004061B8"/>
    <w:rsid w:val="00406225"/>
    <w:rsid w:val="0040626E"/>
    <w:rsid w:val="00406272"/>
    <w:rsid w:val="00406278"/>
    <w:rsid w:val="004062A2"/>
    <w:rsid w:val="004062DB"/>
    <w:rsid w:val="0040631B"/>
    <w:rsid w:val="00406322"/>
    <w:rsid w:val="0040632A"/>
    <w:rsid w:val="0040635E"/>
    <w:rsid w:val="0040635F"/>
    <w:rsid w:val="004063AA"/>
    <w:rsid w:val="00406475"/>
    <w:rsid w:val="004064D6"/>
    <w:rsid w:val="004064D9"/>
    <w:rsid w:val="004064DF"/>
    <w:rsid w:val="00406525"/>
    <w:rsid w:val="00406538"/>
    <w:rsid w:val="00406544"/>
    <w:rsid w:val="00406545"/>
    <w:rsid w:val="004066BC"/>
    <w:rsid w:val="0040670A"/>
    <w:rsid w:val="00406760"/>
    <w:rsid w:val="0040683D"/>
    <w:rsid w:val="0040688F"/>
    <w:rsid w:val="004068D9"/>
    <w:rsid w:val="00406916"/>
    <w:rsid w:val="00406936"/>
    <w:rsid w:val="00406973"/>
    <w:rsid w:val="004069F4"/>
    <w:rsid w:val="00406A1F"/>
    <w:rsid w:val="00406A25"/>
    <w:rsid w:val="00406B09"/>
    <w:rsid w:val="00406B21"/>
    <w:rsid w:val="00406B5C"/>
    <w:rsid w:val="00406BF1"/>
    <w:rsid w:val="00406C09"/>
    <w:rsid w:val="00406C64"/>
    <w:rsid w:val="00406C92"/>
    <w:rsid w:val="00406CFD"/>
    <w:rsid w:val="00406D25"/>
    <w:rsid w:val="00406D38"/>
    <w:rsid w:val="00406DBC"/>
    <w:rsid w:val="00406DC3"/>
    <w:rsid w:val="00406ECA"/>
    <w:rsid w:val="00406EF5"/>
    <w:rsid w:val="00406F23"/>
    <w:rsid w:val="00406F7E"/>
    <w:rsid w:val="00406FA9"/>
    <w:rsid w:val="00407019"/>
    <w:rsid w:val="004070B6"/>
    <w:rsid w:val="004070CD"/>
    <w:rsid w:val="00407137"/>
    <w:rsid w:val="004071AD"/>
    <w:rsid w:val="004071B3"/>
    <w:rsid w:val="00407202"/>
    <w:rsid w:val="00407266"/>
    <w:rsid w:val="004072AF"/>
    <w:rsid w:val="0040735B"/>
    <w:rsid w:val="0040736A"/>
    <w:rsid w:val="004073E0"/>
    <w:rsid w:val="00407475"/>
    <w:rsid w:val="004074CE"/>
    <w:rsid w:val="004074FD"/>
    <w:rsid w:val="00407565"/>
    <w:rsid w:val="004075A0"/>
    <w:rsid w:val="004075D4"/>
    <w:rsid w:val="00407613"/>
    <w:rsid w:val="0040763D"/>
    <w:rsid w:val="0040767F"/>
    <w:rsid w:val="004076D8"/>
    <w:rsid w:val="00407726"/>
    <w:rsid w:val="00407746"/>
    <w:rsid w:val="004077C6"/>
    <w:rsid w:val="004077F3"/>
    <w:rsid w:val="004078A4"/>
    <w:rsid w:val="004078D5"/>
    <w:rsid w:val="00407979"/>
    <w:rsid w:val="00407A04"/>
    <w:rsid w:val="00407A28"/>
    <w:rsid w:val="00407A33"/>
    <w:rsid w:val="00407A7A"/>
    <w:rsid w:val="00407A9E"/>
    <w:rsid w:val="00407B31"/>
    <w:rsid w:val="00407B3A"/>
    <w:rsid w:val="00407BEA"/>
    <w:rsid w:val="00407C0D"/>
    <w:rsid w:val="00407C3E"/>
    <w:rsid w:val="00407C88"/>
    <w:rsid w:val="00407CBE"/>
    <w:rsid w:val="00407CE8"/>
    <w:rsid w:val="00407DD9"/>
    <w:rsid w:val="00407E6E"/>
    <w:rsid w:val="00407ED3"/>
    <w:rsid w:val="00407F19"/>
    <w:rsid w:val="00407F26"/>
    <w:rsid w:val="00407F40"/>
    <w:rsid w:val="00407FBE"/>
    <w:rsid w:val="00407FD6"/>
    <w:rsid w:val="0041002C"/>
    <w:rsid w:val="00410082"/>
    <w:rsid w:val="004100CE"/>
    <w:rsid w:val="00410126"/>
    <w:rsid w:val="00410157"/>
    <w:rsid w:val="00410164"/>
    <w:rsid w:val="0041018E"/>
    <w:rsid w:val="004101BF"/>
    <w:rsid w:val="004101DD"/>
    <w:rsid w:val="00410231"/>
    <w:rsid w:val="004102ED"/>
    <w:rsid w:val="00410340"/>
    <w:rsid w:val="00410358"/>
    <w:rsid w:val="004103A9"/>
    <w:rsid w:val="004103BF"/>
    <w:rsid w:val="00410402"/>
    <w:rsid w:val="00410443"/>
    <w:rsid w:val="00410505"/>
    <w:rsid w:val="0041050F"/>
    <w:rsid w:val="00410545"/>
    <w:rsid w:val="00410564"/>
    <w:rsid w:val="00410579"/>
    <w:rsid w:val="00410651"/>
    <w:rsid w:val="0041075A"/>
    <w:rsid w:val="00410782"/>
    <w:rsid w:val="0041079B"/>
    <w:rsid w:val="004107DC"/>
    <w:rsid w:val="00410819"/>
    <w:rsid w:val="0041094E"/>
    <w:rsid w:val="0041095A"/>
    <w:rsid w:val="0041099E"/>
    <w:rsid w:val="00410AD5"/>
    <w:rsid w:val="00410BB8"/>
    <w:rsid w:val="00410BC4"/>
    <w:rsid w:val="00410BFA"/>
    <w:rsid w:val="00410CE3"/>
    <w:rsid w:val="00410E62"/>
    <w:rsid w:val="00410EC4"/>
    <w:rsid w:val="00410ED0"/>
    <w:rsid w:val="00410FD0"/>
    <w:rsid w:val="0041115E"/>
    <w:rsid w:val="00411218"/>
    <w:rsid w:val="004112C4"/>
    <w:rsid w:val="004112CE"/>
    <w:rsid w:val="00411315"/>
    <w:rsid w:val="00411338"/>
    <w:rsid w:val="004113A5"/>
    <w:rsid w:val="004113B4"/>
    <w:rsid w:val="004113C1"/>
    <w:rsid w:val="004113CC"/>
    <w:rsid w:val="004113CF"/>
    <w:rsid w:val="0041149C"/>
    <w:rsid w:val="00411576"/>
    <w:rsid w:val="004115B2"/>
    <w:rsid w:val="004115C0"/>
    <w:rsid w:val="004115CA"/>
    <w:rsid w:val="0041164B"/>
    <w:rsid w:val="0041166C"/>
    <w:rsid w:val="004116D1"/>
    <w:rsid w:val="004116F5"/>
    <w:rsid w:val="004116FB"/>
    <w:rsid w:val="00411788"/>
    <w:rsid w:val="004117E0"/>
    <w:rsid w:val="0041180F"/>
    <w:rsid w:val="00411821"/>
    <w:rsid w:val="00411896"/>
    <w:rsid w:val="004118AC"/>
    <w:rsid w:val="004118E7"/>
    <w:rsid w:val="00411942"/>
    <w:rsid w:val="004119E1"/>
    <w:rsid w:val="00411A2E"/>
    <w:rsid w:val="00411AD0"/>
    <w:rsid w:val="00411B55"/>
    <w:rsid w:val="00411B77"/>
    <w:rsid w:val="00411CE9"/>
    <w:rsid w:val="00411DD2"/>
    <w:rsid w:val="00411E2C"/>
    <w:rsid w:val="0041205C"/>
    <w:rsid w:val="00412061"/>
    <w:rsid w:val="004120D0"/>
    <w:rsid w:val="004120DD"/>
    <w:rsid w:val="004120FC"/>
    <w:rsid w:val="00412161"/>
    <w:rsid w:val="0041218D"/>
    <w:rsid w:val="004121AA"/>
    <w:rsid w:val="00412217"/>
    <w:rsid w:val="00412228"/>
    <w:rsid w:val="00412284"/>
    <w:rsid w:val="004122D5"/>
    <w:rsid w:val="004122F4"/>
    <w:rsid w:val="0041230B"/>
    <w:rsid w:val="00412342"/>
    <w:rsid w:val="0041235F"/>
    <w:rsid w:val="004123DA"/>
    <w:rsid w:val="004123DE"/>
    <w:rsid w:val="00412461"/>
    <w:rsid w:val="00412467"/>
    <w:rsid w:val="00412480"/>
    <w:rsid w:val="004124BD"/>
    <w:rsid w:val="004124F8"/>
    <w:rsid w:val="00412549"/>
    <w:rsid w:val="0041264D"/>
    <w:rsid w:val="00412672"/>
    <w:rsid w:val="0041276D"/>
    <w:rsid w:val="0041279D"/>
    <w:rsid w:val="004127F6"/>
    <w:rsid w:val="004127FB"/>
    <w:rsid w:val="004128C6"/>
    <w:rsid w:val="00412918"/>
    <w:rsid w:val="00412973"/>
    <w:rsid w:val="0041299D"/>
    <w:rsid w:val="004129A9"/>
    <w:rsid w:val="00412A2B"/>
    <w:rsid w:val="00412A3D"/>
    <w:rsid w:val="00412A7E"/>
    <w:rsid w:val="00412ABD"/>
    <w:rsid w:val="00412AFA"/>
    <w:rsid w:val="00412B5A"/>
    <w:rsid w:val="00412BD3"/>
    <w:rsid w:val="00412BEA"/>
    <w:rsid w:val="00412C05"/>
    <w:rsid w:val="00412C08"/>
    <w:rsid w:val="00412D32"/>
    <w:rsid w:val="00412D88"/>
    <w:rsid w:val="00412DC7"/>
    <w:rsid w:val="00412F30"/>
    <w:rsid w:val="00412F63"/>
    <w:rsid w:val="00412F81"/>
    <w:rsid w:val="00413095"/>
    <w:rsid w:val="004130A3"/>
    <w:rsid w:val="004130E8"/>
    <w:rsid w:val="00413149"/>
    <w:rsid w:val="004131E2"/>
    <w:rsid w:val="00413249"/>
    <w:rsid w:val="00413311"/>
    <w:rsid w:val="0041337F"/>
    <w:rsid w:val="00413381"/>
    <w:rsid w:val="00413473"/>
    <w:rsid w:val="004134B8"/>
    <w:rsid w:val="004134C9"/>
    <w:rsid w:val="00413514"/>
    <w:rsid w:val="00413523"/>
    <w:rsid w:val="00413559"/>
    <w:rsid w:val="00413575"/>
    <w:rsid w:val="004135AC"/>
    <w:rsid w:val="004136EE"/>
    <w:rsid w:val="00413711"/>
    <w:rsid w:val="00413739"/>
    <w:rsid w:val="00413789"/>
    <w:rsid w:val="004138B2"/>
    <w:rsid w:val="004138C1"/>
    <w:rsid w:val="004138C8"/>
    <w:rsid w:val="00413920"/>
    <w:rsid w:val="00413953"/>
    <w:rsid w:val="00413966"/>
    <w:rsid w:val="00413995"/>
    <w:rsid w:val="00413A3C"/>
    <w:rsid w:val="00413A46"/>
    <w:rsid w:val="00413A49"/>
    <w:rsid w:val="00413A6D"/>
    <w:rsid w:val="00413B8A"/>
    <w:rsid w:val="00413D33"/>
    <w:rsid w:val="00413E07"/>
    <w:rsid w:val="00413E2A"/>
    <w:rsid w:val="00413E3B"/>
    <w:rsid w:val="00413E61"/>
    <w:rsid w:val="00413EE1"/>
    <w:rsid w:val="00413EF0"/>
    <w:rsid w:val="00413F19"/>
    <w:rsid w:val="00413F63"/>
    <w:rsid w:val="00413F8A"/>
    <w:rsid w:val="004140D9"/>
    <w:rsid w:val="0041411C"/>
    <w:rsid w:val="00414161"/>
    <w:rsid w:val="00414166"/>
    <w:rsid w:val="00414167"/>
    <w:rsid w:val="004141D2"/>
    <w:rsid w:val="004141F6"/>
    <w:rsid w:val="004141F9"/>
    <w:rsid w:val="00414264"/>
    <w:rsid w:val="004142EC"/>
    <w:rsid w:val="004142FF"/>
    <w:rsid w:val="00414362"/>
    <w:rsid w:val="0041446E"/>
    <w:rsid w:val="00414473"/>
    <w:rsid w:val="00414491"/>
    <w:rsid w:val="004144D0"/>
    <w:rsid w:val="00414524"/>
    <w:rsid w:val="004145C0"/>
    <w:rsid w:val="00414633"/>
    <w:rsid w:val="0041468C"/>
    <w:rsid w:val="004146C5"/>
    <w:rsid w:val="004146DC"/>
    <w:rsid w:val="004146E5"/>
    <w:rsid w:val="004146FA"/>
    <w:rsid w:val="00414709"/>
    <w:rsid w:val="0041483F"/>
    <w:rsid w:val="00414855"/>
    <w:rsid w:val="0041486E"/>
    <w:rsid w:val="004148BA"/>
    <w:rsid w:val="00414945"/>
    <w:rsid w:val="00414995"/>
    <w:rsid w:val="00414A4D"/>
    <w:rsid w:val="00414AC8"/>
    <w:rsid w:val="00414AFA"/>
    <w:rsid w:val="00414AFB"/>
    <w:rsid w:val="00414B21"/>
    <w:rsid w:val="00414B52"/>
    <w:rsid w:val="00414B5B"/>
    <w:rsid w:val="00414C69"/>
    <w:rsid w:val="00414C75"/>
    <w:rsid w:val="00414C86"/>
    <w:rsid w:val="00414C8B"/>
    <w:rsid w:val="00414CAB"/>
    <w:rsid w:val="00414CD7"/>
    <w:rsid w:val="00414CE3"/>
    <w:rsid w:val="00414D25"/>
    <w:rsid w:val="00414D79"/>
    <w:rsid w:val="00414D98"/>
    <w:rsid w:val="00414DB9"/>
    <w:rsid w:val="00414DEE"/>
    <w:rsid w:val="00414E07"/>
    <w:rsid w:val="00414E87"/>
    <w:rsid w:val="00414E8B"/>
    <w:rsid w:val="00414EE2"/>
    <w:rsid w:val="00414FF9"/>
    <w:rsid w:val="00415010"/>
    <w:rsid w:val="0041503C"/>
    <w:rsid w:val="00415052"/>
    <w:rsid w:val="00415053"/>
    <w:rsid w:val="00415054"/>
    <w:rsid w:val="0041507D"/>
    <w:rsid w:val="00415094"/>
    <w:rsid w:val="004150CA"/>
    <w:rsid w:val="004150DF"/>
    <w:rsid w:val="004150F8"/>
    <w:rsid w:val="004150FB"/>
    <w:rsid w:val="00415164"/>
    <w:rsid w:val="00415180"/>
    <w:rsid w:val="0041518E"/>
    <w:rsid w:val="004151CA"/>
    <w:rsid w:val="00415238"/>
    <w:rsid w:val="00415279"/>
    <w:rsid w:val="0041529E"/>
    <w:rsid w:val="00415341"/>
    <w:rsid w:val="00415424"/>
    <w:rsid w:val="00415474"/>
    <w:rsid w:val="004154A2"/>
    <w:rsid w:val="00415505"/>
    <w:rsid w:val="00415550"/>
    <w:rsid w:val="00415563"/>
    <w:rsid w:val="0041559C"/>
    <w:rsid w:val="004155B0"/>
    <w:rsid w:val="004155BE"/>
    <w:rsid w:val="004155D4"/>
    <w:rsid w:val="00415647"/>
    <w:rsid w:val="0041565C"/>
    <w:rsid w:val="00415691"/>
    <w:rsid w:val="004156E6"/>
    <w:rsid w:val="004156FB"/>
    <w:rsid w:val="00415701"/>
    <w:rsid w:val="0041575C"/>
    <w:rsid w:val="0041583F"/>
    <w:rsid w:val="00415874"/>
    <w:rsid w:val="00415920"/>
    <w:rsid w:val="00415981"/>
    <w:rsid w:val="00415982"/>
    <w:rsid w:val="00415990"/>
    <w:rsid w:val="004159E6"/>
    <w:rsid w:val="004159FA"/>
    <w:rsid w:val="00415A21"/>
    <w:rsid w:val="00415AC0"/>
    <w:rsid w:val="00415B43"/>
    <w:rsid w:val="00415B44"/>
    <w:rsid w:val="00415BD2"/>
    <w:rsid w:val="00415C0A"/>
    <w:rsid w:val="00415C2B"/>
    <w:rsid w:val="00415C2C"/>
    <w:rsid w:val="00415C3D"/>
    <w:rsid w:val="00415C57"/>
    <w:rsid w:val="00415D1F"/>
    <w:rsid w:val="00415D90"/>
    <w:rsid w:val="00415DDB"/>
    <w:rsid w:val="00415E9A"/>
    <w:rsid w:val="00415EDB"/>
    <w:rsid w:val="00415EE2"/>
    <w:rsid w:val="00415EE9"/>
    <w:rsid w:val="00415F2A"/>
    <w:rsid w:val="00415F2D"/>
    <w:rsid w:val="00415F62"/>
    <w:rsid w:val="00415F75"/>
    <w:rsid w:val="0041603F"/>
    <w:rsid w:val="0041604E"/>
    <w:rsid w:val="004160FF"/>
    <w:rsid w:val="0041612D"/>
    <w:rsid w:val="00416169"/>
    <w:rsid w:val="004161D2"/>
    <w:rsid w:val="0041620C"/>
    <w:rsid w:val="00416231"/>
    <w:rsid w:val="00416278"/>
    <w:rsid w:val="004162BD"/>
    <w:rsid w:val="004163B0"/>
    <w:rsid w:val="00416446"/>
    <w:rsid w:val="0041647B"/>
    <w:rsid w:val="004164EB"/>
    <w:rsid w:val="00416524"/>
    <w:rsid w:val="004165A7"/>
    <w:rsid w:val="00416649"/>
    <w:rsid w:val="00416679"/>
    <w:rsid w:val="004166AB"/>
    <w:rsid w:val="00416703"/>
    <w:rsid w:val="00416738"/>
    <w:rsid w:val="00416762"/>
    <w:rsid w:val="00416765"/>
    <w:rsid w:val="0041679C"/>
    <w:rsid w:val="0041681A"/>
    <w:rsid w:val="0041681E"/>
    <w:rsid w:val="00416838"/>
    <w:rsid w:val="00416885"/>
    <w:rsid w:val="004168F2"/>
    <w:rsid w:val="0041695B"/>
    <w:rsid w:val="00416968"/>
    <w:rsid w:val="004169B9"/>
    <w:rsid w:val="004169C3"/>
    <w:rsid w:val="00416A62"/>
    <w:rsid w:val="00416B1F"/>
    <w:rsid w:val="00416B3C"/>
    <w:rsid w:val="00416BF4"/>
    <w:rsid w:val="00416C45"/>
    <w:rsid w:val="00416C61"/>
    <w:rsid w:val="00416C8D"/>
    <w:rsid w:val="00416C8F"/>
    <w:rsid w:val="00416D39"/>
    <w:rsid w:val="00416D3E"/>
    <w:rsid w:val="00416D49"/>
    <w:rsid w:val="00416DEA"/>
    <w:rsid w:val="00416E2A"/>
    <w:rsid w:val="00416E3D"/>
    <w:rsid w:val="00416E55"/>
    <w:rsid w:val="00416E9F"/>
    <w:rsid w:val="00416EEB"/>
    <w:rsid w:val="00416FA1"/>
    <w:rsid w:val="00417061"/>
    <w:rsid w:val="004170FB"/>
    <w:rsid w:val="00417177"/>
    <w:rsid w:val="0041717E"/>
    <w:rsid w:val="00417250"/>
    <w:rsid w:val="00417319"/>
    <w:rsid w:val="00417334"/>
    <w:rsid w:val="004173DE"/>
    <w:rsid w:val="0041742D"/>
    <w:rsid w:val="0041745F"/>
    <w:rsid w:val="0041750A"/>
    <w:rsid w:val="004175CA"/>
    <w:rsid w:val="00417673"/>
    <w:rsid w:val="00417689"/>
    <w:rsid w:val="004176FC"/>
    <w:rsid w:val="0041778F"/>
    <w:rsid w:val="0041779D"/>
    <w:rsid w:val="004177B8"/>
    <w:rsid w:val="00417870"/>
    <w:rsid w:val="004178EA"/>
    <w:rsid w:val="00417916"/>
    <w:rsid w:val="0041793B"/>
    <w:rsid w:val="00417982"/>
    <w:rsid w:val="004179DD"/>
    <w:rsid w:val="00417A69"/>
    <w:rsid w:val="00417AB5"/>
    <w:rsid w:val="00417B17"/>
    <w:rsid w:val="00417B9E"/>
    <w:rsid w:val="00417C34"/>
    <w:rsid w:val="00417C7F"/>
    <w:rsid w:val="00417C97"/>
    <w:rsid w:val="00417D44"/>
    <w:rsid w:val="00417D81"/>
    <w:rsid w:val="00417D96"/>
    <w:rsid w:val="00417D9F"/>
    <w:rsid w:val="00417DC7"/>
    <w:rsid w:val="00417DDD"/>
    <w:rsid w:val="00417E24"/>
    <w:rsid w:val="00417E8F"/>
    <w:rsid w:val="00417F18"/>
    <w:rsid w:val="00417F3A"/>
    <w:rsid w:val="00417FE4"/>
    <w:rsid w:val="00417FFD"/>
    <w:rsid w:val="0042003A"/>
    <w:rsid w:val="0042003D"/>
    <w:rsid w:val="0042004B"/>
    <w:rsid w:val="0042009D"/>
    <w:rsid w:val="0042010C"/>
    <w:rsid w:val="0042017C"/>
    <w:rsid w:val="00420268"/>
    <w:rsid w:val="00420327"/>
    <w:rsid w:val="0042033E"/>
    <w:rsid w:val="00420362"/>
    <w:rsid w:val="004204AD"/>
    <w:rsid w:val="0042052E"/>
    <w:rsid w:val="00420569"/>
    <w:rsid w:val="00420686"/>
    <w:rsid w:val="0042073D"/>
    <w:rsid w:val="0042078F"/>
    <w:rsid w:val="004207AD"/>
    <w:rsid w:val="004207BF"/>
    <w:rsid w:val="0042090E"/>
    <w:rsid w:val="00420A29"/>
    <w:rsid w:val="00420A44"/>
    <w:rsid w:val="00420A81"/>
    <w:rsid w:val="00420B8A"/>
    <w:rsid w:val="00420BC9"/>
    <w:rsid w:val="00420BCB"/>
    <w:rsid w:val="00420C3B"/>
    <w:rsid w:val="00420C61"/>
    <w:rsid w:val="00420C89"/>
    <w:rsid w:val="00420CB3"/>
    <w:rsid w:val="00420CBC"/>
    <w:rsid w:val="00420D1E"/>
    <w:rsid w:val="00420D66"/>
    <w:rsid w:val="00420D97"/>
    <w:rsid w:val="00420DB2"/>
    <w:rsid w:val="00420DE8"/>
    <w:rsid w:val="00420EC8"/>
    <w:rsid w:val="00420EEA"/>
    <w:rsid w:val="00420F00"/>
    <w:rsid w:val="00420FF4"/>
    <w:rsid w:val="00421006"/>
    <w:rsid w:val="00421061"/>
    <w:rsid w:val="00421080"/>
    <w:rsid w:val="00421136"/>
    <w:rsid w:val="004211A0"/>
    <w:rsid w:val="004211AA"/>
    <w:rsid w:val="00421223"/>
    <w:rsid w:val="004212A7"/>
    <w:rsid w:val="004212A9"/>
    <w:rsid w:val="004212E4"/>
    <w:rsid w:val="0042138B"/>
    <w:rsid w:val="004213CC"/>
    <w:rsid w:val="0042143B"/>
    <w:rsid w:val="004214FC"/>
    <w:rsid w:val="00421501"/>
    <w:rsid w:val="00421507"/>
    <w:rsid w:val="00421517"/>
    <w:rsid w:val="0042152F"/>
    <w:rsid w:val="0042154B"/>
    <w:rsid w:val="004215B3"/>
    <w:rsid w:val="004215D8"/>
    <w:rsid w:val="00421616"/>
    <w:rsid w:val="0042163E"/>
    <w:rsid w:val="00421698"/>
    <w:rsid w:val="0042172A"/>
    <w:rsid w:val="0042173B"/>
    <w:rsid w:val="00421755"/>
    <w:rsid w:val="004218F3"/>
    <w:rsid w:val="0042193D"/>
    <w:rsid w:val="00421955"/>
    <w:rsid w:val="004219E7"/>
    <w:rsid w:val="00421A33"/>
    <w:rsid w:val="00421AEC"/>
    <w:rsid w:val="00421B15"/>
    <w:rsid w:val="00421B1B"/>
    <w:rsid w:val="00421C3B"/>
    <w:rsid w:val="00421C7B"/>
    <w:rsid w:val="00421D3E"/>
    <w:rsid w:val="00421D9E"/>
    <w:rsid w:val="00421E6C"/>
    <w:rsid w:val="00421EC7"/>
    <w:rsid w:val="00421F50"/>
    <w:rsid w:val="00421F56"/>
    <w:rsid w:val="00421F6E"/>
    <w:rsid w:val="00421F95"/>
    <w:rsid w:val="00421FBC"/>
    <w:rsid w:val="00422044"/>
    <w:rsid w:val="0042205C"/>
    <w:rsid w:val="00422162"/>
    <w:rsid w:val="004221D0"/>
    <w:rsid w:val="004221F9"/>
    <w:rsid w:val="0042222C"/>
    <w:rsid w:val="00422295"/>
    <w:rsid w:val="004222C4"/>
    <w:rsid w:val="0042242B"/>
    <w:rsid w:val="0042242D"/>
    <w:rsid w:val="00422495"/>
    <w:rsid w:val="004224E7"/>
    <w:rsid w:val="0042254B"/>
    <w:rsid w:val="00422598"/>
    <w:rsid w:val="004225D9"/>
    <w:rsid w:val="0042269C"/>
    <w:rsid w:val="004226B5"/>
    <w:rsid w:val="0042270A"/>
    <w:rsid w:val="00422733"/>
    <w:rsid w:val="004227F5"/>
    <w:rsid w:val="0042286F"/>
    <w:rsid w:val="004228A7"/>
    <w:rsid w:val="0042290F"/>
    <w:rsid w:val="00422933"/>
    <w:rsid w:val="00422986"/>
    <w:rsid w:val="00422A11"/>
    <w:rsid w:val="00422A3A"/>
    <w:rsid w:val="00422A5A"/>
    <w:rsid w:val="00422A8E"/>
    <w:rsid w:val="00422AA4"/>
    <w:rsid w:val="00422AC9"/>
    <w:rsid w:val="00422B3B"/>
    <w:rsid w:val="00422BA9"/>
    <w:rsid w:val="00422BDA"/>
    <w:rsid w:val="00422C2D"/>
    <w:rsid w:val="00422C67"/>
    <w:rsid w:val="00422C6B"/>
    <w:rsid w:val="00422C96"/>
    <w:rsid w:val="00422D18"/>
    <w:rsid w:val="00422DB5"/>
    <w:rsid w:val="00422DBE"/>
    <w:rsid w:val="00422E65"/>
    <w:rsid w:val="00422EE2"/>
    <w:rsid w:val="00422F1A"/>
    <w:rsid w:val="00422F59"/>
    <w:rsid w:val="00423002"/>
    <w:rsid w:val="0042307D"/>
    <w:rsid w:val="00423156"/>
    <w:rsid w:val="0042318D"/>
    <w:rsid w:val="004231DD"/>
    <w:rsid w:val="004232EA"/>
    <w:rsid w:val="00423364"/>
    <w:rsid w:val="0042339D"/>
    <w:rsid w:val="004233D8"/>
    <w:rsid w:val="004233E1"/>
    <w:rsid w:val="00423440"/>
    <w:rsid w:val="00423485"/>
    <w:rsid w:val="0042348B"/>
    <w:rsid w:val="004234D3"/>
    <w:rsid w:val="004235C2"/>
    <w:rsid w:val="0042361C"/>
    <w:rsid w:val="0042367A"/>
    <w:rsid w:val="00423701"/>
    <w:rsid w:val="00423714"/>
    <w:rsid w:val="0042374A"/>
    <w:rsid w:val="00423781"/>
    <w:rsid w:val="004237FC"/>
    <w:rsid w:val="00423801"/>
    <w:rsid w:val="00423843"/>
    <w:rsid w:val="00423846"/>
    <w:rsid w:val="0042387F"/>
    <w:rsid w:val="004238AC"/>
    <w:rsid w:val="004238EB"/>
    <w:rsid w:val="0042396A"/>
    <w:rsid w:val="004239D7"/>
    <w:rsid w:val="00423A69"/>
    <w:rsid w:val="00423A83"/>
    <w:rsid w:val="00423B5D"/>
    <w:rsid w:val="00423C6C"/>
    <w:rsid w:val="00423D02"/>
    <w:rsid w:val="00423D32"/>
    <w:rsid w:val="00423D71"/>
    <w:rsid w:val="00423DDD"/>
    <w:rsid w:val="00423E17"/>
    <w:rsid w:val="00423E77"/>
    <w:rsid w:val="00423E94"/>
    <w:rsid w:val="00423ECF"/>
    <w:rsid w:val="00423F27"/>
    <w:rsid w:val="00423F3E"/>
    <w:rsid w:val="00423F43"/>
    <w:rsid w:val="00423FD5"/>
    <w:rsid w:val="00424104"/>
    <w:rsid w:val="00424123"/>
    <w:rsid w:val="00424197"/>
    <w:rsid w:val="00424286"/>
    <w:rsid w:val="00424320"/>
    <w:rsid w:val="00424350"/>
    <w:rsid w:val="00424370"/>
    <w:rsid w:val="004243BA"/>
    <w:rsid w:val="004243D8"/>
    <w:rsid w:val="00424487"/>
    <w:rsid w:val="00424562"/>
    <w:rsid w:val="0042456C"/>
    <w:rsid w:val="004245F9"/>
    <w:rsid w:val="00424729"/>
    <w:rsid w:val="00424737"/>
    <w:rsid w:val="00424764"/>
    <w:rsid w:val="00424792"/>
    <w:rsid w:val="004247A1"/>
    <w:rsid w:val="004247B1"/>
    <w:rsid w:val="0042481E"/>
    <w:rsid w:val="004248C9"/>
    <w:rsid w:val="00424969"/>
    <w:rsid w:val="0042497B"/>
    <w:rsid w:val="0042498E"/>
    <w:rsid w:val="00424A2C"/>
    <w:rsid w:val="00424B48"/>
    <w:rsid w:val="00424B60"/>
    <w:rsid w:val="00424B78"/>
    <w:rsid w:val="00424BC2"/>
    <w:rsid w:val="00424BEB"/>
    <w:rsid w:val="00424C63"/>
    <w:rsid w:val="00424D04"/>
    <w:rsid w:val="00424D48"/>
    <w:rsid w:val="00424D52"/>
    <w:rsid w:val="00424D57"/>
    <w:rsid w:val="00424DC7"/>
    <w:rsid w:val="00424E71"/>
    <w:rsid w:val="00424E83"/>
    <w:rsid w:val="00424EAA"/>
    <w:rsid w:val="00424EB4"/>
    <w:rsid w:val="00424EF9"/>
    <w:rsid w:val="00424F8C"/>
    <w:rsid w:val="00424FB1"/>
    <w:rsid w:val="00424FE7"/>
    <w:rsid w:val="00425023"/>
    <w:rsid w:val="00425099"/>
    <w:rsid w:val="0042517F"/>
    <w:rsid w:val="0042518A"/>
    <w:rsid w:val="004251BF"/>
    <w:rsid w:val="004251C9"/>
    <w:rsid w:val="00425206"/>
    <w:rsid w:val="00425207"/>
    <w:rsid w:val="00425258"/>
    <w:rsid w:val="00425341"/>
    <w:rsid w:val="0042535F"/>
    <w:rsid w:val="0042538F"/>
    <w:rsid w:val="004253D3"/>
    <w:rsid w:val="004253E5"/>
    <w:rsid w:val="004254A2"/>
    <w:rsid w:val="004254A7"/>
    <w:rsid w:val="004254F0"/>
    <w:rsid w:val="004254F7"/>
    <w:rsid w:val="00425605"/>
    <w:rsid w:val="0042566A"/>
    <w:rsid w:val="00425679"/>
    <w:rsid w:val="00425749"/>
    <w:rsid w:val="00425796"/>
    <w:rsid w:val="004257AB"/>
    <w:rsid w:val="0042581D"/>
    <w:rsid w:val="00425843"/>
    <w:rsid w:val="00425862"/>
    <w:rsid w:val="004258CF"/>
    <w:rsid w:val="00425A32"/>
    <w:rsid w:val="00425A39"/>
    <w:rsid w:val="00425AEB"/>
    <w:rsid w:val="00425AF1"/>
    <w:rsid w:val="00425B1A"/>
    <w:rsid w:val="00425BA5"/>
    <w:rsid w:val="00425C2E"/>
    <w:rsid w:val="00425C5D"/>
    <w:rsid w:val="00425C6E"/>
    <w:rsid w:val="00425CD3"/>
    <w:rsid w:val="00425D43"/>
    <w:rsid w:val="00425DDD"/>
    <w:rsid w:val="00425DFC"/>
    <w:rsid w:val="00425E1B"/>
    <w:rsid w:val="00425E9D"/>
    <w:rsid w:val="00425EDF"/>
    <w:rsid w:val="00425EF5"/>
    <w:rsid w:val="00425EF6"/>
    <w:rsid w:val="00425F1A"/>
    <w:rsid w:val="00425F9C"/>
    <w:rsid w:val="00426009"/>
    <w:rsid w:val="00426010"/>
    <w:rsid w:val="00426098"/>
    <w:rsid w:val="004260E8"/>
    <w:rsid w:val="004260F0"/>
    <w:rsid w:val="004261D4"/>
    <w:rsid w:val="004261E2"/>
    <w:rsid w:val="00426213"/>
    <w:rsid w:val="0042626C"/>
    <w:rsid w:val="00426270"/>
    <w:rsid w:val="0042627C"/>
    <w:rsid w:val="004262B8"/>
    <w:rsid w:val="0042637D"/>
    <w:rsid w:val="0042638C"/>
    <w:rsid w:val="004263E7"/>
    <w:rsid w:val="00426405"/>
    <w:rsid w:val="00426415"/>
    <w:rsid w:val="00426423"/>
    <w:rsid w:val="00426455"/>
    <w:rsid w:val="0042646C"/>
    <w:rsid w:val="0042648C"/>
    <w:rsid w:val="004264A4"/>
    <w:rsid w:val="004264C7"/>
    <w:rsid w:val="00426667"/>
    <w:rsid w:val="004266B4"/>
    <w:rsid w:val="00426792"/>
    <w:rsid w:val="004267A8"/>
    <w:rsid w:val="00426813"/>
    <w:rsid w:val="00426937"/>
    <w:rsid w:val="00426984"/>
    <w:rsid w:val="004269CD"/>
    <w:rsid w:val="00426A10"/>
    <w:rsid w:val="00426A14"/>
    <w:rsid w:val="00426A89"/>
    <w:rsid w:val="00426B2F"/>
    <w:rsid w:val="00426B99"/>
    <w:rsid w:val="00426BBC"/>
    <w:rsid w:val="00426CB1"/>
    <w:rsid w:val="00426D30"/>
    <w:rsid w:val="00426D68"/>
    <w:rsid w:val="00426DAF"/>
    <w:rsid w:val="00426DFB"/>
    <w:rsid w:val="00426E61"/>
    <w:rsid w:val="00426E72"/>
    <w:rsid w:val="00426E9C"/>
    <w:rsid w:val="00426E9D"/>
    <w:rsid w:val="00426ED2"/>
    <w:rsid w:val="00426F50"/>
    <w:rsid w:val="00426F54"/>
    <w:rsid w:val="00426F56"/>
    <w:rsid w:val="00426F76"/>
    <w:rsid w:val="00426F9A"/>
    <w:rsid w:val="00427019"/>
    <w:rsid w:val="00427084"/>
    <w:rsid w:val="00427105"/>
    <w:rsid w:val="00427109"/>
    <w:rsid w:val="00427111"/>
    <w:rsid w:val="00427132"/>
    <w:rsid w:val="0042718A"/>
    <w:rsid w:val="0042718B"/>
    <w:rsid w:val="004271A0"/>
    <w:rsid w:val="004271B6"/>
    <w:rsid w:val="00427214"/>
    <w:rsid w:val="00427220"/>
    <w:rsid w:val="0042724E"/>
    <w:rsid w:val="00427276"/>
    <w:rsid w:val="00427354"/>
    <w:rsid w:val="00427399"/>
    <w:rsid w:val="004273A3"/>
    <w:rsid w:val="00427448"/>
    <w:rsid w:val="00427513"/>
    <w:rsid w:val="00427522"/>
    <w:rsid w:val="00427565"/>
    <w:rsid w:val="004275B3"/>
    <w:rsid w:val="004275C6"/>
    <w:rsid w:val="00427617"/>
    <w:rsid w:val="0042761A"/>
    <w:rsid w:val="0042767B"/>
    <w:rsid w:val="004276A0"/>
    <w:rsid w:val="00427743"/>
    <w:rsid w:val="00427780"/>
    <w:rsid w:val="004277A9"/>
    <w:rsid w:val="004277EB"/>
    <w:rsid w:val="00427940"/>
    <w:rsid w:val="00427974"/>
    <w:rsid w:val="004279CB"/>
    <w:rsid w:val="00427A16"/>
    <w:rsid w:val="00427A82"/>
    <w:rsid w:val="00427AC7"/>
    <w:rsid w:val="00427B2D"/>
    <w:rsid w:val="00427B31"/>
    <w:rsid w:val="00427B49"/>
    <w:rsid w:val="00427B6D"/>
    <w:rsid w:val="00427CD1"/>
    <w:rsid w:val="00427D7F"/>
    <w:rsid w:val="00427DC9"/>
    <w:rsid w:val="00427DEF"/>
    <w:rsid w:val="00427DF6"/>
    <w:rsid w:val="00427ECF"/>
    <w:rsid w:val="00427EE9"/>
    <w:rsid w:val="00427F40"/>
    <w:rsid w:val="00427F7C"/>
    <w:rsid w:val="00427F93"/>
    <w:rsid w:val="0043014C"/>
    <w:rsid w:val="00430163"/>
    <w:rsid w:val="004301E2"/>
    <w:rsid w:val="0043020B"/>
    <w:rsid w:val="00430219"/>
    <w:rsid w:val="00430223"/>
    <w:rsid w:val="0043023A"/>
    <w:rsid w:val="004302B8"/>
    <w:rsid w:val="004302E5"/>
    <w:rsid w:val="0043037F"/>
    <w:rsid w:val="00430397"/>
    <w:rsid w:val="004303BF"/>
    <w:rsid w:val="00430405"/>
    <w:rsid w:val="00430430"/>
    <w:rsid w:val="00430475"/>
    <w:rsid w:val="00430489"/>
    <w:rsid w:val="0043059B"/>
    <w:rsid w:val="004305DD"/>
    <w:rsid w:val="00430628"/>
    <w:rsid w:val="0043066F"/>
    <w:rsid w:val="0043068C"/>
    <w:rsid w:val="00430698"/>
    <w:rsid w:val="004306E3"/>
    <w:rsid w:val="004306EA"/>
    <w:rsid w:val="00430706"/>
    <w:rsid w:val="0043070A"/>
    <w:rsid w:val="00430726"/>
    <w:rsid w:val="00430741"/>
    <w:rsid w:val="004307FC"/>
    <w:rsid w:val="00430804"/>
    <w:rsid w:val="00430867"/>
    <w:rsid w:val="00430977"/>
    <w:rsid w:val="0043097E"/>
    <w:rsid w:val="00430A16"/>
    <w:rsid w:val="00430A45"/>
    <w:rsid w:val="00430AB7"/>
    <w:rsid w:val="00430AC0"/>
    <w:rsid w:val="00430B45"/>
    <w:rsid w:val="00430BBF"/>
    <w:rsid w:val="00430C39"/>
    <w:rsid w:val="00430CF7"/>
    <w:rsid w:val="00430E36"/>
    <w:rsid w:val="00430E97"/>
    <w:rsid w:val="00430ECC"/>
    <w:rsid w:val="00430F5D"/>
    <w:rsid w:val="00430FA1"/>
    <w:rsid w:val="0043100A"/>
    <w:rsid w:val="00431031"/>
    <w:rsid w:val="004310CA"/>
    <w:rsid w:val="0043111F"/>
    <w:rsid w:val="0043113B"/>
    <w:rsid w:val="0043116D"/>
    <w:rsid w:val="004311AD"/>
    <w:rsid w:val="004311E6"/>
    <w:rsid w:val="004312CA"/>
    <w:rsid w:val="004312D2"/>
    <w:rsid w:val="00431302"/>
    <w:rsid w:val="004313BA"/>
    <w:rsid w:val="004313C7"/>
    <w:rsid w:val="00431426"/>
    <w:rsid w:val="00431489"/>
    <w:rsid w:val="004315D4"/>
    <w:rsid w:val="00431657"/>
    <w:rsid w:val="00431658"/>
    <w:rsid w:val="0043166E"/>
    <w:rsid w:val="0043169C"/>
    <w:rsid w:val="004316BB"/>
    <w:rsid w:val="00431700"/>
    <w:rsid w:val="0043176A"/>
    <w:rsid w:val="00431792"/>
    <w:rsid w:val="00431863"/>
    <w:rsid w:val="004318BA"/>
    <w:rsid w:val="004318D6"/>
    <w:rsid w:val="0043196D"/>
    <w:rsid w:val="004319BD"/>
    <w:rsid w:val="00431A58"/>
    <w:rsid w:val="00431AB3"/>
    <w:rsid w:val="00431AF5"/>
    <w:rsid w:val="00431BF4"/>
    <w:rsid w:val="00431C0A"/>
    <w:rsid w:val="00431C3F"/>
    <w:rsid w:val="00431C7D"/>
    <w:rsid w:val="00431C90"/>
    <w:rsid w:val="00431C9C"/>
    <w:rsid w:val="00431CBD"/>
    <w:rsid w:val="00431D44"/>
    <w:rsid w:val="00431D71"/>
    <w:rsid w:val="00431DB5"/>
    <w:rsid w:val="00431E09"/>
    <w:rsid w:val="00431E12"/>
    <w:rsid w:val="00431E38"/>
    <w:rsid w:val="00431E63"/>
    <w:rsid w:val="00431F15"/>
    <w:rsid w:val="004320C0"/>
    <w:rsid w:val="00432149"/>
    <w:rsid w:val="0043217E"/>
    <w:rsid w:val="00432190"/>
    <w:rsid w:val="00432199"/>
    <w:rsid w:val="00432234"/>
    <w:rsid w:val="004322A2"/>
    <w:rsid w:val="004322DC"/>
    <w:rsid w:val="004322FF"/>
    <w:rsid w:val="00432329"/>
    <w:rsid w:val="00432346"/>
    <w:rsid w:val="004323BF"/>
    <w:rsid w:val="004323DB"/>
    <w:rsid w:val="00432454"/>
    <w:rsid w:val="004324AC"/>
    <w:rsid w:val="004325F0"/>
    <w:rsid w:val="00432632"/>
    <w:rsid w:val="00432680"/>
    <w:rsid w:val="0043268A"/>
    <w:rsid w:val="004326E4"/>
    <w:rsid w:val="00432766"/>
    <w:rsid w:val="0043276C"/>
    <w:rsid w:val="004327C0"/>
    <w:rsid w:val="00432820"/>
    <w:rsid w:val="0043291D"/>
    <w:rsid w:val="00432976"/>
    <w:rsid w:val="00432A2F"/>
    <w:rsid w:val="00432A92"/>
    <w:rsid w:val="00432B1E"/>
    <w:rsid w:val="00432B77"/>
    <w:rsid w:val="00432BEA"/>
    <w:rsid w:val="00432C18"/>
    <w:rsid w:val="00432CC0"/>
    <w:rsid w:val="00432CC1"/>
    <w:rsid w:val="00432CD4"/>
    <w:rsid w:val="00432D76"/>
    <w:rsid w:val="00432DEC"/>
    <w:rsid w:val="00432EAA"/>
    <w:rsid w:val="00432EC3"/>
    <w:rsid w:val="00432EFA"/>
    <w:rsid w:val="00432F42"/>
    <w:rsid w:val="00432FE2"/>
    <w:rsid w:val="004330D2"/>
    <w:rsid w:val="00433115"/>
    <w:rsid w:val="00433138"/>
    <w:rsid w:val="0043313B"/>
    <w:rsid w:val="004331B8"/>
    <w:rsid w:val="004331E4"/>
    <w:rsid w:val="00433252"/>
    <w:rsid w:val="00433295"/>
    <w:rsid w:val="0043335A"/>
    <w:rsid w:val="004333E8"/>
    <w:rsid w:val="00433569"/>
    <w:rsid w:val="0043367F"/>
    <w:rsid w:val="00433686"/>
    <w:rsid w:val="004336FE"/>
    <w:rsid w:val="00433721"/>
    <w:rsid w:val="0043372F"/>
    <w:rsid w:val="00433742"/>
    <w:rsid w:val="00433749"/>
    <w:rsid w:val="004337A2"/>
    <w:rsid w:val="00433848"/>
    <w:rsid w:val="0043384D"/>
    <w:rsid w:val="0043384E"/>
    <w:rsid w:val="00433854"/>
    <w:rsid w:val="0043386E"/>
    <w:rsid w:val="00433935"/>
    <w:rsid w:val="00433970"/>
    <w:rsid w:val="0043398F"/>
    <w:rsid w:val="004339C5"/>
    <w:rsid w:val="004339D6"/>
    <w:rsid w:val="00433A98"/>
    <w:rsid w:val="00433BA3"/>
    <w:rsid w:val="00433C54"/>
    <w:rsid w:val="00433CF8"/>
    <w:rsid w:val="00433D32"/>
    <w:rsid w:val="00433D4F"/>
    <w:rsid w:val="00433D84"/>
    <w:rsid w:val="00433DBB"/>
    <w:rsid w:val="00433DC9"/>
    <w:rsid w:val="00433DCF"/>
    <w:rsid w:val="00433E00"/>
    <w:rsid w:val="00433E24"/>
    <w:rsid w:val="00433E2F"/>
    <w:rsid w:val="00433E4A"/>
    <w:rsid w:val="00433EA8"/>
    <w:rsid w:val="00433ED7"/>
    <w:rsid w:val="00433F45"/>
    <w:rsid w:val="00433F9C"/>
    <w:rsid w:val="004340AE"/>
    <w:rsid w:val="004340C6"/>
    <w:rsid w:val="0043415C"/>
    <w:rsid w:val="0043417E"/>
    <w:rsid w:val="004341C2"/>
    <w:rsid w:val="00434280"/>
    <w:rsid w:val="004343EB"/>
    <w:rsid w:val="004344FD"/>
    <w:rsid w:val="0043457E"/>
    <w:rsid w:val="00434587"/>
    <w:rsid w:val="004345BB"/>
    <w:rsid w:val="00434672"/>
    <w:rsid w:val="004346C5"/>
    <w:rsid w:val="004346E8"/>
    <w:rsid w:val="00434705"/>
    <w:rsid w:val="0043470B"/>
    <w:rsid w:val="0043473D"/>
    <w:rsid w:val="00434778"/>
    <w:rsid w:val="0043477B"/>
    <w:rsid w:val="0043482F"/>
    <w:rsid w:val="0043489C"/>
    <w:rsid w:val="004348AB"/>
    <w:rsid w:val="004348D3"/>
    <w:rsid w:val="004348EA"/>
    <w:rsid w:val="004348EB"/>
    <w:rsid w:val="0043496E"/>
    <w:rsid w:val="00434A04"/>
    <w:rsid w:val="00434A3B"/>
    <w:rsid w:val="00434A84"/>
    <w:rsid w:val="00434A8B"/>
    <w:rsid w:val="00434AB6"/>
    <w:rsid w:val="00434B6D"/>
    <w:rsid w:val="00434C7E"/>
    <w:rsid w:val="00434CA3"/>
    <w:rsid w:val="00434CC7"/>
    <w:rsid w:val="00434CF6"/>
    <w:rsid w:val="00434DB4"/>
    <w:rsid w:val="00434DB5"/>
    <w:rsid w:val="00434DEC"/>
    <w:rsid w:val="00434E68"/>
    <w:rsid w:val="00434E8C"/>
    <w:rsid w:val="00434E92"/>
    <w:rsid w:val="00434EC0"/>
    <w:rsid w:val="00434F1E"/>
    <w:rsid w:val="00434F46"/>
    <w:rsid w:val="00434F58"/>
    <w:rsid w:val="0043502C"/>
    <w:rsid w:val="004350EE"/>
    <w:rsid w:val="00435198"/>
    <w:rsid w:val="004351BA"/>
    <w:rsid w:val="0043521A"/>
    <w:rsid w:val="0043528E"/>
    <w:rsid w:val="0043529C"/>
    <w:rsid w:val="00435331"/>
    <w:rsid w:val="0043533E"/>
    <w:rsid w:val="00435378"/>
    <w:rsid w:val="004353B5"/>
    <w:rsid w:val="004353B6"/>
    <w:rsid w:val="004353C5"/>
    <w:rsid w:val="004353D0"/>
    <w:rsid w:val="004353FA"/>
    <w:rsid w:val="004354A1"/>
    <w:rsid w:val="0043552F"/>
    <w:rsid w:val="00435554"/>
    <w:rsid w:val="0043566F"/>
    <w:rsid w:val="004356E2"/>
    <w:rsid w:val="00435724"/>
    <w:rsid w:val="0043578A"/>
    <w:rsid w:val="0043578F"/>
    <w:rsid w:val="0043579A"/>
    <w:rsid w:val="004357F3"/>
    <w:rsid w:val="004357F4"/>
    <w:rsid w:val="0043583E"/>
    <w:rsid w:val="00435862"/>
    <w:rsid w:val="004358DA"/>
    <w:rsid w:val="00435A25"/>
    <w:rsid w:val="00435A41"/>
    <w:rsid w:val="00435B47"/>
    <w:rsid w:val="00435BD2"/>
    <w:rsid w:val="00435C21"/>
    <w:rsid w:val="00435C69"/>
    <w:rsid w:val="00435CA4"/>
    <w:rsid w:val="00435CBF"/>
    <w:rsid w:val="00435CC0"/>
    <w:rsid w:val="00435CC2"/>
    <w:rsid w:val="00435CE6"/>
    <w:rsid w:val="00435E55"/>
    <w:rsid w:val="00435EC9"/>
    <w:rsid w:val="00435EE4"/>
    <w:rsid w:val="00435EF2"/>
    <w:rsid w:val="00435EF6"/>
    <w:rsid w:val="00435FDD"/>
    <w:rsid w:val="0043609F"/>
    <w:rsid w:val="00436100"/>
    <w:rsid w:val="00436130"/>
    <w:rsid w:val="0043614C"/>
    <w:rsid w:val="00436153"/>
    <w:rsid w:val="00436200"/>
    <w:rsid w:val="00436289"/>
    <w:rsid w:val="00436294"/>
    <w:rsid w:val="004362BC"/>
    <w:rsid w:val="004363BF"/>
    <w:rsid w:val="0043649F"/>
    <w:rsid w:val="004364C9"/>
    <w:rsid w:val="004364D8"/>
    <w:rsid w:val="004364ED"/>
    <w:rsid w:val="00436524"/>
    <w:rsid w:val="00436547"/>
    <w:rsid w:val="004365DB"/>
    <w:rsid w:val="004365E8"/>
    <w:rsid w:val="004366E5"/>
    <w:rsid w:val="00436758"/>
    <w:rsid w:val="0043675E"/>
    <w:rsid w:val="00436829"/>
    <w:rsid w:val="004368B3"/>
    <w:rsid w:val="00436934"/>
    <w:rsid w:val="00436945"/>
    <w:rsid w:val="004369CD"/>
    <w:rsid w:val="00436A11"/>
    <w:rsid w:val="00436A7B"/>
    <w:rsid w:val="00436A7E"/>
    <w:rsid w:val="00436AA8"/>
    <w:rsid w:val="00436B3A"/>
    <w:rsid w:val="00436C1C"/>
    <w:rsid w:val="00436E04"/>
    <w:rsid w:val="00436E47"/>
    <w:rsid w:val="00436E7F"/>
    <w:rsid w:val="00436EEA"/>
    <w:rsid w:val="00436F1C"/>
    <w:rsid w:val="00436F84"/>
    <w:rsid w:val="00436FB7"/>
    <w:rsid w:val="0043704A"/>
    <w:rsid w:val="0043705E"/>
    <w:rsid w:val="00437074"/>
    <w:rsid w:val="0043707D"/>
    <w:rsid w:val="0043707F"/>
    <w:rsid w:val="0043711F"/>
    <w:rsid w:val="00437125"/>
    <w:rsid w:val="00437150"/>
    <w:rsid w:val="004371AA"/>
    <w:rsid w:val="004371FF"/>
    <w:rsid w:val="0043724C"/>
    <w:rsid w:val="004372AB"/>
    <w:rsid w:val="00437313"/>
    <w:rsid w:val="0043737D"/>
    <w:rsid w:val="00437424"/>
    <w:rsid w:val="004374FF"/>
    <w:rsid w:val="004375ED"/>
    <w:rsid w:val="004375F0"/>
    <w:rsid w:val="0043764A"/>
    <w:rsid w:val="00437657"/>
    <w:rsid w:val="0043766F"/>
    <w:rsid w:val="004376CF"/>
    <w:rsid w:val="004376D1"/>
    <w:rsid w:val="00437785"/>
    <w:rsid w:val="00437829"/>
    <w:rsid w:val="00437869"/>
    <w:rsid w:val="0043787C"/>
    <w:rsid w:val="00437910"/>
    <w:rsid w:val="00437921"/>
    <w:rsid w:val="004379EA"/>
    <w:rsid w:val="00437A46"/>
    <w:rsid w:val="00437A7B"/>
    <w:rsid w:val="00437A8E"/>
    <w:rsid w:val="00437ADF"/>
    <w:rsid w:val="00437B0C"/>
    <w:rsid w:val="00437B49"/>
    <w:rsid w:val="00437BED"/>
    <w:rsid w:val="00437C4C"/>
    <w:rsid w:val="00437CE9"/>
    <w:rsid w:val="00437D0F"/>
    <w:rsid w:val="00437D51"/>
    <w:rsid w:val="00437D67"/>
    <w:rsid w:val="00437DA3"/>
    <w:rsid w:val="00437DD4"/>
    <w:rsid w:val="00437DDA"/>
    <w:rsid w:val="00437E23"/>
    <w:rsid w:val="00437EFF"/>
    <w:rsid w:val="00437F1C"/>
    <w:rsid w:val="00437F3E"/>
    <w:rsid w:val="00437F73"/>
    <w:rsid w:val="00437F88"/>
    <w:rsid w:val="00437FBB"/>
    <w:rsid w:val="00437FBF"/>
    <w:rsid w:val="00437FFD"/>
    <w:rsid w:val="00440003"/>
    <w:rsid w:val="0044007A"/>
    <w:rsid w:val="004400AF"/>
    <w:rsid w:val="004400D6"/>
    <w:rsid w:val="004400EE"/>
    <w:rsid w:val="00440152"/>
    <w:rsid w:val="0044019A"/>
    <w:rsid w:val="00440220"/>
    <w:rsid w:val="0044025D"/>
    <w:rsid w:val="00440278"/>
    <w:rsid w:val="004402A6"/>
    <w:rsid w:val="004403B3"/>
    <w:rsid w:val="004403B6"/>
    <w:rsid w:val="004403BB"/>
    <w:rsid w:val="0044050B"/>
    <w:rsid w:val="0044051D"/>
    <w:rsid w:val="0044056E"/>
    <w:rsid w:val="0044059A"/>
    <w:rsid w:val="004405E5"/>
    <w:rsid w:val="0044061D"/>
    <w:rsid w:val="00440622"/>
    <w:rsid w:val="00440680"/>
    <w:rsid w:val="004406C3"/>
    <w:rsid w:val="00440769"/>
    <w:rsid w:val="00440784"/>
    <w:rsid w:val="004407A8"/>
    <w:rsid w:val="004407B4"/>
    <w:rsid w:val="004407B5"/>
    <w:rsid w:val="00440807"/>
    <w:rsid w:val="0044080B"/>
    <w:rsid w:val="00440837"/>
    <w:rsid w:val="0044087D"/>
    <w:rsid w:val="00440880"/>
    <w:rsid w:val="004408BF"/>
    <w:rsid w:val="004408D2"/>
    <w:rsid w:val="0044094D"/>
    <w:rsid w:val="00440971"/>
    <w:rsid w:val="00440A50"/>
    <w:rsid w:val="00440B7A"/>
    <w:rsid w:val="00440C0F"/>
    <w:rsid w:val="00440C36"/>
    <w:rsid w:val="00440C68"/>
    <w:rsid w:val="00440C7B"/>
    <w:rsid w:val="00440C7C"/>
    <w:rsid w:val="00440C9A"/>
    <w:rsid w:val="00440CE5"/>
    <w:rsid w:val="00440D21"/>
    <w:rsid w:val="00440D68"/>
    <w:rsid w:val="00440DC1"/>
    <w:rsid w:val="00440E17"/>
    <w:rsid w:val="00440E2F"/>
    <w:rsid w:val="00440E99"/>
    <w:rsid w:val="00440F0A"/>
    <w:rsid w:val="00440F46"/>
    <w:rsid w:val="004410C6"/>
    <w:rsid w:val="004410F7"/>
    <w:rsid w:val="004411B2"/>
    <w:rsid w:val="004411E1"/>
    <w:rsid w:val="004411F5"/>
    <w:rsid w:val="004411FD"/>
    <w:rsid w:val="00441374"/>
    <w:rsid w:val="004413B2"/>
    <w:rsid w:val="004413B7"/>
    <w:rsid w:val="004413EA"/>
    <w:rsid w:val="004413EB"/>
    <w:rsid w:val="004413F7"/>
    <w:rsid w:val="00441455"/>
    <w:rsid w:val="004414C9"/>
    <w:rsid w:val="00441571"/>
    <w:rsid w:val="0044165F"/>
    <w:rsid w:val="0044170B"/>
    <w:rsid w:val="00441718"/>
    <w:rsid w:val="004417E0"/>
    <w:rsid w:val="00441829"/>
    <w:rsid w:val="0044184D"/>
    <w:rsid w:val="00441895"/>
    <w:rsid w:val="00441927"/>
    <w:rsid w:val="00441975"/>
    <w:rsid w:val="00441978"/>
    <w:rsid w:val="0044199C"/>
    <w:rsid w:val="00441A04"/>
    <w:rsid w:val="00441A36"/>
    <w:rsid w:val="00441A63"/>
    <w:rsid w:val="00441A8D"/>
    <w:rsid w:val="00441AA1"/>
    <w:rsid w:val="00441AE0"/>
    <w:rsid w:val="00441B83"/>
    <w:rsid w:val="00441C13"/>
    <w:rsid w:val="00441C33"/>
    <w:rsid w:val="00441C44"/>
    <w:rsid w:val="00441DF8"/>
    <w:rsid w:val="00441E22"/>
    <w:rsid w:val="00441E27"/>
    <w:rsid w:val="00441EED"/>
    <w:rsid w:val="00441F84"/>
    <w:rsid w:val="00441FBB"/>
    <w:rsid w:val="00441FD7"/>
    <w:rsid w:val="00441FFD"/>
    <w:rsid w:val="0044204B"/>
    <w:rsid w:val="00442110"/>
    <w:rsid w:val="00442130"/>
    <w:rsid w:val="00442220"/>
    <w:rsid w:val="00442249"/>
    <w:rsid w:val="004422BA"/>
    <w:rsid w:val="004422BE"/>
    <w:rsid w:val="004423AC"/>
    <w:rsid w:val="00442405"/>
    <w:rsid w:val="004424C1"/>
    <w:rsid w:val="004424C8"/>
    <w:rsid w:val="004424E1"/>
    <w:rsid w:val="00442771"/>
    <w:rsid w:val="004427B9"/>
    <w:rsid w:val="004427F4"/>
    <w:rsid w:val="00442867"/>
    <w:rsid w:val="004428B0"/>
    <w:rsid w:val="004428C0"/>
    <w:rsid w:val="00442938"/>
    <w:rsid w:val="004429E6"/>
    <w:rsid w:val="00442AA7"/>
    <w:rsid w:val="00442AC1"/>
    <w:rsid w:val="00442AE2"/>
    <w:rsid w:val="00442B81"/>
    <w:rsid w:val="00442B84"/>
    <w:rsid w:val="00442BCF"/>
    <w:rsid w:val="00442C12"/>
    <w:rsid w:val="00442C76"/>
    <w:rsid w:val="00442CB4"/>
    <w:rsid w:val="00442E07"/>
    <w:rsid w:val="00442E58"/>
    <w:rsid w:val="00442EF8"/>
    <w:rsid w:val="00442F21"/>
    <w:rsid w:val="00443034"/>
    <w:rsid w:val="00443061"/>
    <w:rsid w:val="004430E6"/>
    <w:rsid w:val="00443136"/>
    <w:rsid w:val="0044313E"/>
    <w:rsid w:val="00443318"/>
    <w:rsid w:val="0044331A"/>
    <w:rsid w:val="00443358"/>
    <w:rsid w:val="00443386"/>
    <w:rsid w:val="004433BA"/>
    <w:rsid w:val="004433FE"/>
    <w:rsid w:val="00443458"/>
    <w:rsid w:val="0044347B"/>
    <w:rsid w:val="00443546"/>
    <w:rsid w:val="004435AB"/>
    <w:rsid w:val="00443640"/>
    <w:rsid w:val="00443653"/>
    <w:rsid w:val="0044365E"/>
    <w:rsid w:val="004436C6"/>
    <w:rsid w:val="004436F5"/>
    <w:rsid w:val="00443705"/>
    <w:rsid w:val="0044380C"/>
    <w:rsid w:val="0044380E"/>
    <w:rsid w:val="00443891"/>
    <w:rsid w:val="004438EA"/>
    <w:rsid w:val="004439D4"/>
    <w:rsid w:val="004439EA"/>
    <w:rsid w:val="00443A5E"/>
    <w:rsid w:val="00443AFE"/>
    <w:rsid w:val="00443B35"/>
    <w:rsid w:val="00443B63"/>
    <w:rsid w:val="00443BC8"/>
    <w:rsid w:val="00443C0D"/>
    <w:rsid w:val="00443C4E"/>
    <w:rsid w:val="00443C73"/>
    <w:rsid w:val="00443C86"/>
    <w:rsid w:val="00443CB7"/>
    <w:rsid w:val="00443DD1"/>
    <w:rsid w:val="00443E0E"/>
    <w:rsid w:val="00443E62"/>
    <w:rsid w:val="00443F34"/>
    <w:rsid w:val="00443F54"/>
    <w:rsid w:val="00443FF9"/>
    <w:rsid w:val="00444095"/>
    <w:rsid w:val="004440E1"/>
    <w:rsid w:val="004440EC"/>
    <w:rsid w:val="004440EF"/>
    <w:rsid w:val="004440F0"/>
    <w:rsid w:val="00444192"/>
    <w:rsid w:val="0044423A"/>
    <w:rsid w:val="00444357"/>
    <w:rsid w:val="00444368"/>
    <w:rsid w:val="0044439E"/>
    <w:rsid w:val="004443E3"/>
    <w:rsid w:val="004443FA"/>
    <w:rsid w:val="00444434"/>
    <w:rsid w:val="0044445A"/>
    <w:rsid w:val="00444581"/>
    <w:rsid w:val="004445C1"/>
    <w:rsid w:val="00444607"/>
    <w:rsid w:val="0044462C"/>
    <w:rsid w:val="004446F8"/>
    <w:rsid w:val="00444791"/>
    <w:rsid w:val="004447D9"/>
    <w:rsid w:val="00444808"/>
    <w:rsid w:val="0044486D"/>
    <w:rsid w:val="00444890"/>
    <w:rsid w:val="004448BF"/>
    <w:rsid w:val="004448F8"/>
    <w:rsid w:val="00444933"/>
    <w:rsid w:val="004449B5"/>
    <w:rsid w:val="00444A08"/>
    <w:rsid w:val="00444A63"/>
    <w:rsid w:val="00444A91"/>
    <w:rsid w:val="00444AFD"/>
    <w:rsid w:val="00444B56"/>
    <w:rsid w:val="00444B5C"/>
    <w:rsid w:val="00444B94"/>
    <w:rsid w:val="00444BC2"/>
    <w:rsid w:val="00444C59"/>
    <w:rsid w:val="00444C9C"/>
    <w:rsid w:val="00444D11"/>
    <w:rsid w:val="00444D27"/>
    <w:rsid w:val="00444DF1"/>
    <w:rsid w:val="00444E11"/>
    <w:rsid w:val="00444E2C"/>
    <w:rsid w:val="00444E96"/>
    <w:rsid w:val="00444EC5"/>
    <w:rsid w:val="00444FDE"/>
    <w:rsid w:val="00445184"/>
    <w:rsid w:val="004451B0"/>
    <w:rsid w:val="004451BD"/>
    <w:rsid w:val="00445208"/>
    <w:rsid w:val="0044521C"/>
    <w:rsid w:val="00445265"/>
    <w:rsid w:val="00445276"/>
    <w:rsid w:val="004452A9"/>
    <w:rsid w:val="004452DC"/>
    <w:rsid w:val="00445328"/>
    <w:rsid w:val="00445342"/>
    <w:rsid w:val="00445457"/>
    <w:rsid w:val="00445508"/>
    <w:rsid w:val="0044553F"/>
    <w:rsid w:val="004455AF"/>
    <w:rsid w:val="004455D2"/>
    <w:rsid w:val="0044564D"/>
    <w:rsid w:val="0044568E"/>
    <w:rsid w:val="00445697"/>
    <w:rsid w:val="004457BE"/>
    <w:rsid w:val="004457F8"/>
    <w:rsid w:val="0044589E"/>
    <w:rsid w:val="004458E2"/>
    <w:rsid w:val="0044599E"/>
    <w:rsid w:val="00445A33"/>
    <w:rsid w:val="00445AF1"/>
    <w:rsid w:val="00445AF3"/>
    <w:rsid w:val="00445B0F"/>
    <w:rsid w:val="00445B40"/>
    <w:rsid w:val="00445B45"/>
    <w:rsid w:val="00445B6B"/>
    <w:rsid w:val="00445B8D"/>
    <w:rsid w:val="00445C0D"/>
    <w:rsid w:val="00445C2F"/>
    <w:rsid w:val="00445C75"/>
    <w:rsid w:val="00445C76"/>
    <w:rsid w:val="00445C9F"/>
    <w:rsid w:val="00445D04"/>
    <w:rsid w:val="00445D1A"/>
    <w:rsid w:val="00445D3C"/>
    <w:rsid w:val="00445D54"/>
    <w:rsid w:val="00445DC1"/>
    <w:rsid w:val="00445E08"/>
    <w:rsid w:val="00445EA4"/>
    <w:rsid w:val="00445EAF"/>
    <w:rsid w:val="00445F09"/>
    <w:rsid w:val="00445F6E"/>
    <w:rsid w:val="00445F7A"/>
    <w:rsid w:val="00446066"/>
    <w:rsid w:val="004460AD"/>
    <w:rsid w:val="004460E8"/>
    <w:rsid w:val="004461EE"/>
    <w:rsid w:val="00446217"/>
    <w:rsid w:val="00446252"/>
    <w:rsid w:val="00446282"/>
    <w:rsid w:val="00446463"/>
    <w:rsid w:val="004464B6"/>
    <w:rsid w:val="004464D2"/>
    <w:rsid w:val="004464EF"/>
    <w:rsid w:val="00446585"/>
    <w:rsid w:val="004465E3"/>
    <w:rsid w:val="004465EB"/>
    <w:rsid w:val="00446610"/>
    <w:rsid w:val="0044669B"/>
    <w:rsid w:val="004466D4"/>
    <w:rsid w:val="0044670A"/>
    <w:rsid w:val="00446727"/>
    <w:rsid w:val="0044677B"/>
    <w:rsid w:val="0044688A"/>
    <w:rsid w:val="004468DF"/>
    <w:rsid w:val="0044693C"/>
    <w:rsid w:val="0044695D"/>
    <w:rsid w:val="004469ED"/>
    <w:rsid w:val="00446A99"/>
    <w:rsid w:val="00446ADB"/>
    <w:rsid w:val="00446B41"/>
    <w:rsid w:val="00446C0C"/>
    <w:rsid w:val="00446D29"/>
    <w:rsid w:val="00446D3F"/>
    <w:rsid w:val="00446D82"/>
    <w:rsid w:val="00446DE0"/>
    <w:rsid w:val="00446E0D"/>
    <w:rsid w:val="00446E67"/>
    <w:rsid w:val="00446E81"/>
    <w:rsid w:val="00446EAD"/>
    <w:rsid w:val="00446F23"/>
    <w:rsid w:val="00446FA2"/>
    <w:rsid w:val="0044703A"/>
    <w:rsid w:val="00447049"/>
    <w:rsid w:val="0044709C"/>
    <w:rsid w:val="004470A2"/>
    <w:rsid w:val="004470A3"/>
    <w:rsid w:val="00447129"/>
    <w:rsid w:val="00447173"/>
    <w:rsid w:val="00447204"/>
    <w:rsid w:val="004472D6"/>
    <w:rsid w:val="00447325"/>
    <w:rsid w:val="0044732F"/>
    <w:rsid w:val="0044735F"/>
    <w:rsid w:val="004473B8"/>
    <w:rsid w:val="00447420"/>
    <w:rsid w:val="00447486"/>
    <w:rsid w:val="00447505"/>
    <w:rsid w:val="00447528"/>
    <w:rsid w:val="0044755D"/>
    <w:rsid w:val="00447577"/>
    <w:rsid w:val="0044757A"/>
    <w:rsid w:val="00447599"/>
    <w:rsid w:val="004475EA"/>
    <w:rsid w:val="0044762C"/>
    <w:rsid w:val="00447639"/>
    <w:rsid w:val="00447735"/>
    <w:rsid w:val="00447739"/>
    <w:rsid w:val="00447761"/>
    <w:rsid w:val="004477A1"/>
    <w:rsid w:val="0044781A"/>
    <w:rsid w:val="00447887"/>
    <w:rsid w:val="004478B3"/>
    <w:rsid w:val="00447931"/>
    <w:rsid w:val="0044793E"/>
    <w:rsid w:val="004479A9"/>
    <w:rsid w:val="004479C8"/>
    <w:rsid w:val="00447A8E"/>
    <w:rsid w:val="00447ADE"/>
    <w:rsid w:val="00447B7C"/>
    <w:rsid w:val="00447C0E"/>
    <w:rsid w:val="00447C22"/>
    <w:rsid w:val="00447C29"/>
    <w:rsid w:val="00447C9F"/>
    <w:rsid w:val="00447CB0"/>
    <w:rsid w:val="00447CD8"/>
    <w:rsid w:val="00447D74"/>
    <w:rsid w:val="00447DA5"/>
    <w:rsid w:val="00447DF4"/>
    <w:rsid w:val="00447F1E"/>
    <w:rsid w:val="00447F51"/>
    <w:rsid w:val="00447F84"/>
    <w:rsid w:val="00450003"/>
    <w:rsid w:val="004500F6"/>
    <w:rsid w:val="0045015D"/>
    <w:rsid w:val="0045017A"/>
    <w:rsid w:val="004501BC"/>
    <w:rsid w:val="004501C8"/>
    <w:rsid w:val="004501EC"/>
    <w:rsid w:val="0045021E"/>
    <w:rsid w:val="00450227"/>
    <w:rsid w:val="00450286"/>
    <w:rsid w:val="004502EE"/>
    <w:rsid w:val="004503B5"/>
    <w:rsid w:val="004504AA"/>
    <w:rsid w:val="00450548"/>
    <w:rsid w:val="0045056E"/>
    <w:rsid w:val="004505D1"/>
    <w:rsid w:val="00450647"/>
    <w:rsid w:val="00450705"/>
    <w:rsid w:val="0045072E"/>
    <w:rsid w:val="0045075F"/>
    <w:rsid w:val="0045080B"/>
    <w:rsid w:val="00450830"/>
    <w:rsid w:val="00450872"/>
    <w:rsid w:val="004509CD"/>
    <w:rsid w:val="00450B12"/>
    <w:rsid w:val="00450B46"/>
    <w:rsid w:val="00450B58"/>
    <w:rsid w:val="00450BAC"/>
    <w:rsid w:val="00450BD2"/>
    <w:rsid w:val="00450C16"/>
    <w:rsid w:val="00450C23"/>
    <w:rsid w:val="00450CDD"/>
    <w:rsid w:val="00450DA6"/>
    <w:rsid w:val="00450E71"/>
    <w:rsid w:val="00450ECC"/>
    <w:rsid w:val="00450F35"/>
    <w:rsid w:val="00450F9A"/>
    <w:rsid w:val="00450FA0"/>
    <w:rsid w:val="00450FB1"/>
    <w:rsid w:val="004510A2"/>
    <w:rsid w:val="004510A7"/>
    <w:rsid w:val="004510CA"/>
    <w:rsid w:val="00451121"/>
    <w:rsid w:val="0045112D"/>
    <w:rsid w:val="00451133"/>
    <w:rsid w:val="004511B3"/>
    <w:rsid w:val="004511E5"/>
    <w:rsid w:val="004511F8"/>
    <w:rsid w:val="004511FD"/>
    <w:rsid w:val="00451206"/>
    <w:rsid w:val="0045125A"/>
    <w:rsid w:val="004512EE"/>
    <w:rsid w:val="004513DB"/>
    <w:rsid w:val="00451406"/>
    <w:rsid w:val="00451436"/>
    <w:rsid w:val="00451459"/>
    <w:rsid w:val="0045145F"/>
    <w:rsid w:val="00451473"/>
    <w:rsid w:val="00451494"/>
    <w:rsid w:val="004514EF"/>
    <w:rsid w:val="00451559"/>
    <w:rsid w:val="00451578"/>
    <w:rsid w:val="00451738"/>
    <w:rsid w:val="004517EE"/>
    <w:rsid w:val="00451801"/>
    <w:rsid w:val="00451847"/>
    <w:rsid w:val="00451848"/>
    <w:rsid w:val="0045185C"/>
    <w:rsid w:val="004518F1"/>
    <w:rsid w:val="0045199E"/>
    <w:rsid w:val="004519B5"/>
    <w:rsid w:val="00451A6C"/>
    <w:rsid w:val="00451AB8"/>
    <w:rsid w:val="00451ADB"/>
    <w:rsid w:val="00451CAA"/>
    <w:rsid w:val="00451DDB"/>
    <w:rsid w:val="00451E6B"/>
    <w:rsid w:val="00451E90"/>
    <w:rsid w:val="00451EC1"/>
    <w:rsid w:val="00451F3D"/>
    <w:rsid w:val="00451FBD"/>
    <w:rsid w:val="00452003"/>
    <w:rsid w:val="004520E2"/>
    <w:rsid w:val="004520EF"/>
    <w:rsid w:val="004520F3"/>
    <w:rsid w:val="00452153"/>
    <w:rsid w:val="004521D3"/>
    <w:rsid w:val="004521D7"/>
    <w:rsid w:val="00452240"/>
    <w:rsid w:val="004522AE"/>
    <w:rsid w:val="004522C2"/>
    <w:rsid w:val="00452588"/>
    <w:rsid w:val="0045265B"/>
    <w:rsid w:val="00452673"/>
    <w:rsid w:val="004526B7"/>
    <w:rsid w:val="004526BC"/>
    <w:rsid w:val="004526F1"/>
    <w:rsid w:val="00452713"/>
    <w:rsid w:val="00452775"/>
    <w:rsid w:val="00452794"/>
    <w:rsid w:val="004527E5"/>
    <w:rsid w:val="004527F0"/>
    <w:rsid w:val="00452849"/>
    <w:rsid w:val="00452927"/>
    <w:rsid w:val="004529C9"/>
    <w:rsid w:val="00452A44"/>
    <w:rsid w:val="00452A9F"/>
    <w:rsid w:val="00452AB3"/>
    <w:rsid w:val="00452BBB"/>
    <w:rsid w:val="00452C3D"/>
    <w:rsid w:val="00452CB3"/>
    <w:rsid w:val="00452CF0"/>
    <w:rsid w:val="00452D52"/>
    <w:rsid w:val="00452DBA"/>
    <w:rsid w:val="00452DDE"/>
    <w:rsid w:val="00452E06"/>
    <w:rsid w:val="00452E20"/>
    <w:rsid w:val="00452E8D"/>
    <w:rsid w:val="00452EE8"/>
    <w:rsid w:val="00452F51"/>
    <w:rsid w:val="00452FA2"/>
    <w:rsid w:val="00452FEB"/>
    <w:rsid w:val="00453007"/>
    <w:rsid w:val="00453079"/>
    <w:rsid w:val="004530B4"/>
    <w:rsid w:val="004530B5"/>
    <w:rsid w:val="004530C4"/>
    <w:rsid w:val="00453162"/>
    <w:rsid w:val="004531AF"/>
    <w:rsid w:val="004531BE"/>
    <w:rsid w:val="004531E5"/>
    <w:rsid w:val="00453233"/>
    <w:rsid w:val="004532B5"/>
    <w:rsid w:val="004532E2"/>
    <w:rsid w:val="00453333"/>
    <w:rsid w:val="0045334F"/>
    <w:rsid w:val="004533DB"/>
    <w:rsid w:val="004534DD"/>
    <w:rsid w:val="004534E3"/>
    <w:rsid w:val="00453591"/>
    <w:rsid w:val="0045360E"/>
    <w:rsid w:val="0045366B"/>
    <w:rsid w:val="00453708"/>
    <w:rsid w:val="0045371E"/>
    <w:rsid w:val="0045375D"/>
    <w:rsid w:val="00453822"/>
    <w:rsid w:val="004538C1"/>
    <w:rsid w:val="0045390F"/>
    <w:rsid w:val="0045391E"/>
    <w:rsid w:val="00453AAC"/>
    <w:rsid w:val="00453AEA"/>
    <w:rsid w:val="00453B0D"/>
    <w:rsid w:val="00453B25"/>
    <w:rsid w:val="00453B7D"/>
    <w:rsid w:val="00453BDB"/>
    <w:rsid w:val="00453C38"/>
    <w:rsid w:val="00453CC7"/>
    <w:rsid w:val="00453CE5"/>
    <w:rsid w:val="00453DA7"/>
    <w:rsid w:val="00453DF1"/>
    <w:rsid w:val="00453DF9"/>
    <w:rsid w:val="00453E26"/>
    <w:rsid w:val="00453EC0"/>
    <w:rsid w:val="00453F1C"/>
    <w:rsid w:val="00453F76"/>
    <w:rsid w:val="00453F98"/>
    <w:rsid w:val="0045402F"/>
    <w:rsid w:val="00454098"/>
    <w:rsid w:val="0045409A"/>
    <w:rsid w:val="004540BC"/>
    <w:rsid w:val="004540CB"/>
    <w:rsid w:val="004540CE"/>
    <w:rsid w:val="00454174"/>
    <w:rsid w:val="004541AC"/>
    <w:rsid w:val="0045420E"/>
    <w:rsid w:val="0045420F"/>
    <w:rsid w:val="00454218"/>
    <w:rsid w:val="004542DF"/>
    <w:rsid w:val="00454362"/>
    <w:rsid w:val="00454365"/>
    <w:rsid w:val="004543B9"/>
    <w:rsid w:val="004543EC"/>
    <w:rsid w:val="004544D1"/>
    <w:rsid w:val="0045450C"/>
    <w:rsid w:val="0045454E"/>
    <w:rsid w:val="004545A6"/>
    <w:rsid w:val="004545C8"/>
    <w:rsid w:val="00454602"/>
    <w:rsid w:val="00454638"/>
    <w:rsid w:val="00454679"/>
    <w:rsid w:val="004546C5"/>
    <w:rsid w:val="0045473A"/>
    <w:rsid w:val="00454766"/>
    <w:rsid w:val="00454883"/>
    <w:rsid w:val="00454884"/>
    <w:rsid w:val="004548A6"/>
    <w:rsid w:val="0045494B"/>
    <w:rsid w:val="0045495A"/>
    <w:rsid w:val="00454986"/>
    <w:rsid w:val="004549AF"/>
    <w:rsid w:val="004549B7"/>
    <w:rsid w:val="00454AA8"/>
    <w:rsid w:val="00454AEC"/>
    <w:rsid w:val="00454B0F"/>
    <w:rsid w:val="00454B38"/>
    <w:rsid w:val="00454B7D"/>
    <w:rsid w:val="00454BDA"/>
    <w:rsid w:val="00454C32"/>
    <w:rsid w:val="00454CA4"/>
    <w:rsid w:val="00454CE4"/>
    <w:rsid w:val="00454CE6"/>
    <w:rsid w:val="00454D56"/>
    <w:rsid w:val="00454D6B"/>
    <w:rsid w:val="00454E43"/>
    <w:rsid w:val="00454E79"/>
    <w:rsid w:val="00454E84"/>
    <w:rsid w:val="00454F30"/>
    <w:rsid w:val="00454F45"/>
    <w:rsid w:val="00454F8A"/>
    <w:rsid w:val="00454FAF"/>
    <w:rsid w:val="00454FC2"/>
    <w:rsid w:val="0045506B"/>
    <w:rsid w:val="004550B9"/>
    <w:rsid w:val="00455194"/>
    <w:rsid w:val="0045519F"/>
    <w:rsid w:val="004551D2"/>
    <w:rsid w:val="004551E0"/>
    <w:rsid w:val="004551F4"/>
    <w:rsid w:val="00455211"/>
    <w:rsid w:val="00455387"/>
    <w:rsid w:val="0045539B"/>
    <w:rsid w:val="004553A3"/>
    <w:rsid w:val="00455419"/>
    <w:rsid w:val="00455438"/>
    <w:rsid w:val="004554D8"/>
    <w:rsid w:val="0045558A"/>
    <w:rsid w:val="004555DB"/>
    <w:rsid w:val="004556BA"/>
    <w:rsid w:val="0045570C"/>
    <w:rsid w:val="004557B2"/>
    <w:rsid w:val="00455843"/>
    <w:rsid w:val="00455873"/>
    <w:rsid w:val="004559CE"/>
    <w:rsid w:val="00455AA1"/>
    <w:rsid w:val="00455AC9"/>
    <w:rsid w:val="00455B2A"/>
    <w:rsid w:val="00455C40"/>
    <w:rsid w:val="00455C50"/>
    <w:rsid w:val="00455C64"/>
    <w:rsid w:val="00455CFE"/>
    <w:rsid w:val="00455D1F"/>
    <w:rsid w:val="00455D41"/>
    <w:rsid w:val="00455D79"/>
    <w:rsid w:val="00455DD2"/>
    <w:rsid w:val="00455EBA"/>
    <w:rsid w:val="00455EC9"/>
    <w:rsid w:val="00455F20"/>
    <w:rsid w:val="00455F41"/>
    <w:rsid w:val="00455F5A"/>
    <w:rsid w:val="00455FBA"/>
    <w:rsid w:val="00456002"/>
    <w:rsid w:val="004560DC"/>
    <w:rsid w:val="0045612E"/>
    <w:rsid w:val="0045618E"/>
    <w:rsid w:val="0045619D"/>
    <w:rsid w:val="004561B2"/>
    <w:rsid w:val="004561BB"/>
    <w:rsid w:val="00456271"/>
    <w:rsid w:val="00456299"/>
    <w:rsid w:val="004562E8"/>
    <w:rsid w:val="0045636C"/>
    <w:rsid w:val="004563A2"/>
    <w:rsid w:val="00456426"/>
    <w:rsid w:val="004564AB"/>
    <w:rsid w:val="00456531"/>
    <w:rsid w:val="00456557"/>
    <w:rsid w:val="004565D3"/>
    <w:rsid w:val="00456629"/>
    <w:rsid w:val="004566B5"/>
    <w:rsid w:val="004566E1"/>
    <w:rsid w:val="004566F7"/>
    <w:rsid w:val="0045671D"/>
    <w:rsid w:val="00456789"/>
    <w:rsid w:val="004567B1"/>
    <w:rsid w:val="004567C1"/>
    <w:rsid w:val="00456845"/>
    <w:rsid w:val="0045691A"/>
    <w:rsid w:val="004569A9"/>
    <w:rsid w:val="004569BA"/>
    <w:rsid w:val="004569E0"/>
    <w:rsid w:val="00456A5A"/>
    <w:rsid w:val="00456A6C"/>
    <w:rsid w:val="00456B1A"/>
    <w:rsid w:val="00456B2F"/>
    <w:rsid w:val="00456BB2"/>
    <w:rsid w:val="00456BF2"/>
    <w:rsid w:val="00456C45"/>
    <w:rsid w:val="00456C48"/>
    <w:rsid w:val="00456C54"/>
    <w:rsid w:val="00456D14"/>
    <w:rsid w:val="00456D46"/>
    <w:rsid w:val="00456D66"/>
    <w:rsid w:val="00456D7C"/>
    <w:rsid w:val="00456DEB"/>
    <w:rsid w:val="00456E7E"/>
    <w:rsid w:val="00456E85"/>
    <w:rsid w:val="00456EB8"/>
    <w:rsid w:val="00456EDE"/>
    <w:rsid w:val="00456F07"/>
    <w:rsid w:val="00456FF5"/>
    <w:rsid w:val="0045702F"/>
    <w:rsid w:val="00457057"/>
    <w:rsid w:val="0045706F"/>
    <w:rsid w:val="0045707E"/>
    <w:rsid w:val="00457104"/>
    <w:rsid w:val="0045715F"/>
    <w:rsid w:val="0045717E"/>
    <w:rsid w:val="0045718F"/>
    <w:rsid w:val="004571AE"/>
    <w:rsid w:val="004571D4"/>
    <w:rsid w:val="00457215"/>
    <w:rsid w:val="00457227"/>
    <w:rsid w:val="0045726A"/>
    <w:rsid w:val="00457317"/>
    <w:rsid w:val="0045734A"/>
    <w:rsid w:val="004573D2"/>
    <w:rsid w:val="0045746E"/>
    <w:rsid w:val="004574C3"/>
    <w:rsid w:val="004574DD"/>
    <w:rsid w:val="0045750A"/>
    <w:rsid w:val="0045754E"/>
    <w:rsid w:val="004575BF"/>
    <w:rsid w:val="00457605"/>
    <w:rsid w:val="0045765B"/>
    <w:rsid w:val="0045766A"/>
    <w:rsid w:val="00457682"/>
    <w:rsid w:val="00457730"/>
    <w:rsid w:val="00457752"/>
    <w:rsid w:val="00457804"/>
    <w:rsid w:val="0045785E"/>
    <w:rsid w:val="00457885"/>
    <w:rsid w:val="00457889"/>
    <w:rsid w:val="004578B7"/>
    <w:rsid w:val="00457910"/>
    <w:rsid w:val="00457921"/>
    <w:rsid w:val="00457A3B"/>
    <w:rsid w:val="00457A3F"/>
    <w:rsid w:val="00457ABE"/>
    <w:rsid w:val="00457AED"/>
    <w:rsid w:val="00457B21"/>
    <w:rsid w:val="00457BB1"/>
    <w:rsid w:val="00457BBF"/>
    <w:rsid w:val="00457BFC"/>
    <w:rsid w:val="00457C39"/>
    <w:rsid w:val="00457C80"/>
    <w:rsid w:val="00457CE4"/>
    <w:rsid w:val="00457D67"/>
    <w:rsid w:val="00457D9A"/>
    <w:rsid w:val="00457D9B"/>
    <w:rsid w:val="00457F01"/>
    <w:rsid w:val="00457F0E"/>
    <w:rsid w:val="00457F8A"/>
    <w:rsid w:val="00457FB6"/>
    <w:rsid w:val="00457FD4"/>
    <w:rsid w:val="00457FFD"/>
    <w:rsid w:val="0046004F"/>
    <w:rsid w:val="00460056"/>
    <w:rsid w:val="004600C5"/>
    <w:rsid w:val="00460118"/>
    <w:rsid w:val="0046011A"/>
    <w:rsid w:val="0046011B"/>
    <w:rsid w:val="00460253"/>
    <w:rsid w:val="004602F0"/>
    <w:rsid w:val="0046034B"/>
    <w:rsid w:val="00460363"/>
    <w:rsid w:val="004603BB"/>
    <w:rsid w:val="004603E7"/>
    <w:rsid w:val="0046040A"/>
    <w:rsid w:val="004604C2"/>
    <w:rsid w:val="00460510"/>
    <w:rsid w:val="00460519"/>
    <w:rsid w:val="004605DB"/>
    <w:rsid w:val="004605EC"/>
    <w:rsid w:val="0046062A"/>
    <w:rsid w:val="0046062D"/>
    <w:rsid w:val="004606FC"/>
    <w:rsid w:val="0046077D"/>
    <w:rsid w:val="004607FB"/>
    <w:rsid w:val="00460807"/>
    <w:rsid w:val="00460815"/>
    <w:rsid w:val="0046081D"/>
    <w:rsid w:val="0046082E"/>
    <w:rsid w:val="00460855"/>
    <w:rsid w:val="0046086C"/>
    <w:rsid w:val="004608CD"/>
    <w:rsid w:val="004608F2"/>
    <w:rsid w:val="00460920"/>
    <w:rsid w:val="004609BB"/>
    <w:rsid w:val="00460A25"/>
    <w:rsid w:val="00460A4E"/>
    <w:rsid w:val="00460A55"/>
    <w:rsid w:val="00460A65"/>
    <w:rsid w:val="00460ACC"/>
    <w:rsid w:val="00460AE7"/>
    <w:rsid w:val="00460B6E"/>
    <w:rsid w:val="00460BFD"/>
    <w:rsid w:val="00460CCA"/>
    <w:rsid w:val="00460D0E"/>
    <w:rsid w:val="00460D13"/>
    <w:rsid w:val="00460D49"/>
    <w:rsid w:val="00460D4A"/>
    <w:rsid w:val="00460D7C"/>
    <w:rsid w:val="00460D90"/>
    <w:rsid w:val="00460DC6"/>
    <w:rsid w:val="00460DE2"/>
    <w:rsid w:val="00460E1A"/>
    <w:rsid w:val="00460E76"/>
    <w:rsid w:val="00460E86"/>
    <w:rsid w:val="00460E9F"/>
    <w:rsid w:val="00460EC7"/>
    <w:rsid w:val="00460ECB"/>
    <w:rsid w:val="00460EEA"/>
    <w:rsid w:val="00461002"/>
    <w:rsid w:val="00461038"/>
    <w:rsid w:val="0046108D"/>
    <w:rsid w:val="004610AF"/>
    <w:rsid w:val="004610E8"/>
    <w:rsid w:val="0046118F"/>
    <w:rsid w:val="004611E8"/>
    <w:rsid w:val="00461260"/>
    <w:rsid w:val="004612FA"/>
    <w:rsid w:val="00461309"/>
    <w:rsid w:val="00461391"/>
    <w:rsid w:val="004613BF"/>
    <w:rsid w:val="004614A4"/>
    <w:rsid w:val="004614B5"/>
    <w:rsid w:val="004614BE"/>
    <w:rsid w:val="00461576"/>
    <w:rsid w:val="00461598"/>
    <w:rsid w:val="004615E1"/>
    <w:rsid w:val="00461602"/>
    <w:rsid w:val="00461644"/>
    <w:rsid w:val="0046164E"/>
    <w:rsid w:val="004616EA"/>
    <w:rsid w:val="00461715"/>
    <w:rsid w:val="0046183C"/>
    <w:rsid w:val="00461852"/>
    <w:rsid w:val="00461862"/>
    <w:rsid w:val="004618BC"/>
    <w:rsid w:val="0046191E"/>
    <w:rsid w:val="00461977"/>
    <w:rsid w:val="0046197F"/>
    <w:rsid w:val="00461994"/>
    <w:rsid w:val="004619A4"/>
    <w:rsid w:val="004619D5"/>
    <w:rsid w:val="00461A07"/>
    <w:rsid w:val="00461A55"/>
    <w:rsid w:val="00461A5D"/>
    <w:rsid w:val="00461A7B"/>
    <w:rsid w:val="00461A92"/>
    <w:rsid w:val="00461A97"/>
    <w:rsid w:val="00461B65"/>
    <w:rsid w:val="00461C05"/>
    <w:rsid w:val="00461CF2"/>
    <w:rsid w:val="00461D11"/>
    <w:rsid w:val="00461D3A"/>
    <w:rsid w:val="00461D61"/>
    <w:rsid w:val="00461DA0"/>
    <w:rsid w:val="00461DC2"/>
    <w:rsid w:val="00461E1D"/>
    <w:rsid w:val="00461E4A"/>
    <w:rsid w:val="00461E80"/>
    <w:rsid w:val="00461EB7"/>
    <w:rsid w:val="00461EF9"/>
    <w:rsid w:val="00461FA9"/>
    <w:rsid w:val="00461FE2"/>
    <w:rsid w:val="00462031"/>
    <w:rsid w:val="00462045"/>
    <w:rsid w:val="00462051"/>
    <w:rsid w:val="00462070"/>
    <w:rsid w:val="00462080"/>
    <w:rsid w:val="004620E1"/>
    <w:rsid w:val="00462128"/>
    <w:rsid w:val="00462191"/>
    <w:rsid w:val="004621B5"/>
    <w:rsid w:val="004621DF"/>
    <w:rsid w:val="004621EA"/>
    <w:rsid w:val="00462307"/>
    <w:rsid w:val="0046230B"/>
    <w:rsid w:val="00462355"/>
    <w:rsid w:val="00462360"/>
    <w:rsid w:val="00462363"/>
    <w:rsid w:val="00462366"/>
    <w:rsid w:val="0046237F"/>
    <w:rsid w:val="00462394"/>
    <w:rsid w:val="004623C1"/>
    <w:rsid w:val="004624F1"/>
    <w:rsid w:val="004624F6"/>
    <w:rsid w:val="00462642"/>
    <w:rsid w:val="00462667"/>
    <w:rsid w:val="004627F8"/>
    <w:rsid w:val="00462804"/>
    <w:rsid w:val="00462846"/>
    <w:rsid w:val="004628F1"/>
    <w:rsid w:val="00462967"/>
    <w:rsid w:val="00462974"/>
    <w:rsid w:val="00462985"/>
    <w:rsid w:val="004629C1"/>
    <w:rsid w:val="00462A4A"/>
    <w:rsid w:val="00462A52"/>
    <w:rsid w:val="00462A88"/>
    <w:rsid w:val="00462AB8"/>
    <w:rsid w:val="00462B12"/>
    <w:rsid w:val="00462B35"/>
    <w:rsid w:val="00462B5E"/>
    <w:rsid w:val="00462B9E"/>
    <w:rsid w:val="00462BE9"/>
    <w:rsid w:val="00462C02"/>
    <w:rsid w:val="00462C23"/>
    <w:rsid w:val="00462C5B"/>
    <w:rsid w:val="00462C6D"/>
    <w:rsid w:val="00462CF2"/>
    <w:rsid w:val="00462D34"/>
    <w:rsid w:val="00462DBD"/>
    <w:rsid w:val="00462E4C"/>
    <w:rsid w:val="00462E6A"/>
    <w:rsid w:val="00462E92"/>
    <w:rsid w:val="00462F5B"/>
    <w:rsid w:val="00462F86"/>
    <w:rsid w:val="00462FC0"/>
    <w:rsid w:val="00462FEF"/>
    <w:rsid w:val="0046300C"/>
    <w:rsid w:val="004630DC"/>
    <w:rsid w:val="00463119"/>
    <w:rsid w:val="00463127"/>
    <w:rsid w:val="00463161"/>
    <w:rsid w:val="0046317E"/>
    <w:rsid w:val="0046318A"/>
    <w:rsid w:val="004631D0"/>
    <w:rsid w:val="00463237"/>
    <w:rsid w:val="004632C7"/>
    <w:rsid w:val="004632E2"/>
    <w:rsid w:val="0046331B"/>
    <w:rsid w:val="00463336"/>
    <w:rsid w:val="00463355"/>
    <w:rsid w:val="00463366"/>
    <w:rsid w:val="00463368"/>
    <w:rsid w:val="00463371"/>
    <w:rsid w:val="004633C4"/>
    <w:rsid w:val="004633C8"/>
    <w:rsid w:val="004633F7"/>
    <w:rsid w:val="0046342C"/>
    <w:rsid w:val="00463468"/>
    <w:rsid w:val="00463535"/>
    <w:rsid w:val="004635F5"/>
    <w:rsid w:val="0046363D"/>
    <w:rsid w:val="00463685"/>
    <w:rsid w:val="0046370D"/>
    <w:rsid w:val="0046376A"/>
    <w:rsid w:val="0046379F"/>
    <w:rsid w:val="00463878"/>
    <w:rsid w:val="00463899"/>
    <w:rsid w:val="0046395D"/>
    <w:rsid w:val="004639A1"/>
    <w:rsid w:val="004639FA"/>
    <w:rsid w:val="00463A0D"/>
    <w:rsid w:val="00463A28"/>
    <w:rsid w:val="00463A84"/>
    <w:rsid w:val="00463B4E"/>
    <w:rsid w:val="00463BC4"/>
    <w:rsid w:val="00463BD9"/>
    <w:rsid w:val="00463BEB"/>
    <w:rsid w:val="00463C4A"/>
    <w:rsid w:val="00463C58"/>
    <w:rsid w:val="00463C65"/>
    <w:rsid w:val="00463CF5"/>
    <w:rsid w:val="00463D0A"/>
    <w:rsid w:val="00463D17"/>
    <w:rsid w:val="00463D4D"/>
    <w:rsid w:val="00463DDE"/>
    <w:rsid w:val="00463DF8"/>
    <w:rsid w:val="00463E57"/>
    <w:rsid w:val="00463E64"/>
    <w:rsid w:val="00463E7D"/>
    <w:rsid w:val="00463F3C"/>
    <w:rsid w:val="00463F6C"/>
    <w:rsid w:val="00463F7C"/>
    <w:rsid w:val="00463F85"/>
    <w:rsid w:val="00464020"/>
    <w:rsid w:val="00464069"/>
    <w:rsid w:val="004640D5"/>
    <w:rsid w:val="004640E2"/>
    <w:rsid w:val="004640E3"/>
    <w:rsid w:val="0046415F"/>
    <w:rsid w:val="0046416E"/>
    <w:rsid w:val="00464195"/>
    <w:rsid w:val="004641CB"/>
    <w:rsid w:val="004641F5"/>
    <w:rsid w:val="00464221"/>
    <w:rsid w:val="00464237"/>
    <w:rsid w:val="0046423A"/>
    <w:rsid w:val="0046433D"/>
    <w:rsid w:val="0046438C"/>
    <w:rsid w:val="004643D7"/>
    <w:rsid w:val="004643F7"/>
    <w:rsid w:val="00464404"/>
    <w:rsid w:val="00464470"/>
    <w:rsid w:val="004644E7"/>
    <w:rsid w:val="00464564"/>
    <w:rsid w:val="0046456B"/>
    <w:rsid w:val="004645F3"/>
    <w:rsid w:val="00464606"/>
    <w:rsid w:val="004646B0"/>
    <w:rsid w:val="004646D8"/>
    <w:rsid w:val="0046476D"/>
    <w:rsid w:val="004647D0"/>
    <w:rsid w:val="00464804"/>
    <w:rsid w:val="00464825"/>
    <w:rsid w:val="00464877"/>
    <w:rsid w:val="00464971"/>
    <w:rsid w:val="004649DE"/>
    <w:rsid w:val="004649FB"/>
    <w:rsid w:val="00464A0C"/>
    <w:rsid w:val="00464A64"/>
    <w:rsid w:val="00464A7F"/>
    <w:rsid w:val="00464AF7"/>
    <w:rsid w:val="00464B27"/>
    <w:rsid w:val="00464B3B"/>
    <w:rsid w:val="00464B8A"/>
    <w:rsid w:val="00464B92"/>
    <w:rsid w:val="00464BD5"/>
    <w:rsid w:val="00464C88"/>
    <w:rsid w:val="00464CEB"/>
    <w:rsid w:val="00464D0F"/>
    <w:rsid w:val="00464EB4"/>
    <w:rsid w:val="00464ECC"/>
    <w:rsid w:val="00464F3F"/>
    <w:rsid w:val="00464FE8"/>
    <w:rsid w:val="00465014"/>
    <w:rsid w:val="0046501C"/>
    <w:rsid w:val="0046501D"/>
    <w:rsid w:val="00465058"/>
    <w:rsid w:val="004650C7"/>
    <w:rsid w:val="00465122"/>
    <w:rsid w:val="004651DF"/>
    <w:rsid w:val="004651FF"/>
    <w:rsid w:val="0046521C"/>
    <w:rsid w:val="0046523F"/>
    <w:rsid w:val="00465249"/>
    <w:rsid w:val="00465283"/>
    <w:rsid w:val="0046529E"/>
    <w:rsid w:val="004652C3"/>
    <w:rsid w:val="0046537A"/>
    <w:rsid w:val="00465410"/>
    <w:rsid w:val="0046541E"/>
    <w:rsid w:val="004654E6"/>
    <w:rsid w:val="0046567E"/>
    <w:rsid w:val="00465742"/>
    <w:rsid w:val="004657C9"/>
    <w:rsid w:val="00465800"/>
    <w:rsid w:val="00465865"/>
    <w:rsid w:val="004658C1"/>
    <w:rsid w:val="004658E3"/>
    <w:rsid w:val="004658F2"/>
    <w:rsid w:val="00465B7D"/>
    <w:rsid w:val="00465C78"/>
    <w:rsid w:val="00465D5D"/>
    <w:rsid w:val="00465D7B"/>
    <w:rsid w:val="00465D88"/>
    <w:rsid w:val="00465D8E"/>
    <w:rsid w:val="00465DDB"/>
    <w:rsid w:val="00465E1C"/>
    <w:rsid w:val="00465E20"/>
    <w:rsid w:val="00465E2D"/>
    <w:rsid w:val="00465E45"/>
    <w:rsid w:val="00465E8C"/>
    <w:rsid w:val="00465F10"/>
    <w:rsid w:val="00465F77"/>
    <w:rsid w:val="00465F8B"/>
    <w:rsid w:val="00465FA6"/>
    <w:rsid w:val="00465FA9"/>
    <w:rsid w:val="0046604D"/>
    <w:rsid w:val="0046610A"/>
    <w:rsid w:val="00466157"/>
    <w:rsid w:val="004661EB"/>
    <w:rsid w:val="0046626C"/>
    <w:rsid w:val="00466295"/>
    <w:rsid w:val="004662F8"/>
    <w:rsid w:val="00466323"/>
    <w:rsid w:val="00466383"/>
    <w:rsid w:val="00466454"/>
    <w:rsid w:val="0046647C"/>
    <w:rsid w:val="004664A8"/>
    <w:rsid w:val="004664EF"/>
    <w:rsid w:val="00466527"/>
    <w:rsid w:val="00466539"/>
    <w:rsid w:val="00466552"/>
    <w:rsid w:val="00466598"/>
    <w:rsid w:val="004665AD"/>
    <w:rsid w:val="004665B9"/>
    <w:rsid w:val="004665F0"/>
    <w:rsid w:val="00466605"/>
    <w:rsid w:val="0046662A"/>
    <w:rsid w:val="004666B3"/>
    <w:rsid w:val="004667B2"/>
    <w:rsid w:val="004667D4"/>
    <w:rsid w:val="0046685B"/>
    <w:rsid w:val="00466893"/>
    <w:rsid w:val="004668EE"/>
    <w:rsid w:val="0046697C"/>
    <w:rsid w:val="004669B3"/>
    <w:rsid w:val="00466AE9"/>
    <w:rsid w:val="00466B8D"/>
    <w:rsid w:val="00466BED"/>
    <w:rsid w:val="00466C15"/>
    <w:rsid w:val="00466CDC"/>
    <w:rsid w:val="00466D4A"/>
    <w:rsid w:val="00466D8D"/>
    <w:rsid w:val="00466DAC"/>
    <w:rsid w:val="00466DC3"/>
    <w:rsid w:val="00466E2E"/>
    <w:rsid w:val="00466E4C"/>
    <w:rsid w:val="00466E8C"/>
    <w:rsid w:val="00466EC3"/>
    <w:rsid w:val="00466ECA"/>
    <w:rsid w:val="00466F07"/>
    <w:rsid w:val="00466F63"/>
    <w:rsid w:val="00466F9B"/>
    <w:rsid w:val="00466FE8"/>
    <w:rsid w:val="00467063"/>
    <w:rsid w:val="004670D8"/>
    <w:rsid w:val="004670FF"/>
    <w:rsid w:val="0046721C"/>
    <w:rsid w:val="0046726D"/>
    <w:rsid w:val="004672C9"/>
    <w:rsid w:val="00467331"/>
    <w:rsid w:val="0046734B"/>
    <w:rsid w:val="00467533"/>
    <w:rsid w:val="00467537"/>
    <w:rsid w:val="00467578"/>
    <w:rsid w:val="0046769A"/>
    <w:rsid w:val="0046774A"/>
    <w:rsid w:val="00467788"/>
    <w:rsid w:val="0046784A"/>
    <w:rsid w:val="0046784F"/>
    <w:rsid w:val="004678C3"/>
    <w:rsid w:val="004678E7"/>
    <w:rsid w:val="004678F8"/>
    <w:rsid w:val="00467962"/>
    <w:rsid w:val="0046797A"/>
    <w:rsid w:val="0046798F"/>
    <w:rsid w:val="004679E7"/>
    <w:rsid w:val="00467A7C"/>
    <w:rsid w:val="00467AAB"/>
    <w:rsid w:val="00467B16"/>
    <w:rsid w:val="00467B3C"/>
    <w:rsid w:val="00467B92"/>
    <w:rsid w:val="00467B95"/>
    <w:rsid w:val="00467BBE"/>
    <w:rsid w:val="00467C6E"/>
    <w:rsid w:val="00467C80"/>
    <w:rsid w:val="00467CDD"/>
    <w:rsid w:val="00467DE6"/>
    <w:rsid w:val="00467E06"/>
    <w:rsid w:val="00467E79"/>
    <w:rsid w:val="00467E7B"/>
    <w:rsid w:val="00467ED0"/>
    <w:rsid w:val="00467EDC"/>
    <w:rsid w:val="00467F7C"/>
    <w:rsid w:val="00467FA9"/>
    <w:rsid w:val="00467FE7"/>
    <w:rsid w:val="00470072"/>
    <w:rsid w:val="0047007A"/>
    <w:rsid w:val="004700D4"/>
    <w:rsid w:val="004700F2"/>
    <w:rsid w:val="00470180"/>
    <w:rsid w:val="004701F2"/>
    <w:rsid w:val="0047020C"/>
    <w:rsid w:val="00470233"/>
    <w:rsid w:val="0047033E"/>
    <w:rsid w:val="004703C7"/>
    <w:rsid w:val="00470471"/>
    <w:rsid w:val="0047047B"/>
    <w:rsid w:val="0047049F"/>
    <w:rsid w:val="00470511"/>
    <w:rsid w:val="0047057C"/>
    <w:rsid w:val="004705C8"/>
    <w:rsid w:val="00470629"/>
    <w:rsid w:val="004706F7"/>
    <w:rsid w:val="00470727"/>
    <w:rsid w:val="004707D0"/>
    <w:rsid w:val="004707DA"/>
    <w:rsid w:val="004707E0"/>
    <w:rsid w:val="004708C5"/>
    <w:rsid w:val="004708CE"/>
    <w:rsid w:val="0047093F"/>
    <w:rsid w:val="00470957"/>
    <w:rsid w:val="00470963"/>
    <w:rsid w:val="0047096A"/>
    <w:rsid w:val="0047096F"/>
    <w:rsid w:val="00470983"/>
    <w:rsid w:val="00470990"/>
    <w:rsid w:val="004709A4"/>
    <w:rsid w:val="004709A8"/>
    <w:rsid w:val="00470A47"/>
    <w:rsid w:val="00470A74"/>
    <w:rsid w:val="00470B78"/>
    <w:rsid w:val="00470C81"/>
    <w:rsid w:val="00470CC9"/>
    <w:rsid w:val="00470D7B"/>
    <w:rsid w:val="00470EBC"/>
    <w:rsid w:val="00470ECB"/>
    <w:rsid w:val="00470F03"/>
    <w:rsid w:val="00470F19"/>
    <w:rsid w:val="00470F55"/>
    <w:rsid w:val="00471014"/>
    <w:rsid w:val="004710F6"/>
    <w:rsid w:val="00471151"/>
    <w:rsid w:val="00471154"/>
    <w:rsid w:val="004711ED"/>
    <w:rsid w:val="004711F7"/>
    <w:rsid w:val="00471233"/>
    <w:rsid w:val="004712D2"/>
    <w:rsid w:val="00471326"/>
    <w:rsid w:val="00471356"/>
    <w:rsid w:val="0047135C"/>
    <w:rsid w:val="0047135F"/>
    <w:rsid w:val="00471362"/>
    <w:rsid w:val="00471374"/>
    <w:rsid w:val="004713F1"/>
    <w:rsid w:val="004714BE"/>
    <w:rsid w:val="004714E3"/>
    <w:rsid w:val="00471517"/>
    <w:rsid w:val="0047153B"/>
    <w:rsid w:val="00471545"/>
    <w:rsid w:val="00471558"/>
    <w:rsid w:val="00471579"/>
    <w:rsid w:val="004715BF"/>
    <w:rsid w:val="00471636"/>
    <w:rsid w:val="00471686"/>
    <w:rsid w:val="00471688"/>
    <w:rsid w:val="004716E8"/>
    <w:rsid w:val="00471730"/>
    <w:rsid w:val="004717A0"/>
    <w:rsid w:val="004717B5"/>
    <w:rsid w:val="004717C1"/>
    <w:rsid w:val="00471803"/>
    <w:rsid w:val="00471861"/>
    <w:rsid w:val="0047186E"/>
    <w:rsid w:val="00471881"/>
    <w:rsid w:val="00471893"/>
    <w:rsid w:val="004718BC"/>
    <w:rsid w:val="00471928"/>
    <w:rsid w:val="00471976"/>
    <w:rsid w:val="0047199E"/>
    <w:rsid w:val="004719AC"/>
    <w:rsid w:val="004719FD"/>
    <w:rsid w:val="00471B74"/>
    <w:rsid w:val="00471C3E"/>
    <w:rsid w:val="00471C4D"/>
    <w:rsid w:val="00471CF5"/>
    <w:rsid w:val="00471CFC"/>
    <w:rsid w:val="00471D1E"/>
    <w:rsid w:val="00471D41"/>
    <w:rsid w:val="00471DC5"/>
    <w:rsid w:val="00471E77"/>
    <w:rsid w:val="00471EA7"/>
    <w:rsid w:val="00471F18"/>
    <w:rsid w:val="00471F32"/>
    <w:rsid w:val="00471F83"/>
    <w:rsid w:val="00471FE0"/>
    <w:rsid w:val="0047202E"/>
    <w:rsid w:val="004720E6"/>
    <w:rsid w:val="004720EE"/>
    <w:rsid w:val="0047211C"/>
    <w:rsid w:val="004722A5"/>
    <w:rsid w:val="004722C1"/>
    <w:rsid w:val="00472347"/>
    <w:rsid w:val="0047236B"/>
    <w:rsid w:val="00472385"/>
    <w:rsid w:val="004723DF"/>
    <w:rsid w:val="0047249C"/>
    <w:rsid w:val="004724B3"/>
    <w:rsid w:val="00472511"/>
    <w:rsid w:val="0047259A"/>
    <w:rsid w:val="004725E7"/>
    <w:rsid w:val="004725F5"/>
    <w:rsid w:val="00472613"/>
    <w:rsid w:val="0047261E"/>
    <w:rsid w:val="00472648"/>
    <w:rsid w:val="00472657"/>
    <w:rsid w:val="004726DE"/>
    <w:rsid w:val="004726FB"/>
    <w:rsid w:val="004727DA"/>
    <w:rsid w:val="00472872"/>
    <w:rsid w:val="004728EB"/>
    <w:rsid w:val="00472930"/>
    <w:rsid w:val="00472A05"/>
    <w:rsid w:val="00472A21"/>
    <w:rsid w:val="00472A36"/>
    <w:rsid w:val="00472A49"/>
    <w:rsid w:val="00472AE0"/>
    <w:rsid w:val="00472AF2"/>
    <w:rsid w:val="00472BB7"/>
    <w:rsid w:val="00472BDA"/>
    <w:rsid w:val="00472C31"/>
    <w:rsid w:val="00472C88"/>
    <w:rsid w:val="00472C90"/>
    <w:rsid w:val="00472C93"/>
    <w:rsid w:val="00472D54"/>
    <w:rsid w:val="00472E07"/>
    <w:rsid w:val="00472E50"/>
    <w:rsid w:val="00472ED1"/>
    <w:rsid w:val="00472EDA"/>
    <w:rsid w:val="00472F81"/>
    <w:rsid w:val="00472FAE"/>
    <w:rsid w:val="00473036"/>
    <w:rsid w:val="00473053"/>
    <w:rsid w:val="00473093"/>
    <w:rsid w:val="004730AF"/>
    <w:rsid w:val="004730B9"/>
    <w:rsid w:val="004730FA"/>
    <w:rsid w:val="00473134"/>
    <w:rsid w:val="0047314D"/>
    <w:rsid w:val="004731EF"/>
    <w:rsid w:val="004732ED"/>
    <w:rsid w:val="00473319"/>
    <w:rsid w:val="0047339B"/>
    <w:rsid w:val="004733B6"/>
    <w:rsid w:val="0047344F"/>
    <w:rsid w:val="004734AC"/>
    <w:rsid w:val="004734ED"/>
    <w:rsid w:val="0047350B"/>
    <w:rsid w:val="00473524"/>
    <w:rsid w:val="00473558"/>
    <w:rsid w:val="004735E4"/>
    <w:rsid w:val="00473617"/>
    <w:rsid w:val="00473904"/>
    <w:rsid w:val="00473926"/>
    <w:rsid w:val="00473936"/>
    <w:rsid w:val="004739B2"/>
    <w:rsid w:val="004739EF"/>
    <w:rsid w:val="00473A18"/>
    <w:rsid w:val="00473AFC"/>
    <w:rsid w:val="00473AFD"/>
    <w:rsid w:val="00473AFE"/>
    <w:rsid w:val="00473B81"/>
    <w:rsid w:val="00473B98"/>
    <w:rsid w:val="00473BA3"/>
    <w:rsid w:val="00473BF4"/>
    <w:rsid w:val="00473D00"/>
    <w:rsid w:val="00473D5A"/>
    <w:rsid w:val="00473D60"/>
    <w:rsid w:val="00473D65"/>
    <w:rsid w:val="00473DAC"/>
    <w:rsid w:val="00473EB2"/>
    <w:rsid w:val="00474068"/>
    <w:rsid w:val="00474148"/>
    <w:rsid w:val="004741F6"/>
    <w:rsid w:val="00474352"/>
    <w:rsid w:val="00474376"/>
    <w:rsid w:val="0047439C"/>
    <w:rsid w:val="004743AE"/>
    <w:rsid w:val="004743F7"/>
    <w:rsid w:val="004744A3"/>
    <w:rsid w:val="004744AF"/>
    <w:rsid w:val="004744B3"/>
    <w:rsid w:val="00474556"/>
    <w:rsid w:val="0047459C"/>
    <w:rsid w:val="004746F9"/>
    <w:rsid w:val="00474704"/>
    <w:rsid w:val="004747CB"/>
    <w:rsid w:val="00474869"/>
    <w:rsid w:val="004748A1"/>
    <w:rsid w:val="004748AA"/>
    <w:rsid w:val="00474ACF"/>
    <w:rsid w:val="00474BED"/>
    <w:rsid w:val="00474BF7"/>
    <w:rsid w:val="00474C2B"/>
    <w:rsid w:val="00474C5E"/>
    <w:rsid w:val="00474C6F"/>
    <w:rsid w:val="00474C73"/>
    <w:rsid w:val="00474C95"/>
    <w:rsid w:val="00474D56"/>
    <w:rsid w:val="00474D73"/>
    <w:rsid w:val="00474D96"/>
    <w:rsid w:val="00474DA8"/>
    <w:rsid w:val="00474DE5"/>
    <w:rsid w:val="00474E22"/>
    <w:rsid w:val="00474E35"/>
    <w:rsid w:val="00474E62"/>
    <w:rsid w:val="00474F07"/>
    <w:rsid w:val="00474F11"/>
    <w:rsid w:val="00474F36"/>
    <w:rsid w:val="00474FE5"/>
    <w:rsid w:val="00475085"/>
    <w:rsid w:val="00475185"/>
    <w:rsid w:val="0047519F"/>
    <w:rsid w:val="004751B7"/>
    <w:rsid w:val="00475244"/>
    <w:rsid w:val="004752A6"/>
    <w:rsid w:val="00475315"/>
    <w:rsid w:val="0047531A"/>
    <w:rsid w:val="0047537E"/>
    <w:rsid w:val="0047540F"/>
    <w:rsid w:val="0047542F"/>
    <w:rsid w:val="0047547F"/>
    <w:rsid w:val="00475483"/>
    <w:rsid w:val="0047549D"/>
    <w:rsid w:val="004755C4"/>
    <w:rsid w:val="00475678"/>
    <w:rsid w:val="0047569E"/>
    <w:rsid w:val="0047569F"/>
    <w:rsid w:val="004756A8"/>
    <w:rsid w:val="004756C5"/>
    <w:rsid w:val="004756EA"/>
    <w:rsid w:val="00475703"/>
    <w:rsid w:val="00475732"/>
    <w:rsid w:val="00475761"/>
    <w:rsid w:val="0047576E"/>
    <w:rsid w:val="004757C1"/>
    <w:rsid w:val="004758B9"/>
    <w:rsid w:val="004758BC"/>
    <w:rsid w:val="00475949"/>
    <w:rsid w:val="0047594C"/>
    <w:rsid w:val="00475A5E"/>
    <w:rsid w:val="00475A97"/>
    <w:rsid w:val="00475AED"/>
    <w:rsid w:val="00475AF9"/>
    <w:rsid w:val="00475B82"/>
    <w:rsid w:val="00475BCF"/>
    <w:rsid w:val="00475C1B"/>
    <w:rsid w:val="00475C89"/>
    <w:rsid w:val="00475D58"/>
    <w:rsid w:val="00475DE8"/>
    <w:rsid w:val="00475E8A"/>
    <w:rsid w:val="00475F36"/>
    <w:rsid w:val="00475F7D"/>
    <w:rsid w:val="00475FBB"/>
    <w:rsid w:val="00475FE4"/>
    <w:rsid w:val="004760C2"/>
    <w:rsid w:val="004761C2"/>
    <w:rsid w:val="00476206"/>
    <w:rsid w:val="0047629A"/>
    <w:rsid w:val="0047635A"/>
    <w:rsid w:val="004763FA"/>
    <w:rsid w:val="00476421"/>
    <w:rsid w:val="0047643A"/>
    <w:rsid w:val="004764CA"/>
    <w:rsid w:val="004764E6"/>
    <w:rsid w:val="004764FE"/>
    <w:rsid w:val="0047650E"/>
    <w:rsid w:val="00476511"/>
    <w:rsid w:val="00476591"/>
    <w:rsid w:val="00476642"/>
    <w:rsid w:val="0047667A"/>
    <w:rsid w:val="004766AD"/>
    <w:rsid w:val="004766FD"/>
    <w:rsid w:val="0047670A"/>
    <w:rsid w:val="00476715"/>
    <w:rsid w:val="00476890"/>
    <w:rsid w:val="0047690D"/>
    <w:rsid w:val="00476959"/>
    <w:rsid w:val="00476997"/>
    <w:rsid w:val="00476A58"/>
    <w:rsid w:val="00476B01"/>
    <w:rsid w:val="00476C07"/>
    <w:rsid w:val="00476C7F"/>
    <w:rsid w:val="00476CF6"/>
    <w:rsid w:val="00476D28"/>
    <w:rsid w:val="00476D49"/>
    <w:rsid w:val="00476DF3"/>
    <w:rsid w:val="00476E1F"/>
    <w:rsid w:val="00476E29"/>
    <w:rsid w:val="00476FA8"/>
    <w:rsid w:val="00476FC2"/>
    <w:rsid w:val="0047701F"/>
    <w:rsid w:val="0047705F"/>
    <w:rsid w:val="0047709B"/>
    <w:rsid w:val="004770FA"/>
    <w:rsid w:val="00477105"/>
    <w:rsid w:val="004771F6"/>
    <w:rsid w:val="00477245"/>
    <w:rsid w:val="0047729E"/>
    <w:rsid w:val="004772EC"/>
    <w:rsid w:val="004773AE"/>
    <w:rsid w:val="00477459"/>
    <w:rsid w:val="0047746A"/>
    <w:rsid w:val="004774CD"/>
    <w:rsid w:val="004774F7"/>
    <w:rsid w:val="00477535"/>
    <w:rsid w:val="0047759A"/>
    <w:rsid w:val="004775AC"/>
    <w:rsid w:val="004775E8"/>
    <w:rsid w:val="00477601"/>
    <w:rsid w:val="00477624"/>
    <w:rsid w:val="00477661"/>
    <w:rsid w:val="004776C9"/>
    <w:rsid w:val="00477771"/>
    <w:rsid w:val="00477784"/>
    <w:rsid w:val="0047782C"/>
    <w:rsid w:val="00477837"/>
    <w:rsid w:val="004778D1"/>
    <w:rsid w:val="004778E8"/>
    <w:rsid w:val="0047797F"/>
    <w:rsid w:val="004779D1"/>
    <w:rsid w:val="00477A41"/>
    <w:rsid w:val="00477A4E"/>
    <w:rsid w:val="00477A9A"/>
    <w:rsid w:val="00477AA8"/>
    <w:rsid w:val="00477AF1"/>
    <w:rsid w:val="00477B0D"/>
    <w:rsid w:val="00477B4D"/>
    <w:rsid w:val="00477B95"/>
    <w:rsid w:val="00477C26"/>
    <w:rsid w:val="00477C38"/>
    <w:rsid w:val="00477C77"/>
    <w:rsid w:val="00477CF0"/>
    <w:rsid w:val="00477D4A"/>
    <w:rsid w:val="00477D6A"/>
    <w:rsid w:val="00477DD7"/>
    <w:rsid w:val="00477E81"/>
    <w:rsid w:val="00477EFC"/>
    <w:rsid w:val="00477F3D"/>
    <w:rsid w:val="00477FC1"/>
    <w:rsid w:val="004800BB"/>
    <w:rsid w:val="004800D1"/>
    <w:rsid w:val="00480140"/>
    <w:rsid w:val="00480222"/>
    <w:rsid w:val="00480346"/>
    <w:rsid w:val="004803DB"/>
    <w:rsid w:val="00480406"/>
    <w:rsid w:val="00480534"/>
    <w:rsid w:val="004805BA"/>
    <w:rsid w:val="004805BD"/>
    <w:rsid w:val="004805C3"/>
    <w:rsid w:val="00480640"/>
    <w:rsid w:val="00480652"/>
    <w:rsid w:val="00480660"/>
    <w:rsid w:val="00480663"/>
    <w:rsid w:val="004806DF"/>
    <w:rsid w:val="00480776"/>
    <w:rsid w:val="0048085D"/>
    <w:rsid w:val="00480888"/>
    <w:rsid w:val="004808BB"/>
    <w:rsid w:val="004808DE"/>
    <w:rsid w:val="004808EB"/>
    <w:rsid w:val="00480951"/>
    <w:rsid w:val="00480963"/>
    <w:rsid w:val="00480977"/>
    <w:rsid w:val="0048099D"/>
    <w:rsid w:val="0048099F"/>
    <w:rsid w:val="004809F1"/>
    <w:rsid w:val="00480A34"/>
    <w:rsid w:val="00480AA0"/>
    <w:rsid w:val="00480ABB"/>
    <w:rsid w:val="00480AF8"/>
    <w:rsid w:val="00480BC0"/>
    <w:rsid w:val="00480C26"/>
    <w:rsid w:val="00480C32"/>
    <w:rsid w:val="00480C3E"/>
    <w:rsid w:val="00480CC7"/>
    <w:rsid w:val="00480D1A"/>
    <w:rsid w:val="00480E3B"/>
    <w:rsid w:val="00480FBB"/>
    <w:rsid w:val="00480FFA"/>
    <w:rsid w:val="00481014"/>
    <w:rsid w:val="004810FC"/>
    <w:rsid w:val="00481119"/>
    <w:rsid w:val="00481145"/>
    <w:rsid w:val="0048126C"/>
    <w:rsid w:val="0048129E"/>
    <w:rsid w:val="004812AC"/>
    <w:rsid w:val="004812E1"/>
    <w:rsid w:val="0048130A"/>
    <w:rsid w:val="0048131E"/>
    <w:rsid w:val="004813A8"/>
    <w:rsid w:val="00481456"/>
    <w:rsid w:val="004814B0"/>
    <w:rsid w:val="004814E6"/>
    <w:rsid w:val="00481561"/>
    <w:rsid w:val="004815E5"/>
    <w:rsid w:val="004815F9"/>
    <w:rsid w:val="00481646"/>
    <w:rsid w:val="00481660"/>
    <w:rsid w:val="0048166B"/>
    <w:rsid w:val="00481690"/>
    <w:rsid w:val="0048177C"/>
    <w:rsid w:val="004817C0"/>
    <w:rsid w:val="004817CA"/>
    <w:rsid w:val="004817CE"/>
    <w:rsid w:val="004817EA"/>
    <w:rsid w:val="00481813"/>
    <w:rsid w:val="00481819"/>
    <w:rsid w:val="00481889"/>
    <w:rsid w:val="0048189C"/>
    <w:rsid w:val="004818F0"/>
    <w:rsid w:val="0048190F"/>
    <w:rsid w:val="00481A15"/>
    <w:rsid w:val="00481A4E"/>
    <w:rsid w:val="00481A67"/>
    <w:rsid w:val="00481AF3"/>
    <w:rsid w:val="00481B8B"/>
    <w:rsid w:val="00481BD1"/>
    <w:rsid w:val="00481CD6"/>
    <w:rsid w:val="00481D0B"/>
    <w:rsid w:val="00481D2F"/>
    <w:rsid w:val="00481D32"/>
    <w:rsid w:val="00481D68"/>
    <w:rsid w:val="00481DB4"/>
    <w:rsid w:val="00481DC1"/>
    <w:rsid w:val="00481DC6"/>
    <w:rsid w:val="00481DF9"/>
    <w:rsid w:val="00481EF4"/>
    <w:rsid w:val="00481F2B"/>
    <w:rsid w:val="00481F36"/>
    <w:rsid w:val="00481F39"/>
    <w:rsid w:val="00481F47"/>
    <w:rsid w:val="00481FFF"/>
    <w:rsid w:val="0048201A"/>
    <w:rsid w:val="0048204F"/>
    <w:rsid w:val="0048216E"/>
    <w:rsid w:val="00482199"/>
    <w:rsid w:val="004821A7"/>
    <w:rsid w:val="004821AB"/>
    <w:rsid w:val="004821CF"/>
    <w:rsid w:val="004821E2"/>
    <w:rsid w:val="00482207"/>
    <w:rsid w:val="0048221E"/>
    <w:rsid w:val="00482266"/>
    <w:rsid w:val="00482287"/>
    <w:rsid w:val="00482331"/>
    <w:rsid w:val="0048233D"/>
    <w:rsid w:val="00482445"/>
    <w:rsid w:val="0048245B"/>
    <w:rsid w:val="0048249F"/>
    <w:rsid w:val="004824F9"/>
    <w:rsid w:val="004825AA"/>
    <w:rsid w:val="0048260E"/>
    <w:rsid w:val="0048277E"/>
    <w:rsid w:val="004827AF"/>
    <w:rsid w:val="004827DA"/>
    <w:rsid w:val="004829F1"/>
    <w:rsid w:val="00482A57"/>
    <w:rsid w:val="00482A68"/>
    <w:rsid w:val="00482AED"/>
    <w:rsid w:val="00482B3F"/>
    <w:rsid w:val="00482B88"/>
    <w:rsid w:val="00482BB0"/>
    <w:rsid w:val="00482BB5"/>
    <w:rsid w:val="00482C40"/>
    <w:rsid w:val="00482C47"/>
    <w:rsid w:val="00482CC3"/>
    <w:rsid w:val="00482CC7"/>
    <w:rsid w:val="00482D24"/>
    <w:rsid w:val="00482EA7"/>
    <w:rsid w:val="00482EE6"/>
    <w:rsid w:val="00482F04"/>
    <w:rsid w:val="00482F67"/>
    <w:rsid w:val="00482FAA"/>
    <w:rsid w:val="004830E5"/>
    <w:rsid w:val="004831AF"/>
    <w:rsid w:val="00483201"/>
    <w:rsid w:val="004832D6"/>
    <w:rsid w:val="0048337B"/>
    <w:rsid w:val="0048350D"/>
    <w:rsid w:val="00483549"/>
    <w:rsid w:val="0048357E"/>
    <w:rsid w:val="00483589"/>
    <w:rsid w:val="0048359D"/>
    <w:rsid w:val="00483666"/>
    <w:rsid w:val="004836F1"/>
    <w:rsid w:val="004836FA"/>
    <w:rsid w:val="00483792"/>
    <w:rsid w:val="0048379F"/>
    <w:rsid w:val="004837A1"/>
    <w:rsid w:val="00483846"/>
    <w:rsid w:val="004838E8"/>
    <w:rsid w:val="004838F4"/>
    <w:rsid w:val="0048398B"/>
    <w:rsid w:val="00483A03"/>
    <w:rsid w:val="00483A42"/>
    <w:rsid w:val="00483B43"/>
    <w:rsid w:val="00483B5A"/>
    <w:rsid w:val="00483BC4"/>
    <w:rsid w:val="00483C5D"/>
    <w:rsid w:val="00483C73"/>
    <w:rsid w:val="00483CAB"/>
    <w:rsid w:val="00483CE5"/>
    <w:rsid w:val="00483D21"/>
    <w:rsid w:val="00483DFB"/>
    <w:rsid w:val="00483E0F"/>
    <w:rsid w:val="00483EB8"/>
    <w:rsid w:val="00483EC9"/>
    <w:rsid w:val="00483EE8"/>
    <w:rsid w:val="00483F4A"/>
    <w:rsid w:val="00483F73"/>
    <w:rsid w:val="00483F9E"/>
    <w:rsid w:val="00483FC6"/>
    <w:rsid w:val="00484002"/>
    <w:rsid w:val="00484099"/>
    <w:rsid w:val="004840C7"/>
    <w:rsid w:val="004840C8"/>
    <w:rsid w:val="00484132"/>
    <w:rsid w:val="0048421F"/>
    <w:rsid w:val="00484269"/>
    <w:rsid w:val="0048426E"/>
    <w:rsid w:val="0048428A"/>
    <w:rsid w:val="004842FB"/>
    <w:rsid w:val="00484329"/>
    <w:rsid w:val="004843B0"/>
    <w:rsid w:val="004843CD"/>
    <w:rsid w:val="004843DD"/>
    <w:rsid w:val="00484442"/>
    <w:rsid w:val="00484488"/>
    <w:rsid w:val="004844D2"/>
    <w:rsid w:val="0048458E"/>
    <w:rsid w:val="004845B7"/>
    <w:rsid w:val="004845FB"/>
    <w:rsid w:val="00484615"/>
    <w:rsid w:val="004846B6"/>
    <w:rsid w:val="00484709"/>
    <w:rsid w:val="00484814"/>
    <w:rsid w:val="0048485B"/>
    <w:rsid w:val="004848BE"/>
    <w:rsid w:val="0048491A"/>
    <w:rsid w:val="00484976"/>
    <w:rsid w:val="004849B6"/>
    <w:rsid w:val="00484A42"/>
    <w:rsid w:val="00484B7A"/>
    <w:rsid w:val="00484B8B"/>
    <w:rsid w:val="00484BB0"/>
    <w:rsid w:val="00484C45"/>
    <w:rsid w:val="00484C46"/>
    <w:rsid w:val="00484CAF"/>
    <w:rsid w:val="00484CC1"/>
    <w:rsid w:val="00484D82"/>
    <w:rsid w:val="00484DFC"/>
    <w:rsid w:val="00484E3F"/>
    <w:rsid w:val="00484E49"/>
    <w:rsid w:val="00484F0A"/>
    <w:rsid w:val="00484F6E"/>
    <w:rsid w:val="00484FC2"/>
    <w:rsid w:val="00484FED"/>
    <w:rsid w:val="0048502E"/>
    <w:rsid w:val="00485035"/>
    <w:rsid w:val="00485037"/>
    <w:rsid w:val="004850E4"/>
    <w:rsid w:val="0048512C"/>
    <w:rsid w:val="00485140"/>
    <w:rsid w:val="0048517E"/>
    <w:rsid w:val="00485193"/>
    <w:rsid w:val="004851AB"/>
    <w:rsid w:val="004851B2"/>
    <w:rsid w:val="004851D9"/>
    <w:rsid w:val="00485255"/>
    <w:rsid w:val="0048529A"/>
    <w:rsid w:val="004852E8"/>
    <w:rsid w:val="004853DA"/>
    <w:rsid w:val="00485473"/>
    <w:rsid w:val="004854B7"/>
    <w:rsid w:val="004854DB"/>
    <w:rsid w:val="004854E4"/>
    <w:rsid w:val="0048557C"/>
    <w:rsid w:val="0048558E"/>
    <w:rsid w:val="0048566E"/>
    <w:rsid w:val="00485765"/>
    <w:rsid w:val="00485769"/>
    <w:rsid w:val="004857E0"/>
    <w:rsid w:val="0048580B"/>
    <w:rsid w:val="00485835"/>
    <w:rsid w:val="00485843"/>
    <w:rsid w:val="004858AD"/>
    <w:rsid w:val="004858C0"/>
    <w:rsid w:val="004858FA"/>
    <w:rsid w:val="004858FF"/>
    <w:rsid w:val="00485A91"/>
    <w:rsid w:val="00485BBE"/>
    <w:rsid w:val="00485C12"/>
    <w:rsid w:val="00485C19"/>
    <w:rsid w:val="00485C1F"/>
    <w:rsid w:val="00485C48"/>
    <w:rsid w:val="00485CA0"/>
    <w:rsid w:val="00485DEB"/>
    <w:rsid w:val="00485E2E"/>
    <w:rsid w:val="00485E46"/>
    <w:rsid w:val="00486021"/>
    <w:rsid w:val="004860A0"/>
    <w:rsid w:val="0048611D"/>
    <w:rsid w:val="00486164"/>
    <w:rsid w:val="004861A8"/>
    <w:rsid w:val="004861F1"/>
    <w:rsid w:val="00486256"/>
    <w:rsid w:val="004862A0"/>
    <w:rsid w:val="004862C4"/>
    <w:rsid w:val="004862D6"/>
    <w:rsid w:val="00486306"/>
    <w:rsid w:val="00486464"/>
    <w:rsid w:val="004864BC"/>
    <w:rsid w:val="0048658B"/>
    <w:rsid w:val="004865B5"/>
    <w:rsid w:val="0048677B"/>
    <w:rsid w:val="00486784"/>
    <w:rsid w:val="00486862"/>
    <w:rsid w:val="004868FB"/>
    <w:rsid w:val="0048693E"/>
    <w:rsid w:val="0048699F"/>
    <w:rsid w:val="004869DF"/>
    <w:rsid w:val="00486A23"/>
    <w:rsid w:val="00486A4F"/>
    <w:rsid w:val="00486ACB"/>
    <w:rsid w:val="00486B19"/>
    <w:rsid w:val="00486B2F"/>
    <w:rsid w:val="00486B46"/>
    <w:rsid w:val="00486B54"/>
    <w:rsid w:val="00486C17"/>
    <w:rsid w:val="00486C3B"/>
    <w:rsid w:val="00486C78"/>
    <w:rsid w:val="00486C98"/>
    <w:rsid w:val="00486CF4"/>
    <w:rsid w:val="00486D63"/>
    <w:rsid w:val="00486E3E"/>
    <w:rsid w:val="00486E5F"/>
    <w:rsid w:val="00486E82"/>
    <w:rsid w:val="00486EC7"/>
    <w:rsid w:val="00486EF7"/>
    <w:rsid w:val="00486F8E"/>
    <w:rsid w:val="00487018"/>
    <w:rsid w:val="00487061"/>
    <w:rsid w:val="004870B1"/>
    <w:rsid w:val="00487111"/>
    <w:rsid w:val="00487148"/>
    <w:rsid w:val="0048717E"/>
    <w:rsid w:val="004871C0"/>
    <w:rsid w:val="00487238"/>
    <w:rsid w:val="00487297"/>
    <w:rsid w:val="004872E1"/>
    <w:rsid w:val="004872F0"/>
    <w:rsid w:val="00487323"/>
    <w:rsid w:val="004873A8"/>
    <w:rsid w:val="00487404"/>
    <w:rsid w:val="00487406"/>
    <w:rsid w:val="0048740D"/>
    <w:rsid w:val="0048741A"/>
    <w:rsid w:val="0048741D"/>
    <w:rsid w:val="0048742C"/>
    <w:rsid w:val="00487439"/>
    <w:rsid w:val="0048743D"/>
    <w:rsid w:val="0048748C"/>
    <w:rsid w:val="004874ED"/>
    <w:rsid w:val="004876FC"/>
    <w:rsid w:val="0048771C"/>
    <w:rsid w:val="00487748"/>
    <w:rsid w:val="004877A3"/>
    <w:rsid w:val="004877DB"/>
    <w:rsid w:val="0048784E"/>
    <w:rsid w:val="004878B2"/>
    <w:rsid w:val="00487911"/>
    <w:rsid w:val="00487916"/>
    <w:rsid w:val="004879B0"/>
    <w:rsid w:val="004879C4"/>
    <w:rsid w:val="00487A22"/>
    <w:rsid w:val="00487A3F"/>
    <w:rsid w:val="00487A56"/>
    <w:rsid w:val="00487AB4"/>
    <w:rsid w:val="00487B19"/>
    <w:rsid w:val="00487C22"/>
    <w:rsid w:val="00487C52"/>
    <w:rsid w:val="00487C94"/>
    <w:rsid w:val="00487CAA"/>
    <w:rsid w:val="00487D9A"/>
    <w:rsid w:val="00487E4C"/>
    <w:rsid w:val="00487E96"/>
    <w:rsid w:val="00487EBE"/>
    <w:rsid w:val="00487F03"/>
    <w:rsid w:val="00487F0F"/>
    <w:rsid w:val="00487FB4"/>
    <w:rsid w:val="00490051"/>
    <w:rsid w:val="0049011A"/>
    <w:rsid w:val="00490244"/>
    <w:rsid w:val="00490270"/>
    <w:rsid w:val="00490298"/>
    <w:rsid w:val="00490334"/>
    <w:rsid w:val="00490360"/>
    <w:rsid w:val="0049038A"/>
    <w:rsid w:val="00490394"/>
    <w:rsid w:val="004903EF"/>
    <w:rsid w:val="0049040D"/>
    <w:rsid w:val="00490415"/>
    <w:rsid w:val="004904B3"/>
    <w:rsid w:val="004904C5"/>
    <w:rsid w:val="004905DA"/>
    <w:rsid w:val="004905FC"/>
    <w:rsid w:val="0049067C"/>
    <w:rsid w:val="00490700"/>
    <w:rsid w:val="004907C7"/>
    <w:rsid w:val="004907E6"/>
    <w:rsid w:val="004908A3"/>
    <w:rsid w:val="00490938"/>
    <w:rsid w:val="00490968"/>
    <w:rsid w:val="00490A38"/>
    <w:rsid w:val="00490A40"/>
    <w:rsid w:val="00490A8C"/>
    <w:rsid w:val="00490B8D"/>
    <w:rsid w:val="00490B9D"/>
    <w:rsid w:val="00490C02"/>
    <w:rsid w:val="00490CA2"/>
    <w:rsid w:val="00490CE3"/>
    <w:rsid w:val="00490CEB"/>
    <w:rsid w:val="00490D22"/>
    <w:rsid w:val="00490D3B"/>
    <w:rsid w:val="00490D71"/>
    <w:rsid w:val="00490DBF"/>
    <w:rsid w:val="00490E3C"/>
    <w:rsid w:val="00490E4A"/>
    <w:rsid w:val="00490E4E"/>
    <w:rsid w:val="00490E6E"/>
    <w:rsid w:val="00490E8B"/>
    <w:rsid w:val="00490EB0"/>
    <w:rsid w:val="00490F41"/>
    <w:rsid w:val="00491069"/>
    <w:rsid w:val="00491105"/>
    <w:rsid w:val="0049118E"/>
    <w:rsid w:val="004911D5"/>
    <w:rsid w:val="00491251"/>
    <w:rsid w:val="00491281"/>
    <w:rsid w:val="004912B1"/>
    <w:rsid w:val="004912BF"/>
    <w:rsid w:val="0049131D"/>
    <w:rsid w:val="00491356"/>
    <w:rsid w:val="00491375"/>
    <w:rsid w:val="0049146F"/>
    <w:rsid w:val="004914F6"/>
    <w:rsid w:val="0049153D"/>
    <w:rsid w:val="00491575"/>
    <w:rsid w:val="004915A1"/>
    <w:rsid w:val="004915C7"/>
    <w:rsid w:val="0049165C"/>
    <w:rsid w:val="0049167F"/>
    <w:rsid w:val="00491695"/>
    <w:rsid w:val="00491699"/>
    <w:rsid w:val="0049175F"/>
    <w:rsid w:val="00491788"/>
    <w:rsid w:val="004917EC"/>
    <w:rsid w:val="004917F3"/>
    <w:rsid w:val="004917FE"/>
    <w:rsid w:val="00491876"/>
    <w:rsid w:val="00491920"/>
    <w:rsid w:val="00491953"/>
    <w:rsid w:val="00491954"/>
    <w:rsid w:val="004919E7"/>
    <w:rsid w:val="004919EC"/>
    <w:rsid w:val="004919FF"/>
    <w:rsid w:val="00491A4D"/>
    <w:rsid w:val="00491AC6"/>
    <w:rsid w:val="00491BA2"/>
    <w:rsid w:val="00491BB1"/>
    <w:rsid w:val="00491C3F"/>
    <w:rsid w:val="00491C54"/>
    <w:rsid w:val="00491C5C"/>
    <w:rsid w:val="00491C7B"/>
    <w:rsid w:val="00491CBE"/>
    <w:rsid w:val="00491D71"/>
    <w:rsid w:val="00491DA5"/>
    <w:rsid w:val="00491DAE"/>
    <w:rsid w:val="00491DAF"/>
    <w:rsid w:val="00491E5A"/>
    <w:rsid w:val="00491ECD"/>
    <w:rsid w:val="00491EE3"/>
    <w:rsid w:val="00491EF7"/>
    <w:rsid w:val="00491F13"/>
    <w:rsid w:val="00491FBD"/>
    <w:rsid w:val="00491FD1"/>
    <w:rsid w:val="0049201B"/>
    <w:rsid w:val="004920A3"/>
    <w:rsid w:val="004920D4"/>
    <w:rsid w:val="00492149"/>
    <w:rsid w:val="0049214E"/>
    <w:rsid w:val="00492164"/>
    <w:rsid w:val="004921D0"/>
    <w:rsid w:val="00492260"/>
    <w:rsid w:val="00492320"/>
    <w:rsid w:val="0049237F"/>
    <w:rsid w:val="0049238C"/>
    <w:rsid w:val="004923A3"/>
    <w:rsid w:val="004923D5"/>
    <w:rsid w:val="00492428"/>
    <w:rsid w:val="00492461"/>
    <w:rsid w:val="00492494"/>
    <w:rsid w:val="004924E2"/>
    <w:rsid w:val="00492534"/>
    <w:rsid w:val="00492578"/>
    <w:rsid w:val="0049257E"/>
    <w:rsid w:val="0049263E"/>
    <w:rsid w:val="0049267C"/>
    <w:rsid w:val="004926A0"/>
    <w:rsid w:val="00492716"/>
    <w:rsid w:val="0049279B"/>
    <w:rsid w:val="004927B8"/>
    <w:rsid w:val="004927E3"/>
    <w:rsid w:val="0049286C"/>
    <w:rsid w:val="00492870"/>
    <w:rsid w:val="0049289F"/>
    <w:rsid w:val="00492933"/>
    <w:rsid w:val="00492937"/>
    <w:rsid w:val="00492A10"/>
    <w:rsid w:val="00492AE2"/>
    <w:rsid w:val="00492B0F"/>
    <w:rsid w:val="00492B91"/>
    <w:rsid w:val="00492B9D"/>
    <w:rsid w:val="00492C1F"/>
    <w:rsid w:val="00492C35"/>
    <w:rsid w:val="00492D0B"/>
    <w:rsid w:val="00492E6E"/>
    <w:rsid w:val="00492ECD"/>
    <w:rsid w:val="00492F36"/>
    <w:rsid w:val="00492F40"/>
    <w:rsid w:val="00492FAF"/>
    <w:rsid w:val="00492FCB"/>
    <w:rsid w:val="00493015"/>
    <w:rsid w:val="00493077"/>
    <w:rsid w:val="004930E0"/>
    <w:rsid w:val="004930F1"/>
    <w:rsid w:val="00493105"/>
    <w:rsid w:val="00493116"/>
    <w:rsid w:val="0049313F"/>
    <w:rsid w:val="0049328D"/>
    <w:rsid w:val="004932A7"/>
    <w:rsid w:val="004932E0"/>
    <w:rsid w:val="00493322"/>
    <w:rsid w:val="00493421"/>
    <w:rsid w:val="0049342F"/>
    <w:rsid w:val="0049347F"/>
    <w:rsid w:val="0049355E"/>
    <w:rsid w:val="00493563"/>
    <w:rsid w:val="0049357C"/>
    <w:rsid w:val="0049360B"/>
    <w:rsid w:val="0049375C"/>
    <w:rsid w:val="00493795"/>
    <w:rsid w:val="0049388E"/>
    <w:rsid w:val="00493896"/>
    <w:rsid w:val="0049398D"/>
    <w:rsid w:val="00493A4B"/>
    <w:rsid w:val="00493A84"/>
    <w:rsid w:val="00493AE9"/>
    <w:rsid w:val="00493B0C"/>
    <w:rsid w:val="00493B5A"/>
    <w:rsid w:val="00493C0F"/>
    <w:rsid w:val="00493C6A"/>
    <w:rsid w:val="00493C84"/>
    <w:rsid w:val="00493C88"/>
    <w:rsid w:val="00493D24"/>
    <w:rsid w:val="00493D4D"/>
    <w:rsid w:val="00493DFD"/>
    <w:rsid w:val="00493E08"/>
    <w:rsid w:val="00493E18"/>
    <w:rsid w:val="00493E3A"/>
    <w:rsid w:val="00493ECD"/>
    <w:rsid w:val="00493ECF"/>
    <w:rsid w:val="00493F6F"/>
    <w:rsid w:val="0049403E"/>
    <w:rsid w:val="00494094"/>
    <w:rsid w:val="004940D0"/>
    <w:rsid w:val="004941CE"/>
    <w:rsid w:val="00494290"/>
    <w:rsid w:val="00494397"/>
    <w:rsid w:val="004943B1"/>
    <w:rsid w:val="00494572"/>
    <w:rsid w:val="004945F3"/>
    <w:rsid w:val="00494644"/>
    <w:rsid w:val="00494645"/>
    <w:rsid w:val="0049466F"/>
    <w:rsid w:val="004946D1"/>
    <w:rsid w:val="00494718"/>
    <w:rsid w:val="00494723"/>
    <w:rsid w:val="004947BE"/>
    <w:rsid w:val="00494895"/>
    <w:rsid w:val="004948B8"/>
    <w:rsid w:val="00494923"/>
    <w:rsid w:val="0049494F"/>
    <w:rsid w:val="00494A60"/>
    <w:rsid w:val="00494A96"/>
    <w:rsid w:val="00494AA8"/>
    <w:rsid w:val="00494BB4"/>
    <w:rsid w:val="00494BC9"/>
    <w:rsid w:val="00494C45"/>
    <w:rsid w:val="00494CC8"/>
    <w:rsid w:val="00494D9C"/>
    <w:rsid w:val="00494EDC"/>
    <w:rsid w:val="00494F09"/>
    <w:rsid w:val="00494F25"/>
    <w:rsid w:val="00494F62"/>
    <w:rsid w:val="00494F9A"/>
    <w:rsid w:val="00494FA7"/>
    <w:rsid w:val="00495004"/>
    <w:rsid w:val="004950B9"/>
    <w:rsid w:val="00495104"/>
    <w:rsid w:val="00495105"/>
    <w:rsid w:val="0049511C"/>
    <w:rsid w:val="004951AB"/>
    <w:rsid w:val="004951EB"/>
    <w:rsid w:val="00495205"/>
    <w:rsid w:val="00495293"/>
    <w:rsid w:val="00495294"/>
    <w:rsid w:val="004952AB"/>
    <w:rsid w:val="004952B1"/>
    <w:rsid w:val="00495355"/>
    <w:rsid w:val="004953DF"/>
    <w:rsid w:val="004953E0"/>
    <w:rsid w:val="00495510"/>
    <w:rsid w:val="0049555A"/>
    <w:rsid w:val="00495732"/>
    <w:rsid w:val="00495790"/>
    <w:rsid w:val="00495805"/>
    <w:rsid w:val="00495816"/>
    <w:rsid w:val="00495850"/>
    <w:rsid w:val="004958DF"/>
    <w:rsid w:val="004958F0"/>
    <w:rsid w:val="0049590D"/>
    <w:rsid w:val="00495940"/>
    <w:rsid w:val="0049595C"/>
    <w:rsid w:val="0049595F"/>
    <w:rsid w:val="0049596E"/>
    <w:rsid w:val="0049598D"/>
    <w:rsid w:val="004959A6"/>
    <w:rsid w:val="004959F5"/>
    <w:rsid w:val="00495AE8"/>
    <w:rsid w:val="00495AF2"/>
    <w:rsid w:val="00495B26"/>
    <w:rsid w:val="00495B2F"/>
    <w:rsid w:val="00495B42"/>
    <w:rsid w:val="00495B5D"/>
    <w:rsid w:val="00495B89"/>
    <w:rsid w:val="00495BA5"/>
    <w:rsid w:val="00495BAD"/>
    <w:rsid w:val="00495BDF"/>
    <w:rsid w:val="00495C97"/>
    <w:rsid w:val="00495D33"/>
    <w:rsid w:val="00495DA3"/>
    <w:rsid w:val="00495DDD"/>
    <w:rsid w:val="00495E5E"/>
    <w:rsid w:val="00495E67"/>
    <w:rsid w:val="00495E76"/>
    <w:rsid w:val="00495E83"/>
    <w:rsid w:val="00495ECD"/>
    <w:rsid w:val="00495F30"/>
    <w:rsid w:val="00495F3A"/>
    <w:rsid w:val="00495FF5"/>
    <w:rsid w:val="00495FFF"/>
    <w:rsid w:val="004960CD"/>
    <w:rsid w:val="004960FD"/>
    <w:rsid w:val="0049610F"/>
    <w:rsid w:val="004961D1"/>
    <w:rsid w:val="00496239"/>
    <w:rsid w:val="00496334"/>
    <w:rsid w:val="00496357"/>
    <w:rsid w:val="00496369"/>
    <w:rsid w:val="00496379"/>
    <w:rsid w:val="00496382"/>
    <w:rsid w:val="0049638D"/>
    <w:rsid w:val="004963A8"/>
    <w:rsid w:val="004963DC"/>
    <w:rsid w:val="004963FD"/>
    <w:rsid w:val="00496553"/>
    <w:rsid w:val="004965C6"/>
    <w:rsid w:val="0049664A"/>
    <w:rsid w:val="00496673"/>
    <w:rsid w:val="0049668B"/>
    <w:rsid w:val="004966D2"/>
    <w:rsid w:val="004966F5"/>
    <w:rsid w:val="0049682F"/>
    <w:rsid w:val="00496870"/>
    <w:rsid w:val="00496873"/>
    <w:rsid w:val="00496877"/>
    <w:rsid w:val="004968DD"/>
    <w:rsid w:val="004968E1"/>
    <w:rsid w:val="004968F6"/>
    <w:rsid w:val="00496959"/>
    <w:rsid w:val="004969F3"/>
    <w:rsid w:val="00496A4E"/>
    <w:rsid w:val="00496A7D"/>
    <w:rsid w:val="00496B5D"/>
    <w:rsid w:val="00496B89"/>
    <w:rsid w:val="00496BF4"/>
    <w:rsid w:val="00496C13"/>
    <w:rsid w:val="00496C78"/>
    <w:rsid w:val="00496C87"/>
    <w:rsid w:val="00496C8F"/>
    <w:rsid w:val="00496CAA"/>
    <w:rsid w:val="00496D17"/>
    <w:rsid w:val="00496D35"/>
    <w:rsid w:val="00496D48"/>
    <w:rsid w:val="00496D50"/>
    <w:rsid w:val="00496EB3"/>
    <w:rsid w:val="00496EED"/>
    <w:rsid w:val="00496F21"/>
    <w:rsid w:val="00496F28"/>
    <w:rsid w:val="00496F86"/>
    <w:rsid w:val="00496FA3"/>
    <w:rsid w:val="00496FAB"/>
    <w:rsid w:val="00496FF4"/>
    <w:rsid w:val="00496FFA"/>
    <w:rsid w:val="00497129"/>
    <w:rsid w:val="0049712D"/>
    <w:rsid w:val="00497193"/>
    <w:rsid w:val="0049721B"/>
    <w:rsid w:val="004972DB"/>
    <w:rsid w:val="00497320"/>
    <w:rsid w:val="004973A3"/>
    <w:rsid w:val="004973B2"/>
    <w:rsid w:val="004973DB"/>
    <w:rsid w:val="00497440"/>
    <w:rsid w:val="00497450"/>
    <w:rsid w:val="00497452"/>
    <w:rsid w:val="0049745B"/>
    <w:rsid w:val="0049745F"/>
    <w:rsid w:val="0049756E"/>
    <w:rsid w:val="004975E6"/>
    <w:rsid w:val="00497629"/>
    <w:rsid w:val="00497685"/>
    <w:rsid w:val="00497786"/>
    <w:rsid w:val="004977A2"/>
    <w:rsid w:val="0049781B"/>
    <w:rsid w:val="00497837"/>
    <w:rsid w:val="004978B2"/>
    <w:rsid w:val="00497978"/>
    <w:rsid w:val="00497AE6"/>
    <w:rsid w:val="00497B19"/>
    <w:rsid w:val="00497B9D"/>
    <w:rsid w:val="00497C4D"/>
    <w:rsid w:val="00497C9D"/>
    <w:rsid w:val="00497CC1"/>
    <w:rsid w:val="00497CC2"/>
    <w:rsid w:val="00497CF8"/>
    <w:rsid w:val="00497D3D"/>
    <w:rsid w:val="00497D63"/>
    <w:rsid w:val="00497DF7"/>
    <w:rsid w:val="00497E07"/>
    <w:rsid w:val="00497E2A"/>
    <w:rsid w:val="00497E5A"/>
    <w:rsid w:val="00497EB8"/>
    <w:rsid w:val="00497F0D"/>
    <w:rsid w:val="004A0013"/>
    <w:rsid w:val="004A0055"/>
    <w:rsid w:val="004A0251"/>
    <w:rsid w:val="004A0289"/>
    <w:rsid w:val="004A031B"/>
    <w:rsid w:val="004A0372"/>
    <w:rsid w:val="004A039C"/>
    <w:rsid w:val="004A03D9"/>
    <w:rsid w:val="004A045B"/>
    <w:rsid w:val="004A049B"/>
    <w:rsid w:val="004A04BD"/>
    <w:rsid w:val="004A04C1"/>
    <w:rsid w:val="004A0565"/>
    <w:rsid w:val="004A05B4"/>
    <w:rsid w:val="004A0602"/>
    <w:rsid w:val="004A0611"/>
    <w:rsid w:val="004A0645"/>
    <w:rsid w:val="004A07BD"/>
    <w:rsid w:val="004A07CF"/>
    <w:rsid w:val="004A07E3"/>
    <w:rsid w:val="004A07E8"/>
    <w:rsid w:val="004A082B"/>
    <w:rsid w:val="004A088A"/>
    <w:rsid w:val="004A08C6"/>
    <w:rsid w:val="004A08E6"/>
    <w:rsid w:val="004A09A6"/>
    <w:rsid w:val="004A0A53"/>
    <w:rsid w:val="004A0A59"/>
    <w:rsid w:val="004A0A67"/>
    <w:rsid w:val="004A0A76"/>
    <w:rsid w:val="004A0AA9"/>
    <w:rsid w:val="004A0AD9"/>
    <w:rsid w:val="004A0B1E"/>
    <w:rsid w:val="004A0B60"/>
    <w:rsid w:val="004A0B91"/>
    <w:rsid w:val="004A0BA5"/>
    <w:rsid w:val="004A0CD8"/>
    <w:rsid w:val="004A0D15"/>
    <w:rsid w:val="004A0D17"/>
    <w:rsid w:val="004A0D1A"/>
    <w:rsid w:val="004A0D20"/>
    <w:rsid w:val="004A0D79"/>
    <w:rsid w:val="004A0EB8"/>
    <w:rsid w:val="004A0F00"/>
    <w:rsid w:val="004A0F08"/>
    <w:rsid w:val="004A0F11"/>
    <w:rsid w:val="004A0F8E"/>
    <w:rsid w:val="004A10F1"/>
    <w:rsid w:val="004A1108"/>
    <w:rsid w:val="004A116B"/>
    <w:rsid w:val="004A118E"/>
    <w:rsid w:val="004A1276"/>
    <w:rsid w:val="004A1361"/>
    <w:rsid w:val="004A1413"/>
    <w:rsid w:val="004A1442"/>
    <w:rsid w:val="004A1471"/>
    <w:rsid w:val="004A14F9"/>
    <w:rsid w:val="004A1582"/>
    <w:rsid w:val="004A159A"/>
    <w:rsid w:val="004A15E6"/>
    <w:rsid w:val="004A1601"/>
    <w:rsid w:val="004A1658"/>
    <w:rsid w:val="004A167C"/>
    <w:rsid w:val="004A1705"/>
    <w:rsid w:val="004A1767"/>
    <w:rsid w:val="004A1792"/>
    <w:rsid w:val="004A17EF"/>
    <w:rsid w:val="004A1805"/>
    <w:rsid w:val="004A1806"/>
    <w:rsid w:val="004A1808"/>
    <w:rsid w:val="004A187D"/>
    <w:rsid w:val="004A18B9"/>
    <w:rsid w:val="004A1933"/>
    <w:rsid w:val="004A1945"/>
    <w:rsid w:val="004A1B99"/>
    <w:rsid w:val="004A1B9A"/>
    <w:rsid w:val="004A1BA4"/>
    <w:rsid w:val="004A1BD8"/>
    <w:rsid w:val="004A1C31"/>
    <w:rsid w:val="004A1C32"/>
    <w:rsid w:val="004A1CFE"/>
    <w:rsid w:val="004A1D3E"/>
    <w:rsid w:val="004A1DD0"/>
    <w:rsid w:val="004A1E1D"/>
    <w:rsid w:val="004A1E62"/>
    <w:rsid w:val="004A1E9E"/>
    <w:rsid w:val="004A1F49"/>
    <w:rsid w:val="004A1F5B"/>
    <w:rsid w:val="004A1F68"/>
    <w:rsid w:val="004A1FF3"/>
    <w:rsid w:val="004A2073"/>
    <w:rsid w:val="004A212E"/>
    <w:rsid w:val="004A2177"/>
    <w:rsid w:val="004A21EC"/>
    <w:rsid w:val="004A222E"/>
    <w:rsid w:val="004A2282"/>
    <w:rsid w:val="004A22F1"/>
    <w:rsid w:val="004A2306"/>
    <w:rsid w:val="004A2430"/>
    <w:rsid w:val="004A2443"/>
    <w:rsid w:val="004A245C"/>
    <w:rsid w:val="004A24AE"/>
    <w:rsid w:val="004A24B7"/>
    <w:rsid w:val="004A24BA"/>
    <w:rsid w:val="004A2506"/>
    <w:rsid w:val="004A2553"/>
    <w:rsid w:val="004A2678"/>
    <w:rsid w:val="004A26BE"/>
    <w:rsid w:val="004A26DE"/>
    <w:rsid w:val="004A26E2"/>
    <w:rsid w:val="004A26EC"/>
    <w:rsid w:val="004A270A"/>
    <w:rsid w:val="004A2713"/>
    <w:rsid w:val="004A273C"/>
    <w:rsid w:val="004A2760"/>
    <w:rsid w:val="004A2779"/>
    <w:rsid w:val="004A27E3"/>
    <w:rsid w:val="004A2809"/>
    <w:rsid w:val="004A2828"/>
    <w:rsid w:val="004A2844"/>
    <w:rsid w:val="004A28CA"/>
    <w:rsid w:val="004A29AC"/>
    <w:rsid w:val="004A29CC"/>
    <w:rsid w:val="004A29FD"/>
    <w:rsid w:val="004A2A22"/>
    <w:rsid w:val="004A2AFD"/>
    <w:rsid w:val="004A2B38"/>
    <w:rsid w:val="004A2B91"/>
    <w:rsid w:val="004A2BD1"/>
    <w:rsid w:val="004A2C14"/>
    <w:rsid w:val="004A2C16"/>
    <w:rsid w:val="004A2C59"/>
    <w:rsid w:val="004A2C6E"/>
    <w:rsid w:val="004A2D2B"/>
    <w:rsid w:val="004A2D5C"/>
    <w:rsid w:val="004A2F78"/>
    <w:rsid w:val="004A301F"/>
    <w:rsid w:val="004A3075"/>
    <w:rsid w:val="004A30D9"/>
    <w:rsid w:val="004A3111"/>
    <w:rsid w:val="004A319C"/>
    <w:rsid w:val="004A32D3"/>
    <w:rsid w:val="004A32F0"/>
    <w:rsid w:val="004A3320"/>
    <w:rsid w:val="004A332C"/>
    <w:rsid w:val="004A3340"/>
    <w:rsid w:val="004A3414"/>
    <w:rsid w:val="004A343E"/>
    <w:rsid w:val="004A34B3"/>
    <w:rsid w:val="004A34BB"/>
    <w:rsid w:val="004A34F2"/>
    <w:rsid w:val="004A3518"/>
    <w:rsid w:val="004A35EB"/>
    <w:rsid w:val="004A367D"/>
    <w:rsid w:val="004A3682"/>
    <w:rsid w:val="004A36A6"/>
    <w:rsid w:val="004A36BB"/>
    <w:rsid w:val="004A3721"/>
    <w:rsid w:val="004A3772"/>
    <w:rsid w:val="004A378C"/>
    <w:rsid w:val="004A380E"/>
    <w:rsid w:val="004A38E2"/>
    <w:rsid w:val="004A391E"/>
    <w:rsid w:val="004A39B9"/>
    <w:rsid w:val="004A39CE"/>
    <w:rsid w:val="004A39F9"/>
    <w:rsid w:val="004A39FB"/>
    <w:rsid w:val="004A3A81"/>
    <w:rsid w:val="004A3AC3"/>
    <w:rsid w:val="004A3B44"/>
    <w:rsid w:val="004A3B6B"/>
    <w:rsid w:val="004A3BC4"/>
    <w:rsid w:val="004A3BC5"/>
    <w:rsid w:val="004A3BD1"/>
    <w:rsid w:val="004A3C42"/>
    <w:rsid w:val="004A3C71"/>
    <w:rsid w:val="004A3D26"/>
    <w:rsid w:val="004A3D7E"/>
    <w:rsid w:val="004A3DA7"/>
    <w:rsid w:val="004A3E0E"/>
    <w:rsid w:val="004A3E61"/>
    <w:rsid w:val="004A3E9C"/>
    <w:rsid w:val="004A3EAA"/>
    <w:rsid w:val="004A3FC3"/>
    <w:rsid w:val="004A401F"/>
    <w:rsid w:val="004A4048"/>
    <w:rsid w:val="004A406B"/>
    <w:rsid w:val="004A410D"/>
    <w:rsid w:val="004A4144"/>
    <w:rsid w:val="004A418F"/>
    <w:rsid w:val="004A41AA"/>
    <w:rsid w:val="004A4249"/>
    <w:rsid w:val="004A424A"/>
    <w:rsid w:val="004A4280"/>
    <w:rsid w:val="004A42A1"/>
    <w:rsid w:val="004A42CA"/>
    <w:rsid w:val="004A42F7"/>
    <w:rsid w:val="004A4367"/>
    <w:rsid w:val="004A43B3"/>
    <w:rsid w:val="004A440F"/>
    <w:rsid w:val="004A4479"/>
    <w:rsid w:val="004A4565"/>
    <w:rsid w:val="004A45E5"/>
    <w:rsid w:val="004A45F3"/>
    <w:rsid w:val="004A46D0"/>
    <w:rsid w:val="004A46FF"/>
    <w:rsid w:val="004A4702"/>
    <w:rsid w:val="004A4729"/>
    <w:rsid w:val="004A473F"/>
    <w:rsid w:val="004A4768"/>
    <w:rsid w:val="004A4789"/>
    <w:rsid w:val="004A47C4"/>
    <w:rsid w:val="004A4802"/>
    <w:rsid w:val="004A484A"/>
    <w:rsid w:val="004A48E8"/>
    <w:rsid w:val="004A48F8"/>
    <w:rsid w:val="004A491E"/>
    <w:rsid w:val="004A496A"/>
    <w:rsid w:val="004A4A02"/>
    <w:rsid w:val="004A4A84"/>
    <w:rsid w:val="004A4BBE"/>
    <w:rsid w:val="004A4D3B"/>
    <w:rsid w:val="004A4D56"/>
    <w:rsid w:val="004A4D83"/>
    <w:rsid w:val="004A4DA9"/>
    <w:rsid w:val="004A4DCE"/>
    <w:rsid w:val="004A4E9A"/>
    <w:rsid w:val="004A4EA6"/>
    <w:rsid w:val="004A4EBF"/>
    <w:rsid w:val="004A4ECF"/>
    <w:rsid w:val="004A4ED9"/>
    <w:rsid w:val="004A4EF1"/>
    <w:rsid w:val="004A4F00"/>
    <w:rsid w:val="004A4F92"/>
    <w:rsid w:val="004A4FF2"/>
    <w:rsid w:val="004A501C"/>
    <w:rsid w:val="004A501F"/>
    <w:rsid w:val="004A503D"/>
    <w:rsid w:val="004A5067"/>
    <w:rsid w:val="004A50EF"/>
    <w:rsid w:val="004A514E"/>
    <w:rsid w:val="004A519F"/>
    <w:rsid w:val="004A51E1"/>
    <w:rsid w:val="004A51E2"/>
    <w:rsid w:val="004A5245"/>
    <w:rsid w:val="004A5338"/>
    <w:rsid w:val="004A5354"/>
    <w:rsid w:val="004A5395"/>
    <w:rsid w:val="004A53E3"/>
    <w:rsid w:val="004A53F6"/>
    <w:rsid w:val="004A5445"/>
    <w:rsid w:val="004A5498"/>
    <w:rsid w:val="004A5508"/>
    <w:rsid w:val="004A5527"/>
    <w:rsid w:val="004A553F"/>
    <w:rsid w:val="004A5599"/>
    <w:rsid w:val="004A55A0"/>
    <w:rsid w:val="004A55C9"/>
    <w:rsid w:val="004A55CA"/>
    <w:rsid w:val="004A5637"/>
    <w:rsid w:val="004A56F0"/>
    <w:rsid w:val="004A578F"/>
    <w:rsid w:val="004A57D5"/>
    <w:rsid w:val="004A57E6"/>
    <w:rsid w:val="004A5847"/>
    <w:rsid w:val="004A58B5"/>
    <w:rsid w:val="004A58FA"/>
    <w:rsid w:val="004A597F"/>
    <w:rsid w:val="004A59E8"/>
    <w:rsid w:val="004A59EA"/>
    <w:rsid w:val="004A5A0F"/>
    <w:rsid w:val="004A5A3F"/>
    <w:rsid w:val="004A5AA0"/>
    <w:rsid w:val="004A5B09"/>
    <w:rsid w:val="004A5BD2"/>
    <w:rsid w:val="004A5BF0"/>
    <w:rsid w:val="004A5C0B"/>
    <w:rsid w:val="004A5C52"/>
    <w:rsid w:val="004A5C81"/>
    <w:rsid w:val="004A5CB1"/>
    <w:rsid w:val="004A5CDF"/>
    <w:rsid w:val="004A5E03"/>
    <w:rsid w:val="004A5E40"/>
    <w:rsid w:val="004A5F1E"/>
    <w:rsid w:val="004A5F83"/>
    <w:rsid w:val="004A6025"/>
    <w:rsid w:val="004A6087"/>
    <w:rsid w:val="004A6286"/>
    <w:rsid w:val="004A6295"/>
    <w:rsid w:val="004A6348"/>
    <w:rsid w:val="004A63A3"/>
    <w:rsid w:val="004A63EC"/>
    <w:rsid w:val="004A6470"/>
    <w:rsid w:val="004A649D"/>
    <w:rsid w:val="004A64E1"/>
    <w:rsid w:val="004A65CA"/>
    <w:rsid w:val="004A65D9"/>
    <w:rsid w:val="004A6696"/>
    <w:rsid w:val="004A6753"/>
    <w:rsid w:val="004A6776"/>
    <w:rsid w:val="004A67A7"/>
    <w:rsid w:val="004A67DC"/>
    <w:rsid w:val="004A6825"/>
    <w:rsid w:val="004A68FD"/>
    <w:rsid w:val="004A6902"/>
    <w:rsid w:val="004A6952"/>
    <w:rsid w:val="004A69CD"/>
    <w:rsid w:val="004A69DF"/>
    <w:rsid w:val="004A6B63"/>
    <w:rsid w:val="004A6B64"/>
    <w:rsid w:val="004A6C47"/>
    <w:rsid w:val="004A6D29"/>
    <w:rsid w:val="004A6D82"/>
    <w:rsid w:val="004A6DB0"/>
    <w:rsid w:val="004A6DCB"/>
    <w:rsid w:val="004A6DDD"/>
    <w:rsid w:val="004A6E04"/>
    <w:rsid w:val="004A6ECE"/>
    <w:rsid w:val="004A6EFE"/>
    <w:rsid w:val="004A6FDD"/>
    <w:rsid w:val="004A6FF1"/>
    <w:rsid w:val="004A7087"/>
    <w:rsid w:val="004A711F"/>
    <w:rsid w:val="004A7125"/>
    <w:rsid w:val="004A715F"/>
    <w:rsid w:val="004A7173"/>
    <w:rsid w:val="004A71BC"/>
    <w:rsid w:val="004A71EA"/>
    <w:rsid w:val="004A7238"/>
    <w:rsid w:val="004A7297"/>
    <w:rsid w:val="004A73D4"/>
    <w:rsid w:val="004A7403"/>
    <w:rsid w:val="004A7500"/>
    <w:rsid w:val="004A7558"/>
    <w:rsid w:val="004A7592"/>
    <w:rsid w:val="004A75AF"/>
    <w:rsid w:val="004A75B5"/>
    <w:rsid w:val="004A75C7"/>
    <w:rsid w:val="004A76CE"/>
    <w:rsid w:val="004A771D"/>
    <w:rsid w:val="004A7743"/>
    <w:rsid w:val="004A7749"/>
    <w:rsid w:val="004A7809"/>
    <w:rsid w:val="004A781A"/>
    <w:rsid w:val="004A783E"/>
    <w:rsid w:val="004A78AC"/>
    <w:rsid w:val="004A790C"/>
    <w:rsid w:val="004A7985"/>
    <w:rsid w:val="004A7987"/>
    <w:rsid w:val="004A7991"/>
    <w:rsid w:val="004A79C9"/>
    <w:rsid w:val="004A79E5"/>
    <w:rsid w:val="004A7A28"/>
    <w:rsid w:val="004A7A6D"/>
    <w:rsid w:val="004A7A99"/>
    <w:rsid w:val="004A7B60"/>
    <w:rsid w:val="004A7B62"/>
    <w:rsid w:val="004A7C53"/>
    <w:rsid w:val="004A7CD9"/>
    <w:rsid w:val="004A7D97"/>
    <w:rsid w:val="004A7DBB"/>
    <w:rsid w:val="004A7DD2"/>
    <w:rsid w:val="004A7DD3"/>
    <w:rsid w:val="004A7E5E"/>
    <w:rsid w:val="004A7E8D"/>
    <w:rsid w:val="004A7EFA"/>
    <w:rsid w:val="004A7F21"/>
    <w:rsid w:val="004A7F38"/>
    <w:rsid w:val="004A7F6D"/>
    <w:rsid w:val="004B00A7"/>
    <w:rsid w:val="004B00AB"/>
    <w:rsid w:val="004B00C8"/>
    <w:rsid w:val="004B012F"/>
    <w:rsid w:val="004B0165"/>
    <w:rsid w:val="004B0191"/>
    <w:rsid w:val="004B01BE"/>
    <w:rsid w:val="004B01CE"/>
    <w:rsid w:val="004B04FC"/>
    <w:rsid w:val="004B050D"/>
    <w:rsid w:val="004B053E"/>
    <w:rsid w:val="004B054B"/>
    <w:rsid w:val="004B056E"/>
    <w:rsid w:val="004B0670"/>
    <w:rsid w:val="004B06CF"/>
    <w:rsid w:val="004B06E4"/>
    <w:rsid w:val="004B0719"/>
    <w:rsid w:val="004B083F"/>
    <w:rsid w:val="004B08B4"/>
    <w:rsid w:val="004B08C0"/>
    <w:rsid w:val="004B08D4"/>
    <w:rsid w:val="004B08ED"/>
    <w:rsid w:val="004B08FA"/>
    <w:rsid w:val="004B0942"/>
    <w:rsid w:val="004B0965"/>
    <w:rsid w:val="004B098B"/>
    <w:rsid w:val="004B098C"/>
    <w:rsid w:val="004B09A1"/>
    <w:rsid w:val="004B0A58"/>
    <w:rsid w:val="004B0A65"/>
    <w:rsid w:val="004B0AAD"/>
    <w:rsid w:val="004B0AF6"/>
    <w:rsid w:val="004B0B07"/>
    <w:rsid w:val="004B0B46"/>
    <w:rsid w:val="004B0B85"/>
    <w:rsid w:val="004B0BC2"/>
    <w:rsid w:val="004B0BE6"/>
    <w:rsid w:val="004B0C83"/>
    <w:rsid w:val="004B0CED"/>
    <w:rsid w:val="004B0D3F"/>
    <w:rsid w:val="004B0E5B"/>
    <w:rsid w:val="004B101C"/>
    <w:rsid w:val="004B1047"/>
    <w:rsid w:val="004B1094"/>
    <w:rsid w:val="004B1190"/>
    <w:rsid w:val="004B12E6"/>
    <w:rsid w:val="004B14AA"/>
    <w:rsid w:val="004B14AD"/>
    <w:rsid w:val="004B14D0"/>
    <w:rsid w:val="004B14D5"/>
    <w:rsid w:val="004B15C7"/>
    <w:rsid w:val="004B15D7"/>
    <w:rsid w:val="004B1620"/>
    <w:rsid w:val="004B164C"/>
    <w:rsid w:val="004B16B8"/>
    <w:rsid w:val="004B16EB"/>
    <w:rsid w:val="004B18A7"/>
    <w:rsid w:val="004B18AC"/>
    <w:rsid w:val="004B18CE"/>
    <w:rsid w:val="004B18EF"/>
    <w:rsid w:val="004B18FC"/>
    <w:rsid w:val="004B190A"/>
    <w:rsid w:val="004B1A07"/>
    <w:rsid w:val="004B1A40"/>
    <w:rsid w:val="004B1A6F"/>
    <w:rsid w:val="004B1A77"/>
    <w:rsid w:val="004B1A8A"/>
    <w:rsid w:val="004B1ADB"/>
    <w:rsid w:val="004B1C0E"/>
    <w:rsid w:val="004B1C8E"/>
    <w:rsid w:val="004B1CE6"/>
    <w:rsid w:val="004B1D90"/>
    <w:rsid w:val="004B1DD5"/>
    <w:rsid w:val="004B1E06"/>
    <w:rsid w:val="004B1E79"/>
    <w:rsid w:val="004B1E83"/>
    <w:rsid w:val="004B1F0C"/>
    <w:rsid w:val="004B1F33"/>
    <w:rsid w:val="004B1F35"/>
    <w:rsid w:val="004B1F89"/>
    <w:rsid w:val="004B2065"/>
    <w:rsid w:val="004B2099"/>
    <w:rsid w:val="004B20CB"/>
    <w:rsid w:val="004B2189"/>
    <w:rsid w:val="004B21C0"/>
    <w:rsid w:val="004B21D6"/>
    <w:rsid w:val="004B2249"/>
    <w:rsid w:val="004B22B5"/>
    <w:rsid w:val="004B2336"/>
    <w:rsid w:val="004B239E"/>
    <w:rsid w:val="004B2410"/>
    <w:rsid w:val="004B2420"/>
    <w:rsid w:val="004B2482"/>
    <w:rsid w:val="004B24C7"/>
    <w:rsid w:val="004B2540"/>
    <w:rsid w:val="004B2582"/>
    <w:rsid w:val="004B25C9"/>
    <w:rsid w:val="004B25DC"/>
    <w:rsid w:val="004B25EA"/>
    <w:rsid w:val="004B2646"/>
    <w:rsid w:val="004B26A4"/>
    <w:rsid w:val="004B26D1"/>
    <w:rsid w:val="004B26F0"/>
    <w:rsid w:val="004B2727"/>
    <w:rsid w:val="004B272B"/>
    <w:rsid w:val="004B274B"/>
    <w:rsid w:val="004B2771"/>
    <w:rsid w:val="004B2781"/>
    <w:rsid w:val="004B2855"/>
    <w:rsid w:val="004B28FD"/>
    <w:rsid w:val="004B2943"/>
    <w:rsid w:val="004B2947"/>
    <w:rsid w:val="004B2953"/>
    <w:rsid w:val="004B295B"/>
    <w:rsid w:val="004B2A1E"/>
    <w:rsid w:val="004B2A31"/>
    <w:rsid w:val="004B2A9F"/>
    <w:rsid w:val="004B2B0A"/>
    <w:rsid w:val="004B2B20"/>
    <w:rsid w:val="004B2B78"/>
    <w:rsid w:val="004B2BB2"/>
    <w:rsid w:val="004B2BE3"/>
    <w:rsid w:val="004B2C6D"/>
    <w:rsid w:val="004B2C9C"/>
    <w:rsid w:val="004B2CC2"/>
    <w:rsid w:val="004B2D02"/>
    <w:rsid w:val="004B2D50"/>
    <w:rsid w:val="004B2D77"/>
    <w:rsid w:val="004B2DDD"/>
    <w:rsid w:val="004B2E23"/>
    <w:rsid w:val="004B2E79"/>
    <w:rsid w:val="004B2E91"/>
    <w:rsid w:val="004B2E98"/>
    <w:rsid w:val="004B2F02"/>
    <w:rsid w:val="004B2FC7"/>
    <w:rsid w:val="004B2FEC"/>
    <w:rsid w:val="004B3015"/>
    <w:rsid w:val="004B301F"/>
    <w:rsid w:val="004B3041"/>
    <w:rsid w:val="004B3054"/>
    <w:rsid w:val="004B313A"/>
    <w:rsid w:val="004B3154"/>
    <w:rsid w:val="004B319D"/>
    <w:rsid w:val="004B3248"/>
    <w:rsid w:val="004B3392"/>
    <w:rsid w:val="004B3477"/>
    <w:rsid w:val="004B356C"/>
    <w:rsid w:val="004B356D"/>
    <w:rsid w:val="004B3582"/>
    <w:rsid w:val="004B35B9"/>
    <w:rsid w:val="004B35C3"/>
    <w:rsid w:val="004B3647"/>
    <w:rsid w:val="004B3649"/>
    <w:rsid w:val="004B3687"/>
    <w:rsid w:val="004B36B4"/>
    <w:rsid w:val="004B36BB"/>
    <w:rsid w:val="004B36C6"/>
    <w:rsid w:val="004B370F"/>
    <w:rsid w:val="004B3730"/>
    <w:rsid w:val="004B3822"/>
    <w:rsid w:val="004B3876"/>
    <w:rsid w:val="004B38E0"/>
    <w:rsid w:val="004B391D"/>
    <w:rsid w:val="004B394A"/>
    <w:rsid w:val="004B394D"/>
    <w:rsid w:val="004B3954"/>
    <w:rsid w:val="004B395F"/>
    <w:rsid w:val="004B39D7"/>
    <w:rsid w:val="004B3A41"/>
    <w:rsid w:val="004B3A59"/>
    <w:rsid w:val="004B3A5F"/>
    <w:rsid w:val="004B3AA0"/>
    <w:rsid w:val="004B3ADA"/>
    <w:rsid w:val="004B3B19"/>
    <w:rsid w:val="004B3B27"/>
    <w:rsid w:val="004B3B6F"/>
    <w:rsid w:val="004B3BA3"/>
    <w:rsid w:val="004B3BA9"/>
    <w:rsid w:val="004B3BB9"/>
    <w:rsid w:val="004B3BF2"/>
    <w:rsid w:val="004B3C79"/>
    <w:rsid w:val="004B3CBF"/>
    <w:rsid w:val="004B3CEE"/>
    <w:rsid w:val="004B3D3A"/>
    <w:rsid w:val="004B3D4E"/>
    <w:rsid w:val="004B3DC7"/>
    <w:rsid w:val="004B3E38"/>
    <w:rsid w:val="004B3F5A"/>
    <w:rsid w:val="004B3F6E"/>
    <w:rsid w:val="004B3F7F"/>
    <w:rsid w:val="004B3FF9"/>
    <w:rsid w:val="004B4028"/>
    <w:rsid w:val="004B40A7"/>
    <w:rsid w:val="004B40FC"/>
    <w:rsid w:val="004B410A"/>
    <w:rsid w:val="004B415E"/>
    <w:rsid w:val="004B41C0"/>
    <w:rsid w:val="004B4203"/>
    <w:rsid w:val="004B422E"/>
    <w:rsid w:val="004B4240"/>
    <w:rsid w:val="004B42B2"/>
    <w:rsid w:val="004B42E0"/>
    <w:rsid w:val="004B4340"/>
    <w:rsid w:val="004B4352"/>
    <w:rsid w:val="004B4364"/>
    <w:rsid w:val="004B4409"/>
    <w:rsid w:val="004B442B"/>
    <w:rsid w:val="004B4447"/>
    <w:rsid w:val="004B4497"/>
    <w:rsid w:val="004B44A6"/>
    <w:rsid w:val="004B44D0"/>
    <w:rsid w:val="004B44E1"/>
    <w:rsid w:val="004B44EC"/>
    <w:rsid w:val="004B44F1"/>
    <w:rsid w:val="004B4522"/>
    <w:rsid w:val="004B4572"/>
    <w:rsid w:val="004B462F"/>
    <w:rsid w:val="004B4648"/>
    <w:rsid w:val="004B4681"/>
    <w:rsid w:val="004B46AD"/>
    <w:rsid w:val="004B46E9"/>
    <w:rsid w:val="004B473C"/>
    <w:rsid w:val="004B47FB"/>
    <w:rsid w:val="004B481A"/>
    <w:rsid w:val="004B482E"/>
    <w:rsid w:val="004B492F"/>
    <w:rsid w:val="004B499F"/>
    <w:rsid w:val="004B49B9"/>
    <w:rsid w:val="004B4A0B"/>
    <w:rsid w:val="004B4B12"/>
    <w:rsid w:val="004B4B18"/>
    <w:rsid w:val="004B4B5D"/>
    <w:rsid w:val="004B4C22"/>
    <w:rsid w:val="004B4C91"/>
    <w:rsid w:val="004B4D25"/>
    <w:rsid w:val="004B4D2A"/>
    <w:rsid w:val="004B4D7A"/>
    <w:rsid w:val="004B4D7F"/>
    <w:rsid w:val="004B4D8E"/>
    <w:rsid w:val="004B4D93"/>
    <w:rsid w:val="004B4DA0"/>
    <w:rsid w:val="004B4DA1"/>
    <w:rsid w:val="004B4E78"/>
    <w:rsid w:val="004B4E99"/>
    <w:rsid w:val="004B4E9D"/>
    <w:rsid w:val="004B4EAC"/>
    <w:rsid w:val="004B4EC6"/>
    <w:rsid w:val="004B4EFC"/>
    <w:rsid w:val="004B5133"/>
    <w:rsid w:val="004B5192"/>
    <w:rsid w:val="004B520B"/>
    <w:rsid w:val="004B5237"/>
    <w:rsid w:val="004B52D1"/>
    <w:rsid w:val="004B533E"/>
    <w:rsid w:val="004B53BD"/>
    <w:rsid w:val="004B53D1"/>
    <w:rsid w:val="004B53EB"/>
    <w:rsid w:val="004B5415"/>
    <w:rsid w:val="004B542C"/>
    <w:rsid w:val="004B5445"/>
    <w:rsid w:val="004B549C"/>
    <w:rsid w:val="004B54B4"/>
    <w:rsid w:val="004B5527"/>
    <w:rsid w:val="004B554E"/>
    <w:rsid w:val="004B55ED"/>
    <w:rsid w:val="004B56C7"/>
    <w:rsid w:val="004B56F1"/>
    <w:rsid w:val="004B5724"/>
    <w:rsid w:val="004B575A"/>
    <w:rsid w:val="004B5775"/>
    <w:rsid w:val="004B57A1"/>
    <w:rsid w:val="004B5879"/>
    <w:rsid w:val="004B587E"/>
    <w:rsid w:val="004B5897"/>
    <w:rsid w:val="004B58AE"/>
    <w:rsid w:val="004B58F5"/>
    <w:rsid w:val="004B597D"/>
    <w:rsid w:val="004B59E5"/>
    <w:rsid w:val="004B59F7"/>
    <w:rsid w:val="004B59FB"/>
    <w:rsid w:val="004B5A9E"/>
    <w:rsid w:val="004B5AAF"/>
    <w:rsid w:val="004B5AC0"/>
    <w:rsid w:val="004B5AF1"/>
    <w:rsid w:val="004B5BD0"/>
    <w:rsid w:val="004B5BEA"/>
    <w:rsid w:val="004B5C14"/>
    <w:rsid w:val="004B5C7F"/>
    <w:rsid w:val="004B5C89"/>
    <w:rsid w:val="004B5D23"/>
    <w:rsid w:val="004B5D62"/>
    <w:rsid w:val="004B5D8D"/>
    <w:rsid w:val="004B5D9C"/>
    <w:rsid w:val="004B5DAA"/>
    <w:rsid w:val="004B5DE8"/>
    <w:rsid w:val="004B5EA3"/>
    <w:rsid w:val="004B5EB9"/>
    <w:rsid w:val="004B5ED0"/>
    <w:rsid w:val="004B5F4E"/>
    <w:rsid w:val="004B5F4F"/>
    <w:rsid w:val="004B5F87"/>
    <w:rsid w:val="004B5FE0"/>
    <w:rsid w:val="004B6020"/>
    <w:rsid w:val="004B6028"/>
    <w:rsid w:val="004B6065"/>
    <w:rsid w:val="004B614F"/>
    <w:rsid w:val="004B622C"/>
    <w:rsid w:val="004B624B"/>
    <w:rsid w:val="004B6261"/>
    <w:rsid w:val="004B630C"/>
    <w:rsid w:val="004B63A4"/>
    <w:rsid w:val="004B6404"/>
    <w:rsid w:val="004B6535"/>
    <w:rsid w:val="004B656F"/>
    <w:rsid w:val="004B65C1"/>
    <w:rsid w:val="004B65CC"/>
    <w:rsid w:val="004B6657"/>
    <w:rsid w:val="004B6724"/>
    <w:rsid w:val="004B67FC"/>
    <w:rsid w:val="004B690A"/>
    <w:rsid w:val="004B6911"/>
    <w:rsid w:val="004B6930"/>
    <w:rsid w:val="004B6965"/>
    <w:rsid w:val="004B69C3"/>
    <w:rsid w:val="004B69D9"/>
    <w:rsid w:val="004B69E1"/>
    <w:rsid w:val="004B69E6"/>
    <w:rsid w:val="004B6AD2"/>
    <w:rsid w:val="004B6AD9"/>
    <w:rsid w:val="004B6B07"/>
    <w:rsid w:val="004B6B61"/>
    <w:rsid w:val="004B6BDE"/>
    <w:rsid w:val="004B6BE7"/>
    <w:rsid w:val="004B6CE1"/>
    <w:rsid w:val="004B6D4D"/>
    <w:rsid w:val="004B6D61"/>
    <w:rsid w:val="004B6DD1"/>
    <w:rsid w:val="004B6E74"/>
    <w:rsid w:val="004B6F91"/>
    <w:rsid w:val="004B6FC2"/>
    <w:rsid w:val="004B6FC6"/>
    <w:rsid w:val="004B707B"/>
    <w:rsid w:val="004B70B4"/>
    <w:rsid w:val="004B70DC"/>
    <w:rsid w:val="004B7116"/>
    <w:rsid w:val="004B711E"/>
    <w:rsid w:val="004B717B"/>
    <w:rsid w:val="004B71A2"/>
    <w:rsid w:val="004B71C7"/>
    <w:rsid w:val="004B71C9"/>
    <w:rsid w:val="004B71CC"/>
    <w:rsid w:val="004B7206"/>
    <w:rsid w:val="004B7249"/>
    <w:rsid w:val="004B7284"/>
    <w:rsid w:val="004B7291"/>
    <w:rsid w:val="004B732F"/>
    <w:rsid w:val="004B7343"/>
    <w:rsid w:val="004B7381"/>
    <w:rsid w:val="004B73A7"/>
    <w:rsid w:val="004B7409"/>
    <w:rsid w:val="004B741C"/>
    <w:rsid w:val="004B7450"/>
    <w:rsid w:val="004B74BE"/>
    <w:rsid w:val="004B74CA"/>
    <w:rsid w:val="004B74D4"/>
    <w:rsid w:val="004B74FB"/>
    <w:rsid w:val="004B75A3"/>
    <w:rsid w:val="004B76BD"/>
    <w:rsid w:val="004B7703"/>
    <w:rsid w:val="004B7759"/>
    <w:rsid w:val="004B7774"/>
    <w:rsid w:val="004B77E6"/>
    <w:rsid w:val="004B7807"/>
    <w:rsid w:val="004B7830"/>
    <w:rsid w:val="004B78AD"/>
    <w:rsid w:val="004B7932"/>
    <w:rsid w:val="004B79E4"/>
    <w:rsid w:val="004B7A7E"/>
    <w:rsid w:val="004B7A8B"/>
    <w:rsid w:val="004B7B1E"/>
    <w:rsid w:val="004B7B92"/>
    <w:rsid w:val="004B7C07"/>
    <w:rsid w:val="004B7C78"/>
    <w:rsid w:val="004B7D81"/>
    <w:rsid w:val="004B7DE8"/>
    <w:rsid w:val="004B7E7A"/>
    <w:rsid w:val="004B7EBD"/>
    <w:rsid w:val="004B7EF5"/>
    <w:rsid w:val="004C008E"/>
    <w:rsid w:val="004C0150"/>
    <w:rsid w:val="004C01C7"/>
    <w:rsid w:val="004C0201"/>
    <w:rsid w:val="004C02F3"/>
    <w:rsid w:val="004C02F5"/>
    <w:rsid w:val="004C033E"/>
    <w:rsid w:val="004C039D"/>
    <w:rsid w:val="004C03C4"/>
    <w:rsid w:val="004C043C"/>
    <w:rsid w:val="004C047A"/>
    <w:rsid w:val="004C04C0"/>
    <w:rsid w:val="004C04D0"/>
    <w:rsid w:val="004C04E4"/>
    <w:rsid w:val="004C0500"/>
    <w:rsid w:val="004C0569"/>
    <w:rsid w:val="004C0574"/>
    <w:rsid w:val="004C05A7"/>
    <w:rsid w:val="004C069B"/>
    <w:rsid w:val="004C0702"/>
    <w:rsid w:val="004C07EE"/>
    <w:rsid w:val="004C089E"/>
    <w:rsid w:val="004C08A7"/>
    <w:rsid w:val="004C0997"/>
    <w:rsid w:val="004C09D9"/>
    <w:rsid w:val="004C09FF"/>
    <w:rsid w:val="004C0A1B"/>
    <w:rsid w:val="004C0A3C"/>
    <w:rsid w:val="004C0AC6"/>
    <w:rsid w:val="004C0B4A"/>
    <w:rsid w:val="004C0B6E"/>
    <w:rsid w:val="004C0BB1"/>
    <w:rsid w:val="004C0C0E"/>
    <w:rsid w:val="004C0C7C"/>
    <w:rsid w:val="004C0C9C"/>
    <w:rsid w:val="004C0DB7"/>
    <w:rsid w:val="004C0DBF"/>
    <w:rsid w:val="004C0DF4"/>
    <w:rsid w:val="004C0E11"/>
    <w:rsid w:val="004C0E99"/>
    <w:rsid w:val="004C0ECF"/>
    <w:rsid w:val="004C0EDC"/>
    <w:rsid w:val="004C0F2E"/>
    <w:rsid w:val="004C0F9A"/>
    <w:rsid w:val="004C1030"/>
    <w:rsid w:val="004C10AF"/>
    <w:rsid w:val="004C10C1"/>
    <w:rsid w:val="004C1118"/>
    <w:rsid w:val="004C111A"/>
    <w:rsid w:val="004C1139"/>
    <w:rsid w:val="004C1288"/>
    <w:rsid w:val="004C12D6"/>
    <w:rsid w:val="004C12F9"/>
    <w:rsid w:val="004C130C"/>
    <w:rsid w:val="004C134C"/>
    <w:rsid w:val="004C136B"/>
    <w:rsid w:val="004C1389"/>
    <w:rsid w:val="004C1429"/>
    <w:rsid w:val="004C1453"/>
    <w:rsid w:val="004C1504"/>
    <w:rsid w:val="004C156A"/>
    <w:rsid w:val="004C15E1"/>
    <w:rsid w:val="004C1612"/>
    <w:rsid w:val="004C165B"/>
    <w:rsid w:val="004C1670"/>
    <w:rsid w:val="004C16E9"/>
    <w:rsid w:val="004C1762"/>
    <w:rsid w:val="004C17CD"/>
    <w:rsid w:val="004C17D5"/>
    <w:rsid w:val="004C1819"/>
    <w:rsid w:val="004C183C"/>
    <w:rsid w:val="004C18F8"/>
    <w:rsid w:val="004C1908"/>
    <w:rsid w:val="004C190D"/>
    <w:rsid w:val="004C191B"/>
    <w:rsid w:val="004C1A5B"/>
    <w:rsid w:val="004C1A92"/>
    <w:rsid w:val="004C1AAB"/>
    <w:rsid w:val="004C1C11"/>
    <w:rsid w:val="004C1D33"/>
    <w:rsid w:val="004C1D52"/>
    <w:rsid w:val="004C1D68"/>
    <w:rsid w:val="004C1DA9"/>
    <w:rsid w:val="004C1DCD"/>
    <w:rsid w:val="004C1DFE"/>
    <w:rsid w:val="004C1E1F"/>
    <w:rsid w:val="004C1E43"/>
    <w:rsid w:val="004C1EDE"/>
    <w:rsid w:val="004C1EDF"/>
    <w:rsid w:val="004C1EFF"/>
    <w:rsid w:val="004C1F13"/>
    <w:rsid w:val="004C1F1B"/>
    <w:rsid w:val="004C1F25"/>
    <w:rsid w:val="004C1F67"/>
    <w:rsid w:val="004C1FCF"/>
    <w:rsid w:val="004C209A"/>
    <w:rsid w:val="004C20CD"/>
    <w:rsid w:val="004C20DC"/>
    <w:rsid w:val="004C219F"/>
    <w:rsid w:val="004C21E1"/>
    <w:rsid w:val="004C2223"/>
    <w:rsid w:val="004C2283"/>
    <w:rsid w:val="004C22F3"/>
    <w:rsid w:val="004C22FB"/>
    <w:rsid w:val="004C2334"/>
    <w:rsid w:val="004C2347"/>
    <w:rsid w:val="004C2471"/>
    <w:rsid w:val="004C24E9"/>
    <w:rsid w:val="004C2509"/>
    <w:rsid w:val="004C2540"/>
    <w:rsid w:val="004C2586"/>
    <w:rsid w:val="004C25A9"/>
    <w:rsid w:val="004C25DB"/>
    <w:rsid w:val="004C25EF"/>
    <w:rsid w:val="004C262C"/>
    <w:rsid w:val="004C2639"/>
    <w:rsid w:val="004C2693"/>
    <w:rsid w:val="004C2698"/>
    <w:rsid w:val="004C269B"/>
    <w:rsid w:val="004C26BB"/>
    <w:rsid w:val="004C2702"/>
    <w:rsid w:val="004C272D"/>
    <w:rsid w:val="004C273B"/>
    <w:rsid w:val="004C27BB"/>
    <w:rsid w:val="004C2863"/>
    <w:rsid w:val="004C2880"/>
    <w:rsid w:val="004C28C4"/>
    <w:rsid w:val="004C28C6"/>
    <w:rsid w:val="004C2902"/>
    <w:rsid w:val="004C2945"/>
    <w:rsid w:val="004C2973"/>
    <w:rsid w:val="004C29FC"/>
    <w:rsid w:val="004C2A58"/>
    <w:rsid w:val="004C2AD2"/>
    <w:rsid w:val="004C2ADB"/>
    <w:rsid w:val="004C2B5A"/>
    <w:rsid w:val="004C2B82"/>
    <w:rsid w:val="004C2BC3"/>
    <w:rsid w:val="004C2BE0"/>
    <w:rsid w:val="004C2C18"/>
    <w:rsid w:val="004C2C34"/>
    <w:rsid w:val="004C2C4A"/>
    <w:rsid w:val="004C2C92"/>
    <w:rsid w:val="004C2D3E"/>
    <w:rsid w:val="004C2D7A"/>
    <w:rsid w:val="004C2DF7"/>
    <w:rsid w:val="004C2E01"/>
    <w:rsid w:val="004C2F5D"/>
    <w:rsid w:val="004C2F64"/>
    <w:rsid w:val="004C302F"/>
    <w:rsid w:val="004C3055"/>
    <w:rsid w:val="004C30A6"/>
    <w:rsid w:val="004C315F"/>
    <w:rsid w:val="004C31B8"/>
    <w:rsid w:val="004C3201"/>
    <w:rsid w:val="004C337D"/>
    <w:rsid w:val="004C33E5"/>
    <w:rsid w:val="004C3445"/>
    <w:rsid w:val="004C344D"/>
    <w:rsid w:val="004C34BC"/>
    <w:rsid w:val="004C34E8"/>
    <w:rsid w:val="004C35B6"/>
    <w:rsid w:val="004C364A"/>
    <w:rsid w:val="004C36C4"/>
    <w:rsid w:val="004C374B"/>
    <w:rsid w:val="004C37DC"/>
    <w:rsid w:val="004C37FE"/>
    <w:rsid w:val="004C38BE"/>
    <w:rsid w:val="004C38D0"/>
    <w:rsid w:val="004C3905"/>
    <w:rsid w:val="004C390C"/>
    <w:rsid w:val="004C3927"/>
    <w:rsid w:val="004C3934"/>
    <w:rsid w:val="004C3948"/>
    <w:rsid w:val="004C396B"/>
    <w:rsid w:val="004C399F"/>
    <w:rsid w:val="004C3A03"/>
    <w:rsid w:val="004C3A0A"/>
    <w:rsid w:val="004C3A0B"/>
    <w:rsid w:val="004C3A0E"/>
    <w:rsid w:val="004C3A61"/>
    <w:rsid w:val="004C3A6F"/>
    <w:rsid w:val="004C3BF2"/>
    <w:rsid w:val="004C3CDF"/>
    <w:rsid w:val="004C3E1D"/>
    <w:rsid w:val="004C3E2B"/>
    <w:rsid w:val="004C3E77"/>
    <w:rsid w:val="004C3ECC"/>
    <w:rsid w:val="004C3EF4"/>
    <w:rsid w:val="004C3EF7"/>
    <w:rsid w:val="004C3F09"/>
    <w:rsid w:val="004C3F7A"/>
    <w:rsid w:val="004C4046"/>
    <w:rsid w:val="004C404B"/>
    <w:rsid w:val="004C4073"/>
    <w:rsid w:val="004C409C"/>
    <w:rsid w:val="004C40B8"/>
    <w:rsid w:val="004C40F3"/>
    <w:rsid w:val="004C4100"/>
    <w:rsid w:val="004C41B6"/>
    <w:rsid w:val="004C4240"/>
    <w:rsid w:val="004C42CA"/>
    <w:rsid w:val="004C42D1"/>
    <w:rsid w:val="004C4391"/>
    <w:rsid w:val="004C4398"/>
    <w:rsid w:val="004C43A5"/>
    <w:rsid w:val="004C4413"/>
    <w:rsid w:val="004C442B"/>
    <w:rsid w:val="004C442C"/>
    <w:rsid w:val="004C4499"/>
    <w:rsid w:val="004C44A7"/>
    <w:rsid w:val="004C44D9"/>
    <w:rsid w:val="004C457C"/>
    <w:rsid w:val="004C460F"/>
    <w:rsid w:val="004C4630"/>
    <w:rsid w:val="004C4701"/>
    <w:rsid w:val="004C4711"/>
    <w:rsid w:val="004C47F6"/>
    <w:rsid w:val="004C481C"/>
    <w:rsid w:val="004C487A"/>
    <w:rsid w:val="004C48AF"/>
    <w:rsid w:val="004C48B2"/>
    <w:rsid w:val="004C48CC"/>
    <w:rsid w:val="004C4912"/>
    <w:rsid w:val="004C491C"/>
    <w:rsid w:val="004C4A69"/>
    <w:rsid w:val="004C4AB4"/>
    <w:rsid w:val="004C4AC2"/>
    <w:rsid w:val="004C4B09"/>
    <w:rsid w:val="004C4BBE"/>
    <w:rsid w:val="004C4BBF"/>
    <w:rsid w:val="004C4BD1"/>
    <w:rsid w:val="004C4C18"/>
    <w:rsid w:val="004C4C69"/>
    <w:rsid w:val="004C4C7A"/>
    <w:rsid w:val="004C4D27"/>
    <w:rsid w:val="004C4D6C"/>
    <w:rsid w:val="004C4D99"/>
    <w:rsid w:val="004C4E1F"/>
    <w:rsid w:val="004C4E39"/>
    <w:rsid w:val="004C4EA5"/>
    <w:rsid w:val="004C4EAC"/>
    <w:rsid w:val="004C4EC0"/>
    <w:rsid w:val="004C4EDB"/>
    <w:rsid w:val="004C4F2E"/>
    <w:rsid w:val="004C4F57"/>
    <w:rsid w:val="004C4F81"/>
    <w:rsid w:val="004C4F83"/>
    <w:rsid w:val="004C4FE2"/>
    <w:rsid w:val="004C4FFC"/>
    <w:rsid w:val="004C5065"/>
    <w:rsid w:val="004C50C7"/>
    <w:rsid w:val="004C50E8"/>
    <w:rsid w:val="004C5100"/>
    <w:rsid w:val="004C5159"/>
    <w:rsid w:val="004C51E7"/>
    <w:rsid w:val="004C521E"/>
    <w:rsid w:val="004C5228"/>
    <w:rsid w:val="004C523B"/>
    <w:rsid w:val="004C524C"/>
    <w:rsid w:val="004C52A2"/>
    <w:rsid w:val="004C52BF"/>
    <w:rsid w:val="004C52EA"/>
    <w:rsid w:val="004C5407"/>
    <w:rsid w:val="004C54EC"/>
    <w:rsid w:val="004C554B"/>
    <w:rsid w:val="004C55B8"/>
    <w:rsid w:val="004C572D"/>
    <w:rsid w:val="004C5732"/>
    <w:rsid w:val="004C5876"/>
    <w:rsid w:val="004C5896"/>
    <w:rsid w:val="004C5975"/>
    <w:rsid w:val="004C599E"/>
    <w:rsid w:val="004C59B0"/>
    <w:rsid w:val="004C5A8A"/>
    <w:rsid w:val="004C5B71"/>
    <w:rsid w:val="004C5B9F"/>
    <w:rsid w:val="004C5C2B"/>
    <w:rsid w:val="004C5C59"/>
    <w:rsid w:val="004C5CB2"/>
    <w:rsid w:val="004C5CEF"/>
    <w:rsid w:val="004C5D25"/>
    <w:rsid w:val="004C5D45"/>
    <w:rsid w:val="004C5D9E"/>
    <w:rsid w:val="004C5DDC"/>
    <w:rsid w:val="004C5EF2"/>
    <w:rsid w:val="004C6007"/>
    <w:rsid w:val="004C6017"/>
    <w:rsid w:val="004C6113"/>
    <w:rsid w:val="004C6173"/>
    <w:rsid w:val="004C6196"/>
    <w:rsid w:val="004C62E5"/>
    <w:rsid w:val="004C6311"/>
    <w:rsid w:val="004C631E"/>
    <w:rsid w:val="004C6335"/>
    <w:rsid w:val="004C634E"/>
    <w:rsid w:val="004C6366"/>
    <w:rsid w:val="004C6392"/>
    <w:rsid w:val="004C639A"/>
    <w:rsid w:val="004C63B9"/>
    <w:rsid w:val="004C6436"/>
    <w:rsid w:val="004C647B"/>
    <w:rsid w:val="004C647F"/>
    <w:rsid w:val="004C6495"/>
    <w:rsid w:val="004C64AB"/>
    <w:rsid w:val="004C64B6"/>
    <w:rsid w:val="004C64EC"/>
    <w:rsid w:val="004C65F0"/>
    <w:rsid w:val="004C669C"/>
    <w:rsid w:val="004C679C"/>
    <w:rsid w:val="004C67FB"/>
    <w:rsid w:val="004C68F9"/>
    <w:rsid w:val="004C6900"/>
    <w:rsid w:val="004C6928"/>
    <w:rsid w:val="004C6965"/>
    <w:rsid w:val="004C69A6"/>
    <w:rsid w:val="004C69B4"/>
    <w:rsid w:val="004C6B4D"/>
    <w:rsid w:val="004C6B71"/>
    <w:rsid w:val="004C6D10"/>
    <w:rsid w:val="004C6DBA"/>
    <w:rsid w:val="004C6DC3"/>
    <w:rsid w:val="004C6E36"/>
    <w:rsid w:val="004C6E5A"/>
    <w:rsid w:val="004C6E8A"/>
    <w:rsid w:val="004C6F13"/>
    <w:rsid w:val="004C6F86"/>
    <w:rsid w:val="004C6FA9"/>
    <w:rsid w:val="004C7073"/>
    <w:rsid w:val="004C70CC"/>
    <w:rsid w:val="004C70D3"/>
    <w:rsid w:val="004C713B"/>
    <w:rsid w:val="004C71D4"/>
    <w:rsid w:val="004C71E9"/>
    <w:rsid w:val="004C72B5"/>
    <w:rsid w:val="004C72D9"/>
    <w:rsid w:val="004C72DC"/>
    <w:rsid w:val="004C7334"/>
    <w:rsid w:val="004C73A6"/>
    <w:rsid w:val="004C73EB"/>
    <w:rsid w:val="004C7453"/>
    <w:rsid w:val="004C74B0"/>
    <w:rsid w:val="004C753F"/>
    <w:rsid w:val="004C75CC"/>
    <w:rsid w:val="004C75E4"/>
    <w:rsid w:val="004C7611"/>
    <w:rsid w:val="004C7616"/>
    <w:rsid w:val="004C7646"/>
    <w:rsid w:val="004C7690"/>
    <w:rsid w:val="004C76C6"/>
    <w:rsid w:val="004C76E3"/>
    <w:rsid w:val="004C776C"/>
    <w:rsid w:val="004C7774"/>
    <w:rsid w:val="004C77AA"/>
    <w:rsid w:val="004C783E"/>
    <w:rsid w:val="004C788A"/>
    <w:rsid w:val="004C78CF"/>
    <w:rsid w:val="004C78D9"/>
    <w:rsid w:val="004C790B"/>
    <w:rsid w:val="004C79DF"/>
    <w:rsid w:val="004C7A4C"/>
    <w:rsid w:val="004C7A53"/>
    <w:rsid w:val="004C7AAB"/>
    <w:rsid w:val="004C7B1C"/>
    <w:rsid w:val="004C7BE6"/>
    <w:rsid w:val="004C7BEE"/>
    <w:rsid w:val="004C7C3F"/>
    <w:rsid w:val="004C7CC7"/>
    <w:rsid w:val="004C7D0E"/>
    <w:rsid w:val="004C7D66"/>
    <w:rsid w:val="004C7D76"/>
    <w:rsid w:val="004C7DBA"/>
    <w:rsid w:val="004C7E78"/>
    <w:rsid w:val="004C7E8B"/>
    <w:rsid w:val="004C7E96"/>
    <w:rsid w:val="004C7EA8"/>
    <w:rsid w:val="004C7F5C"/>
    <w:rsid w:val="004C7F6D"/>
    <w:rsid w:val="004C7FA0"/>
    <w:rsid w:val="004D002C"/>
    <w:rsid w:val="004D00E8"/>
    <w:rsid w:val="004D0124"/>
    <w:rsid w:val="004D015D"/>
    <w:rsid w:val="004D01A8"/>
    <w:rsid w:val="004D01BA"/>
    <w:rsid w:val="004D01DB"/>
    <w:rsid w:val="004D0255"/>
    <w:rsid w:val="004D027D"/>
    <w:rsid w:val="004D02AD"/>
    <w:rsid w:val="004D02C4"/>
    <w:rsid w:val="004D02EC"/>
    <w:rsid w:val="004D0312"/>
    <w:rsid w:val="004D0337"/>
    <w:rsid w:val="004D03B1"/>
    <w:rsid w:val="004D03FB"/>
    <w:rsid w:val="004D041C"/>
    <w:rsid w:val="004D0432"/>
    <w:rsid w:val="004D0489"/>
    <w:rsid w:val="004D04D5"/>
    <w:rsid w:val="004D04DA"/>
    <w:rsid w:val="004D0522"/>
    <w:rsid w:val="004D05DE"/>
    <w:rsid w:val="004D061C"/>
    <w:rsid w:val="004D061F"/>
    <w:rsid w:val="004D06DE"/>
    <w:rsid w:val="004D070E"/>
    <w:rsid w:val="004D0824"/>
    <w:rsid w:val="004D0865"/>
    <w:rsid w:val="004D08C4"/>
    <w:rsid w:val="004D08C9"/>
    <w:rsid w:val="004D08F3"/>
    <w:rsid w:val="004D0975"/>
    <w:rsid w:val="004D0A48"/>
    <w:rsid w:val="004D0A52"/>
    <w:rsid w:val="004D0A80"/>
    <w:rsid w:val="004D0A86"/>
    <w:rsid w:val="004D0A8F"/>
    <w:rsid w:val="004D0AB7"/>
    <w:rsid w:val="004D0B8C"/>
    <w:rsid w:val="004D0BB1"/>
    <w:rsid w:val="004D0C0F"/>
    <w:rsid w:val="004D0C4A"/>
    <w:rsid w:val="004D0D1E"/>
    <w:rsid w:val="004D0E86"/>
    <w:rsid w:val="004D0E9F"/>
    <w:rsid w:val="004D1026"/>
    <w:rsid w:val="004D102A"/>
    <w:rsid w:val="004D107D"/>
    <w:rsid w:val="004D10BA"/>
    <w:rsid w:val="004D10C1"/>
    <w:rsid w:val="004D110F"/>
    <w:rsid w:val="004D1112"/>
    <w:rsid w:val="004D1133"/>
    <w:rsid w:val="004D1155"/>
    <w:rsid w:val="004D1199"/>
    <w:rsid w:val="004D11F3"/>
    <w:rsid w:val="004D1209"/>
    <w:rsid w:val="004D1285"/>
    <w:rsid w:val="004D1296"/>
    <w:rsid w:val="004D12D2"/>
    <w:rsid w:val="004D133C"/>
    <w:rsid w:val="004D138A"/>
    <w:rsid w:val="004D139E"/>
    <w:rsid w:val="004D13B2"/>
    <w:rsid w:val="004D13D3"/>
    <w:rsid w:val="004D145D"/>
    <w:rsid w:val="004D1540"/>
    <w:rsid w:val="004D15F1"/>
    <w:rsid w:val="004D171B"/>
    <w:rsid w:val="004D1721"/>
    <w:rsid w:val="004D172A"/>
    <w:rsid w:val="004D175E"/>
    <w:rsid w:val="004D1841"/>
    <w:rsid w:val="004D1880"/>
    <w:rsid w:val="004D18C1"/>
    <w:rsid w:val="004D18FA"/>
    <w:rsid w:val="004D1992"/>
    <w:rsid w:val="004D19F0"/>
    <w:rsid w:val="004D1A5E"/>
    <w:rsid w:val="004D1A90"/>
    <w:rsid w:val="004D1AB8"/>
    <w:rsid w:val="004D1ABF"/>
    <w:rsid w:val="004D1AF3"/>
    <w:rsid w:val="004D1BF7"/>
    <w:rsid w:val="004D1C57"/>
    <w:rsid w:val="004D1CD5"/>
    <w:rsid w:val="004D1D73"/>
    <w:rsid w:val="004D1DE1"/>
    <w:rsid w:val="004D1E18"/>
    <w:rsid w:val="004D1E57"/>
    <w:rsid w:val="004D1EEE"/>
    <w:rsid w:val="004D1FB8"/>
    <w:rsid w:val="004D1FF6"/>
    <w:rsid w:val="004D2011"/>
    <w:rsid w:val="004D2021"/>
    <w:rsid w:val="004D2211"/>
    <w:rsid w:val="004D223F"/>
    <w:rsid w:val="004D22D4"/>
    <w:rsid w:val="004D22F7"/>
    <w:rsid w:val="004D2390"/>
    <w:rsid w:val="004D2466"/>
    <w:rsid w:val="004D247D"/>
    <w:rsid w:val="004D24E2"/>
    <w:rsid w:val="004D24ED"/>
    <w:rsid w:val="004D251E"/>
    <w:rsid w:val="004D2524"/>
    <w:rsid w:val="004D2532"/>
    <w:rsid w:val="004D25F2"/>
    <w:rsid w:val="004D2691"/>
    <w:rsid w:val="004D26A6"/>
    <w:rsid w:val="004D26AE"/>
    <w:rsid w:val="004D26C8"/>
    <w:rsid w:val="004D2701"/>
    <w:rsid w:val="004D27F1"/>
    <w:rsid w:val="004D27F4"/>
    <w:rsid w:val="004D2920"/>
    <w:rsid w:val="004D2958"/>
    <w:rsid w:val="004D2960"/>
    <w:rsid w:val="004D298D"/>
    <w:rsid w:val="004D2999"/>
    <w:rsid w:val="004D2A22"/>
    <w:rsid w:val="004D2A44"/>
    <w:rsid w:val="004D2A76"/>
    <w:rsid w:val="004D2ABD"/>
    <w:rsid w:val="004D2AE0"/>
    <w:rsid w:val="004D2B20"/>
    <w:rsid w:val="004D2B36"/>
    <w:rsid w:val="004D2B63"/>
    <w:rsid w:val="004D2B83"/>
    <w:rsid w:val="004D2BC6"/>
    <w:rsid w:val="004D2BF6"/>
    <w:rsid w:val="004D2C1C"/>
    <w:rsid w:val="004D2C4E"/>
    <w:rsid w:val="004D2C97"/>
    <w:rsid w:val="004D2C98"/>
    <w:rsid w:val="004D2CB1"/>
    <w:rsid w:val="004D2CC0"/>
    <w:rsid w:val="004D2D4A"/>
    <w:rsid w:val="004D2D9A"/>
    <w:rsid w:val="004D2EDA"/>
    <w:rsid w:val="004D2F10"/>
    <w:rsid w:val="004D2F44"/>
    <w:rsid w:val="004D2F9A"/>
    <w:rsid w:val="004D2FE8"/>
    <w:rsid w:val="004D3070"/>
    <w:rsid w:val="004D307C"/>
    <w:rsid w:val="004D3106"/>
    <w:rsid w:val="004D3156"/>
    <w:rsid w:val="004D3161"/>
    <w:rsid w:val="004D31BD"/>
    <w:rsid w:val="004D31DC"/>
    <w:rsid w:val="004D31ED"/>
    <w:rsid w:val="004D31EE"/>
    <w:rsid w:val="004D3250"/>
    <w:rsid w:val="004D3292"/>
    <w:rsid w:val="004D32A4"/>
    <w:rsid w:val="004D32BC"/>
    <w:rsid w:val="004D32D7"/>
    <w:rsid w:val="004D33C1"/>
    <w:rsid w:val="004D340D"/>
    <w:rsid w:val="004D34CD"/>
    <w:rsid w:val="004D34EF"/>
    <w:rsid w:val="004D351F"/>
    <w:rsid w:val="004D35E6"/>
    <w:rsid w:val="004D362C"/>
    <w:rsid w:val="004D3657"/>
    <w:rsid w:val="004D367C"/>
    <w:rsid w:val="004D3738"/>
    <w:rsid w:val="004D376E"/>
    <w:rsid w:val="004D3791"/>
    <w:rsid w:val="004D37D2"/>
    <w:rsid w:val="004D3829"/>
    <w:rsid w:val="004D384E"/>
    <w:rsid w:val="004D386F"/>
    <w:rsid w:val="004D3889"/>
    <w:rsid w:val="004D38B5"/>
    <w:rsid w:val="004D394C"/>
    <w:rsid w:val="004D395C"/>
    <w:rsid w:val="004D3996"/>
    <w:rsid w:val="004D39D8"/>
    <w:rsid w:val="004D3A54"/>
    <w:rsid w:val="004D3A87"/>
    <w:rsid w:val="004D3AE2"/>
    <w:rsid w:val="004D3B0E"/>
    <w:rsid w:val="004D3B14"/>
    <w:rsid w:val="004D3B26"/>
    <w:rsid w:val="004D3BB9"/>
    <w:rsid w:val="004D3BC2"/>
    <w:rsid w:val="004D3BF8"/>
    <w:rsid w:val="004D3C21"/>
    <w:rsid w:val="004D3C4F"/>
    <w:rsid w:val="004D3C8E"/>
    <w:rsid w:val="004D3CC6"/>
    <w:rsid w:val="004D3CFC"/>
    <w:rsid w:val="004D3DCA"/>
    <w:rsid w:val="004D3E1D"/>
    <w:rsid w:val="004D3EB3"/>
    <w:rsid w:val="004D3EBF"/>
    <w:rsid w:val="004D3EC4"/>
    <w:rsid w:val="004D3F01"/>
    <w:rsid w:val="004D3F13"/>
    <w:rsid w:val="004D3F7D"/>
    <w:rsid w:val="004D3FB1"/>
    <w:rsid w:val="004D3FBE"/>
    <w:rsid w:val="004D401A"/>
    <w:rsid w:val="004D4046"/>
    <w:rsid w:val="004D4069"/>
    <w:rsid w:val="004D4085"/>
    <w:rsid w:val="004D4178"/>
    <w:rsid w:val="004D417A"/>
    <w:rsid w:val="004D41BE"/>
    <w:rsid w:val="004D41CA"/>
    <w:rsid w:val="004D4217"/>
    <w:rsid w:val="004D4255"/>
    <w:rsid w:val="004D4283"/>
    <w:rsid w:val="004D42BC"/>
    <w:rsid w:val="004D42C4"/>
    <w:rsid w:val="004D42D0"/>
    <w:rsid w:val="004D4338"/>
    <w:rsid w:val="004D436B"/>
    <w:rsid w:val="004D4434"/>
    <w:rsid w:val="004D4482"/>
    <w:rsid w:val="004D4527"/>
    <w:rsid w:val="004D456F"/>
    <w:rsid w:val="004D45B1"/>
    <w:rsid w:val="004D46D8"/>
    <w:rsid w:val="004D472D"/>
    <w:rsid w:val="004D476C"/>
    <w:rsid w:val="004D479A"/>
    <w:rsid w:val="004D4903"/>
    <w:rsid w:val="004D490C"/>
    <w:rsid w:val="004D49D5"/>
    <w:rsid w:val="004D4AB5"/>
    <w:rsid w:val="004D4B01"/>
    <w:rsid w:val="004D4B34"/>
    <w:rsid w:val="004D4B68"/>
    <w:rsid w:val="004D4B7E"/>
    <w:rsid w:val="004D4C05"/>
    <w:rsid w:val="004D4C7C"/>
    <w:rsid w:val="004D4CC8"/>
    <w:rsid w:val="004D4D2A"/>
    <w:rsid w:val="004D4D44"/>
    <w:rsid w:val="004D4D91"/>
    <w:rsid w:val="004D4E1B"/>
    <w:rsid w:val="004D4F48"/>
    <w:rsid w:val="004D4F8F"/>
    <w:rsid w:val="004D4FF1"/>
    <w:rsid w:val="004D5057"/>
    <w:rsid w:val="004D5123"/>
    <w:rsid w:val="004D5190"/>
    <w:rsid w:val="004D51B2"/>
    <w:rsid w:val="004D51DD"/>
    <w:rsid w:val="004D51DF"/>
    <w:rsid w:val="004D530B"/>
    <w:rsid w:val="004D5335"/>
    <w:rsid w:val="004D5347"/>
    <w:rsid w:val="004D535F"/>
    <w:rsid w:val="004D53E0"/>
    <w:rsid w:val="004D5401"/>
    <w:rsid w:val="004D543F"/>
    <w:rsid w:val="004D545D"/>
    <w:rsid w:val="004D5498"/>
    <w:rsid w:val="004D5552"/>
    <w:rsid w:val="004D5566"/>
    <w:rsid w:val="004D55D2"/>
    <w:rsid w:val="004D5671"/>
    <w:rsid w:val="004D5676"/>
    <w:rsid w:val="004D56B0"/>
    <w:rsid w:val="004D56B3"/>
    <w:rsid w:val="004D56C3"/>
    <w:rsid w:val="004D57BB"/>
    <w:rsid w:val="004D5818"/>
    <w:rsid w:val="004D582E"/>
    <w:rsid w:val="004D5842"/>
    <w:rsid w:val="004D5860"/>
    <w:rsid w:val="004D5862"/>
    <w:rsid w:val="004D58B6"/>
    <w:rsid w:val="004D58D5"/>
    <w:rsid w:val="004D5924"/>
    <w:rsid w:val="004D59C3"/>
    <w:rsid w:val="004D59DF"/>
    <w:rsid w:val="004D5A60"/>
    <w:rsid w:val="004D5A8C"/>
    <w:rsid w:val="004D5AE9"/>
    <w:rsid w:val="004D5B23"/>
    <w:rsid w:val="004D5B30"/>
    <w:rsid w:val="004D5B43"/>
    <w:rsid w:val="004D5B4D"/>
    <w:rsid w:val="004D5B54"/>
    <w:rsid w:val="004D5B5A"/>
    <w:rsid w:val="004D5C0A"/>
    <w:rsid w:val="004D5C2B"/>
    <w:rsid w:val="004D5C34"/>
    <w:rsid w:val="004D5C6E"/>
    <w:rsid w:val="004D5D27"/>
    <w:rsid w:val="004D5D69"/>
    <w:rsid w:val="004D5DE0"/>
    <w:rsid w:val="004D5E13"/>
    <w:rsid w:val="004D5E2B"/>
    <w:rsid w:val="004D5E98"/>
    <w:rsid w:val="004D5EEC"/>
    <w:rsid w:val="004D5F00"/>
    <w:rsid w:val="004D5F30"/>
    <w:rsid w:val="004D5F51"/>
    <w:rsid w:val="004D5F8F"/>
    <w:rsid w:val="004D6013"/>
    <w:rsid w:val="004D60DD"/>
    <w:rsid w:val="004D6141"/>
    <w:rsid w:val="004D6154"/>
    <w:rsid w:val="004D6155"/>
    <w:rsid w:val="004D61A6"/>
    <w:rsid w:val="004D61E3"/>
    <w:rsid w:val="004D61F1"/>
    <w:rsid w:val="004D6296"/>
    <w:rsid w:val="004D62FC"/>
    <w:rsid w:val="004D6306"/>
    <w:rsid w:val="004D6318"/>
    <w:rsid w:val="004D631A"/>
    <w:rsid w:val="004D6365"/>
    <w:rsid w:val="004D6399"/>
    <w:rsid w:val="004D639E"/>
    <w:rsid w:val="004D6437"/>
    <w:rsid w:val="004D6445"/>
    <w:rsid w:val="004D64A3"/>
    <w:rsid w:val="004D64BC"/>
    <w:rsid w:val="004D64DA"/>
    <w:rsid w:val="004D64FD"/>
    <w:rsid w:val="004D655A"/>
    <w:rsid w:val="004D65B6"/>
    <w:rsid w:val="004D65F3"/>
    <w:rsid w:val="004D6647"/>
    <w:rsid w:val="004D6698"/>
    <w:rsid w:val="004D6790"/>
    <w:rsid w:val="004D6858"/>
    <w:rsid w:val="004D6884"/>
    <w:rsid w:val="004D68A7"/>
    <w:rsid w:val="004D69BB"/>
    <w:rsid w:val="004D6A06"/>
    <w:rsid w:val="004D6A2D"/>
    <w:rsid w:val="004D6A9C"/>
    <w:rsid w:val="004D6B00"/>
    <w:rsid w:val="004D6B1C"/>
    <w:rsid w:val="004D6C4A"/>
    <w:rsid w:val="004D6C67"/>
    <w:rsid w:val="004D6C85"/>
    <w:rsid w:val="004D6CE0"/>
    <w:rsid w:val="004D6D12"/>
    <w:rsid w:val="004D6D74"/>
    <w:rsid w:val="004D6E37"/>
    <w:rsid w:val="004D6EBA"/>
    <w:rsid w:val="004D6FB3"/>
    <w:rsid w:val="004D70C2"/>
    <w:rsid w:val="004D70D3"/>
    <w:rsid w:val="004D7134"/>
    <w:rsid w:val="004D719A"/>
    <w:rsid w:val="004D71A6"/>
    <w:rsid w:val="004D71AA"/>
    <w:rsid w:val="004D71AF"/>
    <w:rsid w:val="004D7322"/>
    <w:rsid w:val="004D739B"/>
    <w:rsid w:val="004D741C"/>
    <w:rsid w:val="004D747C"/>
    <w:rsid w:val="004D7495"/>
    <w:rsid w:val="004D74FC"/>
    <w:rsid w:val="004D752B"/>
    <w:rsid w:val="004D7554"/>
    <w:rsid w:val="004D755B"/>
    <w:rsid w:val="004D75EC"/>
    <w:rsid w:val="004D7782"/>
    <w:rsid w:val="004D779F"/>
    <w:rsid w:val="004D77A4"/>
    <w:rsid w:val="004D783B"/>
    <w:rsid w:val="004D7896"/>
    <w:rsid w:val="004D78B1"/>
    <w:rsid w:val="004D7951"/>
    <w:rsid w:val="004D79D4"/>
    <w:rsid w:val="004D7A39"/>
    <w:rsid w:val="004D7A40"/>
    <w:rsid w:val="004D7AF6"/>
    <w:rsid w:val="004D7B9F"/>
    <w:rsid w:val="004D7BE9"/>
    <w:rsid w:val="004D7C56"/>
    <w:rsid w:val="004D7C68"/>
    <w:rsid w:val="004D7CA3"/>
    <w:rsid w:val="004D7CB7"/>
    <w:rsid w:val="004D7CBC"/>
    <w:rsid w:val="004D7CC0"/>
    <w:rsid w:val="004D7CD7"/>
    <w:rsid w:val="004D7D18"/>
    <w:rsid w:val="004D7D2E"/>
    <w:rsid w:val="004D7DA1"/>
    <w:rsid w:val="004D7DF7"/>
    <w:rsid w:val="004D7E04"/>
    <w:rsid w:val="004D7E07"/>
    <w:rsid w:val="004D7EF9"/>
    <w:rsid w:val="004E0066"/>
    <w:rsid w:val="004E0094"/>
    <w:rsid w:val="004E00AD"/>
    <w:rsid w:val="004E00EA"/>
    <w:rsid w:val="004E00F0"/>
    <w:rsid w:val="004E013C"/>
    <w:rsid w:val="004E0153"/>
    <w:rsid w:val="004E0181"/>
    <w:rsid w:val="004E0286"/>
    <w:rsid w:val="004E02F5"/>
    <w:rsid w:val="004E0352"/>
    <w:rsid w:val="004E03A6"/>
    <w:rsid w:val="004E03E9"/>
    <w:rsid w:val="004E0403"/>
    <w:rsid w:val="004E0445"/>
    <w:rsid w:val="004E0447"/>
    <w:rsid w:val="004E0449"/>
    <w:rsid w:val="004E045E"/>
    <w:rsid w:val="004E04FA"/>
    <w:rsid w:val="004E04FD"/>
    <w:rsid w:val="004E05D8"/>
    <w:rsid w:val="004E05E6"/>
    <w:rsid w:val="004E067B"/>
    <w:rsid w:val="004E0689"/>
    <w:rsid w:val="004E06A7"/>
    <w:rsid w:val="004E0793"/>
    <w:rsid w:val="004E087B"/>
    <w:rsid w:val="004E08E0"/>
    <w:rsid w:val="004E0939"/>
    <w:rsid w:val="004E0957"/>
    <w:rsid w:val="004E099A"/>
    <w:rsid w:val="004E09AB"/>
    <w:rsid w:val="004E09B6"/>
    <w:rsid w:val="004E0A24"/>
    <w:rsid w:val="004E0B28"/>
    <w:rsid w:val="004E0B72"/>
    <w:rsid w:val="004E0BE0"/>
    <w:rsid w:val="004E0BEB"/>
    <w:rsid w:val="004E0EDB"/>
    <w:rsid w:val="004E0EE1"/>
    <w:rsid w:val="004E0F03"/>
    <w:rsid w:val="004E0F21"/>
    <w:rsid w:val="004E0F65"/>
    <w:rsid w:val="004E0F91"/>
    <w:rsid w:val="004E0FA1"/>
    <w:rsid w:val="004E0FE8"/>
    <w:rsid w:val="004E1041"/>
    <w:rsid w:val="004E1064"/>
    <w:rsid w:val="004E10B4"/>
    <w:rsid w:val="004E1166"/>
    <w:rsid w:val="004E1182"/>
    <w:rsid w:val="004E1190"/>
    <w:rsid w:val="004E11C2"/>
    <w:rsid w:val="004E128C"/>
    <w:rsid w:val="004E12B2"/>
    <w:rsid w:val="004E12CB"/>
    <w:rsid w:val="004E1356"/>
    <w:rsid w:val="004E1359"/>
    <w:rsid w:val="004E1386"/>
    <w:rsid w:val="004E13C9"/>
    <w:rsid w:val="004E13EC"/>
    <w:rsid w:val="004E13F0"/>
    <w:rsid w:val="004E1448"/>
    <w:rsid w:val="004E1455"/>
    <w:rsid w:val="004E146F"/>
    <w:rsid w:val="004E14B0"/>
    <w:rsid w:val="004E14D9"/>
    <w:rsid w:val="004E1580"/>
    <w:rsid w:val="004E15AC"/>
    <w:rsid w:val="004E15C5"/>
    <w:rsid w:val="004E15CE"/>
    <w:rsid w:val="004E1616"/>
    <w:rsid w:val="004E166C"/>
    <w:rsid w:val="004E1678"/>
    <w:rsid w:val="004E16A0"/>
    <w:rsid w:val="004E16F1"/>
    <w:rsid w:val="004E1715"/>
    <w:rsid w:val="004E1777"/>
    <w:rsid w:val="004E1789"/>
    <w:rsid w:val="004E18E5"/>
    <w:rsid w:val="004E1918"/>
    <w:rsid w:val="004E1941"/>
    <w:rsid w:val="004E1956"/>
    <w:rsid w:val="004E1998"/>
    <w:rsid w:val="004E19CF"/>
    <w:rsid w:val="004E1A01"/>
    <w:rsid w:val="004E1A14"/>
    <w:rsid w:val="004E1B0B"/>
    <w:rsid w:val="004E1B22"/>
    <w:rsid w:val="004E1B7A"/>
    <w:rsid w:val="004E1BD5"/>
    <w:rsid w:val="004E1C09"/>
    <w:rsid w:val="004E1C74"/>
    <w:rsid w:val="004E1CB4"/>
    <w:rsid w:val="004E1CC5"/>
    <w:rsid w:val="004E1D0E"/>
    <w:rsid w:val="004E1D77"/>
    <w:rsid w:val="004E1E12"/>
    <w:rsid w:val="004E1E47"/>
    <w:rsid w:val="004E1EC6"/>
    <w:rsid w:val="004E1ECA"/>
    <w:rsid w:val="004E1F19"/>
    <w:rsid w:val="004E1F7B"/>
    <w:rsid w:val="004E1FC4"/>
    <w:rsid w:val="004E1FFD"/>
    <w:rsid w:val="004E2016"/>
    <w:rsid w:val="004E2098"/>
    <w:rsid w:val="004E21A5"/>
    <w:rsid w:val="004E21F0"/>
    <w:rsid w:val="004E220A"/>
    <w:rsid w:val="004E223C"/>
    <w:rsid w:val="004E2296"/>
    <w:rsid w:val="004E2310"/>
    <w:rsid w:val="004E2313"/>
    <w:rsid w:val="004E2316"/>
    <w:rsid w:val="004E232F"/>
    <w:rsid w:val="004E234C"/>
    <w:rsid w:val="004E23DD"/>
    <w:rsid w:val="004E24DE"/>
    <w:rsid w:val="004E25A4"/>
    <w:rsid w:val="004E25EF"/>
    <w:rsid w:val="004E266D"/>
    <w:rsid w:val="004E26C8"/>
    <w:rsid w:val="004E2702"/>
    <w:rsid w:val="004E27FC"/>
    <w:rsid w:val="004E288F"/>
    <w:rsid w:val="004E28A3"/>
    <w:rsid w:val="004E2B0A"/>
    <w:rsid w:val="004E2B54"/>
    <w:rsid w:val="004E2B76"/>
    <w:rsid w:val="004E2BB3"/>
    <w:rsid w:val="004E2BBF"/>
    <w:rsid w:val="004E2BEA"/>
    <w:rsid w:val="004E2C51"/>
    <w:rsid w:val="004E2C9B"/>
    <w:rsid w:val="004E2CDC"/>
    <w:rsid w:val="004E2D14"/>
    <w:rsid w:val="004E2D5B"/>
    <w:rsid w:val="004E2DAA"/>
    <w:rsid w:val="004E2DEE"/>
    <w:rsid w:val="004E2E19"/>
    <w:rsid w:val="004E2E3A"/>
    <w:rsid w:val="004E2E3B"/>
    <w:rsid w:val="004E2E7A"/>
    <w:rsid w:val="004E2E92"/>
    <w:rsid w:val="004E2EA2"/>
    <w:rsid w:val="004E2EB3"/>
    <w:rsid w:val="004E2ECA"/>
    <w:rsid w:val="004E2ECB"/>
    <w:rsid w:val="004E2F2F"/>
    <w:rsid w:val="004E2F93"/>
    <w:rsid w:val="004E2FD8"/>
    <w:rsid w:val="004E3059"/>
    <w:rsid w:val="004E30D4"/>
    <w:rsid w:val="004E31D4"/>
    <w:rsid w:val="004E3208"/>
    <w:rsid w:val="004E32B0"/>
    <w:rsid w:val="004E32D2"/>
    <w:rsid w:val="004E3314"/>
    <w:rsid w:val="004E3319"/>
    <w:rsid w:val="004E3398"/>
    <w:rsid w:val="004E3407"/>
    <w:rsid w:val="004E3507"/>
    <w:rsid w:val="004E35A8"/>
    <w:rsid w:val="004E3627"/>
    <w:rsid w:val="004E3641"/>
    <w:rsid w:val="004E3677"/>
    <w:rsid w:val="004E369C"/>
    <w:rsid w:val="004E36E9"/>
    <w:rsid w:val="004E371B"/>
    <w:rsid w:val="004E37CD"/>
    <w:rsid w:val="004E37F2"/>
    <w:rsid w:val="004E3878"/>
    <w:rsid w:val="004E3889"/>
    <w:rsid w:val="004E38CC"/>
    <w:rsid w:val="004E398E"/>
    <w:rsid w:val="004E39D3"/>
    <w:rsid w:val="004E39E8"/>
    <w:rsid w:val="004E3A18"/>
    <w:rsid w:val="004E3AF7"/>
    <w:rsid w:val="004E3B14"/>
    <w:rsid w:val="004E3C8E"/>
    <w:rsid w:val="004E3D1E"/>
    <w:rsid w:val="004E3EB4"/>
    <w:rsid w:val="004E3F1F"/>
    <w:rsid w:val="004E3F99"/>
    <w:rsid w:val="004E4032"/>
    <w:rsid w:val="004E4059"/>
    <w:rsid w:val="004E40D9"/>
    <w:rsid w:val="004E40F0"/>
    <w:rsid w:val="004E4135"/>
    <w:rsid w:val="004E4229"/>
    <w:rsid w:val="004E4298"/>
    <w:rsid w:val="004E4361"/>
    <w:rsid w:val="004E4374"/>
    <w:rsid w:val="004E4475"/>
    <w:rsid w:val="004E44E5"/>
    <w:rsid w:val="004E4574"/>
    <w:rsid w:val="004E45E4"/>
    <w:rsid w:val="004E45F4"/>
    <w:rsid w:val="004E4606"/>
    <w:rsid w:val="004E4693"/>
    <w:rsid w:val="004E476B"/>
    <w:rsid w:val="004E479A"/>
    <w:rsid w:val="004E4813"/>
    <w:rsid w:val="004E48CD"/>
    <w:rsid w:val="004E4903"/>
    <w:rsid w:val="004E4994"/>
    <w:rsid w:val="004E499F"/>
    <w:rsid w:val="004E49EA"/>
    <w:rsid w:val="004E4A1D"/>
    <w:rsid w:val="004E4A5E"/>
    <w:rsid w:val="004E4A65"/>
    <w:rsid w:val="004E4B19"/>
    <w:rsid w:val="004E4B6E"/>
    <w:rsid w:val="004E4B78"/>
    <w:rsid w:val="004E4C0D"/>
    <w:rsid w:val="004E4C29"/>
    <w:rsid w:val="004E4C2A"/>
    <w:rsid w:val="004E4C35"/>
    <w:rsid w:val="004E4C94"/>
    <w:rsid w:val="004E4D5F"/>
    <w:rsid w:val="004E4E09"/>
    <w:rsid w:val="004E4E13"/>
    <w:rsid w:val="004E4E24"/>
    <w:rsid w:val="004E4E41"/>
    <w:rsid w:val="004E4E6A"/>
    <w:rsid w:val="004E4EA9"/>
    <w:rsid w:val="004E4ECF"/>
    <w:rsid w:val="004E4F14"/>
    <w:rsid w:val="004E4F8A"/>
    <w:rsid w:val="004E50C1"/>
    <w:rsid w:val="004E5136"/>
    <w:rsid w:val="004E5152"/>
    <w:rsid w:val="004E5168"/>
    <w:rsid w:val="004E51E8"/>
    <w:rsid w:val="004E52CA"/>
    <w:rsid w:val="004E5300"/>
    <w:rsid w:val="004E532A"/>
    <w:rsid w:val="004E5432"/>
    <w:rsid w:val="004E5487"/>
    <w:rsid w:val="004E5574"/>
    <w:rsid w:val="004E55C5"/>
    <w:rsid w:val="004E5776"/>
    <w:rsid w:val="004E57B2"/>
    <w:rsid w:val="004E57BD"/>
    <w:rsid w:val="004E57D9"/>
    <w:rsid w:val="004E58BE"/>
    <w:rsid w:val="004E5914"/>
    <w:rsid w:val="004E5990"/>
    <w:rsid w:val="004E59ED"/>
    <w:rsid w:val="004E5A1A"/>
    <w:rsid w:val="004E5A24"/>
    <w:rsid w:val="004E5A7E"/>
    <w:rsid w:val="004E5AC3"/>
    <w:rsid w:val="004E5B0D"/>
    <w:rsid w:val="004E5B2E"/>
    <w:rsid w:val="004E5C01"/>
    <w:rsid w:val="004E5CA8"/>
    <w:rsid w:val="004E5D49"/>
    <w:rsid w:val="004E5D85"/>
    <w:rsid w:val="004E5DAF"/>
    <w:rsid w:val="004E5E39"/>
    <w:rsid w:val="004E5E4A"/>
    <w:rsid w:val="004E5EDD"/>
    <w:rsid w:val="004E5EE3"/>
    <w:rsid w:val="004E5F28"/>
    <w:rsid w:val="004E5F33"/>
    <w:rsid w:val="004E5F8A"/>
    <w:rsid w:val="004E5F8F"/>
    <w:rsid w:val="004E5FA9"/>
    <w:rsid w:val="004E6097"/>
    <w:rsid w:val="004E60A0"/>
    <w:rsid w:val="004E61CF"/>
    <w:rsid w:val="004E623E"/>
    <w:rsid w:val="004E624D"/>
    <w:rsid w:val="004E626F"/>
    <w:rsid w:val="004E62A4"/>
    <w:rsid w:val="004E633E"/>
    <w:rsid w:val="004E6349"/>
    <w:rsid w:val="004E6386"/>
    <w:rsid w:val="004E64F2"/>
    <w:rsid w:val="004E6524"/>
    <w:rsid w:val="004E65CA"/>
    <w:rsid w:val="004E6606"/>
    <w:rsid w:val="004E662E"/>
    <w:rsid w:val="004E6638"/>
    <w:rsid w:val="004E67AD"/>
    <w:rsid w:val="004E67F8"/>
    <w:rsid w:val="004E6802"/>
    <w:rsid w:val="004E681A"/>
    <w:rsid w:val="004E682A"/>
    <w:rsid w:val="004E684E"/>
    <w:rsid w:val="004E685E"/>
    <w:rsid w:val="004E6914"/>
    <w:rsid w:val="004E6A22"/>
    <w:rsid w:val="004E6A24"/>
    <w:rsid w:val="004E6B02"/>
    <w:rsid w:val="004E6B14"/>
    <w:rsid w:val="004E6B3A"/>
    <w:rsid w:val="004E6BBA"/>
    <w:rsid w:val="004E6E17"/>
    <w:rsid w:val="004E6E3A"/>
    <w:rsid w:val="004E6E69"/>
    <w:rsid w:val="004E6E79"/>
    <w:rsid w:val="004E6F37"/>
    <w:rsid w:val="004E6F3E"/>
    <w:rsid w:val="004E6F57"/>
    <w:rsid w:val="004E6F65"/>
    <w:rsid w:val="004E6F74"/>
    <w:rsid w:val="004E6F86"/>
    <w:rsid w:val="004E6F9F"/>
    <w:rsid w:val="004E7000"/>
    <w:rsid w:val="004E7015"/>
    <w:rsid w:val="004E70BC"/>
    <w:rsid w:val="004E7128"/>
    <w:rsid w:val="004E71AF"/>
    <w:rsid w:val="004E71C7"/>
    <w:rsid w:val="004E720B"/>
    <w:rsid w:val="004E7321"/>
    <w:rsid w:val="004E749E"/>
    <w:rsid w:val="004E751F"/>
    <w:rsid w:val="004E7595"/>
    <w:rsid w:val="004E76BE"/>
    <w:rsid w:val="004E778F"/>
    <w:rsid w:val="004E782F"/>
    <w:rsid w:val="004E78C8"/>
    <w:rsid w:val="004E78D2"/>
    <w:rsid w:val="004E791D"/>
    <w:rsid w:val="004E7A4E"/>
    <w:rsid w:val="004E7A6B"/>
    <w:rsid w:val="004E7B50"/>
    <w:rsid w:val="004E7B6A"/>
    <w:rsid w:val="004E7C7C"/>
    <w:rsid w:val="004E7CDA"/>
    <w:rsid w:val="004E7CF1"/>
    <w:rsid w:val="004E7D86"/>
    <w:rsid w:val="004E7DB3"/>
    <w:rsid w:val="004E7E90"/>
    <w:rsid w:val="004E7EA1"/>
    <w:rsid w:val="004E7F37"/>
    <w:rsid w:val="004E7F7B"/>
    <w:rsid w:val="004E7F98"/>
    <w:rsid w:val="004E7FA1"/>
    <w:rsid w:val="004E7FEC"/>
    <w:rsid w:val="004F0084"/>
    <w:rsid w:val="004F0122"/>
    <w:rsid w:val="004F0133"/>
    <w:rsid w:val="004F0248"/>
    <w:rsid w:val="004F028E"/>
    <w:rsid w:val="004F0299"/>
    <w:rsid w:val="004F02A0"/>
    <w:rsid w:val="004F030C"/>
    <w:rsid w:val="004F0312"/>
    <w:rsid w:val="004F0323"/>
    <w:rsid w:val="004F037B"/>
    <w:rsid w:val="004F03E7"/>
    <w:rsid w:val="004F0445"/>
    <w:rsid w:val="004F04C4"/>
    <w:rsid w:val="004F054F"/>
    <w:rsid w:val="004F05EA"/>
    <w:rsid w:val="004F05F4"/>
    <w:rsid w:val="004F060C"/>
    <w:rsid w:val="004F063A"/>
    <w:rsid w:val="004F0663"/>
    <w:rsid w:val="004F0702"/>
    <w:rsid w:val="004F0713"/>
    <w:rsid w:val="004F071B"/>
    <w:rsid w:val="004F0800"/>
    <w:rsid w:val="004F0942"/>
    <w:rsid w:val="004F0992"/>
    <w:rsid w:val="004F0997"/>
    <w:rsid w:val="004F09D5"/>
    <w:rsid w:val="004F09D7"/>
    <w:rsid w:val="004F0A19"/>
    <w:rsid w:val="004F0A38"/>
    <w:rsid w:val="004F0A97"/>
    <w:rsid w:val="004F0BA1"/>
    <w:rsid w:val="004F0C54"/>
    <w:rsid w:val="004F0C78"/>
    <w:rsid w:val="004F0DA3"/>
    <w:rsid w:val="004F0E44"/>
    <w:rsid w:val="004F0E9D"/>
    <w:rsid w:val="004F0EA1"/>
    <w:rsid w:val="004F0EAC"/>
    <w:rsid w:val="004F0EB8"/>
    <w:rsid w:val="004F0EBD"/>
    <w:rsid w:val="004F0EE3"/>
    <w:rsid w:val="004F0EED"/>
    <w:rsid w:val="004F0FE1"/>
    <w:rsid w:val="004F1124"/>
    <w:rsid w:val="004F113B"/>
    <w:rsid w:val="004F1144"/>
    <w:rsid w:val="004F11D5"/>
    <w:rsid w:val="004F11F0"/>
    <w:rsid w:val="004F11F4"/>
    <w:rsid w:val="004F1201"/>
    <w:rsid w:val="004F1226"/>
    <w:rsid w:val="004F123D"/>
    <w:rsid w:val="004F12FB"/>
    <w:rsid w:val="004F130B"/>
    <w:rsid w:val="004F130C"/>
    <w:rsid w:val="004F1380"/>
    <w:rsid w:val="004F13A7"/>
    <w:rsid w:val="004F13F5"/>
    <w:rsid w:val="004F14DA"/>
    <w:rsid w:val="004F1561"/>
    <w:rsid w:val="004F157B"/>
    <w:rsid w:val="004F15C8"/>
    <w:rsid w:val="004F15D7"/>
    <w:rsid w:val="004F16C1"/>
    <w:rsid w:val="004F16CC"/>
    <w:rsid w:val="004F16D4"/>
    <w:rsid w:val="004F171F"/>
    <w:rsid w:val="004F1739"/>
    <w:rsid w:val="004F177A"/>
    <w:rsid w:val="004F17DD"/>
    <w:rsid w:val="004F18DF"/>
    <w:rsid w:val="004F1B09"/>
    <w:rsid w:val="004F1C4C"/>
    <w:rsid w:val="004F1CFF"/>
    <w:rsid w:val="004F1D0B"/>
    <w:rsid w:val="004F1D26"/>
    <w:rsid w:val="004F1D5D"/>
    <w:rsid w:val="004F1DAB"/>
    <w:rsid w:val="004F1DBE"/>
    <w:rsid w:val="004F1E7D"/>
    <w:rsid w:val="004F1F20"/>
    <w:rsid w:val="004F1F4F"/>
    <w:rsid w:val="004F1F65"/>
    <w:rsid w:val="004F1F9B"/>
    <w:rsid w:val="004F1F9F"/>
    <w:rsid w:val="004F2044"/>
    <w:rsid w:val="004F2069"/>
    <w:rsid w:val="004F206E"/>
    <w:rsid w:val="004F20C0"/>
    <w:rsid w:val="004F20F5"/>
    <w:rsid w:val="004F2159"/>
    <w:rsid w:val="004F2160"/>
    <w:rsid w:val="004F219E"/>
    <w:rsid w:val="004F2202"/>
    <w:rsid w:val="004F2205"/>
    <w:rsid w:val="004F2223"/>
    <w:rsid w:val="004F2263"/>
    <w:rsid w:val="004F22E9"/>
    <w:rsid w:val="004F22EA"/>
    <w:rsid w:val="004F2343"/>
    <w:rsid w:val="004F2375"/>
    <w:rsid w:val="004F23EC"/>
    <w:rsid w:val="004F23EF"/>
    <w:rsid w:val="004F242D"/>
    <w:rsid w:val="004F247F"/>
    <w:rsid w:val="004F249D"/>
    <w:rsid w:val="004F250D"/>
    <w:rsid w:val="004F2569"/>
    <w:rsid w:val="004F2596"/>
    <w:rsid w:val="004F25AF"/>
    <w:rsid w:val="004F2654"/>
    <w:rsid w:val="004F2684"/>
    <w:rsid w:val="004F26CF"/>
    <w:rsid w:val="004F273A"/>
    <w:rsid w:val="004F2798"/>
    <w:rsid w:val="004F27F3"/>
    <w:rsid w:val="004F28B2"/>
    <w:rsid w:val="004F2907"/>
    <w:rsid w:val="004F2912"/>
    <w:rsid w:val="004F29D7"/>
    <w:rsid w:val="004F29F1"/>
    <w:rsid w:val="004F29FF"/>
    <w:rsid w:val="004F2A2E"/>
    <w:rsid w:val="004F2A64"/>
    <w:rsid w:val="004F2B2D"/>
    <w:rsid w:val="004F2B45"/>
    <w:rsid w:val="004F2B60"/>
    <w:rsid w:val="004F2B9D"/>
    <w:rsid w:val="004F2BC8"/>
    <w:rsid w:val="004F2CAE"/>
    <w:rsid w:val="004F2CB4"/>
    <w:rsid w:val="004F2DA9"/>
    <w:rsid w:val="004F2DD4"/>
    <w:rsid w:val="004F2DF3"/>
    <w:rsid w:val="004F2E05"/>
    <w:rsid w:val="004F2E0F"/>
    <w:rsid w:val="004F2E91"/>
    <w:rsid w:val="004F2EBB"/>
    <w:rsid w:val="004F2F05"/>
    <w:rsid w:val="004F2F0A"/>
    <w:rsid w:val="004F2F81"/>
    <w:rsid w:val="004F2FB5"/>
    <w:rsid w:val="004F3004"/>
    <w:rsid w:val="004F30AB"/>
    <w:rsid w:val="004F30B2"/>
    <w:rsid w:val="004F30D3"/>
    <w:rsid w:val="004F311F"/>
    <w:rsid w:val="004F314B"/>
    <w:rsid w:val="004F31A3"/>
    <w:rsid w:val="004F31CE"/>
    <w:rsid w:val="004F31F2"/>
    <w:rsid w:val="004F3206"/>
    <w:rsid w:val="004F326A"/>
    <w:rsid w:val="004F3385"/>
    <w:rsid w:val="004F33CE"/>
    <w:rsid w:val="004F33EB"/>
    <w:rsid w:val="004F348E"/>
    <w:rsid w:val="004F34AE"/>
    <w:rsid w:val="004F34FC"/>
    <w:rsid w:val="004F3516"/>
    <w:rsid w:val="004F35B7"/>
    <w:rsid w:val="004F35D2"/>
    <w:rsid w:val="004F35EC"/>
    <w:rsid w:val="004F366B"/>
    <w:rsid w:val="004F36AB"/>
    <w:rsid w:val="004F3716"/>
    <w:rsid w:val="004F37F3"/>
    <w:rsid w:val="004F380B"/>
    <w:rsid w:val="004F384A"/>
    <w:rsid w:val="004F38CE"/>
    <w:rsid w:val="004F3945"/>
    <w:rsid w:val="004F395B"/>
    <w:rsid w:val="004F39F8"/>
    <w:rsid w:val="004F3A7F"/>
    <w:rsid w:val="004F3B03"/>
    <w:rsid w:val="004F3BC7"/>
    <w:rsid w:val="004F3D0D"/>
    <w:rsid w:val="004F3D25"/>
    <w:rsid w:val="004F3D7A"/>
    <w:rsid w:val="004F3DAA"/>
    <w:rsid w:val="004F3DFD"/>
    <w:rsid w:val="004F3E25"/>
    <w:rsid w:val="004F3E37"/>
    <w:rsid w:val="004F3F64"/>
    <w:rsid w:val="004F3FCD"/>
    <w:rsid w:val="004F3FEB"/>
    <w:rsid w:val="004F4009"/>
    <w:rsid w:val="004F40A5"/>
    <w:rsid w:val="004F4115"/>
    <w:rsid w:val="004F415D"/>
    <w:rsid w:val="004F41E7"/>
    <w:rsid w:val="004F422B"/>
    <w:rsid w:val="004F424A"/>
    <w:rsid w:val="004F424C"/>
    <w:rsid w:val="004F42A5"/>
    <w:rsid w:val="004F42CD"/>
    <w:rsid w:val="004F431E"/>
    <w:rsid w:val="004F434F"/>
    <w:rsid w:val="004F4442"/>
    <w:rsid w:val="004F4477"/>
    <w:rsid w:val="004F44D7"/>
    <w:rsid w:val="004F451B"/>
    <w:rsid w:val="004F4559"/>
    <w:rsid w:val="004F4568"/>
    <w:rsid w:val="004F4590"/>
    <w:rsid w:val="004F45A7"/>
    <w:rsid w:val="004F45B6"/>
    <w:rsid w:val="004F45BE"/>
    <w:rsid w:val="004F45E4"/>
    <w:rsid w:val="004F4611"/>
    <w:rsid w:val="004F461D"/>
    <w:rsid w:val="004F4666"/>
    <w:rsid w:val="004F47F5"/>
    <w:rsid w:val="004F484A"/>
    <w:rsid w:val="004F484E"/>
    <w:rsid w:val="004F4889"/>
    <w:rsid w:val="004F488F"/>
    <w:rsid w:val="004F48C0"/>
    <w:rsid w:val="004F48C7"/>
    <w:rsid w:val="004F48DF"/>
    <w:rsid w:val="004F4975"/>
    <w:rsid w:val="004F49B5"/>
    <w:rsid w:val="004F49B6"/>
    <w:rsid w:val="004F4A76"/>
    <w:rsid w:val="004F4A8F"/>
    <w:rsid w:val="004F4ADB"/>
    <w:rsid w:val="004F4B33"/>
    <w:rsid w:val="004F4B91"/>
    <w:rsid w:val="004F4B92"/>
    <w:rsid w:val="004F4BCD"/>
    <w:rsid w:val="004F4C5E"/>
    <w:rsid w:val="004F4C70"/>
    <w:rsid w:val="004F4C8F"/>
    <w:rsid w:val="004F4D77"/>
    <w:rsid w:val="004F4D8D"/>
    <w:rsid w:val="004F4DC3"/>
    <w:rsid w:val="004F4DFB"/>
    <w:rsid w:val="004F4ED9"/>
    <w:rsid w:val="004F4F69"/>
    <w:rsid w:val="004F4FB8"/>
    <w:rsid w:val="004F4FC0"/>
    <w:rsid w:val="004F5089"/>
    <w:rsid w:val="004F508E"/>
    <w:rsid w:val="004F50B6"/>
    <w:rsid w:val="004F50FA"/>
    <w:rsid w:val="004F510A"/>
    <w:rsid w:val="004F5112"/>
    <w:rsid w:val="004F525A"/>
    <w:rsid w:val="004F5279"/>
    <w:rsid w:val="004F528B"/>
    <w:rsid w:val="004F52DB"/>
    <w:rsid w:val="004F52E1"/>
    <w:rsid w:val="004F5325"/>
    <w:rsid w:val="004F537B"/>
    <w:rsid w:val="004F53BC"/>
    <w:rsid w:val="004F53C2"/>
    <w:rsid w:val="004F5463"/>
    <w:rsid w:val="004F54DC"/>
    <w:rsid w:val="004F550D"/>
    <w:rsid w:val="004F5522"/>
    <w:rsid w:val="004F5535"/>
    <w:rsid w:val="004F5586"/>
    <w:rsid w:val="004F55A8"/>
    <w:rsid w:val="004F55AB"/>
    <w:rsid w:val="004F55B3"/>
    <w:rsid w:val="004F57A1"/>
    <w:rsid w:val="004F57CE"/>
    <w:rsid w:val="004F57F5"/>
    <w:rsid w:val="004F5819"/>
    <w:rsid w:val="004F58A4"/>
    <w:rsid w:val="004F5939"/>
    <w:rsid w:val="004F595F"/>
    <w:rsid w:val="004F59A6"/>
    <w:rsid w:val="004F59F3"/>
    <w:rsid w:val="004F5A15"/>
    <w:rsid w:val="004F5A16"/>
    <w:rsid w:val="004F5A1F"/>
    <w:rsid w:val="004F5A3E"/>
    <w:rsid w:val="004F5A44"/>
    <w:rsid w:val="004F5AB2"/>
    <w:rsid w:val="004F5AB5"/>
    <w:rsid w:val="004F5AD9"/>
    <w:rsid w:val="004F5B58"/>
    <w:rsid w:val="004F5B85"/>
    <w:rsid w:val="004F5BA9"/>
    <w:rsid w:val="004F5C4E"/>
    <w:rsid w:val="004F5CA1"/>
    <w:rsid w:val="004F5CB7"/>
    <w:rsid w:val="004F5CB9"/>
    <w:rsid w:val="004F5CBF"/>
    <w:rsid w:val="004F5D0B"/>
    <w:rsid w:val="004F5D34"/>
    <w:rsid w:val="004F5D49"/>
    <w:rsid w:val="004F5DB3"/>
    <w:rsid w:val="004F5EC5"/>
    <w:rsid w:val="004F5F51"/>
    <w:rsid w:val="004F5F86"/>
    <w:rsid w:val="004F5F8C"/>
    <w:rsid w:val="004F5FB8"/>
    <w:rsid w:val="004F6014"/>
    <w:rsid w:val="004F60A3"/>
    <w:rsid w:val="004F60D8"/>
    <w:rsid w:val="004F6117"/>
    <w:rsid w:val="004F61EB"/>
    <w:rsid w:val="004F620E"/>
    <w:rsid w:val="004F62C2"/>
    <w:rsid w:val="004F62EA"/>
    <w:rsid w:val="004F62FB"/>
    <w:rsid w:val="004F6367"/>
    <w:rsid w:val="004F6380"/>
    <w:rsid w:val="004F6384"/>
    <w:rsid w:val="004F638D"/>
    <w:rsid w:val="004F6482"/>
    <w:rsid w:val="004F649D"/>
    <w:rsid w:val="004F64A5"/>
    <w:rsid w:val="004F65AF"/>
    <w:rsid w:val="004F66B8"/>
    <w:rsid w:val="004F6760"/>
    <w:rsid w:val="004F6786"/>
    <w:rsid w:val="004F67AF"/>
    <w:rsid w:val="004F6858"/>
    <w:rsid w:val="004F687D"/>
    <w:rsid w:val="004F688E"/>
    <w:rsid w:val="004F68AC"/>
    <w:rsid w:val="004F68CE"/>
    <w:rsid w:val="004F68FE"/>
    <w:rsid w:val="004F6976"/>
    <w:rsid w:val="004F69B2"/>
    <w:rsid w:val="004F69E6"/>
    <w:rsid w:val="004F6A63"/>
    <w:rsid w:val="004F6A82"/>
    <w:rsid w:val="004F6AF3"/>
    <w:rsid w:val="004F6B7C"/>
    <w:rsid w:val="004F6BBB"/>
    <w:rsid w:val="004F6BD4"/>
    <w:rsid w:val="004F6C56"/>
    <w:rsid w:val="004F6C77"/>
    <w:rsid w:val="004F6CFD"/>
    <w:rsid w:val="004F6D23"/>
    <w:rsid w:val="004F6D32"/>
    <w:rsid w:val="004F6D83"/>
    <w:rsid w:val="004F6DA7"/>
    <w:rsid w:val="004F6E12"/>
    <w:rsid w:val="004F6E82"/>
    <w:rsid w:val="004F6EDB"/>
    <w:rsid w:val="004F6F35"/>
    <w:rsid w:val="004F6FE1"/>
    <w:rsid w:val="004F6FE5"/>
    <w:rsid w:val="004F6FF6"/>
    <w:rsid w:val="004F7056"/>
    <w:rsid w:val="004F714D"/>
    <w:rsid w:val="004F7157"/>
    <w:rsid w:val="004F717A"/>
    <w:rsid w:val="004F719E"/>
    <w:rsid w:val="004F71D6"/>
    <w:rsid w:val="004F7215"/>
    <w:rsid w:val="004F7233"/>
    <w:rsid w:val="004F7246"/>
    <w:rsid w:val="004F72F8"/>
    <w:rsid w:val="004F732C"/>
    <w:rsid w:val="004F7348"/>
    <w:rsid w:val="004F734B"/>
    <w:rsid w:val="004F73B2"/>
    <w:rsid w:val="004F73C1"/>
    <w:rsid w:val="004F73CE"/>
    <w:rsid w:val="004F741D"/>
    <w:rsid w:val="004F7532"/>
    <w:rsid w:val="004F75FF"/>
    <w:rsid w:val="004F763C"/>
    <w:rsid w:val="004F768D"/>
    <w:rsid w:val="004F76C1"/>
    <w:rsid w:val="004F76D1"/>
    <w:rsid w:val="004F773A"/>
    <w:rsid w:val="004F77E0"/>
    <w:rsid w:val="004F78A1"/>
    <w:rsid w:val="004F78ED"/>
    <w:rsid w:val="004F7933"/>
    <w:rsid w:val="004F79D5"/>
    <w:rsid w:val="004F79DD"/>
    <w:rsid w:val="004F7A2C"/>
    <w:rsid w:val="004F7A9C"/>
    <w:rsid w:val="004F7ADE"/>
    <w:rsid w:val="004F7B1F"/>
    <w:rsid w:val="004F7B3C"/>
    <w:rsid w:val="004F7B7A"/>
    <w:rsid w:val="004F7BBD"/>
    <w:rsid w:val="004F7BC2"/>
    <w:rsid w:val="004F7BE0"/>
    <w:rsid w:val="004F7C00"/>
    <w:rsid w:val="004F7C13"/>
    <w:rsid w:val="004F7C4E"/>
    <w:rsid w:val="004F7C95"/>
    <w:rsid w:val="004F7CBE"/>
    <w:rsid w:val="004F7CD0"/>
    <w:rsid w:val="004F7D23"/>
    <w:rsid w:val="004F7D34"/>
    <w:rsid w:val="004F7DD5"/>
    <w:rsid w:val="004F7DED"/>
    <w:rsid w:val="004F7EE7"/>
    <w:rsid w:val="004F7F1A"/>
    <w:rsid w:val="004F7F67"/>
    <w:rsid w:val="00500002"/>
    <w:rsid w:val="0050003B"/>
    <w:rsid w:val="005000A0"/>
    <w:rsid w:val="00500110"/>
    <w:rsid w:val="00500121"/>
    <w:rsid w:val="00500148"/>
    <w:rsid w:val="005001C1"/>
    <w:rsid w:val="005001DD"/>
    <w:rsid w:val="005001F6"/>
    <w:rsid w:val="00500288"/>
    <w:rsid w:val="00500338"/>
    <w:rsid w:val="00500344"/>
    <w:rsid w:val="00500398"/>
    <w:rsid w:val="005003AA"/>
    <w:rsid w:val="005003ED"/>
    <w:rsid w:val="0050049B"/>
    <w:rsid w:val="0050049C"/>
    <w:rsid w:val="005004C7"/>
    <w:rsid w:val="005004E6"/>
    <w:rsid w:val="00500568"/>
    <w:rsid w:val="0050058C"/>
    <w:rsid w:val="00500595"/>
    <w:rsid w:val="005005DC"/>
    <w:rsid w:val="00500691"/>
    <w:rsid w:val="005006AC"/>
    <w:rsid w:val="0050070A"/>
    <w:rsid w:val="00500743"/>
    <w:rsid w:val="00500790"/>
    <w:rsid w:val="005007D8"/>
    <w:rsid w:val="00500997"/>
    <w:rsid w:val="00500999"/>
    <w:rsid w:val="00500A0D"/>
    <w:rsid w:val="00500ACB"/>
    <w:rsid w:val="00500AF0"/>
    <w:rsid w:val="00500B86"/>
    <w:rsid w:val="00500B9B"/>
    <w:rsid w:val="00500BFC"/>
    <w:rsid w:val="00500C16"/>
    <w:rsid w:val="00500CA8"/>
    <w:rsid w:val="00500CB7"/>
    <w:rsid w:val="00500CCE"/>
    <w:rsid w:val="00500D29"/>
    <w:rsid w:val="00500D76"/>
    <w:rsid w:val="00500DA9"/>
    <w:rsid w:val="00500DDF"/>
    <w:rsid w:val="00500DFE"/>
    <w:rsid w:val="00500E7B"/>
    <w:rsid w:val="00500EA1"/>
    <w:rsid w:val="00500EB8"/>
    <w:rsid w:val="00500EF6"/>
    <w:rsid w:val="00500F5E"/>
    <w:rsid w:val="00500FB0"/>
    <w:rsid w:val="00500FEF"/>
    <w:rsid w:val="0050100F"/>
    <w:rsid w:val="00501055"/>
    <w:rsid w:val="00501083"/>
    <w:rsid w:val="005010B9"/>
    <w:rsid w:val="00501113"/>
    <w:rsid w:val="0050113A"/>
    <w:rsid w:val="0050115F"/>
    <w:rsid w:val="00501166"/>
    <w:rsid w:val="0050116C"/>
    <w:rsid w:val="00501194"/>
    <w:rsid w:val="0050120F"/>
    <w:rsid w:val="005012AD"/>
    <w:rsid w:val="0050130F"/>
    <w:rsid w:val="00501361"/>
    <w:rsid w:val="005013BF"/>
    <w:rsid w:val="0050143C"/>
    <w:rsid w:val="005014A3"/>
    <w:rsid w:val="005014D0"/>
    <w:rsid w:val="005015CA"/>
    <w:rsid w:val="0050161D"/>
    <w:rsid w:val="00501620"/>
    <w:rsid w:val="0050162C"/>
    <w:rsid w:val="0050162F"/>
    <w:rsid w:val="0050164B"/>
    <w:rsid w:val="005016F3"/>
    <w:rsid w:val="00501738"/>
    <w:rsid w:val="00501760"/>
    <w:rsid w:val="005017B3"/>
    <w:rsid w:val="005017C2"/>
    <w:rsid w:val="005017FC"/>
    <w:rsid w:val="005017FD"/>
    <w:rsid w:val="00501827"/>
    <w:rsid w:val="00501837"/>
    <w:rsid w:val="0050184A"/>
    <w:rsid w:val="00501855"/>
    <w:rsid w:val="00501981"/>
    <w:rsid w:val="005019A6"/>
    <w:rsid w:val="005019CC"/>
    <w:rsid w:val="00501A6C"/>
    <w:rsid w:val="00501A83"/>
    <w:rsid w:val="00501AB3"/>
    <w:rsid w:val="00501B6C"/>
    <w:rsid w:val="00501C24"/>
    <w:rsid w:val="00501C30"/>
    <w:rsid w:val="00501C5C"/>
    <w:rsid w:val="00501C6D"/>
    <w:rsid w:val="00501C93"/>
    <w:rsid w:val="00501D14"/>
    <w:rsid w:val="00501D36"/>
    <w:rsid w:val="00501D52"/>
    <w:rsid w:val="00501DD7"/>
    <w:rsid w:val="00501E6B"/>
    <w:rsid w:val="00501F3C"/>
    <w:rsid w:val="00501F5C"/>
    <w:rsid w:val="00501FDF"/>
    <w:rsid w:val="00501FE9"/>
    <w:rsid w:val="005020EB"/>
    <w:rsid w:val="0050216F"/>
    <w:rsid w:val="005021DB"/>
    <w:rsid w:val="00502201"/>
    <w:rsid w:val="00502213"/>
    <w:rsid w:val="00502216"/>
    <w:rsid w:val="0050225A"/>
    <w:rsid w:val="00502260"/>
    <w:rsid w:val="005022F2"/>
    <w:rsid w:val="005023A8"/>
    <w:rsid w:val="00502469"/>
    <w:rsid w:val="00502496"/>
    <w:rsid w:val="00502497"/>
    <w:rsid w:val="005024B1"/>
    <w:rsid w:val="0050250E"/>
    <w:rsid w:val="005025DD"/>
    <w:rsid w:val="005026FA"/>
    <w:rsid w:val="00502761"/>
    <w:rsid w:val="00502801"/>
    <w:rsid w:val="00502849"/>
    <w:rsid w:val="0050289C"/>
    <w:rsid w:val="005028F7"/>
    <w:rsid w:val="00502938"/>
    <w:rsid w:val="0050294C"/>
    <w:rsid w:val="00502A40"/>
    <w:rsid w:val="00502A91"/>
    <w:rsid w:val="00502A9D"/>
    <w:rsid w:val="00502AB8"/>
    <w:rsid w:val="00502B40"/>
    <w:rsid w:val="00502B9D"/>
    <w:rsid w:val="00502BA1"/>
    <w:rsid w:val="00502BE0"/>
    <w:rsid w:val="00502CCD"/>
    <w:rsid w:val="00502DBB"/>
    <w:rsid w:val="00502DBC"/>
    <w:rsid w:val="00502DCC"/>
    <w:rsid w:val="00502DF3"/>
    <w:rsid w:val="00502E7F"/>
    <w:rsid w:val="00502E89"/>
    <w:rsid w:val="00502E95"/>
    <w:rsid w:val="00502EF2"/>
    <w:rsid w:val="00502F1C"/>
    <w:rsid w:val="00502F2D"/>
    <w:rsid w:val="00502F8C"/>
    <w:rsid w:val="00502FBE"/>
    <w:rsid w:val="00503056"/>
    <w:rsid w:val="00503149"/>
    <w:rsid w:val="005031C1"/>
    <w:rsid w:val="005031C2"/>
    <w:rsid w:val="005031E8"/>
    <w:rsid w:val="005031FF"/>
    <w:rsid w:val="00503289"/>
    <w:rsid w:val="005032AB"/>
    <w:rsid w:val="0050337D"/>
    <w:rsid w:val="005033D9"/>
    <w:rsid w:val="00503413"/>
    <w:rsid w:val="0050346E"/>
    <w:rsid w:val="0050349D"/>
    <w:rsid w:val="005034BB"/>
    <w:rsid w:val="00503569"/>
    <w:rsid w:val="00503578"/>
    <w:rsid w:val="00503592"/>
    <w:rsid w:val="005035F1"/>
    <w:rsid w:val="00503676"/>
    <w:rsid w:val="005036B6"/>
    <w:rsid w:val="005037AE"/>
    <w:rsid w:val="00503889"/>
    <w:rsid w:val="0050388D"/>
    <w:rsid w:val="00503901"/>
    <w:rsid w:val="0050396B"/>
    <w:rsid w:val="00503999"/>
    <w:rsid w:val="005039A3"/>
    <w:rsid w:val="005039E8"/>
    <w:rsid w:val="00503A16"/>
    <w:rsid w:val="00503A97"/>
    <w:rsid w:val="00503B05"/>
    <w:rsid w:val="00503B61"/>
    <w:rsid w:val="00503B8B"/>
    <w:rsid w:val="00503BAD"/>
    <w:rsid w:val="00503BB6"/>
    <w:rsid w:val="00503C64"/>
    <w:rsid w:val="00503C8B"/>
    <w:rsid w:val="00503D17"/>
    <w:rsid w:val="00503D61"/>
    <w:rsid w:val="00503DD7"/>
    <w:rsid w:val="00503DF3"/>
    <w:rsid w:val="00503E1E"/>
    <w:rsid w:val="00503E57"/>
    <w:rsid w:val="00503E72"/>
    <w:rsid w:val="00503E9A"/>
    <w:rsid w:val="00503ECC"/>
    <w:rsid w:val="00503EE1"/>
    <w:rsid w:val="00503EE5"/>
    <w:rsid w:val="00503F00"/>
    <w:rsid w:val="00503F4E"/>
    <w:rsid w:val="00503FE9"/>
    <w:rsid w:val="0050413D"/>
    <w:rsid w:val="0050415E"/>
    <w:rsid w:val="00504186"/>
    <w:rsid w:val="005041FD"/>
    <w:rsid w:val="0050428E"/>
    <w:rsid w:val="005042FC"/>
    <w:rsid w:val="0050433E"/>
    <w:rsid w:val="00504397"/>
    <w:rsid w:val="005043EF"/>
    <w:rsid w:val="00504426"/>
    <w:rsid w:val="00504478"/>
    <w:rsid w:val="0050447C"/>
    <w:rsid w:val="00504497"/>
    <w:rsid w:val="0050452D"/>
    <w:rsid w:val="00504597"/>
    <w:rsid w:val="005045D5"/>
    <w:rsid w:val="005045F6"/>
    <w:rsid w:val="00504679"/>
    <w:rsid w:val="005046A2"/>
    <w:rsid w:val="005046D8"/>
    <w:rsid w:val="0050470A"/>
    <w:rsid w:val="00504868"/>
    <w:rsid w:val="00504887"/>
    <w:rsid w:val="00504947"/>
    <w:rsid w:val="0050495A"/>
    <w:rsid w:val="00504979"/>
    <w:rsid w:val="005049DA"/>
    <w:rsid w:val="005049F1"/>
    <w:rsid w:val="00504A03"/>
    <w:rsid w:val="00504A57"/>
    <w:rsid w:val="00504A7B"/>
    <w:rsid w:val="00504AB8"/>
    <w:rsid w:val="00504AF2"/>
    <w:rsid w:val="00504B8C"/>
    <w:rsid w:val="00504B90"/>
    <w:rsid w:val="00504BE0"/>
    <w:rsid w:val="00504BED"/>
    <w:rsid w:val="00504C1B"/>
    <w:rsid w:val="00504C53"/>
    <w:rsid w:val="00504C7B"/>
    <w:rsid w:val="00504D8E"/>
    <w:rsid w:val="00504DA1"/>
    <w:rsid w:val="00504DAA"/>
    <w:rsid w:val="00504DB2"/>
    <w:rsid w:val="00504E45"/>
    <w:rsid w:val="00504E8E"/>
    <w:rsid w:val="00504ED9"/>
    <w:rsid w:val="00504EF6"/>
    <w:rsid w:val="00504F10"/>
    <w:rsid w:val="00504F22"/>
    <w:rsid w:val="00504F34"/>
    <w:rsid w:val="00504F5E"/>
    <w:rsid w:val="00504F61"/>
    <w:rsid w:val="00504FF9"/>
    <w:rsid w:val="00504FFC"/>
    <w:rsid w:val="00505032"/>
    <w:rsid w:val="00505049"/>
    <w:rsid w:val="00505102"/>
    <w:rsid w:val="00505110"/>
    <w:rsid w:val="005051B5"/>
    <w:rsid w:val="0050526B"/>
    <w:rsid w:val="005052CE"/>
    <w:rsid w:val="005052E2"/>
    <w:rsid w:val="0050530E"/>
    <w:rsid w:val="00505340"/>
    <w:rsid w:val="00505393"/>
    <w:rsid w:val="005053AE"/>
    <w:rsid w:val="005053F8"/>
    <w:rsid w:val="00505544"/>
    <w:rsid w:val="00505582"/>
    <w:rsid w:val="005055C9"/>
    <w:rsid w:val="00505670"/>
    <w:rsid w:val="00505697"/>
    <w:rsid w:val="0050569D"/>
    <w:rsid w:val="005056A7"/>
    <w:rsid w:val="005056A8"/>
    <w:rsid w:val="005056FD"/>
    <w:rsid w:val="00505701"/>
    <w:rsid w:val="005057B7"/>
    <w:rsid w:val="005058C3"/>
    <w:rsid w:val="005058F5"/>
    <w:rsid w:val="0050593A"/>
    <w:rsid w:val="005059B0"/>
    <w:rsid w:val="00505A54"/>
    <w:rsid w:val="00505AE0"/>
    <w:rsid w:val="00505B0A"/>
    <w:rsid w:val="00505B73"/>
    <w:rsid w:val="00505C9A"/>
    <w:rsid w:val="00505D1B"/>
    <w:rsid w:val="00505D76"/>
    <w:rsid w:val="00505DBC"/>
    <w:rsid w:val="00505DD3"/>
    <w:rsid w:val="00505E09"/>
    <w:rsid w:val="00505E41"/>
    <w:rsid w:val="00505E9C"/>
    <w:rsid w:val="00505F27"/>
    <w:rsid w:val="00505F3C"/>
    <w:rsid w:val="00505F5F"/>
    <w:rsid w:val="00506013"/>
    <w:rsid w:val="0050602C"/>
    <w:rsid w:val="00506048"/>
    <w:rsid w:val="00506071"/>
    <w:rsid w:val="00506111"/>
    <w:rsid w:val="0050611C"/>
    <w:rsid w:val="0050616F"/>
    <w:rsid w:val="00506177"/>
    <w:rsid w:val="0050619E"/>
    <w:rsid w:val="005061B2"/>
    <w:rsid w:val="005061C0"/>
    <w:rsid w:val="00506261"/>
    <w:rsid w:val="00506372"/>
    <w:rsid w:val="005063AE"/>
    <w:rsid w:val="0050641F"/>
    <w:rsid w:val="00506430"/>
    <w:rsid w:val="0050648A"/>
    <w:rsid w:val="005064C2"/>
    <w:rsid w:val="0050656C"/>
    <w:rsid w:val="0050658C"/>
    <w:rsid w:val="0050658F"/>
    <w:rsid w:val="0050659A"/>
    <w:rsid w:val="005065BA"/>
    <w:rsid w:val="005065D0"/>
    <w:rsid w:val="005066C1"/>
    <w:rsid w:val="0050677A"/>
    <w:rsid w:val="005067FD"/>
    <w:rsid w:val="0050681F"/>
    <w:rsid w:val="0050685C"/>
    <w:rsid w:val="005068D8"/>
    <w:rsid w:val="005068E2"/>
    <w:rsid w:val="00506920"/>
    <w:rsid w:val="005069C4"/>
    <w:rsid w:val="00506B56"/>
    <w:rsid w:val="00506B98"/>
    <w:rsid w:val="00506BCF"/>
    <w:rsid w:val="00506C3A"/>
    <w:rsid w:val="00506C7A"/>
    <w:rsid w:val="00506D46"/>
    <w:rsid w:val="00506D76"/>
    <w:rsid w:val="00506D8D"/>
    <w:rsid w:val="00506DAE"/>
    <w:rsid w:val="00506DB9"/>
    <w:rsid w:val="00506DF8"/>
    <w:rsid w:val="00506E03"/>
    <w:rsid w:val="00506E37"/>
    <w:rsid w:val="00506E6F"/>
    <w:rsid w:val="00506E85"/>
    <w:rsid w:val="00506E9F"/>
    <w:rsid w:val="00506EFA"/>
    <w:rsid w:val="00506F35"/>
    <w:rsid w:val="00506F45"/>
    <w:rsid w:val="00506F57"/>
    <w:rsid w:val="00506FD9"/>
    <w:rsid w:val="0050705F"/>
    <w:rsid w:val="005070BA"/>
    <w:rsid w:val="0050719E"/>
    <w:rsid w:val="005071E5"/>
    <w:rsid w:val="005072B0"/>
    <w:rsid w:val="005072C8"/>
    <w:rsid w:val="005072E8"/>
    <w:rsid w:val="00507318"/>
    <w:rsid w:val="005073C2"/>
    <w:rsid w:val="00507414"/>
    <w:rsid w:val="005074F1"/>
    <w:rsid w:val="00507526"/>
    <w:rsid w:val="00507542"/>
    <w:rsid w:val="0050756C"/>
    <w:rsid w:val="0050756E"/>
    <w:rsid w:val="0050759E"/>
    <w:rsid w:val="005075ED"/>
    <w:rsid w:val="0050772B"/>
    <w:rsid w:val="005077EA"/>
    <w:rsid w:val="00507808"/>
    <w:rsid w:val="00507843"/>
    <w:rsid w:val="00507859"/>
    <w:rsid w:val="0050786A"/>
    <w:rsid w:val="00507888"/>
    <w:rsid w:val="0050789E"/>
    <w:rsid w:val="005078F4"/>
    <w:rsid w:val="005079CD"/>
    <w:rsid w:val="00507A05"/>
    <w:rsid w:val="00507A0C"/>
    <w:rsid w:val="00507A7F"/>
    <w:rsid w:val="00507A9E"/>
    <w:rsid w:val="00507AB5"/>
    <w:rsid w:val="00507ACD"/>
    <w:rsid w:val="00507AF8"/>
    <w:rsid w:val="00507AFC"/>
    <w:rsid w:val="00507B10"/>
    <w:rsid w:val="00507B6C"/>
    <w:rsid w:val="00507BEB"/>
    <w:rsid w:val="00507C89"/>
    <w:rsid w:val="00507D18"/>
    <w:rsid w:val="00507D3F"/>
    <w:rsid w:val="00507E2D"/>
    <w:rsid w:val="00507E5D"/>
    <w:rsid w:val="00507E8C"/>
    <w:rsid w:val="00507EA7"/>
    <w:rsid w:val="00507EB0"/>
    <w:rsid w:val="00507EEA"/>
    <w:rsid w:val="00507F79"/>
    <w:rsid w:val="00507FA4"/>
    <w:rsid w:val="00510112"/>
    <w:rsid w:val="00510243"/>
    <w:rsid w:val="00510245"/>
    <w:rsid w:val="00510336"/>
    <w:rsid w:val="0051034A"/>
    <w:rsid w:val="0051037B"/>
    <w:rsid w:val="005103BF"/>
    <w:rsid w:val="005103EC"/>
    <w:rsid w:val="005104A3"/>
    <w:rsid w:val="005104BC"/>
    <w:rsid w:val="0051055F"/>
    <w:rsid w:val="005105E7"/>
    <w:rsid w:val="005105E8"/>
    <w:rsid w:val="005105EE"/>
    <w:rsid w:val="00510629"/>
    <w:rsid w:val="0051069F"/>
    <w:rsid w:val="00510793"/>
    <w:rsid w:val="005107F8"/>
    <w:rsid w:val="00510834"/>
    <w:rsid w:val="00510838"/>
    <w:rsid w:val="00510849"/>
    <w:rsid w:val="00510899"/>
    <w:rsid w:val="00510940"/>
    <w:rsid w:val="0051094D"/>
    <w:rsid w:val="00510A41"/>
    <w:rsid w:val="00510AFE"/>
    <w:rsid w:val="00510B71"/>
    <w:rsid w:val="00510B7D"/>
    <w:rsid w:val="00510BB7"/>
    <w:rsid w:val="00510BDC"/>
    <w:rsid w:val="00510BED"/>
    <w:rsid w:val="00510C11"/>
    <w:rsid w:val="00510C54"/>
    <w:rsid w:val="00510CEB"/>
    <w:rsid w:val="00510CF5"/>
    <w:rsid w:val="00510DB2"/>
    <w:rsid w:val="00510E3D"/>
    <w:rsid w:val="00510EC3"/>
    <w:rsid w:val="00510F34"/>
    <w:rsid w:val="00510F46"/>
    <w:rsid w:val="00510FAD"/>
    <w:rsid w:val="00510FC7"/>
    <w:rsid w:val="00510FD8"/>
    <w:rsid w:val="00511009"/>
    <w:rsid w:val="0051101F"/>
    <w:rsid w:val="00511058"/>
    <w:rsid w:val="00511137"/>
    <w:rsid w:val="0051114B"/>
    <w:rsid w:val="00511165"/>
    <w:rsid w:val="00511191"/>
    <w:rsid w:val="005111AF"/>
    <w:rsid w:val="005111D1"/>
    <w:rsid w:val="0051126A"/>
    <w:rsid w:val="00511277"/>
    <w:rsid w:val="005112C0"/>
    <w:rsid w:val="005112FF"/>
    <w:rsid w:val="00511349"/>
    <w:rsid w:val="0051137A"/>
    <w:rsid w:val="00511444"/>
    <w:rsid w:val="005114BE"/>
    <w:rsid w:val="005114C9"/>
    <w:rsid w:val="00511521"/>
    <w:rsid w:val="00511555"/>
    <w:rsid w:val="00511599"/>
    <w:rsid w:val="0051162D"/>
    <w:rsid w:val="00511654"/>
    <w:rsid w:val="005116F2"/>
    <w:rsid w:val="00511769"/>
    <w:rsid w:val="00511779"/>
    <w:rsid w:val="00511896"/>
    <w:rsid w:val="005118E7"/>
    <w:rsid w:val="00511957"/>
    <w:rsid w:val="0051196A"/>
    <w:rsid w:val="005119C0"/>
    <w:rsid w:val="005119C5"/>
    <w:rsid w:val="005119CE"/>
    <w:rsid w:val="005119E9"/>
    <w:rsid w:val="005119FD"/>
    <w:rsid w:val="00511A6C"/>
    <w:rsid w:val="00511A73"/>
    <w:rsid w:val="00511AD8"/>
    <w:rsid w:val="00511BB4"/>
    <w:rsid w:val="00511BBA"/>
    <w:rsid w:val="00511C1A"/>
    <w:rsid w:val="00511D55"/>
    <w:rsid w:val="00511DE8"/>
    <w:rsid w:val="00511E13"/>
    <w:rsid w:val="00511E4B"/>
    <w:rsid w:val="00511E5A"/>
    <w:rsid w:val="00511E90"/>
    <w:rsid w:val="00511F01"/>
    <w:rsid w:val="00511F70"/>
    <w:rsid w:val="00511F77"/>
    <w:rsid w:val="00511FBA"/>
    <w:rsid w:val="00512049"/>
    <w:rsid w:val="00512114"/>
    <w:rsid w:val="00512264"/>
    <w:rsid w:val="005122EB"/>
    <w:rsid w:val="00512338"/>
    <w:rsid w:val="00512397"/>
    <w:rsid w:val="005123B0"/>
    <w:rsid w:val="005123C0"/>
    <w:rsid w:val="0051245E"/>
    <w:rsid w:val="00512473"/>
    <w:rsid w:val="00512487"/>
    <w:rsid w:val="00512495"/>
    <w:rsid w:val="005124BB"/>
    <w:rsid w:val="005124CD"/>
    <w:rsid w:val="005124DE"/>
    <w:rsid w:val="0051254A"/>
    <w:rsid w:val="00512559"/>
    <w:rsid w:val="00512560"/>
    <w:rsid w:val="005125BE"/>
    <w:rsid w:val="0051262A"/>
    <w:rsid w:val="00512645"/>
    <w:rsid w:val="0051266D"/>
    <w:rsid w:val="0051267F"/>
    <w:rsid w:val="0051270D"/>
    <w:rsid w:val="0051271E"/>
    <w:rsid w:val="00512757"/>
    <w:rsid w:val="00512773"/>
    <w:rsid w:val="005127D3"/>
    <w:rsid w:val="0051283B"/>
    <w:rsid w:val="0051289F"/>
    <w:rsid w:val="005128D7"/>
    <w:rsid w:val="00512942"/>
    <w:rsid w:val="00512975"/>
    <w:rsid w:val="0051297B"/>
    <w:rsid w:val="00512A16"/>
    <w:rsid w:val="00512A46"/>
    <w:rsid w:val="00512A49"/>
    <w:rsid w:val="00512A5D"/>
    <w:rsid w:val="00512AB2"/>
    <w:rsid w:val="00512B94"/>
    <w:rsid w:val="00512C0E"/>
    <w:rsid w:val="00512C53"/>
    <w:rsid w:val="00512C63"/>
    <w:rsid w:val="00512C8C"/>
    <w:rsid w:val="00512D0B"/>
    <w:rsid w:val="00512D41"/>
    <w:rsid w:val="00512D43"/>
    <w:rsid w:val="00512D44"/>
    <w:rsid w:val="00512D83"/>
    <w:rsid w:val="00512DF9"/>
    <w:rsid w:val="00512E35"/>
    <w:rsid w:val="00512E8E"/>
    <w:rsid w:val="00512EFF"/>
    <w:rsid w:val="00512F3D"/>
    <w:rsid w:val="00512F4D"/>
    <w:rsid w:val="00512F6E"/>
    <w:rsid w:val="005130E1"/>
    <w:rsid w:val="005130F2"/>
    <w:rsid w:val="0051315A"/>
    <w:rsid w:val="0051319E"/>
    <w:rsid w:val="00513246"/>
    <w:rsid w:val="00513266"/>
    <w:rsid w:val="0051329F"/>
    <w:rsid w:val="005132EF"/>
    <w:rsid w:val="00513361"/>
    <w:rsid w:val="00513390"/>
    <w:rsid w:val="005133AE"/>
    <w:rsid w:val="0051344B"/>
    <w:rsid w:val="005134B4"/>
    <w:rsid w:val="005134D7"/>
    <w:rsid w:val="00513578"/>
    <w:rsid w:val="005135A6"/>
    <w:rsid w:val="005135A8"/>
    <w:rsid w:val="005135D0"/>
    <w:rsid w:val="00513612"/>
    <w:rsid w:val="0051362B"/>
    <w:rsid w:val="005136AA"/>
    <w:rsid w:val="005136CE"/>
    <w:rsid w:val="00513770"/>
    <w:rsid w:val="00513884"/>
    <w:rsid w:val="0051388A"/>
    <w:rsid w:val="00513891"/>
    <w:rsid w:val="005138B5"/>
    <w:rsid w:val="0051393A"/>
    <w:rsid w:val="0051394C"/>
    <w:rsid w:val="00513A2F"/>
    <w:rsid w:val="00513AB1"/>
    <w:rsid w:val="00513B87"/>
    <w:rsid w:val="00513BBE"/>
    <w:rsid w:val="00513C06"/>
    <w:rsid w:val="00513C7C"/>
    <w:rsid w:val="00513C7D"/>
    <w:rsid w:val="00513C82"/>
    <w:rsid w:val="00513E04"/>
    <w:rsid w:val="00513E16"/>
    <w:rsid w:val="00513E3E"/>
    <w:rsid w:val="00513E93"/>
    <w:rsid w:val="00513ED1"/>
    <w:rsid w:val="00513EDB"/>
    <w:rsid w:val="00513F41"/>
    <w:rsid w:val="00514024"/>
    <w:rsid w:val="00514033"/>
    <w:rsid w:val="0051403B"/>
    <w:rsid w:val="0051406B"/>
    <w:rsid w:val="005140D8"/>
    <w:rsid w:val="005142B6"/>
    <w:rsid w:val="00514304"/>
    <w:rsid w:val="00514383"/>
    <w:rsid w:val="005143C8"/>
    <w:rsid w:val="0051443E"/>
    <w:rsid w:val="00514460"/>
    <w:rsid w:val="005144A8"/>
    <w:rsid w:val="005144F0"/>
    <w:rsid w:val="0051450C"/>
    <w:rsid w:val="00514646"/>
    <w:rsid w:val="00514664"/>
    <w:rsid w:val="0051468E"/>
    <w:rsid w:val="0051469E"/>
    <w:rsid w:val="00514757"/>
    <w:rsid w:val="005147B5"/>
    <w:rsid w:val="005148A8"/>
    <w:rsid w:val="005148C3"/>
    <w:rsid w:val="005148F0"/>
    <w:rsid w:val="0051496C"/>
    <w:rsid w:val="00514AB1"/>
    <w:rsid w:val="00514B0D"/>
    <w:rsid w:val="00514B12"/>
    <w:rsid w:val="00514CF8"/>
    <w:rsid w:val="00514D6A"/>
    <w:rsid w:val="00514DA9"/>
    <w:rsid w:val="00514DDA"/>
    <w:rsid w:val="00514E5E"/>
    <w:rsid w:val="00514F7F"/>
    <w:rsid w:val="00514F88"/>
    <w:rsid w:val="00514F91"/>
    <w:rsid w:val="00514FA7"/>
    <w:rsid w:val="0051500D"/>
    <w:rsid w:val="0051502D"/>
    <w:rsid w:val="0051503C"/>
    <w:rsid w:val="00515058"/>
    <w:rsid w:val="00515067"/>
    <w:rsid w:val="005150E6"/>
    <w:rsid w:val="00515158"/>
    <w:rsid w:val="00515159"/>
    <w:rsid w:val="005151A5"/>
    <w:rsid w:val="005152A7"/>
    <w:rsid w:val="00515369"/>
    <w:rsid w:val="00515380"/>
    <w:rsid w:val="00515383"/>
    <w:rsid w:val="005153ED"/>
    <w:rsid w:val="005153EF"/>
    <w:rsid w:val="00515409"/>
    <w:rsid w:val="0051540A"/>
    <w:rsid w:val="00515441"/>
    <w:rsid w:val="005155A6"/>
    <w:rsid w:val="005155B3"/>
    <w:rsid w:val="00515622"/>
    <w:rsid w:val="00515651"/>
    <w:rsid w:val="0051573B"/>
    <w:rsid w:val="005157A7"/>
    <w:rsid w:val="005157A9"/>
    <w:rsid w:val="005157F4"/>
    <w:rsid w:val="00515853"/>
    <w:rsid w:val="005158D2"/>
    <w:rsid w:val="00515938"/>
    <w:rsid w:val="00515948"/>
    <w:rsid w:val="00515951"/>
    <w:rsid w:val="00515A86"/>
    <w:rsid w:val="00515A97"/>
    <w:rsid w:val="00515AB0"/>
    <w:rsid w:val="00515AEB"/>
    <w:rsid w:val="00515B2F"/>
    <w:rsid w:val="00515B31"/>
    <w:rsid w:val="00515BB8"/>
    <w:rsid w:val="00515BC9"/>
    <w:rsid w:val="00515C28"/>
    <w:rsid w:val="00515C79"/>
    <w:rsid w:val="00515D16"/>
    <w:rsid w:val="00515D55"/>
    <w:rsid w:val="00515D5D"/>
    <w:rsid w:val="00515DC9"/>
    <w:rsid w:val="00515E0F"/>
    <w:rsid w:val="00515E7D"/>
    <w:rsid w:val="00515EB2"/>
    <w:rsid w:val="00515F22"/>
    <w:rsid w:val="00515F91"/>
    <w:rsid w:val="00515FAA"/>
    <w:rsid w:val="00515FFC"/>
    <w:rsid w:val="00516084"/>
    <w:rsid w:val="00516093"/>
    <w:rsid w:val="00516106"/>
    <w:rsid w:val="0051617F"/>
    <w:rsid w:val="0051624E"/>
    <w:rsid w:val="00516276"/>
    <w:rsid w:val="00516284"/>
    <w:rsid w:val="005162B0"/>
    <w:rsid w:val="0051639D"/>
    <w:rsid w:val="005163B5"/>
    <w:rsid w:val="00516414"/>
    <w:rsid w:val="005164A1"/>
    <w:rsid w:val="005164C4"/>
    <w:rsid w:val="0051650E"/>
    <w:rsid w:val="0051657E"/>
    <w:rsid w:val="005165B3"/>
    <w:rsid w:val="00516653"/>
    <w:rsid w:val="005166D7"/>
    <w:rsid w:val="0051671C"/>
    <w:rsid w:val="00516735"/>
    <w:rsid w:val="00516747"/>
    <w:rsid w:val="00516785"/>
    <w:rsid w:val="005167B8"/>
    <w:rsid w:val="005167CD"/>
    <w:rsid w:val="00516801"/>
    <w:rsid w:val="00516920"/>
    <w:rsid w:val="0051693A"/>
    <w:rsid w:val="00516965"/>
    <w:rsid w:val="00516A20"/>
    <w:rsid w:val="00516A83"/>
    <w:rsid w:val="00516AA8"/>
    <w:rsid w:val="00516B0D"/>
    <w:rsid w:val="00516B90"/>
    <w:rsid w:val="00516BC3"/>
    <w:rsid w:val="00516BD2"/>
    <w:rsid w:val="00516C69"/>
    <w:rsid w:val="00516C93"/>
    <w:rsid w:val="00516D1D"/>
    <w:rsid w:val="00516DCB"/>
    <w:rsid w:val="00516E89"/>
    <w:rsid w:val="00516FBF"/>
    <w:rsid w:val="00517049"/>
    <w:rsid w:val="005170ED"/>
    <w:rsid w:val="005170F6"/>
    <w:rsid w:val="00517113"/>
    <w:rsid w:val="00517126"/>
    <w:rsid w:val="00517210"/>
    <w:rsid w:val="00517211"/>
    <w:rsid w:val="00517220"/>
    <w:rsid w:val="00517228"/>
    <w:rsid w:val="0051729A"/>
    <w:rsid w:val="00517382"/>
    <w:rsid w:val="0051746E"/>
    <w:rsid w:val="00517474"/>
    <w:rsid w:val="0051748B"/>
    <w:rsid w:val="00517515"/>
    <w:rsid w:val="0051755B"/>
    <w:rsid w:val="00517595"/>
    <w:rsid w:val="005175A6"/>
    <w:rsid w:val="005175AB"/>
    <w:rsid w:val="005176F9"/>
    <w:rsid w:val="00517731"/>
    <w:rsid w:val="005177A6"/>
    <w:rsid w:val="00517809"/>
    <w:rsid w:val="00517926"/>
    <w:rsid w:val="00517955"/>
    <w:rsid w:val="00517A1F"/>
    <w:rsid w:val="00517B6C"/>
    <w:rsid w:val="00517BCB"/>
    <w:rsid w:val="00517BE9"/>
    <w:rsid w:val="00517C8C"/>
    <w:rsid w:val="00517CE2"/>
    <w:rsid w:val="00517D77"/>
    <w:rsid w:val="00517ED0"/>
    <w:rsid w:val="00517F00"/>
    <w:rsid w:val="00517F9C"/>
    <w:rsid w:val="00517FA6"/>
    <w:rsid w:val="00517FBE"/>
    <w:rsid w:val="0052001B"/>
    <w:rsid w:val="0052005A"/>
    <w:rsid w:val="005200E5"/>
    <w:rsid w:val="00520155"/>
    <w:rsid w:val="00520192"/>
    <w:rsid w:val="005201B0"/>
    <w:rsid w:val="00520228"/>
    <w:rsid w:val="005202E2"/>
    <w:rsid w:val="005202F2"/>
    <w:rsid w:val="0052039D"/>
    <w:rsid w:val="005203FE"/>
    <w:rsid w:val="0052043C"/>
    <w:rsid w:val="00520477"/>
    <w:rsid w:val="005204CB"/>
    <w:rsid w:val="005204FB"/>
    <w:rsid w:val="00520528"/>
    <w:rsid w:val="00520557"/>
    <w:rsid w:val="00520580"/>
    <w:rsid w:val="00520585"/>
    <w:rsid w:val="0052058B"/>
    <w:rsid w:val="005205E4"/>
    <w:rsid w:val="00520684"/>
    <w:rsid w:val="005206B8"/>
    <w:rsid w:val="005206BF"/>
    <w:rsid w:val="005206D9"/>
    <w:rsid w:val="00520701"/>
    <w:rsid w:val="00520717"/>
    <w:rsid w:val="00520730"/>
    <w:rsid w:val="0052075A"/>
    <w:rsid w:val="00520906"/>
    <w:rsid w:val="0052090A"/>
    <w:rsid w:val="0052092D"/>
    <w:rsid w:val="0052096D"/>
    <w:rsid w:val="005209D6"/>
    <w:rsid w:val="00520C3F"/>
    <w:rsid w:val="00520C49"/>
    <w:rsid w:val="00520C7B"/>
    <w:rsid w:val="00520D12"/>
    <w:rsid w:val="00520D56"/>
    <w:rsid w:val="00520DCF"/>
    <w:rsid w:val="00520E0E"/>
    <w:rsid w:val="00520E32"/>
    <w:rsid w:val="00520E35"/>
    <w:rsid w:val="00520ED1"/>
    <w:rsid w:val="00520EE4"/>
    <w:rsid w:val="00520EF9"/>
    <w:rsid w:val="0052117F"/>
    <w:rsid w:val="005211A6"/>
    <w:rsid w:val="005211F4"/>
    <w:rsid w:val="00521252"/>
    <w:rsid w:val="00521263"/>
    <w:rsid w:val="00521332"/>
    <w:rsid w:val="0052133F"/>
    <w:rsid w:val="005214D1"/>
    <w:rsid w:val="00521506"/>
    <w:rsid w:val="005215DC"/>
    <w:rsid w:val="0052161B"/>
    <w:rsid w:val="005216E1"/>
    <w:rsid w:val="005216E2"/>
    <w:rsid w:val="00521740"/>
    <w:rsid w:val="005217E7"/>
    <w:rsid w:val="00521802"/>
    <w:rsid w:val="00521805"/>
    <w:rsid w:val="00521850"/>
    <w:rsid w:val="0052185D"/>
    <w:rsid w:val="005218CF"/>
    <w:rsid w:val="0052198C"/>
    <w:rsid w:val="00521992"/>
    <w:rsid w:val="005219E6"/>
    <w:rsid w:val="00521A0D"/>
    <w:rsid w:val="00521A11"/>
    <w:rsid w:val="00521A1A"/>
    <w:rsid w:val="00521A6C"/>
    <w:rsid w:val="00521A82"/>
    <w:rsid w:val="00521B41"/>
    <w:rsid w:val="00521C06"/>
    <w:rsid w:val="00521C89"/>
    <w:rsid w:val="00521C8A"/>
    <w:rsid w:val="00521CDF"/>
    <w:rsid w:val="00521DCE"/>
    <w:rsid w:val="00521E6C"/>
    <w:rsid w:val="00521EDC"/>
    <w:rsid w:val="00521EEF"/>
    <w:rsid w:val="00521F1B"/>
    <w:rsid w:val="00521F29"/>
    <w:rsid w:val="00521F47"/>
    <w:rsid w:val="00522023"/>
    <w:rsid w:val="0052204B"/>
    <w:rsid w:val="005220A0"/>
    <w:rsid w:val="005220ED"/>
    <w:rsid w:val="005221B0"/>
    <w:rsid w:val="005221C6"/>
    <w:rsid w:val="005221D9"/>
    <w:rsid w:val="005221FB"/>
    <w:rsid w:val="0052221D"/>
    <w:rsid w:val="0052222D"/>
    <w:rsid w:val="00522264"/>
    <w:rsid w:val="0052236A"/>
    <w:rsid w:val="005223DF"/>
    <w:rsid w:val="005223FD"/>
    <w:rsid w:val="0052252A"/>
    <w:rsid w:val="0052253E"/>
    <w:rsid w:val="005225C2"/>
    <w:rsid w:val="005226F8"/>
    <w:rsid w:val="0052271F"/>
    <w:rsid w:val="00522730"/>
    <w:rsid w:val="0052273F"/>
    <w:rsid w:val="005227AF"/>
    <w:rsid w:val="005227EA"/>
    <w:rsid w:val="005227FB"/>
    <w:rsid w:val="00522804"/>
    <w:rsid w:val="005228BE"/>
    <w:rsid w:val="0052293C"/>
    <w:rsid w:val="005229D7"/>
    <w:rsid w:val="00522A23"/>
    <w:rsid w:val="00522ADD"/>
    <w:rsid w:val="00522AF0"/>
    <w:rsid w:val="00522B1E"/>
    <w:rsid w:val="00522B57"/>
    <w:rsid w:val="00522BC4"/>
    <w:rsid w:val="00522C38"/>
    <w:rsid w:val="00522C74"/>
    <w:rsid w:val="00522C91"/>
    <w:rsid w:val="00522C9D"/>
    <w:rsid w:val="00522CB5"/>
    <w:rsid w:val="00522CFE"/>
    <w:rsid w:val="00522D94"/>
    <w:rsid w:val="00522E20"/>
    <w:rsid w:val="00522E42"/>
    <w:rsid w:val="00522E44"/>
    <w:rsid w:val="00522E9D"/>
    <w:rsid w:val="00522EE2"/>
    <w:rsid w:val="00522EFC"/>
    <w:rsid w:val="00522F0A"/>
    <w:rsid w:val="00522F4A"/>
    <w:rsid w:val="00522F51"/>
    <w:rsid w:val="00522F79"/>
    <w:rsid w:val="00522FCE"/>
    <w:rsid w:val="00522FD9"/>
    <w:rsid w:val="0052304F"/>
    <w:rsid w:val="0052305E"/>
    <w:rsid w:val="0052308D"/>
    <w:rsid w:val="00523146"/>
    <w:rsid w:val="00523170"/>
    <w:rsid w:val="0052318F"/>
    <w:rsid w:val="00523221"/>
    <w:rsid w:val="00523233"/>
    <w:rsid w:val="00523275"/>
    <w:rsid w:val="0052329F"/>
    <w:rsid w:val="005232A8"/>
    <w:rsid w:val="0052331D"/>
    <w:rsid w:val="0052339B"/>
    <w:rsid w:val="005233B1"/>
    <w:rsid w:val="005233C0"/>
    <w:rsid w:val="005233ED"/>
    <w:rsid w:val="00523412"/>
    <w:rsid w:val="005234CC"/>
    <w:rsid w:val="00523597"/>
    <w:rsid w:val="00523734"/>
    <w:rsid w:val="005237BA"/>
    <w:rsid w:val="00523837"/>
    <w:rsid w:val="00523843"/>
    <w:rsid w:val="00523869"/>
    <w:rsid w:val="005238B3"/>
    <w:rsid w:val="005238CF"/>
    <w:rsid w:val="0052391A"/>
    <w:rsid w:val="005239DD"/>
    <w:rsid w:val="005239EA"/>
    <w:rsid w:val="00523A6F"/>
    <w:rsid w:val="00523A81"/>
    <w:rsid w:val="00523B06"/>
    <w:rsid w:val="00523B22"/>
    <w:rsid w:val="00523B2D"/>
    <w:rsid w:val="00523B4C"/>
    <w:rsid w:val="00523B5C"/>
    <w:rsid w:val="00523C6E"/>
    <w:rsid w:val="00523C75"/>
    <w:rsid w:val="00523D37"/>
    <w:rsid w:val="00523D59"/>
    <w:rsid w:val="00523DA7"/>
    <w:rsid w:val="00523EA2"/>
    <w:rsid w:val="00523FA8"/>
    <w:rsid w:val="00523FD1"/>
    <w:rsid w:val="00524073"/>
    <w:rsid w:val="005240E4"/>
    <w:rsid w:val="00524105"/>
    <w:rsid w:val="0052416F"/>
    <w:rsid w:val="0052419D"/>
    <w:rsid w:val="005241BF"/>
    <w:rsid w:val="0052422B"/>
    <w:rsid w:val="0052423C"/>
    <w:rsid w:val="005242B0"/>
    <w:rsid w:val="0052430D"/>
    <w:rsid w:val="0052440A"/>
    <w:rsid w:val="005244A7"/>
    <w:rsid w:val="005244DF"/>
    <w:rsid w:val="00524544"/>
    <w:rsid w:val="0052457F"/>
    <w:rsid w:val="005245B4"/>
    <w:rsid w:val="0052460D"/>
    <w:rsid w:val="00524652"/>
    <w:rsid w:val="00524657"/>
    <w:rsid w:val="0052467F"/>
    <w:rsid w:val="0052469E"/>
    <w:rsid w:val="005246B1"/>
    <w:rsid w:val="00524764"/>
    <w:rsid w:val="005247A9"/>
    <w:rsid w:val="005247CD"/>
    <w:rsid w:val="00524894"/>
    <w:rsid w:val="0052499D"/>
    <w:rsid w:val="005249C0"/>
    <w:rsid w:val="005249CB"/>
    <w:rsid w:val="00524A5F"/>
    <w:rsid w:val="00524AEA"/>
    <w:rsid w:val="00524B11"/>
    <w:rsid w:val="00524B34"/>
    <w:rsid w:val="00524B70"/>
    <w:rsid w:val="00524BA3"/>
    <w:rsid w:val="00524BAB"/>
    <w:rsid w:val="00524BBA"/>
    <w:rsid w:val="00524BD8"/>
    <w:rsid w:val="00524D00"/>
    <w:rsid w:val="00524D91"/>
    <w:rsid w:val="00524DA4"/>
    <w:rsid w:val="00524E4E"/>
    <w:rsid w:val="00524F4E"/>
    <w:rsid w:val="00524F99"/>
    <w:rsid w:val="00524FB9"/>
    <w:rsid w:val="00524FC2"/>
    <w:rsid w:val="00525054"/>
    <w:rsid w:val="0052505C"/>
    <w:rsid w:val="005250DB"/>
    <w:rsid w:val="00525128"/>
    <w:rsid w:val="0052512E"/>
    <w:rsid w:val="00525197"/>
    <w:rsid w:val="005251DE"/>
    <w:rsid w:val="00525246"/>
    <w:rsid w:val="005252A2"/>
    <w:rsid w:val="005252AA"/>
    <w:rsid w:val="005252D3"/>
    <w:rsid w:val="0052531F"/>
    <w:rsid w:val="00525324"/>
    <w:rsid w:val="0052538E"/>
    <w:rsid w:val="005253F4"/>
    <w:rsid w:val="00525587"/>
    <w:rsid w:val="005255C3"/>
    <w:rsid w:val="0052561E"/>
    <w:rsid w:val="00525782"/>
    <w:rsid w:val="00525794"/>
    <w:rsid w:val="005257BA"/>
    <w:rsid w:val="005257EB"/>
    <w:rsid w:val="0052589C"/>
    <w:rsid w:val="005258C7"/>
    <w:rsid w:val="00525920"/>
    <w:rsid w:val="00525951"/>
    <w:rsid w:val="005259AE"/>
    <w:rsid w:val="005259C7"/>
    <w:rsid w:val="005259CB"/>
    <w:rsid w:val="00525AA4"/>
    <w:rsid w:val="00525BB2"/>
    <w:rsid w:val="00525CED"/>
    <w:rsid w:val="00525D42"/>
    <w:rsid w:val="00525DDE"/>
    <w:rsid w:val="00525E17"/>
    <w:rsid w:val="00525EDA"/>
    <w:rsid w:val="00525EE5"/>
    <w:rsid w:val="00525F4A"/>
    <w:rsid w:val="00525F8E"/>
    <w:rsid w:val="00525FF9"/>
    <w:rsid w:val="0052605B"/>
    <w:rsid w:val="0052614B"/>
    <w:rsid w:val="005261A5"/>
    <w:rsid w:val="005261FB"/>
    <w:rsid w:val="0052620C"/>
    <w:rsid w:val="00526267"/>
    <w:rsid w:val="0052627C"/>
    <w:rsid w:val="00526310"/>
    <w:rsid w:val="0052635A"/>
    <w:rsid w:val="005264BA"/>
    <w:rsid w:val="005264FA"/>
    <w:rsid w:val="00526528"/>
    <w:rsid w:val="00526568"/>
    <w:rsid w:val="0052656D"/>
    <w:rsid w:val="005265C8"/>
    <w:rsid w:val="005265EC"/>
    <w:rsid w:val="00526675"/>
    <w:rsid w:val="0052668A"/>
    <w:rsid w:val="005266B4"/>
    <w:rsid w:val="005266C1"/>
    <w:rsid w:val="0052670F"/>
    <w:rsid w:val="0052674A"/>
    <w:rsid w:val="005269C1"/>
    <w:rsid w:val="005269C2"/>
    <w:rsid w:val="00526A10"/>
    <w:rsid w:val="00526A1B"/>
    <w:rsid w:val="00526A52"/>
    <w:rsid w:val="00526A73"/>
    <w:rsid w:val="00526B88"/>
    <w:rsid w:val="00526BCF"/>
    <w:rsid w:val="00526BD2"/>
    <w:rsid w:val="00526BE2"/>
    <w:rsid w:val="00526BEE"/>
    <w:rsid w:val="00526C4B"/>
    <w:rsid w:val="00526C5A"/>
    <w:rsid w:val="00526C7F"/>
    <w:rsid w:val="00526CAD"/>
    <w:rsid w:val="00526CBC"/>
    <w:rsid w:val="00526CED"/>
    <w:rsid w:val="00526CFF"/>
    <w:rsid w:val="00526D5D"/>
    <w:rsid w:val="00526DAF"/>
    <w:rsid w:val="00526DCA"/>
    <w:rsid w:val="00526E13"/>
    <w:rsid w:val="00526E99"/>
    <w:rsid w:val="00526ED3"/>
    <w:rsid w:val="00526F35"/>
    <w:rsid w:val="00526F78"/>
    <w:rsid w:val="00526FE5"/>
    <w:rsid w:val="005270C5"/>
    <w:rsid w:val="00527168"/>
    <w:rsid w:val="0052719C"/>
    <w:rsid w:val="005271CE"/>
    <w:rsid w:val="0052720F"/>
    <w:rsid w:val="005272B0"/>
    <w:rsid w:val="00527314"/>
    <w:rsid w:val="0052736D"/>
    <w:rsid w:val="00527435"/>
    <w:rsid w:val="0052744D"/>
    <w:rsid w:val="005274C2"/>
    <w:rsid w:val="005274EF"/>
    <w:rsid w:val="00527559"/>
    <w:rsid w:val="0052763D"/>
    <w:rsid w:val="005276ED"/>
    <w:rsid w:val="005276FF"/>
    <w:rsid w:val="00527747"/>
    <w:rsid w:val="0052778B"/>
    <w:rsid w:val="005277D7"/>
    <w:rsid w:val="005277FD"/>
    <w:rsid w:val="00527817"/>
    <w:rsid w:val="00527823"/>
    <w:rsid w:val="0052785E"/>
    <w:rsid w:val="00527883"/>
    <w:rsid w:val="00527888"/>
    <w:rsid w:val="00527985"/>
    <w:rsid w:val="005279E6"/>
    <w:rsid w:val="00527A4A"/>
    <w:rsid w:val="00527A4B"/>
    <w:rsid w:val="00527A54"/>
    <w:rsid w:val="00527A60"/>
    <w:rsid w:val="00527A71"/>
    <w:rsid w:val="00527A96"/>
    <w:rsid w:val="00527A9A"/>
    <w:rsid w:val="00527B0B"/>
    <w:rsid w:val="00527C2B"/>
    <w:rsid w:val="00527CFC"/>
    <w:rsid w:val="00527D36"/>
    <w:rsid w:val="00527D4E"/>
    <w:rsid w:val="00527E28"/>
    <w:rsid w:val="00527F42"/>
    <w:rsid w:val="00527F81"/>
    <w:rsid w:val="00527FB8"/>
    <w:rsid w:val="0053009B"/>
    <w:rsid w:val="005301A1"/>
    <w:rsid w:val="005301F1"/>
    <w:rsid w:val="005301F8"/>
    <w:rsid w:val="00530208"/>
    <w:rsid w:val="00530251"/>
    <w:rsid w:val="005302E9"/>
    <w:rsid w:val="005303AF"/>
    <w:rsid w:val="005304B7"/>
    <w:rsid w:val="005304E7"/>
    <w:rsid w:val="00530519"/>
    <w:rsid w:val="0053053E"/>
    <w:rsid w:val="005305E4"/>
    <w:rsid w:val="0053064D"/>
    <w:rsid w:val="00530671"/>
    <w:rsid w:val="005306D5"/>
    <w:rsid w:val="00530762"/>
    <w:rsid w:val="005307D7"/>
    <w:rsid w:val="005307FE"/>
    <w:rsid w:val="00530857"/>
    <w:rsid w:val="00530874"/>
    <w:rsid w:val="005308AA"/>
    <w:rsid w:val="005308B4"/>
    <w:rsid w:val="00530A4A"/>
    <w:rsid w:val="00530A5D"/>
    <w:rsid w:val="00530B08"/>
    <w:rsid w:val="00530B50"/>
    <w:rsid w:val="00530B84"/>
    <w:rsid w:val="00530BB5"/>
    <w:rsid w:val="00530BCC"/>
    <w:rsid w:val="00530C1C"/>
    <w:rsid w:val="00530C7B"/>
    <w:rsid w:val="00530C88"/>
    <w:rsid w:val="00530D20"/>
    <w:rsid w:val="00530D46"/>
    <w:rsid w:val="00530D8A"/>
    <w:rsid w:val="00530D9C"/>
    <w:rsid w:val="00530E1E"/>
    <w:rsid w:val="00530E67"/>
    <w:rsid w:val="00530E6A"/>
    <w:rsid w:val="00530F08"/>
    <w:rsid w:val="00530FD2"/>
    <w:rsid w:val="005310EE"/>
    <w:rsid w:val="005311AC"/>
    <w:rsid w:val="005311DB"/>
    <w:rsid w:val="0053124B"/>
    <w:rsid w:val="005312FC"/>
    <w:rsid w:val="0053142D"/>
    <w:rsid w:val="0053147A"/>
    <w:rsid w:val="0053148D"/>
    <w:rsid w:val="005314B9"/>
    <w:rsid w:val="00531555"/>
    <w:rsid w:val="00531688"/>
    <w:rsid w:val="005316A9"/>
    <w:rsid w:val="00531709"/>
    <w:rsid w:val="005317CF"/>
    <w:rsid w:val="00531828"/>
    <w:rsid w:val="0053184B"/>
    <w:rsid w:val="005318D6"/>
    <w:rsid w:val="00531903"/>
    <w:rsid w:val="00531905"/>
    <w:rsid w:val="00531920"/>
    <w:rsid w:val="0053192E"/>
    <w:rsid w:val="005319AA"/>
    <w:rsid w:val="005319B6"/>
    <w:rsid w:val="005319F6"/>
    <w:rsid w:val="005319FC"/>
    <w:rsid w:val="00531A16"/>
    <w:rsid w:val="00531A91"/>
    <w:rsid w:val="00531AC8"/>
    <w:rsid w:val="00531B57"/>
    <w:rsid w:val="00531B7D"/>
    <w:rsid w:val="00531B89"/>
    <w:rsid w:val="00531BB2"/>
    <w:rsid w:val="00531BE3"/>
    <w:rsid w:val="00531BE5"/>
    <w:rsid w:val="00531C12"/>
    <w:rsid w:val="00531C1C"/>
    <w:rsid w:val="00531C48"/>
    <w:rsid w:val="00531CF1"/>
    <w:rsid w:val="00531D7B"/>
    <w:rsid w:val="00531DB2"/>
    <w:rsid w:val="00531E12"/>
    <w:rsid w:val="00531E31"/>
    <w:rsid w:val="00531EC2"/>
    <w:rsid w:val="00531ECB"/>
    <w:rsid w:val="00531F04"/>
    <w:rsid w:val="00531F35"/>
    <w:rsid w:val="00531FA2"/>
    <w:rsid w:val="00531FB2"/>
    <w:rsid w:val="005320C9"/>
    <w:rsid w:val="00532120"/>
    <w:rsid w:val="005321AB"/>
    <w:rsid w:val="005321C4"/>
    <w:rsid w:val="005321D1"/>
    <w:rsid w:val="005321EB"/>
    <w:rsid w:val="0053222C"/>
    <w:rsid w:val="0053223B"/>
    <w:rsid w:val="00532264"/>
    <w:rsid w:val="00532285"/>
    <w:rsid w:val="00532310"/>
    <w:rsid w:val="00532313"/>
    <w:rsid w:val="00532321"/>
    <w:rsid w:val="00532357"/>
    <w:rsid w:val="00532399"/>
    <w:rsid w:val="005323CD"/>
    <w:rsid w:val="005323DD"/>
    <w:rsid w:val="00532435"/>
    <w:rsid w:val="0053248C"/>
    <w:rsid w:val="00532505"/>
    <w:rsid w:val="005325F0"/>
    <w:rsid w:val="005325FB"/>
    <w:rsid w:val="00532626"/>
    <w:rsid w:val="0053264F"/>
    <w:rsid w:val="005326CF"/>
    <w:rsid w:val="00532742"/>
    <w:rsid w:val="00532762"/>
    <w:rsid w:val="005327E9"/>
    <w:rsid w:val="005327EE"/>
    <w:rsid w:val="00532807"/>
    <w:rsid w:val="00532867"/>
    <w:rsid w:val="00532929"/>
    <w:rsid w:val="005329BA"/>
    <w:rsid w:val="005329BC"/>
    <w:rsid w:val="00532A1A"/>
    <w:rsid w:val="00532A4E"/>
    <w:rsid w:val="00532A8B"/>
    <w:rsid w:val="00532A9B"/>
    <w:rsid w:val="00532AAA"/>
    <w:rsid w:val="00532AC5"/>
    <w:rsid w:val="00532B07"/>
    <w:rsid w:val="00532B12"/>
    <w:rsid w:val="00532B48"/>
    <w:rsid w:val="00532C6D"/>
    <w:rsid w:val="00532CD2"/>
    <w:rsid w:val="00532D49"/>
    <w:rsid w:val="00532DC0"/>
    <w:rsid w:val="00532E44"/>
    <w:rsid w:val="00532ECD"/>
    <w:rsid w:val="00532ED2"/>
    <w:rsid w:val="00532EE6"/>
    <w:rsid w:val="00532F13"/>
    <w:rsid w:val="00532FC7"/>
    <w:rsid w:val="00533005"/>
    <w:rsid w:val="005330B9"/>
    <w:rsid w:val="0053319B"/>
    <w:rsid w:val="005331A0"/>
    <w:rsid w:val="005331B7"/>
    <w:rsid w:val="005331CB"/>
    <w:rsid w:val="00533223"/>
    <w:rsid w:val="00533244"/>
    <w:rsid w:val="0053335E"/>
    <w:rsid w:val="0053339F"/>
    <w:rsid w:val="005333A1"/>
    <w:rsid w:val="0053345A"/>
    <w:rsid w:val="005334A1"/>
    <w:rsid w:val="005334AD"/>
    <w:rsid w:val="005334E3"/>
    <w:rsid w:val="00533506"/>
    <w:rsid w:val="0053350E"/>
    <w:rsid w:val="00533555"/>
    <w:rsid w:val="0053358C"/>
    <w:rsid w:val="005335D8"/>
    <w:rsid w:val="0053363E"/>
    <w:rsid w:val="00533640"/>
    <w:rsid w:val="00533645"/>
    <w:rsid w:val="005336E4"/>
    <w:rsid w:val="005337CA"/>
    <w:rsid w:val="00533801"/>
    <w:rsid w:val="00533833"/>
    <w:rsid w:val="0053386F"/>
    <w:rsid w:val="00533907"/>
    <w:rsid w:val="00533921"/>
    <w:rsid w:val="00533989"/>
    <w:rsid w:val="00533A23"/>
    <w:rsid w:val="00533BCE"/>
    <w:rsid w:val="00533C5F"/>
    <w:rsid w:val="00533C9C"/>
    <w:rsid w:val="00533CE9"/>
    <w:rsid w:val="00533DAF"/>
    <w:rsid w:val="00533DEC"/>
    <w:rsid w:val="00533E12"/>
    <w:rsid w:val="00533E13"/>
    <w:rsid w:val="00533E7B"/>
    <w:rsid w:val="00533EBC"/>
    <w:rsid w:val="00533F1D"/>
    <w:rsid w:val="00533F2D"/>
    <w:rsid w:val="00533F56"/>
    <w:rsid w:val="00533F72"/>
    <w:rsid w:val="00533F7C"/>
    <w:rsid w:val="00533FFC"/>
    <w:rsid w:val="0053406B"/>
    <w:rsid w:val="005340EB"/>
    <w:rsid w:val="0053424F"/>
    <w:rsid w:val="00534264"/>
    <w:rsid w:val="005342EA"/>
    <w:rsid w:val="005343E5"/>
    <w:rsid w:val="00534496"/>
    <w:rsid w:val="005344F8"/>
    <w:rsid w:val="0053450D"/>
    <w:rsid w:val="00534515"/>
    <w:rsid w:val="00534525"/>
    <w:rsid w:val="0053455B"/>
    <w:rsid w:val="005345A7"/>
    <w:rsid w:val="005345CD"/>
    <w:rsid w:val="0053466C"/>
    <w:rsid w:val="00534682"/>
    <w:rsid w:val="005346A2"/>
    <w:rsid w:val="005346B6"/>
    <w:rsid w:val="0053475C"/>
    <w:rsid w:val="00534908"/>
    <w:rsid w:val="0053492C"/>
    <w:rsid w:val="005349F3"/>
    <w:rsid w:val="00534A4B"/>
    <w:rsid w:val="00534B77"/>
    <w:rsid w:val="00534BF5"/>
    <w:rsid w:val="00534C33"/>
    <w:rsid w:val="00534C54"/>
    <w:rsid w:val="00534C65"/>
    <w:rsid w:val="00534C85"/>
    <w:rsid w:val="00534CCB"/>
    <w:rsid w:val="00534EAC"/>
    <w:rsid w:val="00534ECA"/>
    <w:rsid w:val="00534ED3"/>
    <w:rsid w:val="00534EF3"/>
    <w:rsid w:val="00534F04"/>
    <w:rsid w:val="00534F32"/>
    <w:rsid w:val="00534F3F"/>
    <w:rsid w:val="00534F53"/>
    <w:rsid w:val="00534F7A"/>
    <w:rsid w:val="00535035"/>
    <w:rsid w:val="0053507F"/>
    <w:rsid w:val="00535254"/>
    <w:rsid w:val="005352A8"/>
    <w:rsid w:val="005352BA"/>
    <w:rsid w:val="005352C4"/>
    <w:rsid w:val="00535383"/>
    <w:rsid w:val="0053538E"/>
    <w:rsid w:val="00535395"/>
    <w:rsid w:val="0053539A"/>
    <w:rsid w:val="005353CD"/>
    <w:rsid w:val="005353EA"/>
    <w:rsid w:val="0053540B"/>
    <w:rsid w:val="00535440"/>
    <w:rsid w:val="00535513"/>
    <w:rsid w:val="00535576"/>
    <w:rsid w:val="00535588"/>
    <w:rsid w:val="005355E1"/>
    <w:rsid w:val="005355F3"/>
    <w:rsid w:val="00535603"/>
    <w:rsid w:val="00535627"/>
    <w:rsid w:val="0053564C"/>
    <w:rsid w:val="0053569E"/>
    <w:rsid w:val="005356F3"/>
    <w:rsid w:val="00535755"/>
    <w:rsid w:val="005357B2"/>
    <w:rsid w:val="005357E0"/>
    <w:rsid w:val="005357E9"/>
    <w:rsid w:val="005358A1"/>
    <w:rsid w:val="00535944"/>
    <w:rsid w:val="00535997"/>
    <w:rsid w:val="00535A75"/>
    <w:rsid w:val="00535AE8"/>
    <w:rsid w:val="00535B67"/>
    <w:rsid w:val="00535B9F"/>
    <w:rsid w:val="00535BBB"/>
    <w:rsid w:val="00535BD2"/>
    <w:rsid w:val="00535C01"/>
    <w:rsid w:val="00535C95"/>
    <w:rsid w:val="00535DFD"/>
    <w:rsid w:val="00535E03"/>
    <w:rsid w:val="00535E0D"/>
    <w:rsid w:val="00535E36"/>
    <w:rsid w:val="00535EB0"/>
    <w:rsid w:val="00535EFB"/>
    <w:rsid w:val="00535F1D"/>
    <w:rsid w:val="00535F8E"/>
    <w:rsid w:val="00535FA2"/>
    <w:rsid w:val="00535FC3"/>
    <w:rsid w:val="00536019"/>
    <w:rsid w:val="00536039"/>
    <w:rsid w:val="0053603D"/>
    <w:rsid w:val="0053604B"/>
    <w:rsid w:val="0053604F"/>
    <w:rsid w:val="00536050"/>
    <w:rsid w:val="00536056"/>
    <w:rsid w:val="00536106"/>
    <w:rsid w:val="0053616B"/>
    <w:rsid w:val="005361D4"/>
    <w:rsid w:val="0053621D"/>
    <w:rsid w:val="00536261"/>
    <w:rsid w:val="005362BF"/>
    <w:rsid w:val="005362DE"/>
    <w:rsid w:val="0053631C"/>
    <w:rsid w:val="00536349"/>
    <w:rsid w:val="005363A3"/>
    <w:rsid w:val="0053646B"/>
    <w:rsid w:val="005364B7"/>
    <w:rsid w:val="005364CB"/>
    <w:rsid w:val="005364D6"/>
    <w:rsid w:val="005364FC"/>
    <w:rsid w:val="0053650F"/>
    <w:rsid w:val="0053660A"/>
    <w:rsid w:val="00536646"/>
    <w:rsid w:val="0053666B"/>
    <w:rsid w:val="00536723"/>
    <w:rsid w:val="0053678D"/>
    <w:rsid w:val="005367BD"/>
    <w:rsid w:val="0053683F"/>
    <w:rsid w:val="00536883"/>
    <w:rsid w:val="005368D7"/>
    <w:rsid w:val="005368FA"/>
    <w:rsid w:val="00536914"/>
    <w:rsid w:val="00536957"/>
    <w:rsid w:val="00536980"/>
    <w:rsid w:val="005369C0"/>
    <w:rsid w:val="00536A1D"/>
    <w:rsid w:val="00536ABE"/>
    <w:rsid w:val="00536B18"/>
    <w:rsid w:val="00536B32"/>
    <w:rsid w:val="00536B42"/>
    <w:rsid w:val="00536B45"/>
    <w:rsid w:val="00536B5B"/>
    <w:rsid w:val="00536B91"/>
    <w:rsid w:val="00536BBF"/>
    <w:rsid w:val="00536C3F"/>
    <w:rsid w:val="00536D3E"/>
    <w:rsid w:val="00536D48"/>
    <w:rsid w:val="00536DC0"/>
    <w:rsid w:val="00536E04"/>
    <w:rsid w:val="00536E36"/>
    <w:rsid w:val="00536F54"/>
    <w:rsid w:val="00536F60"/>
    <w:rsid w:val="00536F74"/>
    <w:rsid w:val="00536F85"/>
    <w:rsid w:val="00536FF1"/>
    <w:rsid w:val="005370A4"/>
    <w:rsid w:val="00537150"/>
    <w:rsid w:val="0053718A"/>
    <w:rsid w:val="005371DC"/>
    <w:rsid w:val="005371E4"/>
    <w:rsid w:val="0053722F"/>
    <w:rsid w:val="00537251"/>
    <w:rsid w:val="0053727C"/>
    <w:rsid w:val="005372B0"/>
    <w:rsid w:val="005372CB"/>
    <w:rsid w:val="0053732B"/>
    <w:rsid w:val="00537372"/>
    <w:rsid w:val="005373E2"/>
    <w:rsid w:val="00537414"/>
    <w:rsid w:val="0053742A"/>
    <w:rsid w:val="00537434"/>
    <w:rsid w:val="005374B0"/>
    <w:rsid w:val="005374F0"/>
    <w:rsid w:val="00537553"/>
    <w:rsid w:val="005375D5"/>
    <w:rsid w:val="00537601"/>
    <w:rsid w:val="0053762C"/>
    <w:rsid w:val="0053763E"/>
    <w:rsid w:val="00537661"/>
    <w:rsid w:val="005376EB"/>
    <w:rsid w:val="005376F5"/>
    <w:rsid w:val="00537712"/>
    <w:rsid w:val="0053774E"/>
    <w:rsid w:val="00537777"/>
    <w:rsid w:val="0053778D"/>
    <w:rsid w:val="00537818"/>
    <w:rsid w:val="00537832"/>
    <w:rsid w:val="0053786B"/>
    <w:rsid w:val="00537886"/>
    <w:rsid w:val="005378A2"/>
    <w:rsid w:val="00537A41"/>
    <w:rsid w:val="00537ABD"/>
    <w:rsid w:val="00537B1F"/>
    <w:rsid w:val="00537B3A"/>
    <w:rsid w:val="00537B90"/>
    <w:rsid w:val="00537BA9"/>
    <w:rsid w:val="00537BC5"/>
    <w:rsid w:val="00537C55"/>
    <w:rsid w:val="00537C85"/>
    <w:rsid w:val="00537CED"/>
    <w:rsid w:val="00537CF4"/>
    <w:rsid w:val="00537D3C"/>
    <w:rsid w:val="00537DA5"/>
    <w:rsid w:val="00537E9F"/>
    <w:rsid w:val="00537EA6"/>
    <w:rsid w:val="00537EFF"/>
    <w:rsid w:val="00537FB1"/>
    <w:rsid w:val="00540042"/>
    <w:rsid w:val="00540075"/>
    <w:rsid w:val="00540128"/>
    <w:rsid w:val="00540231"/>
    <w:rsid w:val="0054025A"/>
    <w:rsid w:val="00540263"/>
    <w:rsid w:val="00540270"/>
    <w:rsid w:val="005402EF"/>
    <w:rsid w:val="00540312"/>
    <w:rsid w:val="00540371"/>
    <w:rsid w:val="0054045C"/>
    <w:rsid w:val="00540485"/>
    <w:rsid w:val="00540498"/>
    <w:rsid w:val="0054050A"/>
    <w:rsid w:val="005405BC"/>
    <w:rsid w:val="005405D6"/>
    <w:rsid w:val="005406B2"/>
    <w:rsid w:val="005406FF"/>
    <w:rsid w:val="00540718"/>
    <w:rsid w:val="00540757"/>
    <w:rsid w:val="005407A6"/>
    <w:rsid w:val="005407AF"/>
    <w:rsid w:val="005407B5"/>
    <w:rsid w:val="005407E3"/>
    <w:rsid w:val="005407FE"/>
    <w:rsid w:val="00540845"/>
    <w:rsid w:val="0054084F"/>
    <w:rsid w:val="0054085F"/>
    <w:rsid w:val="0054089F"/>
    <w:rsid w:val="005408E5"/>
    <w:rsid w:val="0054095B"/>
    <w:rsid w:val="00540A8C"/>
    <w:rsid w:val="00540B09"/>
    <w:rsid w:val="00540B12"/>
    <w:rsid w:val="00540B43"/>
    <w:rsid w:val="00540C33"/>
    <w:rsid w:val="00540C3E"/>
    <w:rsid w:val="00540C66"/>
    <w:rsid w:val="00540C91"/>
    <w:rsid w:val="00540CE2"/>
    <w:rsid w:val="00540D29"/>
    <w:rsid w:val="00540D4B"/>
    <w:rsid w:val="00540E11"/>
    <w:rsid w:val="00540E73"/>
    <w:rsid w:val="00540F39"/>
    <w:rsid w:val="00540F70"/>
    <w:rsid w:val="00540F9C"/>
    <w:rsid w:val="005411A5"/>
    <w:rsid w:val="005411F0"/>
    <w:rsid w:val="00541274"/>
    <w:rsid w:val="00541275"/>
    <w:rsid w:val="005412D2"/>
    <w:rsid w:val="0054133D"/>
    <w:rsid w:val="00541350"/>
    <w:rsid w:val="0054137F"/>
    <w:rsid w:val="005413DA"/>
    <w:rsid w:val="005413E9"/>
    <w:rsid w:val="00541471"/>
    <w:rsid w:val="00541496"/>
    <w:rsid w:val="005414ED"/>
    <w:rsid w:val="00541502"/>
    <w:rsid w:val="0054151F"/>
    <w:rsid w:val="0054158C"/>
    <w:rsid w:val="005415C7"/>
    <w:rsid w:val="005415F3"/>
    <w:rsid w:val="0054165D"/>
    <w:rsid w:val="0054166F"/>
    <w:rsid w:val="00541685"/>
    <w:rsid w:val="005416B5"/>
    <w:rsid w:val="005416C6"/>
    <w:rsid w:val="005417B5"/>
    <w:rsid w:val="005417F3"/>
    <w:rsid w:val="0054187E"/>
    <w:rsid w:val="005418E9"/>
    <w:rsid w:val="00541904"/>
    <w:rsid w:val="00541912"/>
    <w:rsid w:val="00541939"/>
    <w:rsid w:val="00541969"/>
    <w:rsid w:val="0054197C"/>
    <w:rsid w:val="0054198A"/>
    <w:rsid w:val="005419BC"/>
    <w:rsid w:val="00541A13"/>
    <w:rsid w:val="00541BAE"/>
    <w:rsid w:val="00541C6E"/>
    <w:rsid w:val="00541C77"/>
    <w:rsid w:val="00541C80"/>
    <w:rsid w:val="00541C9F"/>
    <w:rsid w:val="00541CE8"/>
    <w:rsid w:val="00541D29"/>
    <w:rsid w:val="00541D30"/>
    <w:rsid w:val="00541D49"/>
    <w:rsid w:val="00541D83"/>
    <w:rsid w:val="00541E11"/>
    <w:rsid w:val="00541E6D"/>
    <w:rsid w:val="00541F46"/>
    <w:rsid w:val="00541FBC"/>
    <w:rsid w:val="00541FD2"/>
    <w:rsid w:val="00541FED"/>
    <w:rsid w:val="00541FEE"/>
    <w:rsid w:val="00541FF5"/>
    <w:rsid w:val="0054206C"/>
    <w:rsid w:val="0054208E"/>
    <w:rsid w:val="005420DB"/>
    <w:rsid w:val="00542142"/>
    <w:rsid w:val="005422F0"/>
    <w:rsid w:val="00542447"/>
    <w:rsid w:val="00542504"/>
    <w:rsid w:val="00542505"/>
    <w:rsid w:val="00542509"/>
    <w:rsid w:val="0054250A"/>
    <w:rsid w:val="00542559"/>
    <w:rsid w:val="005425B0"/>
    <w:rsid w:val="00542751"/>
    <w:rsid w:val="00542757"/>
    <w:rsid w:val="005427F1"/>
    <w:rsid w:val="00542804"/>
    <w:rsid w:val="0054280C"/>
    <w:rsid w:val="00542823"/>
    <w:rsid w:val="005428A5"/>
    <w:rsid w:val="005428E8"/>
    <w:rsid w:val="005428F9"/>
    <w:rsid w:val="00542944"/>
    <w:rsid w:val="00542946"/>
    <w:rsid w:val="005429AB"/>
    <w:rsid w:val="005429F5"/>
    <w:rsid w:val="00542A7B"/>
    <w:rsid w:val="00542C47"/>
    <w:rsid w:val="00542C9F"/>
    <w:rsid w:val="00542E4B"/>
    <w:rsid w:val="00542E6A"/>
    <w:rsid w:val="00542F96"/>
    <w:rsid w:val="00542F9A"/>
    <w:rsid w:val="00542F9C"/>
    <w:rsid w:val="005430B3"/>
    <w:rsid w:val="005430ED"/>
    <w:rsid w:val="0054310B"/>
    <w:rsid w:val="00543254"/>
    <w:rsid w:val="00543259"/>
    <w:rsid w:val="00543314"/>
    <w:rsid w:val="0054332F"/>
    <w:rsid w:val="00543354"/>
    <w:rsid w:val="005433AE"/>
    <w:rsid w:val="005433B6"/>
    <w:rsid w:val="005433D7"/>
    <w:rsid w:val="00543415"/>
    <w:rsid w:val="00543424"/>
    <w:rsid w:val="0054349E"/>
    <w:rsid w:val="005435F3"/>
    <w:rsid w:val="00543606"/>
    <w:rsid w:val="0054360C"/>
    <w:rsid w:val="0054361E"/>
    <w:rsid w:val="00543657"/>
    <w:rsid w:val="0054368B"/>
    <w:rsid w:val="005436F3"/>
    <w:rsid w:val="0054372F"/>
    <w:rsid w:val="0054378F"/>
    <w:rsid w:val="005437AE"/>
    <w:rsid w:val="005437BC"/>
    <w:rsid w:val="00543812"/>
    <w:rsid w:val="00543839"/>
    <w:rsid w:val="00543866"/>
    <w:rsid w:val="005438E3"/>
    <w:rsid w:val="005438F0"/>
    <w:rsid w:val="005438F9"/>
    <w:rsid w:val="00543A3F"/>
    <w:rsid w:val="00543A75"/>
    <w:rsid w:val="00543A82"/>
    <w:rsid w:val="00543AB7"/>
    <w:rsid w:val="00543AE7"/>
    <w:rsid w:val="00543BA5"/>
    <w:rsid w:val="00543C03"/>
    <w:rsid w:val="00543C06"/>
    <w:rsid w:val="00543C19"/>
    <w:rsid w:val="00543C2E"/>
    <w:rsid w:val="00543C32"/>
    <w:rsid w:val="00543C35"/>
    <w:rsid w:val="00543CA3"/>
    <w:rsid w:val="00543DA7"/>
    <w:rsid w:val="00543DD7"/>
    <w:rsid w:val="00543E45"/>
    <w:rsid w:val="00543E4F"/>
    <w:rsid w:val="00543E63"/>
    <w:rsid w:val="00543ED4"/>
    <w:rsid w:val="00543ED8"/>
    <w:rsid w:val="00543F23"/>
    <w:rsid w:val="00543F3A"/>
    <w:rsid w:val="00543FFC"/>
    <w:rsid w:val="00544014"/>
    <w:rsid w:val="00544034"/>
    <w:rsid w:val="0054404E"/>
    <w:rsid w:val="0054407A"/>
    <w:rsid w:val="0054409B"/>
    <w:rsid w:val="005440CC"/>
    <w:rsid w:val="0054413F"/>
    <w:rsid w:val="005441F2"/>
    <w:rsid w:val="00544217"/>
    <w:rsid w:val="005442B6"/>
    <w:rsid w:val="005442BA"/>
    <w:rsid w:val="005442CE"/>
    <w:rsid w:val="0054437B"/>
    <w:rsid w:val="005443D3"/>
    <w:rsid w:val="00544403"/>
    <w:rsid w:val="00544442"/>
    <w:rsid w:val="00544494"/>
    <w:rsid w:val="005444DD"/>
    <w:rsid w:val="005444FA"/>
    <w:rsid w:val="0054464E"/>
    <w:rsid w:val="0054467D"/>
    <w:rsid w:val="005446A2"/>
    <w:rsid w:val="00544775"/>
    <w:rsid w:val="0054477A"/>
    <w:rsid w:val="0054479A"/>
    <w:rsid w:val="00544835"/>
    <w:rsid w:val="0054484C"/>
    <w:rsid w:val="0054486D"/>
    <w:rsid w:val="0054496E"/>
    <w:rsid w:val="005449A1"/>
    <w:rsid w:val="005449D3"/>
    <w:rsid w:val="00544A1A"/>
    <w:rsid w:val="00544A1F"/>
    <w:rsid w:val="00544A47"/>
    <w:rsid w:val="00544A53"/>
    <w:rsid w:val="00544A9F"/>
    <w:rsid w:val="00544B73"/>
    <w:rsid w:val="00544B7E"/>
    <w:rsid w:val="00544C46"/>
    <w:rsid w:val="00544C4D"/>
    <w:rsid w:val="00544C64"/>
    <w:rsid w:val="00544CBB"/>
    <w:rsid w:val="00544D37"/>
    <w:rsid w:val="00544D4F"/>
    <w:rsid w:val="00544D7E"/>
    <w:rsid w:val="00544DB3"/>
    <w:rsid w:val="00544E24"/>
    <w:rsid w:val="00544ED9"/>
    <w:rsid w:val="00544F17"/>
    <w:rsid w:val="00544F4B"/>
    <w:rsid w:val="00544FEE"/>
    <w:rsid w:val="00544FF2"/>
    <w:rsid w:val="00545028"/>
    <w:rsid w:val="0054505E"/>
    <w:rsid w:val="0054507A"/>
    <w:rsid w:val="005450F2"/>
    <w:rsid w:val="00545157"/>
    <w:rsid w:val="0054519B"/>
    <w:rsid w:val="00545256"/>
    <w:rsid w:val="0054525C"/>
    <w:rsid w:val="005452B4"/>
    <w:rsid w:val="005452C2"/>
    <w:rsid w:val="005452D1"/>
    <w:rsid w:val="0054535F"/>
    <w:rsid w:val="0054536B"/>
    <w:rsid w:val="00545397"/>
    <w:rsid w:val="005453DE"/>
    <w:rsid w:val="005454A8"/>
    <w:rsid w:val="005454D2"/>
    <w:rsid w:val="00545545"/>
    <w:rsid w:val="00545666"/>
    <w:rsid w:val="00545672"/>
    <w:rsid w:val="005456B3"/>
    <w:rsid w:val="005457EB"/>
    <w:rsid w:val="00545817"/>
    <w:rsid w:val="005458E4"/>
    <w:rsid w:val="005458E7"/>
    <w:rsid w:val="005458EB"/>
    <w:rsid w:val="00545A0F"/>
    <w:rsid w:val="00545B5F"/>
    <w:rsid w:val="00545B70"/>
    <w:rsid w:val="00545B99"/>
    <w:rsid w:val="00545BCC"/>
    <w:rsid w:val="00545C72"/>
    <w:rsid w:val="00545CB7"/>
    <w:rsid w:val="00545DA3"/>
    <w:rsid w:val="00545DB9"/>
    <w:rsid w:val="00545EFE"/>
    <w:rsid w:val="00545F08"/>
    <w:rsid w:val="00545F22"/>
    <w:rsid w:val="00545F63"/>
    <w:rsid w:val="00545FED"/>
    <w:rsid w:val="00546094"/>
    <w:rsid w:val="00546101"/>
    <w:rsid w:val="00546102"/>
    <w:rsid w:val="00546120"/>
    <w:rsid w:val="00546268"/>
    <w:rsid w:val="005462A4"/>
    <w:rsid w:val="005462C4"/>
    <w:rsid w:val="00546362"/>
    <w:rsid w:val="005463F0"/>
    <w:rsid w:val="0054640D"/>
    <w:rsid w:val="00546549"/>
    <w:rsid w:val="0054655F"/>
    <w:rsid w:val="00546652"/>
    <w:rsid w:val="00546735"/>
    <w:rsid w:val="00546749"/>
    <w:rsid w:val="00546828"/>
    <w:rsid w:val="00546877"/>
    <w:rsid w:val="00546907"/>
    <w:rsid w:val="005469A9"/>
    <w:rsid w:val="00546A67"/>
    <w:rsid w:val="00546A70"/>
    <w:rsid w:val="00546AC1"/>
    <w:rsid w:val="00546AD8"/>
    <w:rsid w:val="00546AFB"/>
    <w:rsid w:val="00546C0C"/>
    <w:rsid w:val="00546CC9"/>
    <w:rsid w:val="00546D0E"/>
    <w:rsid w:val="00546D49"/>
    <w:rsid w:val="00546DAC"/>
    <w:rsid w:val="00546E09"/>
    <w:rsid w:val="00546EE3"/>
    <w:rsid w:val="00546FAD"/>
    <w:rsid w:val="00547061"/>
    <w:rsid w:val="005470A8"/>
    <w:rsid w:val="005470B1"/>
    <w:rsid w:val="005470CF"/>
    <w:rsid w:val="00547285"/>
    <w:rsid w:val="005472D7"/>
    <w:rsid w:val="00547319"/>
    <w:rsid w:val="005473B5"/>
    <w:rsid w:val="00547445"/>
    <w:rsid w:val="005475BE"/>
    <w:rsid w:val="005475DF"/>
    <w:rsid w:val="005476DC"/>
    <w:rsid w:val="005476F8"/>
    <w:rsid w:val="00547701"/>
    <w:rsid w:val="00547724"/>
    <w:rsid w:val="00547784"/>
    <w:rsid w:val="005477BF"/>
    <w:rsid w:val="005477CA"/>
    <w:rsid w:val="0054780E"/>
    <w:rsid w:val="0054783A"/>
    <w:rsid w:val="0054783E"/>
    <w:rsid w:val="00547873"/>
    <w:rsid w:val="005478C5"/>
    <w:rsid w:val="00547921"/>
    <w:rsid w:val="005479F4"/>
    <w:rsid w:val="00547A1C"/>
    <w:rsid w:val="00547AE6"/>
    <w:rsid w:val="00547B27"/>
    <w:rsid w:val="00547B95"/>
    <w:rsid w:val="00547BD2"/>
    <w:rsid w:val="00547C09"/>
    <w:rsid w:val="00547C26"/>
    <w:rsid w:val="00547C73"/>
    <w:rsid w:val="00547C84"/>
    <w:rsid w:val="00547CA2"/>
    <w:rsid w:val="00547D04"/>
    <w:rsid w:val="00547DC4"/>
    <w:rsid w:val="00547E4F"/>
    <w:rsid w:val="00547EA5"/>
    <w:rsid w:val="00547EBA"/>
    <w:rsid w:val="00547F14"/>
    <w:rsid w:val="00547FA1"/>
    <w:rsid w:val="00550001"/>
    <w:rsid w:val="00550005"/>
    <w:rsid w:val="00550065"/>
    <w:rsid w:val="005500B0"/>
    <w:rsid w:val="00550270"/>
    <w:rsid w:val="0055028F"/>
    <w:rsid w:val="00550294"/>
    <w:rsid w:val="00550393"/>
    <w:rsid w:val="00550397"/>
    <w:rsid w:val="00550458"/>
    <w:rsid w:val="0055046C"/>
    <w:rsid w:val="00550510"/>
    <w:rsid w:val="0055051A"/>
    <w:rsid w:val="00550589"/>
    <w:rsid w:val="005505AE"/>
    <w:rsid w:val="005505C0"/>
    <w:rsid w:val="00550604"/>
    <w:rsid w:val="0055062C"/>
    <w:rsid w:val="0055068D"/>
    <w:rsid w:val="005506D5"/>
    <w:rsid w:val="005506EA"/>
    <w:rsid w:val="00550728"/>
    <w:rsid w:val="0055078E"/>
    <w:rsid w:val="00550797"/>
    <w:rsid w:val="0055079D"/>
    <w:rsid w:val="005507B5"/>
    <w:rsid w:val="005507C0"/>
    <w:rsid w:val="005507DC"/>
    <w:rsid w:val="0055080C"/>
    <w:rsid w:val="0055083A"/>
    <w:rsid w:val="00550857"/>
    <w:rsid w:val="0055086A"/>
    <w:rsid w:val="005508E6"/>
    <w:rsid w:val="005508E8"/>
    <w:rsid w:val="005508F1"/>
    <w:rsid w:val="00550901"/>
    <w:rsid w:val="0055093B"/>
    <w:rsid w:val="0055096E"/>
    <w:rsid w:val="005509B4"/>
    <w:rsid w:val="00550A3F"/>
    <w:rsid w:val="00550A6A"/>
    <w:rsid w:val="00550B13"/>
    <w:rsid w:val="00550B54"/>
    <w:rsid w:val="00550D45"/>
    <w:rsid w:val="00550D5C"/>
    <w:rsid w:val="00550D6A"/>
    <w:rsid w:val="00550DD0"/>
    <w:rsid w:val="00550E9D"/>
    <w:rsid w:val="00550EC1"/>
    <w:rsid w:val="00550F15"/>
    <w:rsid w:val="00550F2F"/>
    <w:rsid w:val="00550F81"/>
    <w:rsid w:val="00550FE7"/>
    <w:rsid w:val="00550FE9"/>
    <w:rsid w:val="00551025"/>
    <w:rsid w:val="0055103F"/>
    <w:rsid w:val="00551041"/>
    <w:rsid w:val="0055107B"/>
    <w:rsid w:val="00551091"/>
    <w:rsid w:val="005510FA"/>
    <w:rsid w:val="0055119C"/>
    <w:rsid w:val="005511C0"/>
    <w:rsid w:val="005511CB"/>
    <w:rsid w:val="00551211"/>
    <w:rsid w:val="00551224"/>
    <w:rsid w:val="00551299"/>
    <w:rsid w:val="00551351"/>
    <w:rsid w:val="0055136D"/>
    <w:rsid w:val="005513E7"/>
    <w:rsid w:val="005513F1"/>
    <w:rsid w:val="005513FA"/>
    <w:rsid w:val="00551435"/>
    <w:rsid w:val="005514B2"/>
    <w:rsid w:val="00551528"/>
    <w:rsid w:val="00551548"/>
    <w:rsid w:val="0055154A"/>
    <w:rsid w:val="00551618"/>
    <w:rsid w:val="0055163F"/>
    <w:rsid w:val="00551654"/>
    <w:rsid w:val="005516A7"/>
    <w:rsid w:val="005516EF"/>
    <w:rsid w:val="0055175C"/>
    <w:rsid w:val="0055181D"/>
    <w:rsid w:val="00551843"/>
    <w:rsid w:val="005518C6"/>
    <w:rsid w:val="00551943"/>
    <w:rsid w:val="00551988"/>
    <w:rsid w:val="005519E4"/>
    <w:rsid w:val="00551A9C"/>
    <w:rsid w:val="00551AD1"/>
    <w:rsid w:val="00551B5A"/>
    <w:rsid w:val="00551BFA"/>
    <w:rsid w:val="00551C82"/>
    <w:rsid w:val="00551CCD"/>
    <w:rsid w:val="00551D39"/>
    <w:rsid w:val="00551D5E"/>
    <w:rsid w:val="00551F33"/>
    <w:rsid w:val="00551FB8"/>
    <w:rsid w:val="00551FC4"/>
    <w:rsid w:val="00551FF0"/>
    <w:rsid w:val="00552037"/>
    <w:rsid w:val="0055203B"/>
    <w:rsid w:val="005520F1"/>
    <w:rsid w:val="00552157"/>
    <w:rsid w:val="00552266"/>
    <w:rsid w:val="005522DD"/>
    <w:rsid w:val="00552305"/>
    <w:rsid w:val="00552327"/>
    <w:rsid w:val="0055233A"/>
    <w:rsid w:val="00552375"/>
    <w:rsid w:val="005523BD"/>
    <w:rsid w:val="005523F7"/>
    <w:rsid w:val="00552427"/>
    <w:rsid w:val="00552458"/>
    <w:rsid w:val="00552498"/>
    <w:rsid w:val="005524DE"/>
    <w:rsid w:val="005524FC"/>
    <w:rsid w:val="0055251D"/>
    <w:rsid w:val="00552581"/>
    <w:rsid w:val="005525B6"/>
    <w:rsid w:val="005525FE"/>
    <w:rsid w:val="00552629"/>
    <w:rsid w:val="005526AA"/>
    <w:rsid w:val="005526C1"/>
    <w:rsid w:val="005526D6"/>
    <w:rsid w:val="0055273D"/>
    <w:rsid w:val="00552762"/>
    <w:rsid w:val="0055278C"/>
    <w:rsid w:val="00552799"/>
    <w:rsid w:val="00552800"/>
    <w:rsid w:val="00552827"/>
    <w:rsid w:val="00552838"/>
    <w:rsid w:val="0055283A"/>
    <w:rsid w:val="00552846"/>
    <w:rsid w:val="00552891"/>
    <w:rsid w:val="005528AA"/>
    <w:rsid w:val="0055291E"/>
    <w:rsid w:val="0055292F"/>
    <w:rsid w:val="005529AB"/>
    <w:rsid w:val="00552A4F"/>
    <w:rsid w:val="00552B28"/>
    <w:rsid w:val="00552B8D"/>
    <w:rsid w:val="00552B9E"/>
    <w:rsid w:val="00552BB1"/>
    <w:rsid w:val="00552BB2"/>
    <w:rsid w:val="00552BB7"/>
    <w:rsid w:val="00552BF7"/>
    <w:rsid w:val="00552C04"/>
    <w:rsid w:val="00552C05"/>
    <w:rsid w:val="00552C94"/>
    <w:rsid w:val="00552C9A"/>
    <w:rsid w:val="00552CB6"/>
    <w:rsid w:val="00552D46"/>
    <w:rsid w:val="00552D84"/>
    <w:rsid w:val="00552DA1"/>
    <w:rsid w:val="00552E9D"/>
    <w:rsid w:val="00552EC2"/>
    <w:rsid w:val="00552F06"/>
    <w:rsid w:val="00552F8B"/>
    <w:rsid w:val="00552F8F"/>
    <w:rsid w:val="00552FA3"/>
    <w:rsid w:val="00552FCC"/>
    <w:rsid w:val="00553018"/>
    <w:rsid w:val="0055302E"/>
    <w:rsid w:val="00553048"/>
    <w:rsid w:val="00553062"/>
    <w:rsid w:val="00553094"/>
    <w:rsid w:val="00553096"/>
    <w:rsid w:val="005530A1"/>
    <w:rsid w:val="005530AE"/>
    <w:rsid w:val="0055313D"/>
    <w:rsid w:val="00553151"/>
    <w:rsid w:val="0055316F"/>
    <w:rsid w:val="005531CE"/>
    <w:rsid w:val="005531D2"/>
    <w:rsid w:val="0055327E"/>
    <w:rsid w:val="0055328E"/>
    <w:rsid w:val="005532AB"/>
    <w:rsid w:val="005532BC"/>
    <w:rsid w:val="00553337"/>
    <w:rsid w:val="00553340"/>
    <w:rsid w:val="00553370"/>
    <w:rsid w:val="00553372"/>
    <w:rsid w:val="0055337F"/>
    <w:rsid w:val="005533D2"/>
    <w:rsid w:val="00553465"/>
    <w:rsid w:val="00553538"/>
    <w:rsid w:val="00553543"/>
    <w:rsid w:val="00553595"/>
    <w:rsid w:val="0055359B"/>
    <w:rsid w:val="005535D0"/>
    <w:rsid w:val="00553600"/>
    <w:rsid w:val="0055369B"/>
    <w:rsid w:val="0055369F"/>
    <w:rsid w:val="0055372B"/>
    <w:rsid w:val="00553788"/>
    <w:rsid w:val="00553823"/>
    <w:rsid w:val="00553828"/>
    <w:rsid w:val="005538C9"/>
    <w:rsid w:val="00553982"/>
    <w:rsid w:val="005539A2"/>
    <w:rsid w:val="005539E2"/>
    <w:rsid w:val="00553A0F"/>
    <w:rsid w:val="00553A14"/>
    <w:rsid w:val="00553A6D"/>
    <w:rsid w:val="00553ADB"/>
    <w:rsid w:val="00553B59"/>
    <w:rsid w:val="00553B6D"/>
    <w:rsid w:val="00553BDC"/>
    <w:rsid w:val="00553BE3"/>
    <w:rsid w:val="00553BFA"/>
    <w:rsid w:val="00553C09"/>
    <w:rsid w:val="00553C28"/>
    <w:rsid w:val="00553C33"/>
    <w:rsid w:val="00553CAD"/>
    <w:rsid w:val="00553CF8"/>
    <w:rsid w:val="00553D8F"/>
    <w:rsid w:val="00553E40"/>
    <w:rsid w:val="00553E4E"/>
    <w:rsid w:val="00553E90"/>
    <w:rsid w:val="00553EAA"/>
    <w:rsid w:val="00553EB6"/>
    <w:rsid w:val="00553EF6"/>
    <w:rsid w:val="00553F63"/>
    <w:rsid w:val="00553F6E"/>
    <w:rsid w:val="00553FF6"/>
    <w:rsid w:val="00554003"/>
    <w:rsid w:val="00554058"/>
    <w:rsid w:val="00554107"/>
    <w:rsid w:val="00554131"/>
    <w:rsid w:val="00554135"/>
    <w:rsid w:val="00554140"/>
    <w:rsid w:val="00554144"/>
    <w:rsid w:val="00554160"/>
    <w:rsid w:val="005541D0"/>
    <w:rsid w:val="0055425E"/>
    <w:rsid w:val="00554263"/>
    <w:rsid w:val="00554314"/>
    <w:rsid w:val="0055431F"/>
    <w:rsid w:val="00554338"/>
    <w:rsid w:val="00554464"/>
    <w:rsid w:val="00554483"/>
    <w:rsid w:val="005544FC"/>
    <w:rsid w:val="00554528"/>
    <w:rsid w:val="00554591"/>
    <w:rsid w:val="00554593"/>
    <w:rsid w:val="005545BF"/>
    <w:rsid w:val="0055468A"/>
    <w:rsid w:val="005546F1"/>
    <w:rsid w:val="0055472A"/>
    <w:rsid w:val="0055475C"/>
    <w:rsid w:val="005547CB"/>
    <w:rsid w:val="00554817"/>
    <w:rsid w:val="0055489D"/>
    <w:rsid w:val="00554906"/>
    <w:rsid w:val="00554936"/>
    <w:rsid w:val="00554940"/>
    <w:rsid w:val="0055496E"/>
    <w:rsid w:val="00554973"/>
    <w:rsid w:val="005549BA"/>
    <w:rsid w:val="005549E1"/>
    <w:rsid w:val="00554A70"/>
    <w:rsid w:val="00554AAE"/>
    <w:rsid w:val="00554AB1"/>
    <w:rsid w:val="00554AC3"/>
    <w:rsid w:val="00554AC4"/>
    <w:rsid w:val="00554B3A"/>
    <w:rsid w:val="00554C01"/>
    <w:rsid w:val="00554C0D"/>
    <w:rsid w:val="00554C72"/>
    <w:rsid w:val="00554CE4"/>
    <w:rsid w:val="00554DC7"/>
    <w:rsid w:val="00554E29"/>
    <w:rsid w:val="00554F04"/>
    <w:rsid w:val="00554F16"/>
    <w:rsid w:val="00554F33"/>
    <w:rsid w:val="00554F60"/>
    <w:rsid w:val="00554F76"/>
    <w:rsid w:val="00555009"/>
    <w:rsid w:val="0055503A"/>
    <w:rsid w:val="00555131"/>
    <w:rsid w:val="00555159"/>
    <w:rsid w:val="0055516E"/>
    <w:rsid w:val="0055520B"/>
    <w:rsid w:val="00555243"/>
    <w:rsid w:val="0055525B"/>
    <w:rsid w:val="005552A1"/>
    <w:rsid w:val="005553EC"/>
    <w:rsid w:val="0055544E"/>
    <w:rsid w:val="005554DC"/>
    <w:rsid w:val="005554F4"/>
    <w:rsid w:val="00555526"/>
    <w:rsid w:val="0055555A"/>
    <w:rsid w:val="005555EB"/>
    <w:rsid w:val="00555710"/>
    <w:rsid w:val="005557A8"/>
    <w:rsid w:val="005557F4"/>
    <w:rsid w:val="00555809"/>
    <w:rsid w:val="00555817"/>
    <w:rsid w:val="00555818"/>
    <w:rsid w:val="00555873"/>
    <w:rsid w:val="00555944"/>
    <w:rsid w:val="0055594D"/>
    <w:rsid w:val="00555991"/>
    <w:rsid w:val="005559E2"/>
    <w:rsid w:val="005559EB"/>
    <w:rsid w:val="005559F3"/>
    <w:rsid w:val="00555B07"/>
    <w:rsid w:val="00555BB1"/>
    <w:rsid w:val="00555C23"/>
    <w:rsid w:val="00555CA0"/>
    <w:rsid w:val="00555CAD"/>
    <w:rsid w:val="00555D01"/>
    <w:rsid w:val="00555DEF"/>
    <w:rsid w:val="00555E4E"/>
    <w:rsid w:val="00555E8E"/>
    <w:rsid w:val="00555F08"/>
    <w:rsid w:val="00555F2B"/>
    <w:rsid w:val="00555F60"/>
    <w:rsid w:val="00555F70"/>
    <w:rsid w:val="00555F8F"/>
    <w:rsid w:val="00555FC4"/>
    <w:rsid w:val="00555FDE"/>
    <w:rsid w:val="0055601E"/>
    <w:rsid w:val="005560CB"/>
    <w:rsid w:val="00556111"/>
    <w:rsid w:val="005561AF"/>
    <w:rsid w:val="00556201"/>
    <w:rsid w:val="00556227"/>
    <w:rsid w:val="005562AF"/>
    <w:rsid w:val="005562E0"/>
    <w:rsid w:val="0055631F"/>
    <w:rsid w:val="0055635E"/>
    <w:rsid w:val="00556381"/>
    <w:rsid w:val="005563DE"/>
    <w:rsid w:val="00556411"/>
    <w:rsid w:val="00556511"/>
    <w:rsid w:val="00556546"/>
    <w:rsid w:val="00556583"/>
    <w:rsid w:val="005566EB"/>
    <w:rsid w:val="005566EF"/>
    <w:rsid w:val="00556708"/>
    <w:rsid w:val="00556807"/>
    <w:rsid w:val="00556894"/>
    <w:rsid w:val="005568CB"/>
    <w:rsid w:val="00556B21"/>
    <w:rsid w:val="00556B43"/>
    <w:rsid w:val="00556B4D"/>
    <w:rsid w:val="00556C25"/>
    <w:rsid w:val="00556C4F"/>
    <w:rsid w:val="00556CD8"/>
    <w:rsid w:val="00556CED"/>
    <w:rsid w:val="00556D5E"/>
    <w:rsid w:val="00556F04"/>
    <w:rsid w:val="00556FAB"/>
    <w:rsid w:val="00556FC6"/>
    <w:rsid w:val="00556FD2"/>
    <w:rsid w:val="00557024"/>
    <w:rsid w:val="00557146"/>
    <w:rsid w:val="005571F2"/>
    <w:rsid w:val="005571F7"/>
    <w:rsid w:val="0055723E"/>
    <w:rsid w:val="0055729F"/>
    <w:rsid w:val="00557314"/>
    <w:rsid w:val="00557352"/>
    <w:rsid w:val="00557360"/>
    <w:rsid w:val="0055736F"/>
    <w:rsid w:val="00557427"/>
    <w:rsid w:val="00557503"/>
    <w:rsid w:val="00557615"/>
    <w:rsid w:val="00557651"/>
    <w:rsid w:val="005576B2"/>
    <w:rsid w:val="005576B4"/>
    <w:rsid w:val="005576B7"/>
    <w:rsid w:val="00557719"/>
    <w:rsid w:val="00557780"/>
    <w:rsid w:val="0055779F"/>
    <w:rsid w:val="005577BC"/>
    <w:rsid w:val="005577C2"/>
    <w:rsid w:val="005577FF"/>
    <w:rsid w:val="005578A9"/>
    <w:rsid w:val="005578AC"/>
    <w:rsid w:val="005578F0"/>
    <w:rsid w:val="00557911"/>
    <w:rsid w:val="00557935"/>
    <w:rsid w:val="0055798B"/>
    <w:rsid w:val="005579CB"/>
    <w:rsid w:val="00557A63"/>
    <w:rsid w:val="00557AC3"/>
    <w:rsid w:val="00557B7E"/>
    <w:rsid w:val="00557BB8"/>
    <w:rsid w:val="00557BE3"/>
    <w:rsid w:val="00557C40"/>
    <w:rsid w:val="00557D0A"/>
    <w:rsid w:val="00557E44"/>
    <w:rsid w:val="00557F99"/>
    <w:rsid w:val="00557FD4"/>
    <w:rsid w:val="005600B4"/>
    <w:rsid w:val="005600B7"/>
    <w:rsid w:val="005600F5"/>
    <w:rsid w:val="0056013A"/>
    <w:rsid w:val="00560142"/>
    <w:rsid w:val="00560175"/>
    <w:rsid w:val="00560220"/>
    <w:rsid w:val="00560234"/>
    <w:rsid w:val="005602B9"/>
    <w:rsid w:val="00560337"/>
    <w:rsid w:val="005604CF"/>
    <w:rsid w:val="005604E6"/>
    <w:rsid w:val="00560507"/>
    <w:rsid w:val="005605BF"/>
    <w:rsid w:val="00560671"/>
    <w:rsid w:val="0056069B"/>
    <w:rsid w:val="005606D7"/>
    <w:rsid w:val="005607B6"/>
    <w:rsid w:val="00560810"/>
    <w:rsid w:val="0056082F"/>
    <w:rsid w:val="005608C7"/>
    <w:rsid w:val="00560933"/>
    <w:rsid w:val="00560952"/>
    <w:rsid w:val="00560965"/>
    <w:rsid w:val="00560997"/>
    <w:rsid w:val="00560A7A"/>
    <w:rsid w:val="00560A9F"/>
    <w:rsid w:val="00560AA4"/>
    <w:rsid w:val="00560AE3"/>
    <w:rsid w:val="00560C08"/>
    <w:rsid w:val="00560C30"/>
    <w:rsid w:val="00560CAA"/>
    <w:rsid w:val="00560CD1"/>
    <w:rsid w:val="00560D01"/>
    <w:rsid w:val="00560DC8"/>
    <w:rsid w:val="00560E0D"/>
    <w:rsid w:val="00560E24"/>
    <w:rsid w:val="00560F36"/>
    <w:rsid w:val="00560F3F"/>
    <w:rsid w:val="00561013"/>
    <w:rsid w:val="005610A0"/>
    <w:rsid w:val="005610A5"/>
    <w:rsid w:val="0056111E"/>
    <w:rsid w:val="0056111F"/>
    <w:rsid w:val="00561227"/>
    <w:rsid w:val="00561230"/>
    <w:rsid w:val="00561234"/>
    <w:rsid w:val="005612CD"/>
    <w:rsid w:val="005612D6"/>
    <w:rsid w:val="0056131A"/>
    <w:rsid w:val="0056133D"/>
    <w:rsid w:val="00561391"/>
    <w:rsid w:val="005613DA"/>
    <w:rsid w:val="00561449"/>
    <w:rsid w:val="0056144B"/>
    <w:rsid w:val="0056146E"/>
    <w:rsid w:val="005614DD"/>
    <w:rsid w:val="00561507"/>
    <w:rsid w:val="005615B2"/>
    <w:rsid w:val="00561620"/>
    <w:rsid w:val="005616E4"/>
    <w:rsid w:val="00561753"/>
    <w:rsid w:val="0056178C"/>
    <w:rsid w:val="00561790"/>
    <w:rsid w:val="005617CF"/>
    <w:rsid w:val="00561812"/>
    <w:rsid w:val="00561840"/>
    <w:rsid w:val="00561888"/>
    <w:rsid w:val="005618DE"/>
    <w:rsid w:val="005618EA"/>
    <w:rsid w:val="00561A01"/>
    <w:rsid w:val="00561AD6"/>
    <w:rsid w:val="00561C73"/>
    <w:rsid w:val="00561CEB"/>
    <w:rsid w:val="00561D0D"/>
    <w:rsid w:val="00561D17"/>
    <w:rsid w:val="00561D95"/>
    <w:rsid w:val="00561DAF"/>
    <w:rsid w:val="00561E67"/>
    <w:rsid w:val="00562013"/>
    <w:rsid w:val="00562039"/>
    <w:rsid w:val="0056203D"/>
    <w:rsid w:val="00562070"/>
    <w:rsid w:val="00562099"/>
    <w:rsid w:val="005620B1"/>
    <w:rsid w:val="00562119"/>
    <w:rsid w:val="00562126"/>
    <w:rsid w:val="00562129"/>
    <w:rsid w:val="00562140"/>
    <w:rsid w:val="005621BF"/>
    <w:rsid w:val="00562233"/>
    <w:rsid w:val="00562243"/>
    <w:rsid w:val="00562266"/>
    <w:rsid w:val="0056247C"/>
    <w:rsid w:val="005624C3"/>
    <w:rsid w:val="0056252A"/>
    <w:rsid w:val="005625C6"/>
    <w:rsid w:val="0056262D"/>
    <w:rsid w:val="005626EB"/>
    <w:rsid w:val="00562736"/>
    <w:rsid w:val="00562761"/>
    <w:rsid w:val="005627E2"/>
    <w:rsid w:val="005627E7"/>
    <w:rsid w:val="0056280F"/>
    <w:rsid w:val="00562814"/>
    <w:rsid w:val="00562893"/>
    <w:rsid w:val="00562916"/>
    <w:rsid w:val="00562A11"/>
    <w:rsid w:val="00562A5A"/>
    <w:rsid w:val="00562AA8"/>
    <w:rsid w:val="00562AD2"/>
    <w:rsid w:val="00562B1B"/>
    <w:rsid w:val="00562B5C"/>
    <w:rsid w:val="00562B82"/>
    <w:rsid w:val="00562B9E"/>
    <w:rsid w:val="00562BE7"/>
    <w:rsid w:val="00562C00"/>
    <w:rsid w:val="00562C09"/>
    <w:rsid w:val="00562C7D"/>
    <w:rsid w:val="00562CE1"/>
    <w:rsid w:val="00562DAC"/>
    <w:rsid w:val="00562DD5"/>
    <w:rsid w:val="00562E2C"/>
    <w:rsid w:val="00562E34"/>
    <w:rsid w:val="00562EEE"/>
    <w:rsid w:val="00562F17"/>
    <w:rsid w:val="00562F18"/>
    <w:rsid w:val="00562F29"/>
    <w:rsid w:val="00562F3F"/>
    <w:rsid w:val="00562F87"/>
    <w:rsid w:val="00562FE3"/>
    <w:rsid w:val="00562FFA"/>
    <w:rsid w:val="00563002"/>
    <w:rsid w:val="00563007"/>
    <w:rsid w:val="00563015"/>
    <w:rsid w:val="0056301E"/>
    <w:rsid w:val="0056309B"/>
    <w:rsid w:val="0056312D"/>
    <w:rsid w:val="00563138"/>
    <w:rsid w:val="0056324B"/>
    <w:rsid w:val="0056325C"/>
    <w:rsid w:val="00563273"/>
    <w:rsid w:val="00563337"/>
    <w:rsid w:val="0056336A"/>
    <w:rsid w:val="0056336D"/>
    <w:rsid w:val="0056339C"/>
    <w:rsid w:val="005633D2"/>
    <w:rsid w:val="005633DA"/>
    <w:rsid w:val="00563426"/>
    <w:rsid w:val="0056342A"/>
    <w:rsid w:val="00563444"/>
    <w:rsid w:val="00563453"/>
    <w:rsid w:val="005634B8"/>
    <w:rsid w:val="005634F1"/>
    <w:rsid w:val="00563624"/>
    <w:rsid w:val="005636E7"/>
    <w:rsid w:val="0056370F"/>
    <w:rsid w:val="0056373B"/>
    <w:rsid w:val="005638A4"/>
    <w:rsid w:val="005638C4"/>
    <w:rsid w:val="00563915"/>
    <w:rsid w:val="00563924"/>
    <w:rsid w:val="0056398E"/>
    <w:rsid w:val="00563A1F"/>
    <w:rsid w:val="00563A8C"/>
    <w:rsid w:val="00563AA8"/>
    <w:rsid w:val="00563AC0"/>
    <w:rsid w:val="00563AE9"/>
    <w:rsid w:val="00563B26"/>
    <w:rsid w:val="00563B2A"/>
    <w:rsid w:val="00563B7E"/>
    <w:rsid w:val="00563BFF"/>
    <w:rsid w:val="00563C25"/>
    <w:rsid w:val="00563C29"/>
    <w:rsid w:val="00563C56"/>
    <w:rsid w:val="00563CCF"/>
    <w:rsid w:val="00563CE2"/>
    <w:rsid w:val="00563D00"/>
    <w:rsid w:val="00563D9E"/>
    <w:rsid w:val="00563DAB"/>
    <w:rsid w:val="00563DC9"/>
    <w:rsid w:val="00563E92"/>
    <w:rsid w:val="00563F54"/>
    <w:rsid w:val="00563F9F"/>
    <w:rsid w:val="00564010"/>
    <w:rsid w:val="005640B9"/>
    <w:rsid w:val="00564150"/>
    <w:rsid w:val="0056415D"/>
    <w:rsid w:val="00564194"/>
    <w:rsid w:val="005641A6"/>
    <w:rsid w:val="005641F1"/>
    <w:rsid w:val="0056423E"/>
    <w:rsid w:val="00564249"/>
    <w:rsid w:val="005642D3"/>
    <w:rsid w:val="005642EF"/>
    <w:rsid w:val="0056431A"/>
    <w:rsid w:val="0056433E"/>
    <w:rsid w:val="0056434A"/>
    <w:rsid w:val="00564410"/>
    <w:rsid w:val="00564432"/>
    <w:rsid w:val="0056448A"/>
    <w:rsid w:val="0056449F"/>
    <w:rsid w:val="00564534"/>
    <w:rsid w:val="0056463F"/>
    <w:rsid w:val="0056466C"/>
    <w:rsid w:val="0056473A"/>
    <w:rsid w:val="00564795"/>
    <w:rsid w:val="005647FB"/>
    <w:rsid w:val="00564807"/>
    <w:rsid w:val="0056484C"/>
    <w:rsid w:val="00564876"/>
    <w:rsid w:val="00564898"/>
    <w:rsid w:val="00564910"/>
    <w:rsid w:val="0056495B"/>
    <w:rsid w:val="005649BC"/>
    <w:rsid w:val="005649BF"/>
    <w:rsid w:val="00564A18"/>
    <w:rsid w:val="00564A5C"/>
    <w:rsid w:val="00564CE8"/>
    <w:rsid w:val="00564CF4"/>
    <w:rsid w:val="00564D02"/>
    <w:rsid w:val="00564D05"/>
    <w:rsid w:val="00564D0F"/>
    <w:rsid w:val="00564DBB"/>
    <w:rsid w:val="00564E63"/>
    <w:rsid w:val="00564EAB"/>
    <w:rsid w:val="00564F50"/>
    <w:rsid w:val="00564FB9"/>
    <w:rsid w:val="00564FF8"/>
    <w:rsid w:val="005650C4"/>
    <w:rsid w:val="00565154"/>
    <w:rsid w:val="00565155"/>
    <w:rsid w:val="0056515B"/>
    <w:rsid w:val="005651B4"/>
    <w:rsid w:val="00565241"/>
    <w:rsid w:val="0056526F"/>
    <w:rsid w:val="00565297"/>
    <w:rsid w:val="005652FD"/>
    <w:rsid w:val="00565358"/>
    <w:rsid w:val="0056535A"/>
    <w:rsid w:val="0056547A"/>
    <w:rsid w:val="00565499"/>
    <w:rsid w:val="0056549E"/>
    <w:rsid w:val="005654B5"/>
    <w:rsid w:val="005654BE"/>
    <w:rsid w:val="0056556D"/>
    <w:rsid w:val="00565583"/>
    <w:rsid w:val="00565585"/>
    <w:rsid w:val="00565647"/>
    <w:rsid w:val="005656B4"/>
    <w:rsid w:val="005656D4"/>
    <w:rsid w:val="005656F0"/>
    <w:rsid w:val="00565743"/>
    <w:rsid w:val="005657A5"/>
    <w:rsid w:val="005657A7"/>
    <w:rsid w:val="005657B7"/>
    <w:rsid w:val="005657F6"/>
    <w:rsid w:val="0056582C"/>
    <w:rsid w:val="0056583C"/>
    <w:rsid w:val="0056585F"/>
    <w:rsid w:val="00565881"/>
    <w:rsid w:val="0056588D"/>
    <w:rsid w:val="0056588F"/>
    <w:rsid w:val="00565890"/>
    <w:rsid w:val="00565996"/>
    <w:rsid w:val="005659DB"/>
    <w:rsid w:val="00565A00"/>
    <w:rsid w:val="00565A82"/>
    <w:rsid w:val="00565AF9"/>
    <w:rsid w:val="00565B04"/>
    <w:rsid w:val="00565BB6"/>
    <w:rsid w:val="00565BCD"/>
    <w:rsid w:val="00565BDB"/>
    <w:rsid w:val="00565C03"/>
    <w:rsid w:val="00565C34"/>
    <w:rsid w:val="00565C38"/>
    <w:rsid w:val="00565C3D"/>
    <w:rsid w:val="00565C53"/>
    <w:rsid w:val="00565C5B"/>
    <w:rsid w:val="00565CB4"/>
    <w:rsid w:val="00565CBA"/>
    <w:rsid w:val="00565D08"/>
    <w:rsid w:val="00565DAA"/>
    <w:rsid w:val="00565DE4"/>
    <w:rsid w:val="00565E85"/>
    <w:rsid w:val="00565ECD"/>
    <w:rsid w:val="00565F0C"/>
    <w:rsid w:val="00565F28"/>
    <w:rsid w:val="00565F69"/>
    <w:rsid w:val="00565F9D"/>
    <w:rsid w:val="0056601D"/>
    <w:rsid w:val="00566040"/>
    <w:rsid w:val="00566041"/>
    <w:rsid w:val="0056606B"/>
    <w:rsid w:val="005660A2"/>
    <w:rsid w:val="00566140"/>
    <w:rsid w:val="00566192"/>
    <w:rsid w:val="00566193"/>
    <w:rsid w:val="00566231"/>
    <w:rsid w:val="00566234"/>
    <w:rsid w:val="0056630F"/>
    <w:rsid w:val="00566370"/>
    <w:rsid w:val="0056637B"/>
    <w:rsid w:val="005663F0"/>
    <w:rsid w:val="0056641D"/>
    <w:rsid w:val="0056645A"/>
    <w:rsid w:val="005664B0"/>
    <w:rsid w:val="005664C6"/>
    <w:rsid w:val="005664E8"/>
    <w:rsid w:val="00566590"/>
    <w:rsid w:val="005665C2"/>
    <w:rsid w:val="005665DE"/>
    <w:rsid w:val="00566630"/>
    <w:rsid w:val="0056665B"/>
    <w:rsid w:val="0056667C"/>
    <w:rsid w:val="0056673E"/>
    <w:rsid w:val="0056674D"/>
    <w:rsid w:val="005667A4"/>
    <w:rsid w:val="005667FD"/>
    <w:rsid w:val="005668E1"/>
    <w:rsid w:val="005668E9"/>
    <w:rsid w:val="00566902"/>
    <w:rsid w:val="00566969"/>
    <w:rsid w:val="005669E8"/>
    <w:rsid w:val="00566A72"/>
    <w:rsid w:val="00566AA4"/>
    <w:rsid w:val="00566B0D"/>
    <w:rsid w:val="00566B9F"/>
    <w:rsid w:val="00566CBC"/>
    <w:rsid w:val="00566CE6"/>
    <w:rsid w:val="00566CE9"/>
    <w:rsid w:val="00566CF2"/>
    <w:rsid w:val="00566D00"/>
    <w:rsid w:val="00566DB2"/>
    <w:rsid w:val="00566E49"/>
    <w:rsid w:val="00566EAC"/>
    <w:rsid w:val="00566F31"/>
    <w:rsid w:val="00566FC7"/>
    <w:rsid w:val="00566FD9"/>
    <w:rsid w:val="00566FDE"/>
    <w:rsid w:val="00566FEC"/>
    <w:rsid w:val="005670C3"/>
    <w:rsid w:val="005670D5"/>
    <w:rsid w:val="00567212"/>
    <w:rsid w:val="00567238"/>
    <w:rsid w:val="005672D2"/>
    <w:rsid w:val="00567373"/>
    <w:rsid w:val="005673C6"/>
    <w:rsid w:val="005673D4"/>
    <w:rsid w:val="00567418"/>
    <w:rsid w:val="0056742B"/>
    <w:rsid w:val="0056755E"/>
    <w:rsid w:val="005675A3"/>
    <w:rsid w:val="00567601"/>
    <w:rsid w:val="005676C7"/>
    <w:rsid w:val="005676D8"/>
    <w:rsid w:val="005676F0"/>
    <w:rsid w:val="005676F5"/>
    <w:rsid w:val="00567758"/>
    <w:rsid w:val="00567786"/>
    <w:rsid w:val="00567788"/>
    <w:rsid w:val="0056778C"/>
    <w:rsid w:val="005677FD"/>
    <w:rsid w:val="0056782C"/>
    <w:rsid w:val="00567853"/>
    <w:rsid w:val="0056785F"/>
    <w:rsid w:val="0056788F"/>
    <w:rsid w:val="0056789F"/>
    <w:rsid w:val="005678A7"/>
    <w:rsid w:val="005678AD"/>
    <w:rsid w:val="005678CB"/>
    <w:rsid w:val="005678D8"/>
    <w:rsid w:val="005678F2"/>
    <w:rsid w:val="00567906"/>
    <w:rsid w:val="00567929"/>
    <w:rsid w:val="0056794E"/>
    <w:rsid w:val="0056796D"/>
    <w:rsid w:val="0056796E"/>
    <w:rsid w:val="00567970"/>
    <w:rsid w:val="00567A32"/>
    <w:rsid w:val="00567A4B"/>
    <w:rsid w:val="00567A74"/>
    <w:rsid w:val="00567ABD"/>
    <w:rsid w:val="00567AF1"/>
    <w:rsid w:val="00567B97"/>
    <w:rsid w:val="00567BE3"/>
    <w:rsid w:val="00567C0B"/>
    <w:rsid w:val="00567CB1"/>
    <w:rsid w:val="00567CBF"/>
    <w:rsid w:val="00567CF5"/>
    <w:rsid w:val="00567D34"/>
    <w:rsid w:val="00567D87"/>
    <w:rsid w:val="00567E55"/>
    <w:rsid w:val="00567E6C"/>
    <w:rsid w:val="00567E7A"/>
    <w:rsid w:val="00567EBE"/>
    <w:rsid w:val="00567EC0"/>
    <w:rsid w:val="00567F39"/>
    <w:rsid w:val="00567FE0"/>
    <w:rsid w:val="00567FF8"/>
    <w:rsid w:val="00570082"/>
    <w:rsid w:val="005700A9"/>
    <w:rsid w:val="005700B7"/>
    <w:rsid w:val="005700D7"/>
    <w:rsid w:val="00570109"/>
    <w:rsid w:val="00570164"/>
    <w:rsid w:val="00570221"/>
    <w:rsid w:val="0057027B"/>
    <w:rsid w:val="005702A8"/>
    <w:rsid w:val="005702B3"/>
    <w:rsid w:val="00570317"/>
    <w:rsid w:val="00570370"/>
    <w:rsid w:val="00570410"/>
    <w:rsid w:val="00570440"/>
    <w:rsid w:val="005705BC"/>
    <w:rsid w:val="005705E4"/>
    <w:rsid w:val="00570629"/>
    <w:rsid w:val="0057065B"/>
    <w:rsid w:val="0057066A"/>
    <w:rsid w:val="005706D9"/>
    <w:rsid w:val="00570725"/>
    <w:rsid w:val="00570742"/>
    <w:rsid w:val="00570760"/>
    <w:rsid w:val="00570798"/>
    <w:rsid w:val="005707E2"/>
    <w:rsid w:val="00570800"/>
    <w:rsid w:val="00570859"/>
    <w:rsid w:val="00570896"/>
    <w:rsid w:val="005708DD"/>
    <w:rsid w:val="0057094D"/>
    <w:rsid w:val="005709BA"/>
    <w:rsid w:val="00570A9F"/>
    <w:rsid w:val="00570AA1"/>
    <w:rsid w:val="00570ACE"/>
    <w:rsid w:val="00570BA2"/>
    <w:rsid w:val="00570BE9"/>
    <w:rsid w:val="00570C20"/>
    <w:rsid w:val="00570C24"/>
    <w:rsid w:val="00570C3E"/>
    <w:rsid w:val="00570C42"/>
    <w:rsid w:val="00570CDD"/>
    <w:rsid w:val="00570D07"/>
    <w:rsid w:val="00570D38"/>
    <w:rsid w:val="00570D3D"/>
    <w:rsid w:val="00570D6A"/>
    <w:rsid w:val="00570DB7"/>
    <w:rsid w:val="00570DC0"/>
    <w:rsid w:val="00570DC1"/>
    <w:rsid w:val="00570DCC"/>
    <w:rsid w:val="00570DF6"/>
    <w:rsid w:val="00570E42"/>
    <w:rsid w:val="00570E43"/>
    <w:rsid w:val="00570ECC"/>
    <w:rsid w:val="00570F57"/>
    <w:rsid w:val="00570F6F"/>
    <w:rsid w:val="00571066"/>
    <w:rsid w:val="005710A1"/>
    <w:rsid w:val="005710E1"/>
    <w:rsid w:val="00571115"/>
    <w:rsid w:val="0057116D"/>
    <w:rsid w:val="0057118C"/>
    <w:rsid w:val="005711F7"/>
    <w:rsid w:val="0057127B"/>
    <w:rsid w:val="005712FC"/>
    <w:rsid w:val="00571302"/>
    <w:rsid w:val="00571306"/>
    <w:rsid w:val="005713ED"/>
    <w:rsid w:val="005713F3"/>
    <w:rsid w:val="00571446"/>
    <w:rsid w:val="0057147E"/>
    <w:rsid w:val="005715AF"/>
    <w:rsid w:val="00571616"/>
    <w:rsid w:val="00571662"/>
    <w:rsid w:val="005717D3"/>
    <w:rsid w:val="0057184C"/>
    <w:rsid w:val="00571866"/>
    <w:rsid w:val="0057188D"/>
    <w:rsid w:val="005718B3"/>
    <w:rsid w:val="005718C1"/>
    <w:rsid w:val="0057197A"/>
    <w:rsid w:val="0057198F"/>
    <w:rsid w:val="00571A80"/>
    <w:rsid w:val="00571AA7"/>
    <w:rsid w:val="00571AA9"/>
    <w:rsid w:val="00571AB5"/>
    <w:rsid w:val="00571AC2"/>
    <w:rsid w:val="00571B79"/>
    <w:rsid w:val="00571BC0"/>
    <w:rsid w:val="00571C20"/>
    <w:rsid w:val="00571CC4"/>
    <w:rsid w:val="00571CFD"/>
    <w:rsid w:val="00571D29"/>
    <w:rsid w:val="00571D79"/>
    <w:rsid w:val="00571DD9"/>
    <w:rsid w:val="00571DED"/>
    <w:rsid w:val="00571E6C"/>
    <w:rsid w:val="00571E8F"/>
    <w:rsid w:val="00571EA2"/>
    <w:rsid w:val="00571EE4"/>
    <w:rsid w:val="00571EE7"/>
    <w:rsid w:val="00571F30"/>
    <w:rsid w:val="00572042"/>
    <w:rsid w:val="005720D0"/>
    <w:rsid w:val="005720E9"/>
    <w:rsid w:val="00572134"/>
    <w:rsid w:val="005721BF"/>
    <w:rsid w:val="00572311"/>
    <w:rsid w:val="0057235F"/>
    <w:rsid w:val="0057236D"/>
    <w:rsid w:val="005723FF"/>
    <w:rsid w:val="00572400"/>
    <w:rsid w:val="0057242A"/>
    <w:rsid w:val="0057247F"/>
    <w:rsid w:val="00572489"/>
    <w:rsid w:val="00572501"/>
    <w:rsid w:val="0057254F"/>
    <w:rsid w:val="00572571"/>
    <w:rsid w:val="00572572"/>
    <w:rsid w:val="0057259D"/>
    <w:rsid w:val="005725B8"/>
    <w:rsid w:val="00572670"/>
    <w:rsid w:val="00572714"/>
    <w:rsid w:val="005727CE"/>
    <w:rsid w:val="0057285B"/>
    <w:rsid w:val="0057286A"/>
    <w:rsid w:val="005728A9"/>
    <w:rsid w:val="005728DF"/>
    <w:rsid w:val="005728E7"/>
    <w:rsid w:val="00572921"/>
    <w:rsid w:val="00572993"/>
    <w:rsid w:val="0057299D"/>
    <w:rsid w:val="0057299E"/>
    <w:rsid w:val="005729D5"/>
    <w:rsid w:val="005729DB"/>
    <w:rsid w:val="00572AF3"/>
    <w:rsid w:val="00572AFC"/>
    <w:rsid w:val="00572B26"/>
    <w:rsid w:val="00572B4D"/>
    <w:rsid w:val="00572DBF"/>
    <w:rsid w:val="00572DD4"/>
    <w:rsid w:val="00572DDE"/>
    <w:rsid w:val="00572E37"/>
    <w:rsid w:val="00572E41"/>
    <w:rsid w:val="00572EF6"/>
    <w:rsid w:val="00572F04"/>
    <w:rsid w:val="00572F25"/>
    <w:rsid w:val="00572F9A"/>
    <w:rsid w:val="00573040"/>
    <w:rsid w:val="00573091"/>
    <w:rsid w:val="00573107"/>
    <w:rsid w:val="005731A2"/>
    <w:rsid w:val="005732DD"/>
    <w:rsid w:val="00573564"/>
    <w:rsid w:val="0057366F"/>
    <w:rsid w:val="0057368A"/>
    <w:rsid w:val="00573701"/>
    <w:rsid w:val="005737FD"/>
    <w:rsid w:val="00573805"/>
    <w:rsid w:val="00573838"/>
    <w:rsid w:val="00573895"/>
    <w:rsid w:val="0057389F"/>
    <w:rsid w:val="005738E2"/>
    <w:rsid w:val="00573A09"/>
    <w:rsid w:val="00573AC6"/>
    <w:rsid w:val="00573AEE"/>
    <w:rsid w:val="00573B9D"/>
    <w:rsid w:val="00573C13"/>
    <w:rsid w:val="00573C40"/>
    <w:rsid w:val="00573C89"/>
    <w:rsid w:val="00573CBB"/>
    <w:rsid w:val="00573E7A"/>
    <w:rsid w:val="00573E91"/>
    <w:rsid w:val="00573F17"/>
    <w:rsid w:val="00573F3D"/>
    <w:rsid w:val="00573F5B"/>
    <w:rsid w:val="00573F76"/>
    <w:rsid w:val="00573FDE"/>
    <w:rsid w:val="0057402A"/>
    <w:rsid w:val="00574085"/>
    <w:rsid w:val="00574095"/>
    <w:rsid w:val="005740BE"/>
    <w:rsid w:val="00574166"/>
    <w:rsid w:val="005741C1"/>
    <w:rsid w:val="00574208"/>
    <w:rsid w:val="00574265"/>
    <w:rsid w:val="0057432D"/>
    <w:rsid w:val="00574380"/>
    <w:rsid w:val="005743AD"/>
    <w:rsid w:val="005743C2"/>
    <w:rsid w:val="0057440B"/>
    <w:rsid w:val="00574440"/>
    <w:rsid w:val="00574447"/>
    <w:rsid w:val="00574597"/>
    <w:rsid w:val="00574598"/>
    <w:rsid w:val="0057461E"/>
    <w:rsid w:val="00574629"/>
    <w:rsid w:val="00574655"/>
    <w:rsid w:val="00574683"/>
    <w:rsid w:val="005746F1"/>
    <w:rsid w:val="0057470B"/>
    <w:rsid w:val="00574723"/>
    <w:rsid w:val="0057472D"/>
    <w:rsid w:val="00574775"/>
    <w:rsid w:val="005747B2"/>
    <w:rsid w:val="005747EA"/>
    <w:rsid w:val="0057488F"/>
    <w:rsid w:val="0057492E"/>
    <w:rsid w:val="0057496A"/>
    <w:rsid w:val="005749BA"/>
    <w:rsid w:val="005749C8"/>
    <w:rsid w:val="00574A14"/>
    <w:rsid w:val="00574A65"/>
    <w:rsid w:val="00574A92"/>
    <w:rsid w:val="00574B06"/>
    <w:rsid w:val="00574B2B"/>
    <w:rsid w:val="00574B48"/>
    <w:rsid w:val="00574B61"/>
    <w:rsid w:val="00574B93"/>
    <w:rsid w:val="00574BDD"/>
    <w:rsid w:val="00574BE7"/>
    <w:rsid w:val="00574BEF"/>
    <w:rsid w:val="00574C0B"/>
    <w:rsid w:val="00574C5B"/>
    <w:rsid w:val="00574CB1"/>
    <w:rsid w:val="00574D32"/>
    <w:rsid w:val="00574D39"/>
    <w:rsid w:val="00574DB6"/>
    <w:rsid w:val="00574E8A"/>
    <w:rsid w:val="00574E8F"/>
    <w:rsid w:val="00574EA0"/>
    <w:rsid w:val="00574EA8"/>
    <w:rsid w:val="00574EB6"/>
    <w:rsid w:val="00574EEE"/>
    <w:rsid w:val="00574F4E"/>
    <w:rsid w:val="00574FC2"/>
    <w:rsid w:val="00575019"/>
    <w:rsid w:val="0057504A"/>
    <w:rsid w:val="0057505B"/>
    <w:rsid w:val="00575189"/>
    <w:rsid w:val="005751A6"/>
    <w:rsid w:val="005751B0"/>
    <w:rsid w:val="005751EB"/>
    <w:rsid w:val="00575230"/>
    <w:rsid w:val="00575272"/>
    <w:rsid w:val="0057534A"/>
    <w:rsid w:val="0057538F"/>
    <w:rsid w:val="005753C8"/>
    <w:rsid w:val="00575538"/>
    <w:rsid w:val="0057554A"/>
    <w:rsid w:val="0057554D"/>
    <w:rsid w:val="005756F0"/>
    <w:rsid w:val="00575707"/>
    <w:rsid w:val="00575718"/>
    <w:rsid w:val="00575725"/>
    <w:rsid w:val="00575730"/>
    <w:rsid w:val="00575771"/>
    <w:rsid w:val="00575785"/>
    <w:rsid w:val="0057579B"/>
    <w:rsid w:val="005757D9"/>
    <w:rsid w:val="0057582A"/>
    <w:rsid w:val="005758B2"/>
    <w:rsid w:val="00575902"/>
    <w:rsid w:val="00575A3B"/>
    <w:rsid w:val="00575ABF"/>
    <w:rsid w:val="00575AC0"/>
    <w:rsid w:val="00575B03"/>
    <w:rsid w:val="00575B6E"/>
    <w:rsid w:val="00575B73"/>
    <w:rsid w:val="00575BAC"/>
    <w:rsid w:val="00575BB0"/>
    <w:rsid w:val="00575BCF"/>
    <w:rsid w:val="00575C53"/>
    <w:rsid w:val="00575C99"/>
    <w:rsid w:val="00575C9A"/>
    <w:rsid w:val="00575CC3"/>
    <w:rsid w:val="00575DC5"/>
    <w:rsid w:val="00575E0B"/>
    <w:rsid w:val="00575E18"/>
    <w:rsid w:val="00575E1B"/>
    <w:rsid w:val="00575EF5"/>
    <w:rsid w:val="00575F57"/>
    <w:rsid w:val="00575FAE"/>
    <w:rsid w:val="00575FB0"/>
    <w:rsid w:val="00575FBB"/>
    <w:rsid w:val="00575FDB"/>
    <w:rsid w:val="00575FFE"/>
    <w:rsid w:val="00576033"/>
    <w:rsid w:val="0057608A"/>
    <w:rsid w:val="005760BB"/>
    <w:rsid w:val="0057614D"/>
    <w:rsid w:val="00576164"/>
    <w:rsid w:val="005761C3"/>
    <w:rsid w:val="00576215"/>
    <w:rsid w:val="00576231"/>
    <w:rsid w:val="0057628D"/>
    <w:rsid w:val="00576330"/>
    <w:rsid w:val="0057638F"/>
    <w:rsid w:val="005763B7"/>
    <w:rsid w:val="00576454"/>
    <w:rsid w:val="0057646B"/>
    <w:rsid w:val="005764DB"/>
    <w:rsid w:val="0057654D"/>
    <w:rsid w:val="0057658D"/>
    <w:rsid w:val="0057659A"/>
    <w:rsid w:val="00576649"/>
    <w:rsid w:val="0057668F"/>
    <w:rsid w:val="00576719"/>
    <w:rsid w:val="00576774"/>
    <w:rsid w:val="005767AD"/>
    <w:rsid w:val="005768D7"/>
    <w:rsid w:val="005769AB"/>
    <w:rsid w:val="005769B5"/>
    <w:rsid w:val="005769F4"/>
    <w:rsid w:val="00576A4C"/>
    <w:rsid w:val="00576A69"/>
    <w:rsid w:val="00576B83"/>
    <w:rsid w:val="00576C3D"/>
    <w:rsid w:val="00576C56"/>
    <w:rsid w:val="00576C62"/>
    <w:rsid w:val="00576CC1"/>
    <w:rsid w:val="00576D0F"/>
    <w:rsid w:val="00576DAF"/>
    <w:rsid w:val="00576DD2"/>
    <w:rsid w:val="00576DE2"/>
    <w:rsid w:val="00576E07"/>
    <w:rsid w:val="00576F0D"/>
    <w:rsid w:val="00576F2C"/>
    <w:rsid w:val="00576F80"/>
    <w:rsid w:val="00576FF2"/>
    <w:rsid w:val="0057700C"/>
    <w:rsid w:val="0057706E"/>
    <w:rsid w:val="005770A9"/>
    <w:rsid w:val="005770AE"/>
    <w:rsid w:val="00577163"/>
    <w:rsid w:val="005771E8"/>
    <w:rsid w:val="005771E9"/>
    <w:rsid w:val="0057720C"/>
    <w:rsid w:val="0057721D"/>
    <w:rsid w:val="0057725D"/>
    <w:rsid w:val="005772A7"/>
    <w:rsid w:val="005772F7"/>
    <w:rsid w:val="0057734A"/>
    <w:rsid w:val="005773BD"/>
    <w:rsid w:val="005773D3"/>
    <w:rsid w:val="005773F6"/>
    <w:rsid w:val="00577448"/>
    <w:rsid w:val="00577498"/>
    <w:rsid w:val="005774FD"/>
    <w:rsid w:val="005775AF"/>
    <w:rsid w:val="00577679"/>
    <w:rsid w:val="0057768B"/>
    <w:rsid w:val="005776B2"/>
    <w:rsid w:val="005776C6"/>
    <w:rsid w:val="00577726"/>
    <w:rsid w:val="00577727"/>
    <w:rsid w:val="0057773C"/>
    <w:rsid w:val="005777B8"/>
    <w:rsid w:val="0057791D"/>
    <w:rsid w:val="00577999"/>
    <w:rsid w:val="005779A6"/>
    <w:rsid w:val="005779A7"/>
    <w:rsid w:val="005779E9"/>
    <w:rsid w:val="00577A28"/>
    <w:rsid w:val="00577AE8"/>
    <w:rsid w:val="00577AEB"/>
    <w:rsid w:val="00577B27"/>
    <w:rsid w:val="00577CC5"/>
    <w:rsid w:val="00577CCB"/>
    <w:rsid w:val="00577CD4"/>
    <w:rsid w:val="00577D4E"/>
    <w:rsid w:val="00577DFC"/>
    <w:rsid w:val="00577F13"/>
    <w:rsid w:val="00577F5C"/>
    <w:rsid w:val="00577F85"/>
    <w:rsid w:val="00577FD3"/>
    <w:rsid w:val="00577FEA"/>
    <w:rsid w:val="00580044"/>
    <w:rsid w:val="00580134"/>
    <w:rsid w:val="005802CF"/>
    <w:rsid w:val="00580356"/>
    <w:rsid w:val="00580371"/>
    <w:rsid w:val="005803A9"/>
    <w:rsid w:val="005804B8"/>
    <w:rsid w:val="005804FF"/>
    <w:rsid w:val="00580537"/>
    <w:rsid w:val="005805BF"/>
    <w:rsid w:val="00580639"/>
    <w:rsid w:val="00580660"/>
    <w:rsid w:val="00580675"/>
    <w:rsid w:val="00580733"/>
    <w:rsid w:val="00580740"/>
    <w:rsid w:val="005807A5"/>
    <w:rsid w:val="005807CE"/>
    <w:rsid w:val="005807F0"/>
    <w:rsid w:val="00580811"/>
    <w:rsid w:val="0058087F"/>
    <w:rsid w:val="0058088E"/>
    <w:rsid w:val="00580923"/>
    <w:rsid w:val="0058098D"/>
    <w:rsid w:val="00580A5C"/>
    <w:rsid w:val="00580AC8"/>
    <w:rsid w:val="00580AFD"/>
    <w:rsid w:val="00580B5D"/>
    <w:rsid w:val="00580BB9"/>
    <w:rsid w:val="00580C36"/>
    <w:rsid w:val="00580CA7"/>
    <w:rsid w:val="00580D19"/>
    <w:rsid w:val="00580D33"/>
    <w:rsid w:val="00580D9F"/>
    <w:rsid w:val="00580DAE"/>
    <w:rsid w:val="00580E05"/>
    <w:rsid w:val="00580E25"/>
    <w:rsid w:val="00580E2E"/>
    <w:rsid w:val="00580EEE"/>
    <w:rsid w:val="00580F1A"/>
    <w:rsid w:val="00580F98"/>
    <w:rsid w:val="0058100F"/>
    <w:rsid w:val="005810B0"/>
    <w:rsid w:val="005810B5"/>
    <w:rsid w:val="005810C9"/>
    <w:rsid w:val="005811C0"/>
    <w:rsid w:val="0058128A"/>
    <w:rsid w:val="005812E1"/>
    <w:rsid w:val="005812FD"/>
    <w:rsid w:val="00581350"/>
    <w:rsid w:val="00581386"/>
    <w:rsid w:val="005813CE"/>
    <w:rsid w:val="0058142D"/>
    <w:rsid w:val="00581464"/>
    <w:rsid w:val="00581470"/>
    <w:rsid w:val="005814E3"/>
    <w:rsid w:val="005815A5"/>
    <w:rsid w:val="0058161B"/>
    <w:rsid w:val="00581620"/>
    <w:rsid w:val="005816D5"/>
    <w:rsid w:val="005816DC"/>
    <w:rsid w:val="0058171C"/>
    <w:rsid w:val="0058178E"/>
    <w:rsid w:val="005817D0"/>
    <w:rsid w:val="0058184A"/>
    <w:rsid w:val="0058189E"/>
    <w:rsid w:val="005818AA"/>
    <w:rsid w:val="00581905"/>
    <w:rsid w:val="0058195E"/>
    <w:rsid w:val="00581A4F"/>
    <w:rsid w:val="00581AB3"/>
    <w:rsid w:val="00581ABC"/>
    <w:rsid w:val="00581B51"/>
    <w:rsid w:val="00581BB9"/>
    <w:rsid w:val="00581C22"/>
    <w:rsid w:val="00581C86"/>
    <w:rsid w:val="00581CBF"/>
    <w:rsid w:val="00581D8C"/>
    <w:rsid w:val="00581DE9"/>
    <w:rsid w:val="00581E14"/>
    <w:rsid w:val="00581F0E"/>
    <w:rsid w:val="00581F46"/>
    <w:rsid w:val="00581FC8"/>
    <w:rsid w:val="00581FCB"/>
    <w:rsid w:val="0058202F"/>
    <w:rsid w:val="00582051"/>
    <w:rsid w:val="005820A9"/>
    <w:rsid w:val="005820BF"/>
    <w:rsid w:val="005820C9"/>
    <w:rsid w:val="005821B0"/>
    <w:rsid w:val="005821C3"/>
    <w:rsid w:val="00582214"/>
    <w:rsid w:val="0058222A"/>
    <w:rsid w:val="0058229B"/>
    <w:rsid w:val="005822D5"/>
    <w:rsid w:val="0058231A"/>
    <w:rsid w:val="00582336"/>
    <w:rsid w:val="005823AC"/>
    <w:rsid w:val="005823AD"/>
    <w:rsid w:val="00582401"/>
    <w:rsid w:val="00582450"/>
    <w:rsid w:val="005824BA"/>
    <w:rsid w:val="005824C3"/>
    <w:rsid w:val="005824D0"/>
    <w:rsid w:val="00582500"/>
    <w:rsid w:val="0058261D"/>
    <w:rsid w:val="0058262D"/>
    <w:rsid w:val="00582650"/>
    <w:rsid w:val="005826BA"/>
    <w:rsid w:val="0058275A"/>
    <w:rsid w:val="0058276E"/>
    <w:rsid w:val="0058278A"/>
    <w:rsid w:val="005827E7"/>
    <w:rsid w:val="005827ED"/>
    <w:rsid w:val="00582827"/>
    <w:rsid w:val="0058292C"/>
    <w:rsid w:val="00582948"/>
    <w:rsid w:val="005829AB"/>
    <w:rsid w:val="005829EE"/>
    <w:rsid w:val="00582A10"/>
    <w:rsid w:val="00582AC4"/>
    <w:rsid w:val="00582B0C"/>
    <w:rsid w:val="00582BD4"/>
    <w:rsid w:val="00582BEB"/>
    <w:rsid w:val="00582C77"/>
    <w:rsid w:val="00582CDC"/>
    <w:rsid w:val="00582CDF"/>
    <w:rsid w:val="00582CF2"/>
    <w:rsid w:val="00582D4C"/>
    <w:rsid w:val="00582D7D"/>
    <w:rsid w:val="00582DBB"/>
    <w:rsid w:val="00582DD1"/>
    <w:rsid w:val="00582DD4"/>
    <w:rsid w:val="00582E07"/>
    <w:rsid w:val="00582E81"/>
    <w:rsid w:val="00582E99"/>
    <w:rsid w:val="00582F02"/>
    <w:rsid w:val="00582F1E"/>
    <w:rsid w:val="00582FD9"/>
    <w:rsid w:val="00583176"/>
    <w:rsid w:val="00583199"/>
    <w:rsid w:val="005831E6"/>
    <w:rsid w:val="00583200"/>
    <w:rsid w:val="00583221"/>
    <w:rsid w:val="00583240"/>
    <w:rsid w:val="0058324B"/>
    <w:rsid w:val="00583286"/>
    <w:rsid w:val="005832AC"/>
    <w:rsid w:val="005832AF"/>
    <w:rsid w:val="00583301"/>
    <w:rsid w:val="00583317"/>
    <w:rsid w:val="0058331A"/>
    <w:rsid w:val="0058331F"/>
    <w:rsid w:val="00583327"/>
    <w:rsid w:val="00583343"/>
    <w:rsid w:val="0058335F"/>
    <w:rsid w:val="0058336B"/>
    <w:rsid w:val="00583390"/>
    <w:rsid w:val="00583419"/>
    <w:rsid w:val="0058341D"/>
    <w:rsid w:val="00583457"/>
    <w:rsid w:val="00583477"/>
    <w:rsid w:val="00583483"/>
    <w:rsid w:val="005834D1"/>
    <w:rsid w:val="005834D3"/>
    <w:rsid w:val="005834FF"/>
    <w:rsid w:val="00583551"/>
    <w:rsid w:val="005835D2"/>
    <w:rsid w:val="00583615"/>
    <w:rsid w:val="0058366E"/>
    <w:rsid w:val="0058373F"/>
    <w:rsid w:val="005837FB"/>
    <w:rsid w:val="005837FC"/>
    <w:rsid w:val="0058381A"/>
    <w:rsid w:val="00583866"/>
    <w:rsid w:val="005838C1"/>
    <w:rsid w:val="005838FD"/>
    <w:rsid w:val="005838FE"/>
    <w:rsid w:val="00583AD4"/>
    <w:rsid w:val="00583B5D"/>
    <w:rsid w:val="00583BB4"/>
    <w:rsid w:val="00583BE8"/>
    <w:rsid w:val="00583BEF"/>
    <w:rsid w:val="00583C11"/>
    <w:rsid w:val="00583C74"/>
    <w:rsid w:val="00583C91"/>
    <w:rsid w:val="00583C92"/>
    <w:rsid w:val="00583CDA"/>
    <w:rsid w:val="00583D38"/>
    <w:rsid w:val="00583D7A"/>
    <w:rsid w:val="00583DE9"/>
    <w:rsid w:val="00583EB7"/>
    <w:rsid w:val="00583EBF"/>
    <w:rsid w:val="00583F4C"/>
    <w:rsid w:val="00583F4E"/>
    <w:rsid w:val="00584002"/>
    <w:rsid w:val="005840DA"/>
    <w:rsid w:val="0058418D"/>
    <w:rsid w:val="005841A6"/>
    <w:rsid w:val="005841B5"/>
    <w:rsid w:val="00584274"/>
    <w:rsid w:val="00584282"/>
    <w:rsid w:val="00584297"/>
    <w:rsid w:val="005842F5"/>
    <w:rsid w:val="00584321"/>
    <w:rsid w:val="00584346"/>
    <w:rsid w:val="00584349"/>
    <w:rsid w:val="00584391"/>
    <w:rsid w:val="005843DF"/>
    <w:rsid w:val="005843F5"/>
    <w:rsid w:val="00584483"/>
    <w:rsid w:val="0058455D"/>
    <w:rsid w:val="00584565"/>
    <w:rsid w:val="005845B2"/>
    <w:rsid w:val="005846AC"/>
    <w:rsid w:val="005846ED"/>
    <w:rsid w:val="005846F8"/>
    <w:rsid w:val="0058476F"/>
    <w:rsid w:val="0058477A"/>
    <w:rsid w:val="0058479D"/>
    <w:rsid w:val="00584813"/>
    <w:rsid w:val="00584865"/>
    <w:rsid w:val="005848B8"/>
    <w:rsid w:val="005848BF"/>
    <w:rsid w:val="00584910"/>
    <w:rsid w:val="0058493C"/>
    <w:rsid w:val="0058497A"/>
    <w:rsid w:val="00584995"/>
    <w:rsid w:val="005849C0"/>
    <w:rsid w:val="005849DB"/>
    <w:rsid w:val="005849F0"/>
    <w:rsid w:val="00584A07"/>
    <w:rsid w:val="00584A4D"/>
    <w:rsid w:val="00584ACB"/>
    <w:rsid w:val="00584ACC"/>
    <w:rsid w:val="00584AE9"/>
    <w:rsid w:val="00584B2E"/>
    <w:rsid w:val="00584BE7"/>
    <w:rsid w:val="00584C85"/>
    <w:rsid w:val="00584CD1"/>
    <w:rsid w:val="00584CEE"/>
    <w:rsid w:val="00584D7B"/>
    <w:rsid w:val="00584DA4"/>
    <w:rsid w:val="00584E52"/>
    <w:rsid w:val="00584E68"/>
    <w:rsid w:val="00584EED"/>
    <w:rsid w:val="00584F36"/>
    <w:rsid w:val="00584FAC"/>
    <w:rsid w:val="00584FBF"/>
    <w:rsid w:val="0058503B"/>
    <w:rsid w:val="0058504E"/>
    <w:rsid w:val="0058509D"/>
    <w:rsid w:val="0058514A"/>
    <w:rsid w:val="00585194"/>
    <w:rsid w:val="00585198"/>
    <w:rsid w:val="0058529E"/>
    <w:rsid w:val="005852A7"/>
    <w:rsid w:val="005852EA"/>
    <w:rsid w:val="005853B9"/>
    <w:rsid w:val="005853CE"/>
    <w:rsid w:val="00585460"/>
    <w:rsid w:val="00585477"/>
    <w:rsid w:val="00585580"/>
    <w:rsid w:val="005855DF"/>
    <w:rsid w:val="00585659"/>
    <w:rsid w:val="005856C3"/>
    <w:rsid w:val="005856CE"/>
    <w:rsid w:val="005856F9"/>
    <w:rsid w:val="0058575F"/>
    <w:rsid w:val="0058583B"/>
    <w:rsid w:val="005858B1"/>
    <w:rsid w:val="005858B9"/>
    <w:rsid w:val="005858CC"/>
    <w:rsid w:val="005858F6"/>
    <w:rsid w:val="0058595D"/>
    <w:rsid w:val="00585995"/>
    <w:rsid w:val="005859F0"/>
    <w:rsid w:val="00585A62"/>
    <w:rsid w:val="00585AAE"/>
    <w:rsid w:val="00585AB4"/>
    <w:rsid w:val="00585AC3"/>
    <w:rsid w:val="00585AC5"/>
    <w:rsid w:val="00585BB7"/>
    <w:rsid w:val="00585BBA"/>
    <w:rsid w:val="00585C3E"/>
    <w:rsid w:val="00585D18"/>
    <w:rsid w:val="00585D5A"/>
    <w:rsid w:val="00585DBA"/>
    <w:rsid w:val="00585DD6"/>
    <w:rsid w:val="00585DFB"/>
    <w:rsid w:val="00585E5F"/>
    <w:rsid w:val="00585E77"/>
    <w:rsid w:val="00585ECD"/>
    <w:rsid w:val="00585EDB"/>
    <w:rsid w:val="00585F66"/>
    <w:rsid w:val="0058602B"/>
    <w:rsid w:val="0058606D"/>
    <w:rsid w:val="005860AC"/>
    <w:rsid w:val="005860DA"/>
    <w:rsid w:val="005860FD"/>
    <w:rsid w:val="00586181"/>
    <w:rsid w:val="0058618D"/>
    <w:rsid w:val="00586246"/>
    <w:rsid w:val="005862AE"/>
    <w:rsid w:val="005862F5"/>
    <w:rsid w:val="00586347"/>
    <w:rsid w:val="005863A7"/>
    <w:rsid w:val="005863B5"/>
    <w:rsid w:val="00586462"/>
    <w:rsid w:val="00586499"/>
    <w:rsid w:val="005864A7"/>
    <w:rsid w:val="00586508"/>
    <w:rsid w:val="0058650A"/>
    <w:rsid w:val="0058654F"/>
    <w:rsid w:val="0058659A"/>
    <w:rsid w:val="005865DB"/>
    <w:rsid w:val="00586605"/>
    <w:rsid w:val="00586619"/>
    <w:rsid w:val="0058670C"/>
    <w:rsid w:val="00586778"/>
    <w:rsid w:val="005867AC"/>
    <w:rsid w:val="005867C1"/>
    <w:rsid w:val="0058680D"/>
    <w:rsid w:val="00586811"/>
    <w:rsid w:val="0058682D"/>
    <w:rsid w:val="00586857"/>
    <w:rsid w:val="005868DE"/>
    <w:rsid w:val="0058691F"/>
    <w:rsid w:val="00586950"/>
    <w:rsid w:val="00586A47"/>
    <w:rsid w:val="00586A79"/>
    <w:rsid w:val="00586A9D"/>
    <w:rsid w:val="00586AB9"/>
    <w:rsid w:val="00586AC3"/>
    <w:rsid w:val="00586B50"/>
    <w:rsid w:val="00586BB0"/>
    <w:rsid w:val="00586C66"/>
    <w:rsid w:val="00586D25"/>
    <w:rsid w:val="00586D37"/>
    <w:rsid w:val="00586DC4"/>
    <w:rsid w:val="00586DEB"/>
    <w:rsid w:val="00586EBB"/>
    <w:rsid w:val="00586FCD"/>
    <w:rsid w:val="00586FD8"/>
    <w:rsid w:val="0058707D"/>
    <w:rsid w:val="0058708B"/>
    <w:rsid w:val="0058709F"/>
    <w:rsid w:val="005870E4"/>
    <w:rsid w:val="00587171"/>
    <w:rsid w:val="005871C3"/>
    <w:rsid w:val="005871CE"/>
    <w:rsid w:val="00587280"/>
    <w:rsid w:val="005872F2"/>
    <w:rsid w:val="00587341"/>
    <w:rsid w:val="00587350"/>
    <w:rsid w:val="0058742D"/>
    <w:rsid w:val="00587596"/>
    <w:rsid w:val="0058766E"/>
    <w:rsid w:val="00587678"/>
    <w:rsid w:val="005876F4"/>
    <w:rsid w:val="0058771A"/>
    <w:rsid w:val="0058771C"/>
    <w:rsid w:val="0058774E"/>
    <w:rsid w:val="005877AC"/>
    <w:rsid w:val="00587922"/>
    <w:rsid w:val="0058793F"/>
    <w:rsid w:val="00587945"/>
    <w:rsid w:val="00587946"/>
    <w:rsid w:val="00587961"/>
    <w:rsid w:val="00587A68"/>
    <w:rsid w:val="00587A85"/>
    <w:rsid w:val="00587ADE"/>
    <w:rsid w:val="00587AE0"/>
    <w:rsid w:val="00587BF2"/>
    <w:rsid w:val="00587C16"/>
    <w:rsid w:val="00587C24"/>
    <w:rsid w:val="00587C2B"/>
    <w:rsid w:val="00587C4F"/>
    <w:rsid w:val="00587C58"/>
    <w:rsid w:val="00587CB2"/>
    <w:rsid w:val="00587D30"/>
    <w:rsid w:val="00587D3B"/>
    <w:rsid w:val="00587D99"/>
    <w:rsid w:val="00587E33"/>
    <w:rsid w:val="00587E3C"/>
    <w:rsid w:val="00587F14"/>
    <w:rsid w:val="00587F16"/>
    <w:rsid w:val="00587F27"/>
    <w:rsid w:val="00590054"/>
    <w:rsid w:val="00590092"/>
    <w:rsid w:val="00590212"/>
    <w:rsid w:val="0059021F"/>
    <w:rsid w:val="005902B4"/>
    <w:rsid w:val="005902DC"/>
    <w:rsid w:val="005902FF"/>
    <w:rsid w:val="00590368"/>
    <w:rsid w:val="00590386"/>
    <w:rsid w:val="005903C1"/>
    <w:rsid w:val="005903F6"/>
    <w:rsid w:val="00590425"/>
    <w:rsid w:val="0059042D"/>
    <w:rsid w:val="00590441"/>
    <w:rsid w:val="00590504"/>
    <w:rsid w:val="00590510"/>
    <w:rsid w:val="0059058F"/>
    <w:rsid w:val="0059059B"/>
    <w:rsid w:val="005905B4"/>
    <w:rsid w:val="005905F7"/>
    <w:rsid w:val="0059060D"/>
    <w:rsid w:val="00590648"/>
    <w:rsid w:val="00590696"/>
    <w:rsid w:val="00590730"/>
    <w:rsid w:val="0059073C"/>
    <w:rsid w:val="0059074F"/>
    <w:rsid w:val="00590815"/>
    <w:rsid w:val="00590917"/>
    <w:rsid w:val="0059093B"/>
    <w:rsid w:val="00590945"/>
    <w:rsid w:val="00590998"/>
    <w:rsid w:val="005909C3"/>
    <w:rsid w:val="005909D7"/>
    <w:rsid w:val="00590BA4"/>
    <w:rsid w:val="00590BC8"/>
    <w:rsid w:val="00590BF4"/>
    <w:rsid w:val="00590C24"/>
    <w:rsid w:val="00590C43"/>
    <w:rsid w:val="00590C81"/>
    <w:rsid w:val="00590D1A"/>
    <w:rsid w:val="00590D2C"/>
    <w:rsid w:val="00590E20"/>
    <w:rsid w:val="00590E60"/>
    <w:rsid w:val="00590E6B"/>
    <w:rsid w:val="00590E77"/>
    <w:rsid w:val="00590EC9"/>
    <w:rsid w:val="00590F11"/>
    <w:rsid w:val="00590F1A"/>
    <w:rsid w:val="00590F45"/>
    <w:rsid w:val="00590F4A"/>
    <w:rsid w:val="00590F72"/>
    <w:rsid w:val="00591091"/>
    <w:rsid w:val="005910C2"/>
    <w:rsid w:val="005910C4"/>
    <w:rsid w:val="00591102"/>
    <w:rsid w:val="00591175"/>
    <w:rsid w:val="005911CA"/>
    <w:rsid w:val="005911D6"/>
    <w:rsid w:val="00591205"/>
    <w:rsid w:val="0059123A"/>
    <w:rsid w:val="00591266"/>
    <w:rsid w:val="005912FC"/>
    <w:rsid w:val="00591302"/>
    <w:rsid w:val="00591305"/>
    <w:rsid w:val="0059134D"/>
    <w:rsid w:val="005913E0"/>
    <w:rsid w:val="005913E6"/>
    <w:rsid w:val="00591434"/>
    <w:rsid w:val="005914EE"/>
    <w:rsid w:val="00591504"/>
    <w:rsid w:val="005915F6"/>
    <w:rsid w:val="0059163A"/>
    <w:rsid w:val="0059163D"/>
    <w:rsid w:val="00591652"/>
    <w:rsid w:val="0059167E"/>
    <w:rsid w:val="00591794"/>
    <w:rsid w:val="005917B3"/>
    <w:rsid w:val="005917D2"/>
    <w:rsid w:val="005917E1"/>
    <w:rsid w:val="0059186B"/>
    <w:rsid w:val="005918E7"/>
    <w:rsid w:val="00591912"/>
    <w:rsid w:val="0059196F"/>
    <w:rsid w:val="0059198A"/>
    <w:rsid w:val="00591A63"/>
    <w:rsid w:val="00591AA6"/>
    <w:rsid w:val="00591AF0"/>
    <w:rsid w:val="00591B19"/>
    <w:rsid w:val="00591BDD"/>
    <w:rsid w:val="00591BE1"/>
    <w:rsid w:val="00591BFA"/>
    <w:rsid w:val="00591C10"/>
    <w:rsid w:val="00591C3A"/>
    <w:rsid w:val="00591CC0"/>
    <w:rsid w:val="00591D07"/>
    <w:rsid w:val="00591D5A"/>
    <w:rsid w:val="00591D62"/>
    <w:rsid w:val="00591D66"/>
    <w:rsid w:val="00591DC2"/>
    <w:rsid w:val="00591E71"/>
    <w:rsid w:val="00591F23"/>
    <w:rsid w:val="00591F47"/>
    <w:rsid w:val="00591F84"/>
    <w:rsid w:val="00591FB1"/>
    <w:rsid w:val="00591FBD"/>
    <w:rsid w:val="00591FD5"/>
    <w:rsid w:val="00592026"/>
    <w:rsid w:val="00592041"/>
    <w:rsid w:val="0059205A"/>
    <w:rsid w:val="0059207F"/>
    <w:rsid w:val="00592104"/>
    <w:rsid w:val="0059215C"/>
    <w:rsid w:val="00592197"/>
    <w:rsid w:val="00592218"/>
    <w:rsid w:val="0059224F"/>
    <w:rsid w:val="00592251"/>
    <w:rsid w:val="0059225A"/>
    <w:rsid w:val="00592328"/>
    <w:rsid w:val="0059237C"/>
    <w:rsid w:val="005923E9"/>
    <w:rsid w:val="00592427"/>
    <w:rsid w:val="0059242D"/>
    <w:rsid w:val="0059243F"/>
    <w:rsid w:val="0059245B"/>
    <w:rsid w:val="00592470"/>
    <w:rsid w:val="00592511"/>
    <w:rsid w:val="0059251B"/>
    <w:rsid w:val="00592598"/>
    <w:rsid w:val="005925F5"/>
    <w:rsid w:val="00592657"/>
    <w:rsid w:val="005926D5"/>
    <w:rsid w:val="005926F0"/>
    <w:rsid w:val="005926FD"/>
    <w:rsid w:val="00592728"/>
    <w:rsid w:val="00592758"/>
    <w:rsid w:val="00592786"/>
    <w:rsid w:val="005927DF"/>
    <w:rsid w:val="00592872"/>
    <w:rsid w:val="005928BD"/>
    <w:rsid w:val="005928F3"/>
    <w:rsid w:val="00592960"/>
    <w:rsid w:val="005929D0"/>
    <w:rsid w:val="00592A11"/>
    <w:rsid w:val="00592A2A"/>
    <w:rsid w:val="00592AAF"/>
    <w:rsid w:val="00592B42"/>
    <w:rsid w:val="00592C80"/>
    <w:rsid w:val="00592CCD"/>
    <w:rsid w:val="00592CD8"/>
    <w:rsid w:val="00592D16"/>
    <w:rsid w:val="00592D6C"/>
    <w:rsid w:val="00592D7F"/>
    <w:rsid w:val="00592DAF"/>
    <w:rsid w:val="00592E3E"/>
    <w:rsid w:val="00592E4D"/>
    <w:rsid w:val="00592E5B"/>
    <w:rsid w:val="00592F12"/>
    <w:rsid w:val="00592F19"/>
    <w:rsid w:val="00592FE0"/>
    <w:rsid w:val="00593097"/>
    <w:rsid w:val="00593128"/>
    <w:rsid w:val="0059315E"/>
    <w:rsid w:val="0059316E"/>
    <w:rsid w:val="005931A0"/>
    <w:rsid w:val="005931A8"/>
    <w:rsid w:val="005931F2"/>
    <w:rsid w:val="00593271"/>
    <w:rsid w:val="00593338"/>
    <w:rsid w:val="00593364"/>
    <w:rsid w:val="00593387"/>
    <w:rsid w:val="005933C2"/>
    <w:rsid w:val="005933D2"/>
    <w:rsid w:val="005933F9"/>
    <w:rsid w:val="0059344A"/>
    <w:rsid w:val="00593459"/>
    <w:rsid w:val="00593477"/>
    <w:rsid w:val="005934B2"/>
    <w:rsid w:val="005934BA"/>
    <w:rsid w:val="005934E2"/>
    <w:rsid w:val="005934F3"/>
    <w:rsid w:val="00593502"/>
    <w:rsid w:val="0059354A"/>
    <w:rsid w:val="0059354D"/>
    <w:rsid w:val="005935D8"/>
    <w:rsid w:val="00593614"/>
    <w:rsid w:val="00593652"/>
    <w:rsid w:val="00593679"/>
    <w:rsid w:val="005936B4"/>
    <w:rsid w:val="005937F1"/>
    <w:rsid w:val="005938DA"/>
    <w:rsid w:val="00593924"/>
    <w:rsid w:val="00593931"/>
    <w:rsid w:val="0059393A"/>
    <w:rsid w:val="005939E6"/>
    <w:rsid w:val="005939E9"/>
    <w:rsid w:val="00593A13"/>
    <w:rsid w:val="00593B1A"/>
    <w:rsid w:val="00593B64"/>
    <w:rsid w:val="00593B86"/>
    <w:rsid w:val="00593C09"/>
    <w:rsid w:val="00593C81"/>
    <w:rsid w:val="00593CA2"/>
    <w:rsid w:val="00593D13"/>
    <w:rsid w:val="00593DC6"/>
    <w:rsid w:val="00593DFE"/>
    <w:rsid w:val="00593E15"/>
    <w:rsid w:val="00593E3F"/>
    <w:rsid w:val="00593E6D"/>
    <w:rsid w:val="00593EB4"/>
    <w:rsid w:val="00593EBF"/>
    <w:rsid w:val="00593EC3"/>
    <w:rsid w:val="00593F4B"/>
    <w:rsid w:val="00593F7C"/>
    <w:rsid w:val="00593F9B"/>
    <w:rsid w:val="00593FC9"/>
    <w:rsid w:val="0059400D"/>
    <w:rsid w:val="00594012"/>
    <w:rsid w:val="00594034"/>
    <w:rsid w:val="00594096"/>
    <w:rsid w:val="00594107"/>
    <w:rsid w:val="00594177"/>
    <w:rsid w:val="00594219"/>
    <w:rsid w:val="00594231"/>
    <w:rsid w:val="00594266"/>
    <w:rsid w:val="0059426F"/>
    <w:rsid w:val="005942D9"/>
    <w:rsid w:val="005942E0"/>
    <w:rsid w:val="0059436A"/>
    <w:rsid w:val="00594409"/>
    <w:rsid w:val="00594431"/>
    <w:rsid w:val="0059444C"/>
    <w:rsid w:val="00594465"/>
    <w:rsid w:val="00594508"/>
    <w:rsid w:val="00594529"/>
    <w:rsid w:val="005945A9"/>
    <w:rsid w:val="005945B0"/>
    <w:rsid w:val="005945F4"/>
    <w:rsid w:val="005945F7"/>
    <w:rsid w:val="0059463B"/>
    <w:rsid w:val="0059466A"/>
    <w:rsid w:val="005947D8"/>
    <w:rsid w:val="005947F6"/>
    <w:rsid w:val="00594854"/>
    <w:rsid w:val="005948BA"/>
    <w:rsid w:val="00594953"/>
    <w:rsid w:val="00594971"/>
    <w:rsid w:val="005949F2"/>
    <w:rsid w:val="00594A17"/>
    <w:rsid w:val="00594AA3"/>
    <w:rsid w:val="00594ACC"/>
    <w:rsid w:val="00594B04"/>
    <w:rsid w:val="00594BBD"/>
    <w:rsid w:val="00594BC2"/>
    <w:rsid w:val="00594BEE"/>
    <w:rsid w:val="00594C28"/>
    <w:rsid w:val="00594C77"/>
    <w:rsid w:val="00594CC0"/>
    <w:rsid w:val="00594CF0"/>
    <w:rsid w:val="00594D07"/>
    <w:rsid w:val="00594DC9"/>
    <w:rsid w:val="00594DD0"/>
    <w:rsid w:val="00594E7C"/>
    <w:rsid w:val="00594EA6"/>
    <w:rsid w:val="00594F5F"/>
    <w:rsid w:val="00594F73"/>
    <w:rsid w:val="0059501C"/>
    <w:rsid w:val="00595076"/>
    <w:rsid w:val="0059509E"/>
    <w:rsid w:val="005950EE"/>
    <w:rsid w:val="0059514C"/>
    <w:rsid w:val="005952AE"/>
    <w:rsid w:val="005952BB"/>
    <w:rsid w:val="00595373"/>
    <w:rsid w:val="00595381"/>
    <w:rsid w:val="00595391"/>
    <w:rsid w:val="005953AC"/>
    <w:rsid w:val="005953D2"/>
    <w:rsid w:val="00595457"/>
    <w:rsid w:val="00595573"/>
    <w:rsid w:val="0059557F"/>
    <w:rsid w:val="0059561B"/>
    <w:rsid w:val="005956B9"/>
    <w:rsid w:val="0059570D"/>
    <w:rsid w:val="00595786"/>
    <w:rsid w:val="00595789"/>
    <w:rsid w:val="0059579F"/>
    <w:rsid w:val="005957D9"/>
    <w:rsid w:val="00595881"/>
    <w:rsid w:val="005958EE"/>
    <w:rsid w:val="00595912"/>
    <w:rsid w:val="005959A7"/>
    <w:rsid w:val="005959B6"/>
    <w:rsid w:val="00595AAB"/>
    <w:rsid w:val="00595AFA"/>
    <w:rsid w:val="00595B38"/>
    <w:rsid w:val="00595BAA"/>
    <w:rsid w:val="00595C28"/>
    <w:rsid w:val="00595D38"/>
    <w:rsid w:val="00595D52"/>
    <w:rsid w:val="00595D72"/>
    <w:rsid w:val="00595D76"/>
    <w:rsid w:val="00595D9A"/>
    <w:rsid w:val="00595DB9"/>
    <w:rsid w:val="00595E24"/>
    <w:rsid w:val="00595E2D"/>
    <w:rsid w:val="00595E45"/>
    <w:rsid w:val="00595E80"/>
    <w:rsid w:val="00595E88"/>
    <w:rsid w:val="00595ED7"/>
    <w:rsid w:val="00595F5E"/>
    <w:rsid w:val="00595F7B"/>
    <w:rsid w:val="00595F95"/>
    <w:rsid w:val="0059600C"/>
    <w:rsid w:val="005960CA"/>
    <w:rsid w:val="005961AD"/>
    <w:rsid w:val="005961C5"/>
    <w:rsid w:val="005961EF"/>
    <w:rsid w:val="0059620C"/>
    <w:rsid w:val="005962BD"/>
    <w:rsid w:val="005962C9"/>
    <w:rsid w:val="00596302"/>
    <w:rsid w:val="0059632D"/>
    <w:rsid w:val="0059635F"/>
    <w:rsid w:val="0059637A"/>
    <w:rsid w:val="00596405"/>
    <w:rsid w:val="00596449"/>
    <w:rsid w:val="005965B9"/>
    <w:rsid w:val="0059668A"/>
    <w:rsid w:val="00596694"/>
    <w:rsid w:val="005966AC"/>
    <w:rsid w:val="005966B7"/>
    <w:rsid w:val="005966F2"/>
    <w:rsid w:val="00596712"/>
    <w:rsid w:val="00596740"/>
    <w:rsid w:val="00596749"/>
    <w:rsid w:val="00596785"/>
    <w:rsid w:val="005967BA"/>
    <w:rsid w:val="005967E1"/>
    <w:rsid w:val="005967F6"/>
    <w:rsid w:val="0059693F"/>
    <w:rsid w:val="005969C7"/>
    <w:rsid w:val="005969CE"/>
    <w:rsid w:val="00596A74"/>
    <w:rsid w:val="00596AB9"/>
    <w:rsid w:val="00596B26"/>
    <w:rsid w:val="00596C56"/>
    <w:rsid w:val="00596CC1"/>
    <w:rsid w:val="00596D13"/>
    <w:rsid w:val="00596DA3"/>
    <w:rsid w:val="00596DAB"/>
    <w:rsid w:val="00596E50"/>
    <w:rsid w:val="00596E84"/>
    <w:rsid w:val="00596E9B"/>
    <w:rsid w:val="00596EC8"/>
    <w:rsid w:val="00596F65"/>
    <w:rsid w:val="00596F9E"/>
    <w:rsid w:val="00596FFD"/>
    <w:rsid w:val="00597097"/>
    <w:rsid w:val="0059709D"/>
    <w:rsid w:val="00597115"/>
    <w:rsid w:val="00597147"/>
    <w:rsid w:val="0059718F"/>
    <w:rsid w:val="005971AE"/>
    <w:rsid w:val="005971B8"/>
    <w:rsid w:val="00597231"/>
    <w:rsid w:val="0059723D"/>
    <w:rsid w:val="0059724E"/>
    <w:rsid w:val="00597264"/>
    <w:rsid w:val="005972D9"/>
    <w:rsid w:val="00597314"/>
    <w:rsid w:val="0059732D"/>
    <w:rsid w:val="0059733E"/>
    <w:rsid w:val="00597379"/>
    <w:rsid w:val="005973B5"/>
    <w:rsid w:val="005973E7"/>
    <w:rsid w:val="00597413"/>
    <w:rsid w:val="005974B6"/>
    <w:rsid w:val="005974C7"/>
    <w:rsid w:val="005974EA"/>
    <w:rsid w:val="00597531"/>
    <w:rsid w:val="0059755D"/>
    <w:rsid w:val="00597568"/>
    <w:rsid w:val="005975D0"/>
    <w:rsid w:val="00597633"/>
    <w:rsid w:val="00597635"/>
    <w:rsid w:val="0059768B"/>
    <w:rsid w:val="005976F8"/>
    <w:rsid w:val="00597741"/>
    <w:rsid w:val="0059775E"/>
    <w:rsid w:val="005977D6"/>
    <w:rsid w:val="0059781A"/>
    <w:rsid w:val="00597855"/>
    <w:rsid w:val="005978F5"/>
    <w:rsid w:val="00597970"/>
    <w:rsid w:val="005979ED"/>
    <w:rsid w:val="00597A10"/>
    <w:rsid w:val="00597A98"/>
    <w:rsid w:val="00597AF4"/>
    <w:rsid w:val="00597B65"/>
    <w:rsid w:val="00597B9D"/>
    <w:rsid w:val="00597CD7"/>
    <w:rsid w:val="00597D22"/>
    <w:rsid w:val="00597DBB"/>
    <w:rsid w:val="00597DE5"/>
    <w:rsid w:val="00597DFA"/>
    <w:rsid w:val="00597E16"/>
    <w:rsid w:val="00597E23"/>
    <w:rsid w:val="00597E8E"/>
    <w:rsid w:val="00597F1B"/>
    <w:rsid w:val="00597FA3"/>
    <w:rsid w:val="005A0022"/>
    <w:rsid w:val="005A0044"/>
    <w:rsid w:val="005A004D"/>
    <w:rsid w:val="005A0086"/>
    <w:rsid w:val="005A00EB"/>
    <w:rsid w:val="005A0151"/>
    <w:rsid w:val="005A0238"/>
    <w:rsid w:val="005A023B"/>
    <w:rsid w:val="005A02A8"/>
    <w:rsid w:val="005A02C4"/>
    <w:rsid w:val="005A0307"/>
    <w:rsid w:val="005A0312"/>
    <w:rsid w:val="005A03AE"/>
    <w:rsid w:val="005A0453"/>
    <w:rsid w:val="005A0483"/>
    <w:rsid w:val="005A04A9"/>
    <w:rsid w:val="005A04B1"/>
    <w:rsid w:val="005A04D9"/>
    <w:rsid w:val="005A0556"/>
    <w:rsid w:val="005A0582"/>
    <w:rsid w:val="005A0590"/>
    <w:rsid w:val="005A05BC"/>
    <w:rsid w:val="005A0613"/>
    <w:rsid w:val="005A0652"/>
    <w:rsid w:val="005A0681"/>
    <w:rsid w:val="005A06C1"/>
    <w:rsid w:val="005A06C3"/>
    <w:rsid w:val="005A06EC"/>
    <w:rsid w:val="005A0804"/>
    <w:rsid w:val="005A0811"/>
    <w:rsid w:val="005A0836"/>
    <w:rsid w:val="005A0855"/>
    <w:rsid w:val="005A08BB"/>
    <w:rsid w:val="005A08C9"/>
    <w:rsid w:val="005A0912"/>
    <w:rsid w:val="005A09B3"/>
    <w:rsid w:val="005A09C4"/>
    <w:rsid w:val="005A09D1"/>
    <w:rsid w:val="005A09D7"/>
    <w:rsid w:val="005A0B6E"/>
    <w:rsid w:val="005A0B71"/>
    <w:rsid w:val="005A0CF0"/>
    <w:rsid w:val="005A0D4B"/>
    <w:rsid w:val="005A0E3A"/>
    <w:rsid w:val="005A0ED0"/>
    <w:rsid w:val="005A0F06"/>
    <w:rsid w:val="005A0F0F"/>
    <w:rsid w:val="005A0F1C"/>
    <w:rsid w:val="005A0F2E"/>
    <w:rsid w:val="005A0F5F"/>
    <w:rsid w:val="005A100F"/>
    <w:rsid w:val="005A1015"/>
    <w:rsid w:val="005A104A"/>
    <w:rsid w:val="005A105C"/>
    <w:rsid w:val="005A1076"/>
    <w:rsid w:val="005A10D4"/>
    <w:rsid w:val="005A115A"/>
    <w:rsid w:val="005A118E"/>
    <w:rsid w:val="005A122B"/>
    <w:rsid w:val="005A124B"/>
    <w:rsid w:val="005A12B0"/>
    <w:rsid w:val="005A12B2"/>
    <w:rsid w:val="005A12C0"/>
    <w:rsid w:val="005A1315"/>
    <w:rsid w:val="005A1387"/>
    <w:rsid w:val="005A13A6"/>
    <w:rsid w:val="005A13E6"/>
    <w:rsid w:val="005A1574"/>
    <w:rsid w:val="005A15BC"/>
    <w:rsid w:val="005A1796"/>
    <w:rsid w:val="005A17B3"/>
    <w:rsid w:val="005A1888"/>
    <w:rsid w:val="005A189D"/>
    <w:rsid w:val="005A18B1"/>
    <w:rsid w:val="005A18DC"/>
    <w:rsid w:val="005A190B"/>
    <w:rsid w:val="005A1B07"/>
    <w:rsid w:val="005A1B12"/>
    <w:rsid w:val="005A1B3B"/>
    <w:rsid w:val="005A1BC9"/>
    <w:rsid w:val="005A1D8B"/>
    <w:rsid w:val="005A1D8C"/>
    <w:rsid w:val="005A1F42"/>
    <w:rsid w:val="005A1F56"/>
    <w:rsid w:val="005A1F6C"/>
    <w:rsid w:val="005A1F80"/>
    <w:rsid w:val="005A1F95"/>
    <w:rsid w:val="005A2088"/>
    <w:rsid w:val="005A2178"/>
    <w:rsid w:val="005A21E6"/>
    <w:rsid w:val="005A2257"/>
    <w:rsid w:val="005A22C7"/>
    <w:rsid w:val="005A22CD"/>
    <w:rsid w:val="005A22CF"/>
    <w:rsid w:val="005A22EE"/>
    <w:rsid w:val="005A238E"/>
    <w:rsid w:val="005A244F"/>
    <w:rsid w:val="005A2558"/>
    <w:rsid w:val="005A25B5"/>
    <w:rsid w:val="005A26B8"/>
    <w:rsid w:val="005A271B"/>
    <w:rsid w:val="005A2722"/>
    <w:rsid w:val="005A274F"/>
    <w:rsid w:val="005A277E"/>
    <w:rsid w:val="005A2785"/>
    <w:rsid w:val="005A279E"/>
    <w:rsid w:val="005A27B2"/>
    <w:rsid w:val="005A27B7"/>
    <w:rsid w:val="005A2840"/>
    <w:rsid w:val="005A290F"/>
    <w:rsid w:val="005A2943"/>
    <w:rsid w:val="005A296B"/>
    <w:rsid w:val="005A297B"/>
    <w:rsid w:val="005A29B0"/>
    <w:rsid w:val="005A2A22"/>
    <w:rsid w:val="005A2A33"/>
    <w:rsid w:val="005A2A7A"/>
    <w:rsid w:val="005A2A84"/>
    <w:rsid w:val="005A2B30"/>
    <w:rsid w:val="005A2BAD"/>
    <w:rsid w:val="005A2BE3"/>
    <w:rsid w:val="005A2C89"/>
    <w:rsid w:val="005A2D70"/>
    <w:rsid w:val="005A2D95"/>
    <w:rsid w:val="005A2DFE"/>
    <w:rsid w:val="005A2E16"/>
    <w:rsid w:val="005A2E62"/>
    <w:rsid w:val="005A2E8C"/>
    <w:rsid w:val="005A2EB8"/>
    <w:rsid w:val="005A2EEA"/>
    <w:rsid w:val="005A2F5B"/>
    <w:rsid w:val="005A2F8D"/>
    <w:rsid w:val="005A3172"/>
    <w:rsid w:val="005A31F1"/>
    <w:rsid w:val="005A31FE"/>
    <w:rsid w:val="005A3201"/>
    <w:rsid w:val="005A3218"/>
    <w:rsid w:val="005A327E"/>
    <w:rsid w:val="005A32B5"/>
    <w:rsid w:val="005A33FC"/>
    <w:rsid w:val="005A343E"/>
    <w:rsid w:val="005A3441"/>
    <w:rsid w:val="005A349B"/>
    <w:rsid w:val="005A354C"/>
    <w:rsid w:val="005A35C9"/>
    <w:rsid w:val="005A3660"/>
    <w:rsid w:val="005A3720"/>
    <w:rsid w:val="005A373E"/>
    <w:rsid w:val="005A3766"/>
    <w:rsid w:val="005A377B"/>
    <w:rsid w:val="005A37A6"/>
    <w:rsid w:val="005A380A"/>
    <w:rsid w:val="005A3857"/>
    <w:rsid w:val="005A38CC"/>
    <w:rsid w:val="005A3908"/>
    <w:rsid w:val="005A39A1"/>
    <w:rsid w:val="005A3A3E"/>
    <w:rsid w:val="005A3A46"/>
    <w:rsid w:val="005A3A94"/>
    <w:rsid w:val="005A3ABD"/>
    <w:rsid w:val="005A3AFC"/>
    <w:rsid w:val="005A3B24"/>
    <w:rsid w:val="005A3B57"/>
    <w:rsid w:val="005A3B7D"/>
    <w:rsid w:val="005A3BCA"/>
    <w:rsid w:val="005A3C14"/>
    <w:rsid w:val="005A3D17"/>
    <w:rsid w:val="005A3D1D"/>
    <w:rsid w:val="005A3D3C"/>
    <w:rsid w:val="005A3D62"/>
    <w:rsid w:val="005A3DAD"/>
    <w:rsid w:val="005A3DE3"/>
    <w:rsid w:val="005A3E0C"/>
    <w:rsid w:val="005A3E5A"/>
    <w:rsid w:val="005A3E62"/>
    <w:rsid w:val="005A3EB4"/>
    <w:rsid w:val="005A3EC9"/>
    <w:rsid w:val="005A3EF6"/>
    <w:rsid w:val="005A3F1D"/>
    <w:rsid w:val="005A3F43"/>
    <w:rsid w:val="005A3F7D"/>
    <w:rsid w:val="005A3F83"/>
    <w:rsid w:val="005A3F87"/>
    <w:rsid w:val="005A4007"/>
    <w:rsid w:val="005A400E"/>
    <w:rsid w:val="005A4068"/>
    <w:rsid w:val="005A406E"/>
    <w:rsid w:val="005A4102"/>
    <w:rsid w:val="005A41B8"/>
    <w:rsid w:val="005A4245"/>
    <w:rsid w:val="005A4264"/>
    <w:rsid w:val="005A430F"/>
    <w:rsid w:val="005A43C7"/>
    <w:rsid w:val="005A4480"/>
    <w:rsid w:val="005A4482"/>
    <w:rsid w:val="005A44DD"/>
    <w:rsid w:val="005A4594"/>
    <w:rsid w:val="005A461D"/>
    <w:rsid w:val="005A468E"/>
    <w:rsid w:val="005A46CC"/>
    <w:rsid w:val="005A46D5"/>
    <w:rsid w:val="005A4718"/>
    <w:rsid w:val="005A476F"/>
    <w:rsid w:val="005A4777"/>
    <w:rsid w:val="005A47F8"/>
    <w:rsid w:val="005A4800"/>
    <w:rsid w:val="005A4808"/>
    <w:rsid w:val="005A4873"/>
    <w:rsid w:val="005A48BA"/>
    <w:rsid w:val="005A48C7"/>
    <w:rsid w:val="005A48DD"/>
    <w:rsid w:val="005A48F0"/>
    <w:rsid w:val="005A4934"/>
    <w:rsid w:val="005A4955"/>
    <w:rsid w:val="005A4975"/>
    <w:rsid w:val="005A49B7"/>
    <w:rsid w:val="005A49BF"/>
    <w:rsid w:val="005A4A09"/>
    <w:rsid w:val="005A4A64"/>
    <w:rsid w:val="005A4A75"/>
    <w:rsid w:val="005A4A8C"/>
    <w:rsid w:val="005A4B0A"/>
    <w:rsid w:val="005A4B1B"/>
    <w:rsid w:val="005A4C72"/>
    <w:rsid w:val="005A4C76"/>
    <w:rsid w:val="005A4CD1"/>
    <w:rsid w:val="005A4D05"/>
    <w:rsid w:val="005A4D10"/>
    <w:rsid w:val="005A4D58"/>
    <w:rsid w:val="005A4D7C"/>
    <w:rsid w:val="005A4DA5"/>
    <w:rsid w:val="005A4DB7"/>
    <w:rsid w:val="005A4DE6"/>
    <w:rsid w:val="005A4E55"/>
    <w:rsid w:val="005A4E81"/>
    <w:rsid w:val="005A4EBC"/>
    <w:rsid w:val="005A4EEE"/>
    <w:rsid w:val="005A4EF2"/>
    <w:rsid w:val="005A5024"/>
    <w:rsid w:val="005A50DB"/>
    <w:rsid w:val="005A50E8"/>
    <w:rsid w:val="005A511A"/>
    <w:rsid w:val="005A51E4"/>
    <w:rsid w:val="005A5246"/>
    <w:rsid w:val="005A5248"/>
    <w:rsid w:val="005A527D"/>
    <w:rsid w:val="005A5326"/>
    <w:rsid w:val="005A5361"/>
    <w:rsid w:val="005A5388"/>
    <w:rsid w:val="005A53A0"/>
    <w:rsid w:val="005A53D9"/>
    <w:rsid w:val="005A5402"/>
    <w:rsid w:val="005A540E"/>
    <w:rsid w:val="005A54EE"/>
    <w:rsid w:val="005A54F2"/>
    <w:rsid w:val="005A5606"/>
    <w:rsid w:val="005A5609"/>
    <w:rsid w:val="005A5641"/>
    <w:rsid w:val="005A5659"/>
    <w:rsid w:val="005A5675"/>
    <w:rsid w:val="005A56AE"/>
    <w:rsid w:val="005A56C3"/>
    <w:rsid w:val="005A572B"/>
    <w:rsid w:val="005A57AB"/>
    <w:rsid w:val="005A57E1"/>
    <w:rsid w:val="005A58B7"/>
    <w:rsid w:val="005A58C2"/>
    <w:rsid w:val="005A58FC"/>
    <w:rsid w:val="005A5922"/>
    <w:rsid w:val="005A59CA"/>
    <w:rsid w:val="005A59F4"/>
    <w:rsid w:val="005A5A0B"/>
    <w:rsid w:val="005A5A2D"/>
    <w:rsid w:val="005A5AAD"/>
    <w:rsid w:val="005A5BAD"/>
    <w:rsid w:val="005A5BE9"/>
    <w:rsid w:val="005A5C22"/>
    <w:rsid w:val="005A5C39"/>
    <w:rsid w:val="005A5D2E"/>
    <w:rsid w:val="005A5D54"/>
    <w:rsid w:val="005A5DED"/>
    <w:rsid w:val="005A5E1E"/>
    <w:rsid w:val="005A5ED8"/>
    <w:rsid w:val="005A5F4B"/>
    <w:rsid w:val="005A5F79"/>
    <w:rsid w:val="005A5FB3"/>
    <w:rsid w:val="005A6029"/>
    <w:rsid w:val="005A60AC"/>
    <w:rsid w:val="005A617F"/>
    <w:rsid w:val="005A6196"/>
    <w:rsid w:val="005A61A2"/>
    <w:rsid w:val="005A6221"/>
    <w:rsid w:val="005A6241"/>
    <w:rsid w:val="005A62B3"/>
    <w:rsid w:val="005A63EF"/>
    <w:rsid w:val="005A6501"/>
    <w:rsid w:val="005A661C"/>
    <w:rsid w:val="005A6620"/>
    <w:rsid w:val="005A666E"/>
    <w:rsid w:val="005A6699"/>
    <w:rsid w:val="005A6753"/>
    <w:rsid w:val="005A6777"/>
    <w:rsid w:val="005A679F"/>
    <w:rsid w:val="005A67CD"/>
    <w:rsid w:val="005A67E5"/>
    <w:rsid w:val="005A687D"/>
    <w:rsid w:val="005A68A0"/>
    <w:rsid w:val="005A6925"/>
    <w:rsid w:val="005A695D"/>
    <w:rsid w:val="005A6995"/>
    <w:rsid w:val="005A699E"/>
    <w:rsid w:val="005A69A2"/>
    <w:rsid w:val="005A69B3"/>
    <w:rsid w:val="005A69E9"/>
    <w:rsid w:val="005A6A0B"/>
    <w:rsid w:val="005A6A89"/>
    <w:rsid w:val="005A6B50"/>
    <w:rsid w:val="005A6BDD"/>
    <w:rsid w:val="005A6C24"/>
    <w:rsid w:val="005A6CA6"/>
    <w:rsid w:val="005A6CCD"/>
    <w:rsid w:val="005A6D2B"/>
    <w:rsid w:val="005A6D66"/>
    <w:rsid w:val="005A6DE0"/>
    <w:rsid w:val="005A6ECC"/>
    <w:rsid w:val="005A6F10"/>
    <w:rsid w:val="005A6F93"/>
    <w:rsid w:val="005A6FA5"/>
    <w:rsid w:val="005A6FC8"/>
    <w:rsid w:val="005A7044"/>
    <w:rsid w:val="005A7064"/>
    <w:rsid w:val="005A7117"/>
    <w:rsid w:val="005A7143"/>
    <w:rsid w:val="005A715C"/>
    <w:rsid w:val="005A7161"/>
    <w:rsid w:val="005A7192"/>
    <w:rsid w:val="005A7199"/>
    <w:rsid w:val="005A7223"/>
    <w:rsid w:val="005A723F"/>
    <w:rsid w:val="005A7344"/>
    <w:rsid w:val="005A73DF"/>
    <w:rsid w:val="005A73EB"/>
    <w:rsid w:val="005A7485"/>
    <w:rsid w:val="005A74C5"/>
    <w:rsid w:val="005A7524"/>
    <w:rsid w:val="005A75E2"/>
    <w:rsid w:val="005A7652"/>
    <w:rsid w:val="005A76D7"/>
    <w:rsid w:val="005A777E"/>
    <w:rsid w:val="005A7783"/>
    <w:rsid w:val="005A7794"/>
    <w:rsid w:val="005A783C"/>
    <w:rsid w:val="005A7842"/>
    <w:rsid w:val="005A78A5"/>
    <w:rsid w:val="005A7911"/>
    <w:rsid w:val="005A7954"/>
    <w:rsid w:val="005A7968"/>
    <w:rsid w:val="005A7973"/>
    <w:rsid w:val="005A79AB"/>
    <w:rsid w:val="005A79DA"/>
    <w:rsid w:val="005A7A63"/>
    <w:rsid w:val="005A7A81"/>
    <w:rsid w:val="005A7AF0"/>
    <w:rsid w:val="005A7AFC"/>
    <w:rsid w:val="005A7B02"/>
    <w:rsid w:val="005A7BD3"/>
    <w:rsid w:val="005A7BFF"/>
    <w:rsid w:val="005A7C24"/>
    <w:rsid w:val="005A7D18"/>
    <w:rsid w:val="005A7D29"/>
    <w:rsid w:val="005A7D7A"/>
    <w:rsid w:val="005A7D7C"/>
    <w:rsid w:val="005A7DE3"/>
    <w:rsid w:val="005A7DE8"/>
    <w:rsid w:val="005A7E91"/>
    <w:rsid w:val="005A7F2A"/>
    <w:rsid w:val="005A7F2D"/>
    <w:rsid w:val="005A7F30"/>
    <w:rsid w:val="005A7F45"/>
    <w:rsid w:val="005A7F8B"/>
    <w:rsid w:val="005A7F8F"/>
    <w:rsid w:val="005A7FEC"/>
    <w:rsid w:val="005B00D4"/>
    <w:rsid w:val="005B00D6"/>
    <w:rsid w:val="005B018F"/>
    <w:rsid w:val="005B01F0"/>
    <w:rsid w:val="005B0213"/>
    <w:rsid w:val="005B0280"/>
    <w:rsid w:val="005B0338"/>
    <w:rsid w:val="005B03C8"/>
    <w:rsid w:val="005B046E"/>
    <w:rsid w:val="005B0483"/>
    <w:rsid w:val="005B0485"/>
    <w:rsid w:val="005B0530"/>
    <w:rsid w:val="005B0560"/>
    <w:rsid w:val="005B056D"/>
    <w:rsid w:val="005B05B9"/>
    <w:rsid w:val="005B05CA"/>
    <w:rsid w:val="005B0648"/>
    <w:rsid w:val="005B068A"/>
    <w:rsid w:val="005B06A2"/>
    <w:rsid w:val="005B06AA"/>
    <w:rsid w:val="005B06BE"/>
    <w:rsid w:val="005B0745"/>
    <w:rsid w:val="005B0886"/>
    <w:rsid w:val="005B08F5"/>
    <w:rsid w:val="005B0916"/>
    <w:rsid w:val="005B09A3"/>
    <w:rsid w:val="005B0A33"/>
    <w:rsid w:val="005B0AEF"/>
    <w:rsid w:val="005B0B18"/>
    <w:rsid w:val="005B0B2F"/>
    <w:rsid w:val="005B0CE2"/>
    <w:rsid w:val="005B0DDF"/>
    <w:rsid w:val="005B0DFD"/>
    <w:rsid w:val="005B0E2B"/>
    <w:rsid w:val="005B0E6B"/>
    <w:rsid w:val="005B0ED5"/>
    <w:rsid w:val="005B0F40"/>
    <w:rsid w:val="005B0FBB"/>
    <w:rsid w:val="005B102A"/>
    <w:rsid w:val="005B109F"/>
    <w:rsid w:val="005B11AE"/>
    <w:rsid w:val="005B11EE"/>
    <w:rsid w:val="005B11FC"/>
    <w:rsid w:val="005B1276"/>
    <w:rsid w:val="005B130F"/>
    <w:rsid w:val="005B135D"/>
    <w:rsid w:val="005B13B9"/>
    <w:rsid w:val="005B13DC"/>
    <w:rsid w:val="005B14B7"/>
    <w:rsid w:val="005B15B8"/>
    <w:rsid w:val="005B167A"/>
    <w:rsid w:val="005B1714"/>
    <w:rsid w:val="005B1741"/>
    <w:rsid w:val="005B1879"/>
    <w:rsid w:val="005B190B"/>
    <w:rsid w:val="005B194E"/>
    <w:rsid w:val="005B1993"/>
    <w:rsid w:val="005B19B7"/>
    <w:rsid w:val="005B19E9"/>
    <w:rsid w:val="005B1B27"/>
    <w:rsid w:val="005B1B4C"/>
    <w:rsid w:val="005B1B8A"/>
    <w:rsid w:val="005B1BDD"/>
    <w:rsid w:val="005B1C41"/>
    <w:rsid w:val="005B1C4C"/>
    <w:rsid w:val="005B1CD3"/>
    <w:rsid w:val="005B1CD9"/>
    <w:rsid w:val="005B1D2C"/>
    <w:rsid w:val="005B1DBB"/>
    <w:rsid w:val="005B1DC0"/>
    <w:rsid w:val="005B1E22"/>
    <w:rsid w:val="005B1E26"/>
    <w:rsid w:val="005B1E2C"/>
    <w:rsid w:val="005B1E3B"/>
    <w:rsid w:val="005B1F01"/>
    <w:rsid w:val="005B1F58"/>
    <w:rsid w:val="005B1FD8"/>
    <w:rsid w:val="005B207F"/>
    <w:rsid w:val="005B208D"/>
    <w:rsid w:val="005B213B"/>
    <w:rsid w:val="005B2143"/>
    <w:rsid w:val="005B217B"/>
    <w:rsid w:val="005B21BF"/>
    <w:rsid w:val="005B2262"/>
    <w:rsid w:val="005B228F"/>
    <w:rsid w:val="005B231A"/>
    <w:rsid w:val="005B244F"/>
    <w:rsid w:val="005B249B"/>
    <w:rsid w:val="005B2558"/>
    <w:rsid w:val="005B259F"/>
    <w:rsid w:val="005B2706"/>
    <w:rsid w:val="005B271C"/>
    <w:rsid w:val="005B2727"/>
    <w:rsid w:val="005B27FC"/>
    <w:rsid w:val="005B280A"/>
    <w:rsid w:val="005B2873"/>
    <w:rsid w:val="005B28EE"/>
    <w:rsid w:val="005B2914"/>
    <w:rsid w:val="005B2940"/>
    <w:rsid w:val="005B2985"/>
    <w:rsid w:val="005B29F3"/>
    <w:rsid w:val="005B2A1F"/>
    <w:rsid w:val="005B2AFB"/>
    <w:rsid w:val="005B2B58"/>
    <w:rsid w:val="005B2B5C"/>
    <w:rsid w:val="005B2BEB"/>
    <w:rsid w:val="005B2C60"/>
    <w:rsid w:val="005B2CBA"/>
    <w:rsid w:val="005B2CC2"/>
    <w:rsid w:val="005B2DE2"/>
    <w:rsid w:val="005B2E44"/>
    <w:rsid w:val="005B2E51"/>
    <w:rsid w:val="005B2F06"/>
    <w:rsid w:val="005B2F11"/>
    <w:rsid w:val="005B2F5C"/>
    <w:rsid w:val="005B2F80"/>
    <w:rsid w:val="005B3014"/>
    <w:rsid w:val="005B304F"/>
    <w:rsid w:val="005B3076"/>
    <w:rsid w:val="005B30F3"/>
    <w:rsid w:val="005B31B0"/>
    <w:rsid w:val="005B324C"/>
    <w:rsid w:val="005B32E9"/>
    <w:rsid w:val="005B3343"/>
    <w:rsid w:val="005B334E"/>
    <w:rsid w:val="005B34B3"/>
    <w:rsid w:val="005B353E"/>
    <w:rsid w:val="005B354C"/>
    <w:rsid w:val="005B3622"/>
    <w:rsid w:val="005B3624"/>
    <w:rsid w:val="005B37A3"/>
    <w:rsid w:val="005B37C3"/>
    <w:rsid w:val="005B37EA"/>
    <w:rsid w:val="005B37EB"/>
    <w:rsid w:val="005B382B"/>
    <w:rsid w:val="005B389C"/>
    <w:rsid w:val="005B38D6"/>
    <w:rsid w:val="005B38E5"/>
    <w:rsid w:val="005B3973"/>
    <w:rsid w:val="005B3A46"/>
    <w:rsid w:val="005B3A66"/>
    <w:rsid w:val="005B3AFA"/>
    <w:rsid w:val="005B3B34"/>
    <w:rsid w:val="005B3B88"/>
    <w:rsid w:val="005B3BBE"/>
    <w:rsid w:val="005B3C04"/>
    <w:rsid w:val="005B3CEF"/>
    <w:rsid w:val="005B3D74"/>
    <w:rsid w:val="005B3E2A"/>
    <w:rsid w:val="005B3ECD"/>
    <w:rsid w:val="005B3F05"/>
    <w:rsid w:val="005B3F18"/>
    <w:rsid w:val="005B3F4C"/>
    <w:rsid w:val="005B3FCB"/>
    <w:rsid w:val="005B3FE9"/>
    <w:rsid w:val="005B3FFA"/>
    <w:rsid w:val="005B4006"/>
    <w:rsid w:val="005B4098"/>
    <w:rsid w:val="005B419A"/>
    <w:rsid w:val="005B41E2"/>
    <w:rsid w:val="005B4224"/>
    <w:rsid w:val="005B42AB"/>
    <w:rsid w:val="005B42F8"/>
    <w:rsid w:val="005B4359"/>
    <w:rsid w:val="005B4395"/>
    <w:rsid w:val="005B43E8"/>
    <w:rsid w:val="005B4406"/>
    <w:rsid w:val="005B4426"/>
    <w:rsid w:val="005B4489"/>
    <w:rsid w:val="005B44C2"/>
    <w:rsid w:val="005B4501"/>
    <w:rsid w:val="005B459F"/>
    <w:rsid w:val="005B45E6"/>
    <w:rsid w:val="005B4615"/>
    <w:rsid w:val="005B4618"/>
    <w:rsid w:val="005B4622"/>
    <w:rsid w:val="005B4636"/>
    <w:rsid w:val="005B46FB"/>
    <w:rsid w:val="005B4766"/>
    <w:rsid w:val="005B47B3"/>
    <w:rsid w:val="005B47E2"/>
    <w:rsid w:val="005B4850"/>
    <w:rsid w:val="005B487D"/>
    <w:rsid w:val="005B487E"/>
    <w:rsid w:val="005B48AC"/>
    <w:rsid w:val="005B4931"/>
    <w:rsid w:val="005B49BA"/>
    <w:rsid w:val="005B49C1"/>
    <w:rsid w:val="005B49C3"/>
    <w:rsid w:val="005B4AEC"/>
    <w:rsid w:val="005B4B18"/>
    <w:rsid w:val="005B4BF5"/>
    <w:rsid w:val="005B4C26"/>
    <w:rsid w:val="005B4CFC"/>
    <w:rsid w:val="005B4D1D"/>
    <w:rsid w:val="005B4D1F"/>
    <w:rsid w:val="005B4DA9"/>
    <w:rsid w:val="005B4E19"/>
    <w:rsid w:val="005B4E38"/>
    <w:rsid w:val="005B4E40"/>
    <w:rsid w:val="005B4ED4"/>
    <w:rsid w:val="005B4FD4"/>
    <w:rsid w:val="005B5125"/>
    <w:rsid w:val="005B5254"/>
    <w:rsid w:val="005B52AE"/>
    <w:rsid w:val="005B535A"/>
    <w:rsid w:val="005B54CA"/>
    <w:rsid w:val="005B5515"/>
    <w:rsid w:val="005B5563"/>
    <w:rsid w:val="005B5591"/>
    <w:rsid w:val="005B5619"/>
    <w:rsid w:val="005B5624"/>
    <w:rsid w:val="005B562F"/>
    <w:rsid w:val="005B5647"/>
    <w:rsid w:val="005B5655"/>
    <w:rsid w:val="005B5738"/>
    <w:rsid w:val="005B576B"/>
    <w:rsid w:val="005B57E4"/>
    <w:rsid w:val="005B5883"/>
    <w:rsid w:val="005B5926"/>
    <w:rsid w:val="005B5984"/>
    <w:rsid w:val="005B599B"/>
    <w:rsid w:val="005B59C3"/>
    <w:rsid w:val="005B59D2"/>
    <w:rsid w:val="005B59F1"/>
    <w:rsid w:val="005B5A04"/>
    <w:rsid w:val="005B5A5D"/>
    <w:rsid w:val="005B5A72"/>
    <w:rsid w:val="005B5A93"/>
    <w:rsid w:val="005B5AFC"/>
    <w:rsid w:val="005B5B0B"/>
    <w:rsid w:val="005B5B41"/>
    <w:rsid w:val="005B5B4D"/>
    <w:rsid w:val="005B5B5D"/>
    <w:rsid w:val="005B5B6A"/>
    <w:rsid w:val="005B5B76"/>
    <w:rsid w:val="005B5BE0"/>
    <w:rsid w:val="005B5C50"/>
    <w:rsid w:val="005B5C74"/>
    <w:rsid w:val="005B5CC1"/>
    <w:rsid w:val="005B5DF4"/>
    <w:rsid w:val="005B5E2A"/>
    <w:rsid w:val="005B5E43"/>
    <w:rsid w:val="005B5E4F"/>
    <w:rsid w:val="005B5E5A"/>
    <w:rsid w:val="005B5F38"/>
    <w:rsid w:val="005B5FD1"/>
    <w:rsid w:val="005B6056"/>
    <w:rsid w:val="005B6097"/>
    <w:rsid w:val="005B6098"/>
    <w:rsid w:val="005B60A7"/>
    <w:rsid w:val="005B60CD"/>
    <w:rsid w:val="005B60D4"/>
    <w:rsid w:val="005B60E3"/>
    <w:rsid w:val="005B60ED"/>
    <w:rsid w:val="005B6117"/>
    <w:rsid w:val="005B611F"/>
    <w:rsid w:val="005B6177"/>
    <w:rsid w:val="005B622A"/>
    <w:rsid w:val="005B6248"/>
    <w:rsid w:val="005B625E"/>
    <w:rsid w:val="005B6275"/>
    <w:rsid w:val="005B62C6"/>
    <w:rsid w:val="005B630C"/>
    <w:rsid w:val="005B6394"/>
    <w:rsid w:val="005B63AF"/>
    <w:rsid w:val="005B63E5"/>
    <w:rsid w:val="005B63F4"/>
    <w:rsid w:val="005B6437"/>
    <w:rsid w:val="005B64C8"/>
    <w:rsid w:val="005B6531"/>
    <w:rsid w:val="005B65CE"/>
    <w:rsid w:val="005B65D7"/>
    <w:rsid w:val="005B6637"/>
    <w:rsid w:val="005B66D2"/>
    <w:rsid w:val="005B6709"/>
    <w:rsid w:val="005B6711"/>
    <w:rsid w:val="005B6729"/>
    <w:rsid w:val="005B674D"/>
    <w:rsid w:val="005B6756"/>
    <w:rsid w:val="005B6829"/>
    <w:rsid w:val="005B6867"/>
    <w:rsid w:val="005B6969"/>
    <w:rsid w:val="005B69B7"/>
    <w:rsid w:val="005B6A08"/>
    <w:rsid w:val="005B6A13"/>
    <w:rsid w:val="005B6A6E"/>
    <w:rsid w:val="005B6A86"/>
    <w:rsid w:val="005B6A90"/>
    <w:rsid w:val="005B6A9F"/>
    <w:rsid w:val="005B6B02"/>
    <w:rsid w:val="005B6C28"/>
    <w:rsid w:val="005B6C39"/>
    <w:rsid w:val="005B6C3C"/>
    <w:rsid w:val="005B6CD8"/>
    <w:rsid w:val="005B6DAC"/>
    <w:rsid w:val="005B6DB4"/>
    <w:rsid w:val="005B6DCC"/>
    <w:rsid w:val="005B6DD1"/>
    <w:rsid w:val="005B6E83"/>
    <w:rsid w:val="005B6EE1"/>
    <w:rsid w:val="005B6F65"/>
    <w:rsid w:val="005B6F8B"/>
    <w:rsid w:val="005B70BE"/>
    <w:rsid w:val="005B70E1"/>
    <w:rsid w:val="005B70F5"/>
    <w:rsid w:val="005B715B"/>
    <w:rsid w:val="005B7184"/>
    <w:rsid w:val="005B7254"/>
    <w:rsid w:val="005B72C4"/>
    <w:rsid w:val="005B741B"/>
    <w:rsid w:val="005B7453"/>
    <w:rsid w:val="005B7472"/>
    <w:rsid w:val="005B749C"/>
    <w:rsid w:val="005B74B9"/>
    <w:rsid w:val="005B7518"/>
    <w:rsid w:val="005B756D"/>
    <w:rsid w:val="005B75BA"/>
    <w:rsid w:val="005B76A7"/>
    <w:rsid w:val="005B76EE"/>
    <w:rsid w:val="005B777A"/>
    <w:rsid w:val="005B77B3"/>
    <w:rsid w:val="005B77E6"/>
    <w:rsid w:val="005B77F4"/>
    <w:rsid w:val="005B782E"/>
    <w:rsid w:val="005B7842"/>
    <w:rsid w:val="005B789E"/>
    <w:rsid w:val="005B78A2"/>
    <w:rsid w:val="005B78AE"/>
    <w:rsid w:val="005B7929"/>
    <w:rsid w:val="005B7A15"/>
    <w:rsid w:val="005B7A1B"/>
    <w:rsid w:val="005B7A3E"/>
    <w:rsid w:val="005B7A5B"/>
    <w:rsid w:val="005B7AA3"/>
    <w:rsid w:val="005B7AE7"/>
    <w:rsid w:val="005B7B3E"/>
    <w:rsid w:val="005B7BD7"/>
    <w:rsid w:val="005B7C06"/>
    <w:rsid w:val="005B7C94"/>
    <w:rsid w:val="005B7C9C"/>
    <w:rsid w:val="005B7D24"/>
    <w:rsid w:val="005B7D82"/>
    <w:rsid w:val="005B7DA4"/>
    <w:rsid w:val="005B7DBE"/>
    <w:rsid w:val="005B7DD2"/>
    <w:rsid w:val="005B7DD7"/>
    <w:rsid w:val="005B7DFD"/>
    <w:rsid w:val="005B7E3A"/>
    <w:rsid w:val="005B7E7F"/>
    <w:rsid w:val="005B7E98"/>
    <w:rsid w:val="005B7EAF"/>
    <w:rsid w:val="005B7F53"/>
    <w:rsid w:val="005B7FEF"/>
    <w:rsid w:val="005C0009"/>
    <w:rsid w:val="005C002E"/>
    <w:rsid w:val="005C003F"/>
    <w:rsid w:val="005C004B"/>
    <w:rsid w:val="005C006C"/>
    <w:rsid w:val="005C006D"/>
    <w:rsid w:val="005C007F"/>
    <w:rsid w:val="005C00DF"/>
    <w:rsid w:val="005C01A2"/>
    <w:rsid w:val="005C0209"/>
    <w:rsid w:val="005C022E"/>
    <w:rsid w:val="005C02A4"/>
    <w:rsid w:val="005C033A"/>
    <w:rsid w:val="005C03FE"/>
    <w:rsid w:val="005C040F"/>
    <w:rsid w:val="005C043E"/>
    <w:rsid w:val="005C04AB"/>
    <w:rsid w:val="005C04C1"/>
    <w:rsid w:val="005C0560"/>
    <w:rsid w:val="005C0575"/>
    <w:rsid w:val="005C06B9"/>
    <w:rsid w:val="005C06BB"/>
    <w:rsid w:val="005C06CD"/>
    <w:rsid w:val="005C06E0"/>
    <w:rsid w:val="005C06F2"/>
    <w:rsid w:val="005C0799"/>
    <w:rsid w:val="005C0856"/>
    <w:rsid w:val="005C087F"/>
    <w:rsid w:val="005C08FE"/>
    <w:rsid w:val="005C0992"/>
    <w:rsid w:val="005C09B1"/>
    <w:rsid w:val="005C09E1"/>
    <w:rsid w:val="005C0A92"/>
    <w:rsid w:val="005C0ABF"/>
    <w:rsid w:val="005C0B3C"/>
    <w:rsid w:val="005C0B47"/>
    <w:rsid w:val="005C0C1C"/>
    <w:rsid w:val="005C0D23"/>
    <w:rsid w:val="005C0D57"/>
    <w:rsid w:val="005C0D93"/>
    <w:rsid w:val="005C0DB6"/>
    <w:rsid w:val="005C0E1A"/>
    <w:rsid w:val="005C0E20"/>
    <w:rsid w:val="005C0E9B"/>
    <w:rsid w:val="005C0E9C"/>
    <w:rsid w:val="005C0F31"/>
    <w:rsid w:val="005C0F99"/>
    <w:rsid w:val="005C102A"/>
    <w:rsid w:val="005C10C4"/>
    <w:rsid w:val="005C10D4"/>
    <w:rsid w:val="005C1134"/>
    <w:rsid w:val="005C1190"/>
    <w:rsid w:val="005C1206"/>
    <w:rsid w:val="005C121F"/>
    <w:rsid w:val="005C1234"/>
    <w:rsid w:val="005C12F1"/>
    <w:rsid w:val="005C132C"/>
    <w:rsid w:val="005C13DD"/>
    <w:rsid w:val="005C13FC"/>
    <w:rsid w:val="005C1403"/>
    <w:rsid w:val="005C142B"/>
    <w:rsid w:val="005C149C"/>
    <w:rsid w:val="005C14A2"/>
    <w:rsid w:val="005C154B"/>
    <w:rsid w:val="005C15EE"/>
    <w:rsid w:val="005C1602"/>
    <w:rsid w:val="005C16C7"/>
    <w:rsid w:val="005C172E"/>
    <w:rsid w:val="005C19B7"/>
    <w:rsid w:val="005C19EB"/>
    <w:rsid w:val="005C1AB9"/>
    <w:rsid w:val="005C1B03"/>
    <w:rsid w:val="005C1D19"/>
    <w:rsid w:val="005C1D49"/>
    <w:rsid w:val="005C1D7C"/>
    <w:rsid w:val="005C1D9F"/>
    <w:rsid w:val="005C1DE0"/>
    <w:rsid w:val="005C1E46"/>
    <w:rsid w:val="005C1E8F"/>
    <w:rsid w:val="005C1EAE"/>
    <w:rsid w:val="005C1EE7"/>
    <w:rsid w:val="005C1F04"/>
    <w:rsid w:val="005C1F23"/>
    <w:rsid w:val="005C1F62"/>
    <w:rsid w:val="005C203F"/>
    <w:rsid w:val="005C2073"/>
    <w:rsid w:val="005C2088"/>
    <w:rsid w:val="005C20CD"/>
    <w:rsid w:val="005C20D2"/>
    <w:rsid w:val="005C20E7"/>
    <w:rsid w:val="005C20ED"/>
    <w:rsid w:val="005C2100"/>
    <w:rsid w:val="005C2109"/>
    <w:rsid w:val="005C2131"/>
    <w:rsid w:val="005C215B"/>
    <w:rsid w:val="005C215D"/>
    <w:rsid w:val="005C2216"/>
    <w:rsid w:val="005C225C"/>
    <w:rsid w:val="005C2274"/>
    <w:rsid w:val="005C2318"/>
    <w:rsid w:val="005C2367"/>
    <w:rsid w:val="005C2385"/>
    <w:rsid w:val="005C241A"/>
    <w:rsid w:val="005C250E"/>
    <w:rsid w:val="005C266F"/>
    <w:rsid w:val="005C2688"/>
    <w:rsid w:val="005C2707"/>
    <w:rsid w:val="005C270A"/>
    <w:rsid w:val="005C2759"/>
    <w:rsid w:val="005C2775"/>
    <w:rsid w:val="005C2814"/>
    <w:rsid w:val="005C282E"/>
    <w:rsid w:val="005C283D"/>
    <w:rsid w:val="005C2881"/>
    <w:rsid w:val="005C28C7"/>
    <w:rsid w:val="005C292B"/>
    <w:rsid w:val="005C293A"/>
    <w:rsid w:val="005C293D"/>
    <w:rsid w:val="005C2975"/>
    <w:rsid w:val="005C2A05"/>
    <w:rsid w:val="005C2A6D"/>
    <w:rsid w:val="005C2A75"/>
    <w:rsid w:val="005C2AA5"/>
    <w:rsid w:val="005C2AE9"/>
    <w:rsid w:val="005C2B7A"/>
    <w:rsid w:val="005C2BA2"/>
    <w:rsid w:val="005C2BDC"/>
    <w:rsid w:val="005C2CD4"/>
    <w:rsid w:val="005C2CE0"/>
    <w:rsid w:val="005C2D27"/>
    <w:rsid w:val="005C2D68"/>
    <w:rsid w:val="005C2DB5"/>
    <w:rsid w:val="005C2DD2"/>
    <w:rsid w:val="005C2E66"/>
    <w:rsid w:val="005C2F99"/>
    <w:rsid w:val="005C2FD2"/>
    <w:rsid w:val="005C3037"/>
    <w:rsid w:val="005C30E0"/>
    <w:rsid w:val="005C311C"/>
    <w:rsid w:val="005C3184"/>
    <w:rsid w:val="005C32B5"/>
    <w:rsid w:val="005C32FE"/>
    <w:rsid w:val="005C351F"/>
    <w:rsid w:val="005C35BB"/>
    <w:rsid w:val="005C3664"/>
    <w:rsid w:val="005C3670"/>
    <w:rsid w:val="005C36D7"/>
    <w:rsid w:val="005C36F4"/>
    <w:rsid w:val="005C3768"/>
    <w:rsid w:val="005C3778"/>
    <w:rsid w:val="005C3784"/>
    <w:rsid w:val="005C3791"/>
    <w:rsid w:val="005C37AF"/>
    <w:rsid w:val="005C3828"/>
    <w:rsid w:val="005C387B"/>
    <w:rsid w:val="005C38C3"/>
    <w:rsid w:val="005C38EB"/>
    <w:rsid w:val="005C398E"/>
    <w:rsid w:val="005C39E2"/>
    <w:rsid w:val="005C3A24"/>
    <w:rsid w:val="005C3A2E"/>
    <w:rsid w:val="005C3A5E"/>
    <w:rsid w:val="005C3AB6"/>
    <w:rsid w:val="005C3ACB"/>
    <w:rsid w:val="005C3AEE"/>
    <w:rsid w:val="005C3B94"/>
    <w:rsid w:val="005C3BD8"/>
    <w:rsid w:val="005C3BE8"/>
    <w:rsid w:val="005C3C5A"/>
    <w:rsid w:val="005C3CEA"/>
    <w:rsid w:val="005C3CFE"/>
    <w:rsid w:val="005C3E08"/>
    <w:rsid w:val="005C3E65"/>
    <w:rsid w:val="005C3F18"/>
    <w:rsid w:val="005C3F2E"/>
    <w:rsid w:val="005C3F59"/>
    <w:rsid w:val="005C40B5"/>
    <w:rsid w:val="005C4191"/>
    <w:rsid w:val="005C419D"/>
    <w:rsid w:val="005C4207"/>
    <w:rsid w:val="005C433F"/>
    <w:rsid w:val="005C43E0"/>
    <w:rsid w:val="005C4468"/>
    <w:rsid w:val="005C4605"/>
    <w:rsid w:val="005C4618"/>
    <w:rsid w:val="005C4630"/>
    <w:rsid w:val="005C471F"/>
    <w:rsid w:val="005C472A"/>
    <w:rsid w:val="005C4744"/>
    <w:rsid w:val="005C476A"/>
    <w:rsid w:val="005C4809"/>
    <w:rsid w:val="005C4818"/>
    <w:rsid w:val="005C4834"/>
    <w:rsid w:val="005C4867"/>
    <w:rsid w:val="005C486B"/>
    <w:rsid w:val="005C4903"/>
    <w:rsid w:val="005C4917"/>
    <w:rsid w:val="005C498E"/>
    <w:rsid w:val="005C49D3"/>
    <w:rsid w:val="005C4ADD"/>
    <w:rsid w:val="005C4AF0"/>
    <w:rsid w:val="005C4B05"/>
    <w:rsid w:val="005C4B50"/>
    <w:rsid w:val="005C4B54"/>
    <w:rsid w:val="005C4BB3"/>
    <w:rsid w:val="005C4BDF"/>
    <w:rsid w:val="005C4C55"/>
    <w:rsid w:val="005C4C70"/>
    <w:rsid w:val="005C4CC4"/>
    <w:rsid w:val="005C4D27"/>
    <w:rsid w:val="005C4D55"/>
    <w:rsid w:val="005C4D5E"/>
    <w:rsid w:val="005C4DBA"/>
    <w:rsid w:val="005C4DF0"/>
    <w:rsid w:val="005C4E0A"/>
    <w:rsid w:val="005C4E10"/>
    <w:rsid w:val="005C4E5D"/>
    <w:rsid w:val="005C4EA4"/>
    <w:rsid w:val="005C503A"/>
    <w:rsid w:val="005C50E6"/>
    <w:rsid w:val="005C50F9"/>
    <w:rsid w:val="005C510D"/>
    <w:rsid w:val="005C5130"/>
    <w:rsid w:val="005C5169"/>
    <w:rsid w:val="005C517C"/>
    <w:rsid w:val="005C51D5"/>
    <w:rsid w:val="005C51DD"/>
    <w:rsid w:val="005C528A"/>
    <w:rsid w:val="005C52BC"/>
    <w:rsid w:val="005C52BE"/>
    <w:rsid w:val="005C5320"/>
    <w:rsid w:val="005C53BC"/>
    <w:rsid w:val="005C53ED"/>
    <w:rsid w:val="005C5490"/>
    <w:rsid w:val="005C5509"/>
    <w:rsid w:val="005C559D"/>
    <w:rsid w:val="005C560F"/>
    <w:rsid w:val="005C5675"/>
    <w:rsid w:val="005C5719"/>
    <w:rsid w:val="005C571E"/>
    <w:rsid w:val="005C577D"/>
    <w:rsid w:val="005C5809"/>
    <w:rsid w:val="005C585B"/>
    <w:rsid w:val="005C5874"/>
    <w:rsid w:val="005C58E4"/>
    <w:rsid w:val="005C5932"/>
    <w:rsid w:val="005C59C9"/>
    <w:rsid w:val="005C5A15"/>
    <w:rsid w:val="005C5A2C"/>
    <w:rsid w:val="005C5A37"/>
    <w:rsid w:val="005C5A5E"/>
    <w:rsid w:val="005C5A61"/>
    <w:rsid w:val="005C5A7C"/>
    <w:rsid w:val="005C5A8A"/>
    <w:rsid w:val="005C5B32"/>
    <w:rsid w:val="005C5B71"/>
    <w:rsid w:val="005C5BBE"/>
    <w:rsid w:val="005C5CC4"/>
    <w:rsid w:val="005C5D58"/>
    <w:rsid w:val="005C5D87"/>
    <w:rsid w:val="005C5D91"/>
    <w:rsid w:val="005C5DAD"/>
    <w:rsid w:val="005C5DFE"/>
    <w:rsid w:val="005C5E12"/>
    <w:rsid w:val="005C5E1B"/>
    <w:rsid w:val="005C5E6D"/>
    <w:rsid w:val="005C5EC9"/>
    <w:rsid w:val="005C5F1E"/>
    <w:rsid w:val="005C5FB1"/>
    <w:rsid w:val="005C5FD0"/>
    <w:rsid w:val="005C6019"/>
    <w:rsid w:val="005C604F"/>
    <w:rsid w:val="005C60BD"/>
    <w:rsid w:val="005C613F"/>
    <w:rsid w:val="005C614F"/>
    <w:rsid w:val="005C61F5"/>
    <w:rsid w:val="005C620C"/>
    <w:rsid w:val="005C62B7"/>
    <w:rsid w:val="005C63FF"/>
    <w:rsid w:val="005C640A"/>
    <w:rsid w:val="005C642F"/>
    <w:rsid w:val="005C646C"/>
    <w:rsid w:val="005C650B"/>
    <w:rsid w:val="005C6579"/>
    <w:rsid w:val="005C65A9"/>
    <w:rsid w:val="005C6669"/>
    <w:rsid w:val="005C6685"/>
    <w:rsid w:val="005C66AB"/>
    <w:rsid w:val="005C670F"/>
    <w:rsid w:val="005C677D"/>
    <w:rsid w:val="005C67DF"/>
    <w:rsid w:val="005C67F0"/>
    <w:rsid w:val="005C6808"/>
    <w:rsid w:val="005C6870"/>
    <w:rsid w:val="005C6893"/>
    <w:rsid w:val="005C68A0"/>
    <w:rsid w:val="005C693B"/>
    <w:rsid w:val="005C6970"/>
    <w:rsid w:val="005C699C"/>
    <w:rsid w:val="005C69A8"/>
    <w:rsid w:val="005C69C2"/>
    <w:rsid w:val="005C69EA"/>
    <w:rsid w:val="005C69F0"/>
    <w:rsid w:val="005C6A08"/>
    <w:rsid w:val="005C6A92"/>
    <w:rsid w:val="005C6ABC"/>
    <w:rsid w:val="005C6B4D"/>
    <w:rsid w:val="005C6B51"/>
    <w:rsid w:val="005C6BA7"/>
    <w:rsid w:val="005C6BF5"/>
    <w:rsid w:val="005C6CC9"/>
    <w:rsid w:val="005C6CF4"/>
    <w:rsid w:val="005C6DB5"/>
    <w:rsid w:val="005C6F5F"/>
    <w:rsid w:val="005C6F74"/>
    <w:rsid w:val="005C6FDF"/>
    <w:rsid w:val="005C700F"/>
    <w:rsid w:val="005C7089"/>
    <w:rsid w:val="005C708A"/>
    <w:rsid w:val="005C7097"/>
    <w:rsid w:val="005C70E0"/>
    <w:rsid w:val="005C7134"/>
    <w:rsid w:val="005C713C"/>
    <w:rsid w:val="005C7217"/>
    <w:rsid w:val="005C72D9"/>
    <w:rsid w:val="005C72F1"/>
    <w:rsid w:val="005C7327"/>
    <w:rsid w:val="005C7351"/>
    <w:rsid w:val="005C7427"/>
    <w:rsid w:val="005C7480"/>
    <w:rsid w:val="005C755F"/>
    <w:rsid w:val="005C7577"/>
    <w:rsid w:val="005C75D1"/>
    <w:rsid w:val="005C75E2"/>
    <w:rsid w:val="005C7660"/>
    <w:rsid w:val="005C76AD"/>
    <w:rsid w:val="005C771D"/>
    <w:rsid w:val="005C773B"/>
    <w:rsid w:val="005C77D3"/>
    <w:rsid w:val="005C7833"/>
    <w:rsid w:val="005C7920"/>
    <w:rsid w:val="005C794F"/>
    <w:rsid w:val="005C799A"/>
    <w:rsid w:val="005C7A4B"/>
    <w:rsid w:val="005C7A61"/>
    <w:rsid w:val="005C7A7B"/>
    <w:rsid w:val="005C7AB1"/>
    <w:rsid w:val="005C7AE9"/>
    <w:rsid w:val="005C7AEC"/>
    <w:rsid w:val="005C7C15"/>
    <w:rsid w:val="005C7C4C"/>
    <w:rsid w:val="005C7C98"/>
    <w:rsid w:val="005C7D29"/>
    <w:rsid w:val="005C7D2C"/>
    <w:rsid w:val="005C7DF7"/>
    <w:rsid w:val="005C7EE0"/>
    <w:rsid w:val="005C7F8A"/>
    <w:rsid w:val="005D0052"/>
    <w:rsid w:val="005D0086"/>
    <w:rsid w:val="005D014B"/>
    <w:rsid w:val="005D0156"/>
    <w:rsid w:val="005D01DA"/>
    <w:rsid w:val="005D023F"/>
    <w:rsid w:val="005D024A"/>
    <w:rsid w:val="005D0297"/>
    <w:rsid w:val="005D036B"/>
    <w:rsid w:val="005D039F"/>
    <w:rsid w:val="005D03CC"/>
    <w:rsid w:val="005D049F"/>
    <w:rsid w:val="005D05B1"/>
    <w:rsid w:val="005D05B8"/>
    <w:rsid w:val="005D05DF"/>
    <w:rsid w:val="005D066D"/>
    <w:rsid w:val="005D06DA"/>
    <w:rsid w:val="005D06DE"/>
    <w:rsid w:val="005D0730"/>
    <w:rsid w:val="005D0791"/>
    <w:rsid w:val="005D07AD"/>
    <w:rsid w:val="005D07C0"/>
    <w:rsid w:val="005D07DE"/>
    <w:rsid w:val="005D0800"/>
    <w:rsid w:val="005D08F4"/>
    <w:rsid w:val="005D08FB"/>
    <w:rsid w:val="005D0918"/>
    <w:rsid w:val="005D0939"/>
    <w:rsid w:val="005D0964"/>
    <w:rsid w:val="005D09F6"/>
    <w:rsid w:val="005D0A57"/>
    <w:rsid w:val="005D0A5B"/>
    <w:rsid w:val="005D0A99"/>
    <w:rsid w:val="005D0AA6"/>
    <w:rsid w:val="005D0ACC"/>
    <w:rsid w:val="005D0AEE"/>
    <w:rsid w:val="005D0B02"/>
    <w:rsid w:val="005D0B19"/>
    <w:rsid w:val="005D0B22"/>
    <w:rsid w:val="005D0B3A"/>
    <w:rsid w:val="005D0B62"/>
    <w:rsid w:val="005D0CBF"/>
    <w:rsid w:val="005D0D13"/>
    <w:rsid w:val="005D0D6B"/>
    <w:rsid w:val="005D0D70"/>
    <w:rsid w:val="005D0E2E"/>
    <w:rsid w:val="005D0E4A"/>
    <w:rsid w:val="005D0E5C"/>
    <w:rsid w:val="005D0E7B"/>
    <w:rsid w:val="005D0EDE"/>
    <w:rsid w:val="005D0F05"/>
    <w:rsid w:val="005D0F25"/>
    <w:rsid w:val="005D0F81"/>
    <w:rsid w:val="005D0FA5"/>
    <w:rsid w:val="005D0FBE"/>
    <w:rsid w:val="005D1082"/>
    <w:rsid w:val="005D110B"/>
    <w:rsid w:val="005D11BD"/>
    <w:rsid w:val="005D120E"/>
    <w:rsid w:val="005D1303"/>
    <w:rsid w:val="005D1338"/>
    <w:rsid w:val="005D13C2"/>
    <w:rsid w:val="005D13F2"/>
    <w:rsid w:val="005D143A"/>
    <w:rsid w:val="005D1450"/>
    <w:rsid w:val="005D14B7"/>
    <w:rsid w:val="005D14CE"/>
    <w:rsid w:val="005D14DC"/>
    <w:rsid w:val="005D150F"/>
    <w:rsid w:val="005D15EB"/>
    <w:rsid w:val="005D1614"/>
    <w:rsid w:val="005D1637"/>
    <w:rsid w:val="005D1671"/>
    <w:rsid w:val="005D169F"/>
    <w:rsid w:val="005D16D3"/>
    <w:rsid w:val="005D1713"/>
    <w:rsid w:val="005D1735"/>
    <w:rsid w:val="005D1754"/>
    <w:rsid w:val="005D177A"/>
    <w:rsid w:val="005D1824"/>
    <w:rsid w:val="005D1833"/>
    <w:rsid w:val="005D1863"/>
    <w:rsid w:val="005D1936"/>
    <w:rsid w:val="005D1993"/>
    <w:rsid w:val="005D19C0"/>
    <w:rsid w:val="005D19F8"/>
    <w:rsid w:val="005D1A17"/>
    <w:rsid w:val="005D1A2B"/>
    <w:rsid w:val="005D1A39"/>
    <w:rsid w:val="005D1AD8"/>
    <w:rsid w:val="005D1B1D"/>
    <w:rsid w:val="005D1B60"/>
    <w:rsid w:val="005D1B7B"/>
    <w:rsid w:val="005D1B7C"/>
    <w:rsid w:val="005D1BC8"/>
    <w:rsid w:val="005D1C06"/>
    <w:rsid w:val="005D1C8D"/>
    <w:rsid w:val="005D1D09"/>
    <w:rsid w:val="005D1D3E"/>
    <w:rsid w:val="005D1D7E"/>
    <w:rsid w:val="005D1DB9"/>
    <w:rsid w:val="005D1DFB"/>
    <w:rsid w:val="005D1EA0"/>
    <w:rsid w:val="005D1EE8"/>
    <w:rsid w:val="005D1F0B"/>
    <w:rsid w:val="005D1F13"/>
    <w:rsid w:val="005D1F16"/>
    <w:rsid w:val="005D1F92"/>
    <w:rsid w:val="005D1FA1"/>
    <w:rsid w:val="005D1FEA"/>
    <w:rsid w:val="005D2027"/>
    <w:rsid w:val="005D204D"/>
    <w:rsid w:val="005D20C5"/>
    <w:rsid w:val="005D20D0"/>
    <w:rsid w:val="005D21B7"/>
    <w:rsid w:val="005D21E1"/>
    <w:rsid w:val="005D21EA"/>
    <w:rsid w:val="005D222C"/>
    <w:rsid w:val="005D223E"/>
    <w:rsid w:val="005D225A"/>
    <w:rsid w:val="005D225E"/>
    <w:rsid w:val="005D229F"/>
    <w:rsid w:val="005D22D9"/>
    <w:rsid w:val="005D22DA"/>
    <w:rsid w:val="005D2324"/>
    <w:rsid w:val="005D2350"/>
    <w:rsid w:val="005D23D0"/>
    <w:rsid w:val="005D23F7"/>
    <w:rsid w:val="005D246E"/>
    <w:rsid w:val="005D24C8"/>
    <w:rsid w:val="005D24DA"/>
    <w:rsid w:val="005D2523"/>
    <w:rsid w:val="005D2648"/>
    <w:rsid w:val="005D26D7"/>
    <w:rsid w:val="005D2749"/>
    <w:rsid w:val="005D278D"/>
    <w:rsid w:val="005D27AF"/>
    <w:rsid w:val="005D27F8"/>
    <w:rsid w:val="005D2816"/>
    <w:rsid w:val="005D2897"/>
    <w:rsid w:val="005D28DF"/>
    <w:rsid w:val="005D290D"/>
    <w:rsid w:val="005D297C"/>
    <w:rsid w:val="005D297F"/>
    <w:rsid w:val="005D2989"/>
    <w:rsid w:val="005D29B0"/>
    <w:rsid w:val="005D29D0"/>
    <w:rsid w:val="005D29D3"/>
    <w:rsid w:val="005D2A8C"/>
    <w:rsid w:val="005D2A8E"/>
    <w:rsid w:val="005D2B05"/>
    <w:rsid w:val="005D2B3E"/>
    <w:rsid w:val="005D2B80"/>
    <w:rsid w:val="005D2B98"/>
    <w:rsid w:val="005D2BE0"/>
    <w:rsid w:val="005D2C1B"/>
    <w:rsid w:val="005D2C34"/>
    <w:rsid w:val="005D2CE0"/>
    <w:rsid w:val="005D2CFE"/>
    <w:rsid w:val="005D2DEE"/>
    <w:rsid w:val="005D2E58"/>
    <w:rsid w:val="005D2E94"/>
    <w:rsid w:val="005D2EC4"/>
    <w:rsid w:val="005D2ECF"/>
    <w:rsid w:val="005D2F65"/>
    <w:rsid w:val="005D2F87"/>
    <w:rsid w:val="005D2FC3"/>
    <w:rsid w:val="005D3008"/>
    <w:rsid w:val="005D3088"/>
    <w:rsid w:val="005D309C"/>
    <w:rsid w:val="005D30B2"/>
    <w:rsid w:val="005D30E6"/>
    <w:rsid w:val="005D3134"/>
    <w:rsid w:val="005D31B5"/>
    <w:rsid w:val="005D31E5"/>
    <w:rsid w:val="005D31F1"/>
    <w:rsid w:val="005D3206"/>
    <w:rsid w:val="005D3208"/>
    <w:rsid w:val="005D3267"/>
    <w:rsid w:val="005D326F"/>
    <w:rsid w:val="005D328D"/>
    <w:rsid w:val="005D32CE"/>
    <w:rsid w:val="005D331C"/>
    <w:rsid w:val="005D33C6"/>
    <w:rsid w:val="005D3418"/>
    <w:rsid w:val="005D3454"/>
    <w:rsid w:val="005D34A4"/>
    <w:rsid w:val="005D34BF"/>
    <w:rsid w:val="005D3562"/>
    <w:rsid w:val="005D357E"/>
    <w:rsid w:val="005D35F8"/>
    <w:rsid w:val="005D3619"/>
    <w:rsid w:val="005D362B"/>
    <w:rsid w:val="005D363E"/>
    <w:rsid w:val="005D36BB"/>
    <w:rsid w:val="005D3715"/>
    <w:rsid w:val="005D375A"/>
    <w:rsid w:val="005D377B"/>
    <w:rsid w:val="005D3871"/>
    <w:rsid w:val="005D3876"/>
    <w:rsid w:val="005D38A9"/>
    <w:rsid w:val="005D38E3"/>
    <w:rsid w:val="005D3908"/>
    <w:rsid w:val="005D3967"/>
    <w:rsid w:val="005D3A0A"/>
    <w:rsid w:val="005D3A52"/>
    <w:rsid w:val="005D3AB7"/>
    <w:rsid w:val="005D3AC9"/>
    <w:rsid w:val="005D3AD3"/>
    <w:rsid w:val="005D3AED"/>
    <w:rsid w:val="005D3B51"/>
    <w:rsid w:val="005D3BEF"/>
    <w:rsid w:val="005D3D02"/>
    <w:rsid w:val="005D3D4A"/>
    <w:rsid w:val="005D3D72"/>
    <w:rsid w:val="005D3DB7"/>
    <w:rsid w:val="005D3DD3"/>
    <w:rsid w:val="005D3E33"/>
    <w:rsid w:val="005D3E5E"/>
    <w:rsid w:val="005D3F22"/>
    <w:rsid w:val="005D3F44"/>
    <w:rsid w:val="005D3FAA"/>
    <w:rsid w:val="005D3FAC"/>
    <w:rsid w:val="005D4031"/>
    <w:rsid w:val="005D4065"/>
    <w:rsid w:val="005D406E"/>
    <w:rsid w:val="005D4089"/>
    <w:rsid w:val="005D4182"/>
    <w:rsid w:val="005D41FA"/>
    <w:rsid w:val="005D424A"/>
    <w:rsid w:val="005D4259"/>
    <w:rsid w:val="005D4274"/>
    <w:rsid w:val="005D42BB"/>
    <w:rsid w:val="005D42C2"/>
    <w:rsid w:val="005D42D8"/>
    <w:rsid w:val="005D42F1"/>
    <w:rsid w:val="005D42F8"/>
    <w:rsid w:val="005D43BF"/>
    <w:rsid w:val="005D4401"/>
    <w:rsid w:val="005D443A"/>
    <w:rsid w:val="005D446D"/>
    <w:rsid w:val="005D44AF"/>
    <w:rsid w:val="005D44BF"/>
    <w:rsid w:val="005D45A9"/>
    <w:rsid w:val="005D45F2"/>
    <w:rsid w:val="005D45FF"/>
    <w:rsid w:val="005D4641"/>
    <w:rsid w:val="005D4704"/>
    <w:rsid w:val="005D47B7"/>
    <w:rsid w:val="005D47D1"/>
    <w:rsid w:val="005D47D8"/>
    <w:rsid w:val="005D492C"/>
    <w:rsid w:val="005D4933"/>
    <w:rsid w:val="005D4995"/>
    <w:rsid w:val="005D49B5"/>
    <w:rsid w:val="005D4A0D"/>
    <w:rsid w:val="005D4A24"/>
    <w:rsid w:val="005D4A48"/>
    <w:rsid w:val="005D4A4F"/>
    <w:rsid w:val="005D4AC0"/>
    <w:rsid w:val="005D4ADF"/>
    <w:rsid w:val="005D4B0F"/>
    <w:rsid w:val="005D4B30"/>
    <w:rsid w:val="005D4D04"/>
    <w:rsid w:val="005D4D15"/>
    <w:rsid w:val="005D4D83"/>
    <w:rsid w:val="005D4E23"/>
    <w:rsid w:val="005D4E8C"/>
    <w:rsid w:val="005D4EF2"/>
    <w:rsid w:val="005D4F3D"/>
    <w:rsid w:val="005D4F78"/>
    <w:rsid w:val="005D4F89"/>
    <w:rsid w:val="005D4FB8"/>
    <w:rsid w:val="005D4FD4"/>
    <w:rsid w:val="005D5004"/>
    <w:rsid w:val="005D5026"/>
    <w:rsid w:val="005D5065"/>
    <w:rsid w:val="005D514F"/>
    <w:rsid w:val="005D5181"/>
    <w:rsid w:val="005D5194"/>
    <w:rsid w:val="005D51FE"/>
    <w:rsid w:val="005D5254"/>
    <w:rsid w:val="005D528A"/>
    <w:rsid w:val="005D529F"/>
    <w:rsid w:val="005D52F0"/>
    <w:rsid w:val="005D5310"/>
    <w:rsid w:val="005D531B"/>
    <w:rsid w:val="005D5325"/>
    <w:rsid w:val="005D532D"/>
    <w:rsid w:val="005D5340"/>
    <w:rsid w:val="005D5353"/>
    <w:rsid w:val="005D5456"/>
    <w:rsid w:val="005D5518"/>
    <w:rsid w:val="005D554F"/>
    <w:rsid w:val="005D5592"/>
    <w:rsid w:val="005D5609"/>
    <w:rsid w:val="005D562E"/>
    <w:rsid w:val="005D568F"/>
    <w:rsid w:val="005D56A9"/>
    <w:rsid w:val="005D56F1"/>
    <w:rsid w:val="005D572A"/>
    <w:rsid w:val="005D5768"/>
    <w:rsid w:val="005D5788"/>
    <w:rsid w:val="005D57EB"/>
    <w:rsid w:val="005D57FB"/>
    <w:rsid w:val="005D5883"/>
    <w:rsid w:val="005D59C5"/>
    <w:rsid w:val="005D5A9E"/>
    <w:rsid w:val="005D5B1A"/>
    <w:rsid w:val="005D5B1E"/>
    <w:rsid w:val="005D5B46"/>
    <w:rsid w:val="005D5B64"/>
    <w:rsid w:val="005D5B80"/>
    <w:rsid w:val="005D5B82"/>
    <w:rsid w:val="005D5BBC"/>
    <w:rsid w:val="005D5BF8"/>
    <w:rsid w:val="005D5CC6"/>
    <w:rsid w:val="005D5CD1"/>
    <w:rsid w:val="005D5E41"/>
    <w:rsid w:val="005D5E46"/>
    <w:rsid w:val="005D5E84"/>
    <w:rsid w:val="005D5EA9"/>
    <w:rsid w:val="005D5ED0"/>
    <w:rsid w:val="005D5F02"/>
    <w:rsid w:val="005D5F3A"/>
    <w:rsid w:val="005D5F76"/>
    <w:rsid w:val="005D5FCD"/>
    <w:rsid w:val="005D6047"/>
    <w:rsid w:val="005D6064"/>
    <w:rsid w:val="005D6084"/>
    <w:rsid w:val="005D6094"/>
    <w:rsid w:val="005D60B0"/>
    <w:rsid w:val="005D60F0"/>
    <w:rsid w:val="005D611A"/>
    <w:rsid w:val="005D616D"/>
    <w:rsid w:val="005D62C6"/>
    <w:rsid w:val="005D62D4"/>
    <w:rsid w:val="005D632C"/>
    <w:rsid w:val="005D6337"/>
    <w:rsid w:val="005D6356"/>
    <w:rsid w:val="005D635E"/>
    <w:rsid w:val="005D63EF"/>
    <w:rsid w:val="005D64CE"/>
    <w:rsid w:val="005D65BA"/>
    <w:rsid w:val="005D65ED"/>
    <w:rsid w:val="005D663F"/>
    <w:rsid w:val="005D6844"/>
    <w:rsid w:val="005D6871"/>
    <w:rsid w:val="005D68B6"/>
    <w:rsid w:val="005D698C"/>
    <w:rsid w:val="005D69B6"/>
    <w:rsid w:val="005D6A14"/>
    <w:rsid w:val="005D6A2F"/>
    <w:rsid w:val="005D6A5D"/>
    <w:rsid w:val="005D6A6C"/>
    <w:rsid w:val="005D6A6F"/>
    <w:rsid w:val="005D6A85"/>
    <w:rsid w:val="005D6B24"/>
    <w:rsid w:val="005D6B38"/>
    <w:rsid w:val="005D6BB4"/>
    <w:rsid w:val="005D6C70"/>
    <w:rsid w:val="005D6CC6"/>
    <w:rsid w:val="005D6D40"/>
    <w:rsid w:val="005D6D44"/>
    <w:rsid w:val="005D6D64"/>
    <w:rsid w:val="005D6D8E"/>
    <w:rsid w:val="005D6DD9"/>
    <w:rsid w:val="005D6E47"/>
    <w:rsid w:val="005D6E5D"/>
    <w:rsid w:val="005D6EA4"/>
    <w:rsid w:val="005D6EEA"/>
    <w:rsid w:val="005D6F38"/>
    <w:rsid w:val="005D6F49"/>
    <w:rsid w:val="005D6F87"/>
    <w:rsid w:val="005D6F8A"/>
    <w:rsid w:val="005D6FD3"/>
    <w:rsid w:val="005D6FD7"/>
    <w:rsid w:val="005D7085"/>
    <w:rsid w:val="005D709E"/>
    <w:rsid w:val="005D70E1"/>
    <w:rsid w:val="005D711D"/>
    <w:rsid w:val="005D71AD"/>
    <w:rsid w:val="005D71C5"/>
    <w:rsid w:val="005D71CD"/>
    <w:rsid w:val="005D7214"/>
    <w:rsid w:val="005D7393"/>
    <w:rsid w:val="005D74B9"/>
    <w:rsid w:val="005D7504"/>
    <w:rsid w:val="005D7531"/>
    <w:rsid w:val="005D7573"/>
    <w:rsid w:val="005D764A"/>
    <w:rsid w:val="005D76A0"/>
    <w:rsid w:val="005D7775"/>
    <w:rsid w:val="005D77B1"/>
    <w:rsid w:val="005D77C4"/>
    <w:rsid w:val="005D7818"/>
    <w:rsid w:val="005D78DB"/>
    <w:rsid w:val="005D7982"/>
    <w:rsid w:val="005D79B5"/>
    <w:rsid w:val="005D79F8"/>
    <w:rsid w:val="005D7A09"/>
    <w:rsid w:val="005D7A0F"/>
    <w:rsid w:val="005D7A59"/>
    <w:rsid w:val="005D7ADE"/>
    <w:rsid w:val="005D7AEA"/>
    <w:rsid w:val="005D7B40"/>
    <w:rsid w:val="005D7C64"/>
    <w:rsid w:val="005D7C6B"/>
    <w:rsid w:val="005D7CD1"/>
    <w:rsid w:val="005D7CF9"/>
    <w:rsid w:val="005D7D19"/>
    <w:rsid w:val="005D7D53"/>
    <w:rsid w:val="005D7D64"/>
    <w:rsid w:val="005D7DD7"/>
    <w:rsid w:val="005D7DEB"/>
    <w:rsid w:val="005D7EFF"/>
    <w:rsid w:val="005D7F55"/>
    <w:rsid w:val="005D7F95"/>
    <w:rsid w:val="005D7FC8"/>
    <w:rsid w:val="005D7FF2"/>
    <w:rsid w:val="005E0010"/>
    <w:rsid w:val="005E003F"/>
    <w:rsid w:val="005E005B"/>
    <w:rsid w:val="005E00F7"/>
    <w:rsid w:val="005E0122"/>
    <w:rsid w:val="005E0151"/>
    <w:rsid w:val="005E017E"/>
    <w:rsid w:val="005E0238"/>
    <w:rsid w:val="005E024E"/>
    <w:rsid w:val="005E02B4"/>
    <w:rsid w:val="005E02C1"/>
    <w:rsid w:val="005E02EC"/>
    <w:rsid w:val="005E0350"/>
    <w:rsid w:val="005E035C"/>
    <w:rsid w:val="005E0381"/>
    <w:rsid w:val="005E03CC"/>
    <w:rsid w:val="005E0464"/>
    <w:rsid w:val="005E0520"/>
    <w:rsid w:val="005E05D2"/>
    <w:rsid w:val="005E0603"/>
    <w:rsid w:val="005E0667"/>
    <w:rsid w:val="005E06DF"/>
    <w:rsid w:val="005E075B"/>
    <w:rsid w:val="005E0767"/>
    <w:rsid w:val="005E079C"/>
    <w:rsid w:val="005E083B"/>
    <w:rsid w:val="005E084F"/>
    <w:rsid w:val="005E0926"/>
    <w:rsid w:val="005E0A30"/>
    <w:rsid w:val="005E0A4B"/>
    <w:rsid w:val="005E0A9C"/>
    <w:rsid w:val="005E0AAD"/>
    <w:rsid w:val="005E0ABB"/>
    <w:rsid w:val="005E0B02"/>
    <w:rsid w:val="005E0B60"/>
    <w:rsid w:val="005E0BB1"/>
    <w:rsid w:val="005E0BB7"/>
    <w:rsid w:val="005E0BC2"/>
    <w:rsid w:val="005E0BEE"/>
    <w:rsid w:val="005E0C39"/>
    <w:rsid w:val="005E0C57"/>
    <w:rsid w:val="005E0D15"/>
    <w:rsid w:val="005E0E44"/>
    <w:rsid w:val="005E0EC7"/>
    <w:rsid w:val="005E0F22"/>
    <w:rsid w:val="005E0F96"/>
    <w:rsid w:val="005E0FA8"/>
    <w:rsid w:val="005E1003"/>
    <w:rsid w:val="005E102B"/>
    <w:rsid w:val="005E10FC"/>
    <w:rsid w:val="005E1153"/>
    <w:rsid w:val="005E1195"/>
    <w:rsid w:val="005E11C7"/>
    <w:rsid w:val="005E11CE"/>
    <w:rsid w:val="005E1218"/>
    <w:rsid w:val="005E126D"/>
    <w:rsid w:val="005E130D"/>
    <w:rsid w:val="005E13FB"/>
    <w:rsid w:val="005E1441"/>
    <w:rsid w:val="005E1494"/>
    <w:rsid w:val="005E150E"/>
    <w:rsid w:val="005E1598"/>
    <w:rsid w:val="005E1600"/>
    <w:rsid w:val="005E163F"/>
    <w:rsid w:val="005E1644"/>
    <w:rsid w:val="005E1698"/>
    <w:rsid w:val="005E170D"/>
    <w:rsid w:val="005E1750"/>
    <w:rsid w:val="005E17C6"/>
    <w:rsid w:val="005E1809"/>
    <w:rsid w:val="005E1890"/>
    <w:rsid w:val="005E18D2"/>
    <w:rsid w:val="005E18F7"/>
    <w:rsid w:val="005E1A4A"/>
    <w:rsid w:val="005E1A56"/>
    <w:rsid w:val="005E1A59"/>
    <w:rsid w:val="005E1B43"/>
    <w:rsid w:val="005E1B46"/>
    <w:rsid w:val="005E1BCD"/>
    <w:rsid w:val="005E1D33"/>
    <w:rsid w:val="005E1DA4"/>
    <w:rsid w:val="005E1DFA"/>
    <w:rsid w:val="005E1E1B"/>
    <w:rsid w:val="005E1E21"/>
    <w:rsid w:val="005E1E43"/>
    <w:rsid w:val="005E1E90"/>
    <w:rsid w:val="005E1EBA"/>
    <w:rsid w:val="005E1F58"/>
    <w:rsid w:val="005E1F5B"/>
    <w:rsid w:val="005E1F95"/>
    <w:rsid w:val="005E210F"/>
    <w:rsid w:val="005E21DC"/>
    <w:rsid w:val="005E2206"/>
    <w:rsid w:val="005E2228"/>
    <w:rsid w:val="005E222A"/>
    <w:rsid w:val="005E2253"/>
    <w:rsid w:val="005E2311"/>
    <w:rsid w:val="005E234B"/>
    <w:rsid w:val="005E2377"/>
    <w:rsid w:val="005E23E7"/>
    <w:rsid w:val="005E2439"/>
    <w:rsid w:val="005E25CC"/>
    <w:rsid w:val="005E2658"/>
    <w:rsid w:val="005E268B"/>
    <w:rsid w:val="005E2693"/>
    <w:rsid w:val="005E26B4"/>
    <w:rsid w:val="005E274D"/>
    <w:rsid w:val="005E2760"/>
    <w:rsid w:val="005E2761"/>
    <w:rsid w:val="005E2786"/>
    <w:rsid w:val="005E2789"/>
    <w:rsid w:val="005E280F"/>
    <w:rsid w:val="005E2822"/>
    <w:rsid w:val="005E28FC"/>
    <w:rsid w:val="005E29B8"/>
    <w:rsid w:val="005E29BF"/>
    <w:rsid w:val="005E2A27"/>
    <w:rsid w:val="005E2A4E"/>
    <w:rsid w:val="005E2AAC"/>
    <w:rsid w:val="005E2B0D"/>
    <w:rsid w:val="005E2C97"/>
    <w:rsid w:val="005E2CED"/>
    <w:rsid w:val="005E2D9B"/>
    <w:rsid w:val="005E2E2C"/>
    <w:rsid w:val="005E2EA0"/>
    <w:rsid w:val="005E2EA3"/>
    <w:rsid w:val="005E2F13"/>
    <w:rsid w:val="005E2F30"/>
    <w:rsid w:val="005E2F8C"/>
    <w:rsid w:val="005E303C"/>
    <w:rsid w:val="005E309F"/>
    <w:rsid w:val="005E30CC"/>
    <w:rsid w:val="005E30E1"/>
    <w:rsid w:val="005E3170"/>
    <w:rsid w:val="005E31F0"/>
    <w:rsid w:val="005E329F"/>
    <w:rsid w:val="005E337B"/>
    <w:rsid w:val="005E3433"/>
    <w:rsid w:val="005E3455"/>
    <w:rsid w:val="005E348A"/>
    <w:rsid w:val="005E34BD"/>
    <w:rsid w:val="005E3530"/>
    <w:rsid w:val="005E357C"/>
    <w:rsid w:val="005E3584"/>
    <w:rsid w:val="005E3602"/>
    <w:rsid w:val="005E3630"/>
    <w:rsid w:val="005E3656"/>
    <w:rsid w:val="005E369E"/>
    <w:rsid w:val="005E36AB"/>
    <w:rsid w:val="005E36C4"/>
    <w:rsid w:val="005E36FD"/>
    <w:rsid w:val="005E3799"/>
    <w:rsid w:val="005E37B7"/>
    <w:rsid w:val="005E3813"/>
    <w:rsid w:val="005E38CB"/>
    <w:rsid w:val="005E3958"/>
    <w:rsid w:val="005E39E2"/>
    <w:rsid w:val="005E3A65"/>
    <w:rsid w:val="005E3A92"/>
    <w:rsid w:val="005E3AA7"/>
    <w:rsid w:val="005E3AC2"/>
    <w:rsid w:val="005E3AE7"/>
    <w:rsid w:val="005E3B1B"/>
    <w:rsid w:val="005E3B58"/>
    <w:rsid w:val="005E3BAA"/>
    <w:rsid w:val="005E3BF6"/>
    <w:rsid w:val="005E3C21"/>
    <w:rsid w:val="005E3C33"/>
    <w:rsid w:val="005E3C64"/>
    <w:rsid w:val="005E3D1D"/>
    <w:rsid w:val="005E3D28"/>
    <w:rsid w:val="005E3D34"/>
    <w:rsid w:val="005E3D59"/>
    <w:rsid w:val="005E3DC3"/>
    <w:rsid w:val="005E3E7B"/>
    <w:rsid w:val="005E3F0A"/>
    <w:rsid w:val="005E3F77"/>
    <w:rsid w:val="005E3F82"/>
    <w:rsid w:val="005E3FCD"/>
    <w:rsid w:val="005E3FEA"/>
    <w:rsid w:val="005E408A"/>
    <w:rsid w:val="005E40B6"/>
    <w:rsid w:val="005E4128"/>
    <w:rsid w:val="005E413D"/>
    <w:rsid w:val="005E4182"/>
    <w:rsid w:val="005E4281"/>
    <w:rsid w:val="005E42C8"/>
    <w:rsid w:val="005E437A"/>
    <w:rsid w:val="005E43F3"/>
    <w:rsid w:val="005E4438"/>
    <w:rsid w:val="005E44CA"/>
    <w:rsid w:val="005E455D"/>
    <w:rsid w:val="005E4578"/>
    <w:rsid w:val="005E459E"/>
    <w:rsid w:val="005E45C0"/>
    <w:rsid w:val="005E45F7"/>
    <w:rsid w:val="005E460C"/>
    <w:rsid w:val="005E463C"/>
    <w:rsid w:val="005E4665"/>
    <w:rsid w:val="005E4674"/>
    <w:rsid w:val="005E46F7"/>
    <w:rsid w:val="005E47AD"/>
    <w:rsid w:val="005E47C1"/>
    <w:rsid w:val="005E47D0"/>
    <w:rsid w:val="005E47EE"/>
    <w:rsid w:val="005E4829"/>
    <w:rsid w:val="005E487D"/>
    <w:rsid w:val="005E48BC"/>
    <w:rsid w:val="005E492E"/>
    <w:rsid w:val="005E495D"/>
    <w:rsid w:val="005E49B5"/>
    <w:rsid w:val="005E49DC"/>
    <w:rsid w:val="005E4A6B"/>
    <w:rsid w:val="005E4ABC"/>
    <w:rsid w:val="005E4AE0"/>
    <w:rsid w:val="005E4B16"/>
    <w:rsid w:val="005E4C0D"/>
    <w:rsid w:val="005E4D96"/>
    <w:rsid w:val="005E4DC4"/>
    <w:rsid w:val="005E4DD7"/>
    <w:rsid w:val="005E4E5D"/>
    <w:rsid w:val="005E4F8A"/>
    <w:rsid w:val="005E4FF1"/>
    <w:rsid w:val="005E502E"/>
    <w:rsid w:val="005E50A0"/>
    <w:rsid w:val="005E5160"/>
    <w:rsid w:val="005E51AA"/>
    <w:rsid w:val="005E51B2"/>
    <w:rsid w:val="005E5266"/>
    <w:rsid w:val="005E52C3"/>
    <w:rsid w:val="005E530B"/>
    <w:rsid w:val="005E533E"/>
    <w:rsid w:val="005E5364"/>
    <w:rsid w:val="005E54FF"/>
    <w:rsid w:val="005E55BE"/>
    <w:rsid w:val="005E55E3"/>
    <w:rsid w:val="005E560C"/>
    <w:rsid w:val="005E561F"/>
    <w:rsid w:val="005E5661"/>
    <w:rsid w:val="005E5675"/>
    <w:rsid w:val="005E569F"/>
    <w:rsid w:val="005E56AF"/>
    <w:rsid w:val="005E5722"/>
    <w:rsid w:val="005E5763"/>
    <w:rsid w:val="005E57BE"/>
    <w:rsid w:val="005E5800"/>
    <w:rsid w:val="005E5812"/>
    <w:rsid w:val="005E582F"/>
    <w:rsid w:val="005E5855"/>
    <w:rsid w:val="005E5862"/>
    <w:rsid w:val="005E58CC"/>
    <w:rsid w:val="005E58DA"/>
    <w:rsid w:val="005E58F3"/>
    <w:rsid w:val="005E5921"/>
    <w:rsid w:val="005E5976"/>
    <w:rsid w:val="005E597B"/>
    <w:rsid w:val="005E59E5"/>
    <w:rsid w:val="005E5A09"/>
    <w:rsid w:val="005E5A11"/>
    <w:rsid w:val="005E5A6A"/>
    <w:rsid w:val="005E5AAA"/>
    <w:rsid w:val="005E5ABC"/>
    <w:rsid w:val="005E5AC7"/>
    <w:rsid w:val="005E5B0A"/>
    <w:rsid w:val="005E5BF5"/>
    <w:rsid w:val="005E5C02"/>
    <w:rsid w:val="005E5C9D"/>
    <w:rsid w:val="005E5D46"/>
    <w:rsid w:val="005E5D54"/>
    <w:rsid w:val="005E5D58"/>
    <w:rsid w:val="005E5DB2"/>
    <w:rsid w:val="005E5DEA"/>
    <w:rsid w:val="005E5E4F"/>
    <w:rsid w:val="005E5FC0"/>
    <w:rsid w:val="005E5FDD"/>
    <w:rsid w:val="005E5FF1"/>
    <w:rsid w:val="005E6003"/>
    <w:rsid w:val="005E603A"/>
    <w:rsid w:val="005E607B"/>
    <w:rsid w:val="005E60B1"/>
    <w:rsid w:val="005E60E8"/>
    <w:rsid w:val="005E6141"/>
    <w:rsid w:val="005E6173"/>
    <w:rsid w:val="005E618F"/>
    <w:rsid w:val="005E619C"/>
    <w:rsid w:val="005E61EB"/>
    <w:rsid w:val="005E6214"/>
    <w:rsid w:val="005E6249"/>
    <w:rsid w:val="005E62D0"/>
    <w:rsid w:val="005E6360"/>
    <w:rsid w:val="005E6403"/>
    <w:rsid w:val="005E6477"/>
    <w:rsid w:val="005E647D"/>
    <w:rsid w:val="005E64EA"/>
    <w:rsid w:val="005E65B5"/>
    <w:rsid w:val="005E65F1"/>
    <w:rsid w:val="005E6667"/>
    <w:rsid w:val="005E6679"/>
    <w:rsid w:val="005E66D2"/>
    <w:rsid w:val="005E66DA"/>
    <w:rsid w:val="005E676A"/>
    <w:rsid w:val="005E6784"/>
    <w:rsid w:val="005E679E"/>
    <w:rsid w:val="005E67D6"/>
    <w:rsid w:val="005E67F8"/>
    <w:rsid w:val="005E68F2"/>
    <w:rsid w:val="005E69D1"/>
    <w:rsid w:val="005E6A82"/>
    <w:rsid w:val="005E6ADA"/>
    <w:rsid w:val="005E6AF2"/>
    <w:rsid w:val="005E6BCA"/>
    <w:rsid w:val="005E6BD7"/>
    <w:rsid w:val="005E6C54"/>
    <w:rsid w:val="005E6CE9"/>
    <w:rsid w:val="005E6DB2"/>
    <w:rsid w:val="005E6F22"/>
    <w:rsid w:val="005E6FA9"/>
    <w:rsid w:val="005E707C"/>
    <w:rsid w:val="005E70B2"/>
    <w:rsid w:val="005E70CC"/>
    <w:rsid w:val="005E721C"/>
    <w:rsid w:val="005E723D"/>
    <w:rsid w:val="005E7247"/>
    <w:rsid w:val="005E7329"/>
    <w:rsid w:val="005E7364"/>
    <w:rsid w:val="005E73B6"/>
    <w:rsid w:val="005E73BC"/>
    <w:rsid w:val="005E744F"/>
    <w:rsid w:val="005E746B"/>
    <w:rsid w:val="005E7497"/>
    <w:rsid w:val="005E74B1"/>
    <w:rsid w:val="005E74D8"/>
    <w:rsid w:val="005E74E3"/>
    <w:rsid w:val="005E7567"/>
    <w:rsid w:val="005E758D"/>
    <w:rsid w:val="005E75DA"/>
    <w:rsid w:val="005E7635"/>
    <w:rsid w:val="005E763B"/>
    <w:rsid w:val="005E76FA"/>
    <w:rsid w:val="005E772C"/>
    <w:rsid w:val="005E7746"/>
    <w:rsid w:val="005E7753"/>
    <w:rsid w:val="005E7770"/>
    <w:rsid w:val="005E77F2"/>
    <w:rsid w:val="005E7879"/>
    <w:rsid w:val="005E78BB"/>
    <w:rsid w:val="005E7904"/>
    <w:rsid w:val="005E790A"/>
    <w:rsid w:val="005E792E"/>
    <w:rsid w:val="005E7939"/>
    <w:rsid w:val="005E793B"/>
    <w:rsid w:val="005E795A"/>
    <w:rsid w:val="005E796F"/>
    <w:rsid w:val="005E79CA"/>
    <w:rsid w:val="005E79EE"/>
    <w:rsid w:val="005E7A15"/>
    <w:rsid w:val="005E7A8C"/>
    <w:rsid w:val="005E7AE4"/>
    <w:rsid w:val="005E7CA9"/>
    <w:rsid w:val="005E7D53"/>
    <w:rsid w:val="005E7DC2"/>
    <w:rsid w:val="005E7E21"/>
    <w:rsid w:val="005E7ED3"/>
    <w:rsid w:val="005E7F7C"/>
    <w:rsid w:val="005F0027"/>
    <w:rsid w:val="005F0073"/>
    <w:rsid w:val="005F00D2"/>
    <w:rsid w:val="005F00DF"/>
    <w:rsid w:val="005F0126"/>
    <w:rsid w:val="005F0131"/>
    <w:rsid w:val="005F0184"/>
    <w:rsid w:val="005F0218"/>
    <w:rsid w:val="005F02BA"/>
    <w:rsid w:val="005F0347"/>
    <w:rsid w:val="005F038D"/>
    <w:rsid w:val="005F03C1"/>
    <w:rsid w:val="005F03E6"/>
    <w:rsid w:val="005F040D"/>
    <w:rsid w:val="005F0450"/>
    <w:rsid w:val="005F0454"/>
    <w:rsid w:val="005F0458"/>
    <w:rsid w:val="005F04C7"/>
    <w:rsid w:val="005F0572"/>
    <w:rsid w:val="005F05CD"/>
    <w:rsid w:val="005F060F"/>
    <w:rsid w:val="005F0689"/>
    <w:rsid w:val="005F076D"/>
    <w:rsid w:val="005F0782"/>
    <w:rsid w:val="005F0830"/>
    <w:rsid w:val="005F0865"/>
    <w:rsid w:val="005F0895"/>
    <w:rsid w:val="005F0913"/>
    <w:rsid w:val="005F0A24"/>
    <w:rsid w:val="005F0A3D"/>
    <w:rsid w:val="005F0A76"/>
    <w:rsid w:val="005F0ADA"/>
    <w:rsid w:val="005F0B28"/>
    <w:rsid w:val="005F0BCE"/>
    <w:rsid w:val="005F0C15"/>
    <w:rsid w:val="005F0CDD"/>
    <w:rsid w:val="005F0CF9"/>
    <w:rsid w:val="005F0D55"/>
    <w:rsid w:val="005F0D59"/>
    <w:rsid w:val="005F0DB0"/>
    <w:rsid w:val="005F0DF7"/>
    <w:rsid w:val="005F0E2E"/>
    <w:rsid w:val="005F0E35"/>
    <w:rsid w:val="005F0E7D"/>
    <w:rsid w:val="005F0EAA"/>
    <w:rsid w:val="005F0EAE"/>
    <w:rsid w:val="005F0FC4"/>
    <w:rsid w:val="005F1026"/>
    <w:rsid w:val="005F10C2"/>
    <w:rsid w:val="005F10D6"/>
    <w:rsid w:val="005F112A"/>
    <w:rsid w:val="005F113D"/>
    <w:rsid w:val="005F1187"/>
    <w:rsid w:val="005F120D"/>
    <w:rsid w:val="005F121D"/>
    <w:rsid w:val="005F1240"/>
    <w:rsid w:val="005F1279"/>
    <w:rsid w:val="005F1369"/>
    <w:rsid w:val="005F136B"/>
    <w:rsid w:val="005F147B"/>
    <w:rsid w:val="005F1497"/>
    <w:rsid w:val="005F1512"/>
    <w:rsid w:val="005F158B"/>
    <w:rsid w:val="005F15D9"/>
    <w:rsid w:val="005F15FD"/>
    <w:rsid w:val="005F1602"/>
    <w:rsid w:val="005F1625"/>
    <w:rsid w:val="005F1689"/>
    <w:rsid w:val="005F179A"/>
    <w:rsid w:val="005F181F"/>
    <w:rsid w:val="005F18A6"/>
    <w:rsid w:val="005F198C"/>
    <w:rsid w:val="005F19C0"/>
    <w:rsid w:val="005F19DD"/>
    <w:rsid w:val="005F1AA6"/>
    <w:rsid w:val="005F1B26"/>
    <w:rsid w:val="005F1B4F"/>
    <w:rsid w:val="005F1B5F"/>
    <w:rsid w:val="005F1B61"/>
    <w:rsid w:val="005F1B92"/>
    <w:rsid w:val="005F1BB6"/>
    <w:rsid w:val="005F1D80"/>
    <w:rsid w:val="005F1DC8"/>
    <w:rsid w:val="005F1E2B"/>
    <w:rsid w:val="005F1E57"/>
    <w:rsid w:val="005F1E81"/>
    <w:rsid w:val="005F1F23"/>
    <w:rsid w:val="005F1F4B"/>
    <w:rsid w:val="005F203F"/>
    <w:rsid w:val="005F2042"/>
    <w:rsid w:val="005F207F"/>
    <w:rsid w:val="005F2095"/>
    <w:rsid w:val="005F20AE"/>
    <w:rsid w:val="005F2148"/>
    <w:rsid w:val="005F21BF"/>
    <w:rsid w:val="005F2314"/>
    <w:rsid w:val="005F2336"/>
    <w:rsid w:val="005F234B"/>
    <w:rsid w:val="005F239C"/>
    <w:rsid w:val="005F242A"/>
    <w:rsid w:val="005F248A"/>
    <w:rsid w:val="005F24BA"/>
    <w:rsid w:val="005F24D1"/>
    <w:rsid w:val="005F251C"/>
    <w:rsid w:val="005F251E"/>
    <w:rsid w:val="005F253B"/>
    <w:rsid w:val="005F255A"/>
    <w:rsid w:val="005F25B3"/>
    <w:rsid w:val="005F25B9"/>
    <w:rsid w:val="005F25BC"/>
    <w:rsid w:val="005F2600"/>
    <w:rsid w:val="005F26E1"/>
    <w:rsid w:val="005F26E2"/>
    <w:rsid w:val="005F26F7"/>
    <w:rsid w:val="005F2724"/>
    <w:rsid w:val="005F2758"/>
    <w:rsid w:val="005F2786"/>
    <w:rsid w:val="005F284B"/>
    <w:rsid w:val="005F2884"/>
    <w:rsid w:val="005F28DD"/>
    <w:rsid w:val="005F28DF"/>
    <w:rsid w:val="005F2924"/>
    <w:rsid w:val="005F2940"/>
    <w:rsid w:val="005F2951"/>
    <w:rsid w:val="005F2985"/>
    <w:rsid w:val="005F29CB"/>
    <w:rsid w:val="005F2A2F"/>
    <w:rsid w:val="005F2AC2"/>
    <w:rsid w:val="005F2ACB"/>
    <w:rsid w:val="005F2B5C"/>
    <w:rsid w:val="005F2BC2"/>
    <w:rsid w:val="005F2BE5"/>
    <w:rsid w:val="005F2C94"/>
    <w:rsid w:val="005F2C96"/>
    <w:rsid w:val="005F2CA0"/>
    <w:rsid w:val="005F2D41"/>
    <w:rsid w:val="005F2DA6"/>
    <w:rsid w:val="005F2DFD"/>
    <w:rsid w:val="005F2E34"/>
    <w:rsid w:val="005F2F8B"/>
    <w:rsid w:val="005F2FB7"/>
    <w:rsid w:val="005F30F1"/>
    <w:rsid w:val="005F3108"/>
    <w:rsid w:val="005F3174"/>
    <w:rsid w:val="005F319E"/>
    <w:rsid w:val="005F321A"/>
    <w:rsid w:val="005F32EF"/>
    <w:rsid w:val="005F330F"/>
    <w:rsid w:val="005F3351"/>
    <w:rsid w:val="005F3374"/>
    <w:rsid w:val="005F3414"/>
    <w:rsid w:val="005F342B"/>
    <w:rsid w:val="005F34CC"/>
    <w:rsid w:val="005F351C"/>
    <w:rsid w:val="005F35EE"/>
    <w:rsid w:val="005F3600"/>
    <w:rsid w:val="005F366E"/>
    <w:rsid w:val="005F3697"/>
    <w:rsid w:val="005F379D"/>
    <w:rsid w:val="005F38A5"/>
    <w:rsid w:val="005F38EA"/>
    <w:rsid w:val="005F3903"/>
    <w:rsid w:val="005F390F"/>
    <w:rsid w:val="005F3979"/>
    <w:rsid w:val="005F3998"/>
    <w:rsid w:val="005F39A7"/>
    <w:rsid w:val="005F3A0E"/>
    <w:rsid w:val="005F3A24"/>
    <w:rsid w:val="005F3A50"/>
    <w:rsid w:val="005F3AA5"/>
    <w:rsid w:val="005F3ABC"/>
    <w:rsid w:val="005F3ADA"/>
    <w:rsid w:val="005F3AEB"/>
    <w:rsid w:val="005F3B07"/>
    <w:rsid w:val="005F3BA8"/>
    <w:rsid w:val="005F3C06"/>
    <w:rsid w:val="005F3C0A"/>
    <w:rsid w:val="005F3C4E"/>
    <w:rsid w:val="005F3CF7"/>
    <w:rsid w:val="005F3D21"/>
    <w:rsid w:val="005F3D95"/>
    <w:rsid w:val="005F3DD9"/>
    <w:rsid w:val="005F3DDB"/>
    <w:rsid w:val="005F3E2F"/>
    <w:rsid w:val="005F3E77"/>
    <w:rsid w:val="005F3E97"/>
    <w:rsid w:val="005F3F1A"/>
    <w:rsid w:val="005F3F40"/>
    <w:rsid w:val="005F3FE8"/>
    <w:rsid w:val="005F4091"/>
    <w:rsid w:val="005F40E6"/>
    <w:rsid w:val="005F4148"/>
    <w:rsid w:val="005F41AB"/>
    <w:rsid w:val="005F4288"/>
    <w:rsid w:val="005F42E8"/>
    <w:rsid w:val="005F4346"/>
    <w:rsid w:val="005F439B"/>
    <w:rsid w:val="005F43B4"/>
    <w:rsid w:val="005F43B7"/>
    <w:rsid w:val="005F43DB"/>
    <w:rsid w:val="005F4442"/>
    <w:rsid w:val="005F44B3"/>
    <w:rsid w:val="005F44C2"/>
    <w:rsid w:val="005F4548"/>
    <w:rsid w:val="005F456C"/>
    <w:rsid w:val="005F4585"/>
    <w:rsid w:val="005F45C2"/>
    <w:rsid w:val="005F45C6"/>
    <w:rsid w:val="005F45DC"/>
    <w:rsid w:val="005F4682"/>
    <w:rsid w:val="005F46A4"/>
    <w:rsid w:val="005F46C1"/>
    <w:rsid w:val="005F46F6"/>
    <w:rsid w:val="005F472E"/>
    <w:rsid w:val="005F4764"/>
    <w:rsid w:val="005F4776"/>
    <w:rsid w:val="005F47DC"/>
    <w:rsid w:val="005F48BC"/>
    <w:rsid w:val="005F48F3"/>
    <w:rsid w:val="005F493F"/>
    <w:rsid w:val="005F49F2"/>
    <w:rsid w:val="005F4A0E"/>
    <w:rsid w:val="005F4A29"/>
    <w:rsid w:val="005F4A84"/>
    <w:rsid w:val="005F4A8E"/>
    <w:rsid w:val="005F4B51"/>
    <w:rsid w:val="005F4B58"/>
    <w:rsid w:val="005F4BA1"/>
    <w:rsid w:val="005F4BC0"/>
    <w:rsid w:val="005F4BC1"/>
    <w:rsid w:val="005F4C49"/>
    <w:rsid w:val="005F4CAB"/>
    <w:rsid w:val="005F4CFB"/>
    <w:rsid w:val="005F50A9"/>
    <w:rsid w:val="005F517E"/>
    <w:rsid w:val="005F51D9"/>
    <w:rsid w:val="005F521C"/>
    <w:rsid w:val="005F5242"/>
    <w:rsid w:val="005F5248"/>
    <w:rsid w:val="005F5310"/>
    <w:rsid w:val="005F536C"/>
    <w:rsid w:val="005F53EE"/>
    <w:rsid w:val="005F5410"/>
    <w:rsid w:val="005F547A"/>
    <w:rsid w:val="005F54E4"/>
    <w:rsid w:val="005F551C"/>
    <w:rsid w:val="005F556F"/>
    <w:rsid w:val="005F5601"/>
    <w:rsid w:val="005F5607"/>
    <w:rsid w:val="005F5675"/>
    <w:rsid w:val="005F579A"/>
    <w:rsid w:val="005F58ED"/>
    <w:rsid w:val="005F58F7"/>
    <w:rsid w:val="005F5969"/>
    <w:rsid w:val="005F59E9"/>
    <w:rsid w:val="005F5A34"/>
    <w:rsid w:val="005F5A3A"/>
    <w:rsid w:val="005F5AF9"/>
    <w:rsid w:val="005F5B12"/>
    <w:rsid w:val="005F5B7B"/>
    <w:rsid w:val="005F5B87"/>
    <w:rsid w:val="005F5BB7"/>
    <w:rsid w:val="005F5BEE"/>
    <w:rsid w:val="005F5BFC"/>
    <w:rsid w:val="005F5C1E"/>
    <w:rsid w:val="005F5C7F"/>
    <w:rsid w:val="005F5CAF"/>
    <w:rsid w:val="005F5D9F"/>
    <w:rsid w:val="005F5DBB"/>
    <w:rsid w:val="005F5DD7"/>
    <w:rsid w:val="005F5F0E"/>
    <w:rsid w:val="005F5F6E"/>
    <w:rsid w:val="005F6018"/>
    <w:rsid w:val="005F60D9"/>
    <w:rsid w:val="005F612F"/>
    <w:rsid w:val="005F616B"/>
    <w:rsid w:val="005F6172"/>
    <w:rsid w:val="005F61A7"/>
    <w:rsid w:val="005F625F"/>
    <w:rsid w:val="005F6297"/>
    <w:rsid w:val="005F62C2"/>
    <w:rsid w:val="005F631C"/>
    <w:rsid w:val="005F6390"/>
    <w:rsid w:val="005F63AF"/>
    <w:rsid w:val="005F63EC"/>
    <w:rsid w:val="005F6468"/>
    <w:rsid w:val="005F6489"/>
    <w:rsid w:val="005F64D0"/>
    <w:rsid w:val="005F6526"/>
    <w:rsid w:val="005F6528"/>
    <w:rsid w:val="005F6598"/>
    <w:rsid w:val="005F65CA"/>
    <w:rsid w:val="005F66BD"/>
    <w:rsid w:val="005F6710"/>
    <w:rsid w:val="005F6774"/>
    <w:rsid w:val="005F6877"/>
    <w:rsid w:val="005F694D"/>
    <w:rsid w:val="005F6A73"/>
    <w:rsid w:val="005F6B2D"/>
    <w:rsid w:val="005F6B7A"/>
    <w:rsid w:val="005F6B92"/>
    <w:rsid w:val="005F6BBD"/>
    <w:rsid w:val="005F6C29"/>
    <w:rsid w:val="005F6C63"/>
    <w:rsid w:val="005F6CF2"/>
    <w:rsid w:val="005F6D25"/>
    <w:rsid w:val="005F6D37"/>
    <w:rsid w:val="005F6D56"/>
    <w:rsid w:val="005F6D9E"/>
    <w:rsid w:val="005F6E62"/>
    <w:rsid w:val="005F6EB7"/>
    <w:rsid w:val="005F6F13"/>
    <w:rsid w:val="005F6F4A"/>
    <w:rsid w:val="005F6F4F"/>
    <w:rsid w:val="005F6FD1"/>
    <w:rsid w:val="005F6FFC"/>
    <w:rsid w:val="005F7028"/>
    <w:rsid w:val="005F70C6"/>
    <w:rsid w:val="005F70F8"/>
    <w:rsid w:val="005F7125"/>
    <w:rsid w:val="005F71D5"/>
    <w:rsid w:val="005F7205"/>
    <w:rsid w:val="005F720A"/>
    <w:rsid w:val="005F72A3"/>
    <w:rsid w:val="005F72B7"/>
    <w:rsid w:val="005F72C6"/>
    <w:rsid w:val="005F72F7"/>
    <w:rsid w:val="005F734C"/>
    <w:rsid w:val="005F737C"/>
    <w:rsid w:val="005F737D"/>
    <w:rsid w:val="005F739D"/>
    <w:rsid w:val="005F73A3"/>
    <w:rsid w:val="005F73E2"/>
    <w:rsid w:val="005F73E9"/>
    <w:rsid w:val="005F73EC"/>
    <w:rsid w:val="005F74A6"/>
    <w:rsid w:val="005F7511"/>
    <w:rsid w:val="005F765A"/>
    <w:rsid w:val="005F7675"/>
    <w:rsid w:val="005F776F"/>
    <w:rsid w:val="005F779E"/>
    <w:rsid w:val="005F77DC"/>
    <w:rsid w:val="005F7841"/>
    <w:rsid w:val="005F784B"/>
    <w:rsid w:val="005F785C"/>
    <w:rsid w:val="005F786E"/>
    <w:rsid w:val="005F7902"/>
    <w:rsid w:val="005F792E"/>
    <w:rsid w:val="005F7957"/>
    <w:rsid w:val="005F7959"/>
    <w:rsid w:val="005F7971"/>
    <w:rsid w:val="005F797E"/>
    <w:rsid w:val="005F799C"/>
    <w:rsid w:val="005F79B9"/>
    <w:rsid w:val="005F79BA"/>
    <w:rsid w:val="005F7A8D"/>
    <w:rsid w:val="005F7AA9"/>
    <w:rsid w:val="005F7AF9"/>
    <w:rsid w:val="005F7B20"/>
    <w:rsid w:val="005F7B48"/>
    <w:rsid w:val="005F7B80"/>
    <w:rsid w:val="005F7BB2"/>
    <w:rsid w:val="005F7BC2"/>
    <w:rsid w:val="005F7BE8"/>
    <w:rsid w:val="005F7C0C"/>
    <w:rsid w:val="005F7C48"/>
    <w:rsid w:val="005F7CFB"/>
    <w:rsid w:val="005F7DF1"/>
    <w:rsid w:val="005F7DFD"/>
    <w:rsid w:val="005F7EE3"/>
    <w:rsid w:val="005F7F6D"/>
    <w:rsid w:val="005F7F99"/>
    <w:rsid w:val="005F7FEC"/>
    <w:rsid w:val="00600122"/>
    <w:rsid w:val="00600133"/>
    <w:rsid w:val="006002A3"/>
    <w:rsid w:val="00600311"/>
    <w:rsid w:val="00600444"/>
    <w:rsid w:val="0060049E"/>
    <w:rsid w:val="006004B1"/>
    <w:rsid w:val="00600503"/>
    <w:rsid w:val="00600582"/>
    <w:rsid w:val="0060060C"/>
    <w:rsid w:val="00600644"/>
    <w:rsid w:val="00600681"/>
    <w:rsid w:val="006006F9"/>
    <w:rsid w:val="00600726"/>
    <w:rsid w:val="00600743"/>
    <w:rsid w:val="0060076E"/>
    <w:rsid w:val="00600772"/>
    <w:rsid w:val="006007AE"/>
    <w:rsid w:val="0060080A"/>
    <w:rsid w:val="00600852"/>
    <w:rsid w:val="006008AC"/>
    <w:rsid w:val="006008C7"/>
    <w:rsid w:val="006008EF"/>
    <w:rsid w:val="0060090E"/>
    <w:rsid w:val="0060098F"/>
    <w:rsid w:val="00600994"/>
    <w:rsid w:val="006009E4"/>
    <w:rsid w:val="00600A9B"/>
    <w:rsid w:val="00600AA4"/>
    <w:rsid w:val="00600B57"/>
    <w:rsid w:val="00600B5C"/>
    <w:rsid w:val="00600BCB"/>
    <w:rsid w:val="00600C76"/>
    <w:rsid w:val="00600CB8"/>
    <w:rsid w:val="00600DFD"/>
    <w:rsid w:val="00600E1E"/>
    <w:rsid w:val="00600F44"/>
    <w:rsid w:val="00600F4A"/>
    <w:rsid w:val="00600F7E"/>
    <w:rsid w:val="00600FE8"/>
    <w:rsid w:val="00600FFA"/>
    <w:rsid w:val="00601094"/>
    <w:rsid w:val="00601101"/>
    <w:rsid w:val="0060115F"/>
    <w:rsid w:val="0060116C"/>
    <w:rsid w:val="00601177"/>
    <w:rsid w:val="00601189"/>
    <w:rsid w:val="006011F0"/>
    <w:rsid w:val="00601236"/>
    <w:rsid w:val="00601286"/>
    <w:rsid w:val="00601309"/>
    <w:rsid w:val="00601408"/>
    <w:rsid w:val="00601425"/>
    <w:rsid w:val="00601476"/>
    <w:rsid w:val="00601512"/>
    <w:rsid w:val="00601530"/>
    <w:rsid w:val="006015EE"/>
    <w:rsid w:val="00601603"/>
    <w:rsid w:val="0060163F"/>
    <w:rsid w:val="00601650"/>
    <w:rsid w:val="00601686"/>
    <w:rsid w:val="006016BE"/>
    <w:rsid w:val="006016E2"/>
    <w:rsid w:val="00601701"/>
    <w:rsid w:val="0060176C"/>
    <w:rsid w:val="006017B0"/>
    <w:rsid w:val="006017B6"/>
    <w:rsid w:val="006017F6"/>
    <w:rsid w:val="006017FC"/>
    <w:rsid w:val="006018AA"/>
    <w:rsid w:val="006018F7"/>
    <w:rsid w:val="00601909"/>
    <w:rsid w:val="00601920"/>
    <w:rsid w:val="00601930"/>
    <w:rsid w:val="00601977"/>
    <w:rsid w:val="0060199E"/>
    <w:rsid w:val="006019D3"/>
    <w:rsid w:val="006019E2"/>
    <w:rsid w:val="00601AA8"/>
    <w:rsid w:val="00601AAD"/>
    <w:rsid w:val="00601ACE"/>
    <w:rsid w:val="00601AE2"/>
    <w:rsid w:val="00601C24"/>
    <w:rsid w:val="00601D28"/>
    <w:rsid w:val="00601E34"/>
    <w:rsid w:val="00601E47"/>
    <w:rsid w:val="00601EA0"/>
    <w:rsid w:val="00601EDD"/>
    <w:rsid w:val="00601F81"/>
    <w:rsid w:val="0060207E"/>
    <w:rsid w:val="00602191"/>
    <w:rsid w:val="006021A2"/>
    <w:rsid w:val="006022B9"/>
    <w:rsid w:val="006023B1"/>
    <w:rsid w:val="0060241E"/>
    <w:rsid w:val="00602428"/>
    <w:rsid w:val="0060246F"/>
    <w:rsid w:val="0060259F"/>
    <w:rsid w:val="00602631"/>
    <w:rsid w:val="00602669"/>
    <w:rsid w:val="006026FF"/>
    <w:rsid w:val="00602733"/>
    <w:rsid w:val="0060273A"/>
    <w:rsid w:val="00602786"/>
    <w:rsid w:val="0060292B"/>
    <w:rsid w:val="00602932"/>
    <w:rsid w:val="006029B2"/>
    <w:rsid w:val="00602A05"/>
    <w:rsid w:val="00602A5D"/>
    <w:rsid w:val="00602BBE"/>
    <w:rsid w:val="00602C79"/>
    <w:rsid w:val="00602C86"/>
    <w:rsid w:val="00602D6A"/>
    <w:rsid w:val="00602D75"/>
    <w:rsid w:val="00602DF0"/>
    <w:rsid w:val="00602E32"/>
    <w:rsid w:val="00602E69"/>
    <w:rsid w:val="00602E83"/>
    <w:rsid w:val="00602E9E"/>
    <w:rsid w:val="00602EF0"/>
    <w:rsid w:val="00602F55"/>
    <w:rsid w:val="00602F74"/>
    <w:rsid w:val="00603001"/>
    <w:rsid w:val="00603011"/>
    <w:rsid w:val="00603033"/>
    <w:rsid w:val="00603054"/>
    <w:rsid w:val="0060308F"/>
    <w:rsid w:val="006031F4"/>
    <w:rsid w:val="00603290"/>
    <w:rsid w:val="006032D1"/>
    <w:rsid w:val="00603375"/>
    <w:rsid w:val="0060338F"/>
    <w:rsid w:val="006033A3"/>
    <w:rsid w:val="006033B9"/>
    <w:rsid w:val="006033E6"/>
    <w:rsid w:val="00603479"/>
    <w:rsid w:val="00603493"/>
    <w:rsid w:val="00603513"/>
    <w:rsid w:val="00603516"/>
    <w:rsid w:val="00603522"/>
    <w:rsid w:val="0060356F"/>
    <w:rsid w:val="0060358E"/>
    <w:rsid w:val="006035D7"/>
    <w:rsid w:val="00603654"/>
    <w:rsid w:val="006036DE"/>
    <w:rsid w:val="006036FB"/>
    <w:rsid w:val="0060370C"/>
    <w:rsid w:val="0060374B"/>
    <w:rsid w:val="00603752"/>
    <w:rsid w:val="00603771"/>
    <w:rsid w:val="006037CD"/>
    <w:rsid w:val="0060381C"/>
    <w:rsid w:val="00603878"/>
    <w:rsid w:val="0060391B"/>
    <w:rsid w:val="0060393D"/>
    <w:rsid w:val="0060398F"/>
    <w:rsid w:val="00603998"/>
    <w:rsid w:val="006039CC"/>
    <w:rsid w:val="006039E8"/>
    <w:rsid w:val="006039EC"/>
    <w:rsid w:val="00603A51"/>
    <w:rsid w:val="00603A83"/>
    <w:rsid w:val="00603B26"/>
    <w:rsid w:val="00603BAF"/>
    <w:rsid w:val="00603BE3"/>
    <w:rsid w:val="00603BE8"/>
    <w:rsid w:val="00603D62"/>
    <w:rsid w:val="00603DC2"/>
    <w:rsid w:val="00603E35"/>
    <w:rsid w:val="00603EFE"/>
    <w:rsid w:val="00603F4D"/>
    <w:rsid w:val="00603FDA"/>
    <w:rsid w:val="00604053"/>
    <w:rsid w:val="00604079"/>
    <w:rsid w:val="00604131"/>
    <w:rsid w:val="0060416A"/>
    <w:rsid w:val="006041A6"/>
    <w:rsid w:val="006041CE"/>
    <w:rsid w:val="006041E8"/>
    <w:rsid w:val="0060422D"/>
    <w:rsid w:val="00604243"/>
    <w:rsid w:val="00604252"/>
    <w:rsid w:val="006042C0"/>
    <w:rsid w:val="00604307"/>
    <w:rsid w:val="00604331"/>
    <w:rsid w:val="006043FA"/>
    <w:rsid w:val="00604402"/>
    <w:rsid w:val="00604472"/>
    <w:rsid w:val="00604546"/>
    <w:rsid w:val="006045DA"/>
    <w:rsid w:val="0060464D"/>
    <w:rsid w:val="00604773"/>
    <w:rsid w:val="006047D7"/>
    <w:rsid w:val="0060483D"/>
    <w:rsid w:val="00604915"/>
    <w:rsid w:val="00604919"/>
    <w:rsid w:val="00604938"/>
    <w:rsid w:val="00604958"/>
    <w:rsid w:val="00604B92"/>
    <w:rsid w:val="00604BDB"/>
    <w:rsid w:val="00604C12"/>
    <w:rsid w:val="00604C2D"/>
    <w:rsid w:val="00604CB5"/>
    <w:rsid w:val="00604CEB"/>
    <w:rsid w:val="00604CFD"/>
    <w:rsid w:val="00604D3D"/>
    <w:rsid w:val="00604D79"/>
    <w:rsid w:val="00604EC9"/>
    <w:rsid w:val="00604EEF"/>
    <w:rsid w:val="00604FDA"/>
    <w:rsid w:val="00605053"/>
    <w:rsid w:val="00605107"/>
    <w:rsid w:val="00605120"/>
    <w:rsid w:val="006051F3"/>
    <w:rsid w:val="00605254"/>
    <w:rsid w:val="0060526C"/>
    <w:rsid w:val="006052C4"/>
    <w:rsid w:val="00605349"/>
    <w:rsid w:val="00605367"/>
    <w:rsid w:val="00605433"/>
    <w:rsid w:val="006054BC"/>
    <w:rsid w:val="006054CB"/>
    <w:rsid w:val="006054F6"/>
    <w:rsid w:val="0060557D"/>
    <w:rsid w:val="006055A0"/>
    <w:rsid w:val="0060564D"/>
    <w:rsid w:val="0060566A"/>
    <w:rsid w:val="00605726"/>
    <w:rsid w:val="00605783"/>
    <w:rsid w:val="0060584C"/>
    <w:rsid w:val="006058BF"/>
    <w:rsid w:val="0060590A"/>
    <w:rsid w:val="00605983"/>
    <w:rsid w:val="006059D6"/>
    <w:rsid w:val="006059D8"/>
    <w:rsid w:val="00605A33"/>
    <w:rsid w:val="00605AC3"/>
    <w:rsid w:val="00605AFD"/>
    <w:rsid w:val="00605B51"/>
    <w:rsid w:val="00605B7A"/>
    <w:rsid w:val="00605BE0"/>
    <w:rsid w:val="00605C83"/>
    <w:rsid w:val="00605CDA"/>
    <w:rsid w:val="00605D14"/>
    <w:rsid w:val="00605DDB"/>
    <w:rsid w:val="00605E4A"/>
    <w:rsid w:val="00605E7A"/>
    <w:rsid w:val="00605EB7"/>
    <w:rsid w:val="00605EF0"/>
    <w:rsid w:val="00605F08"/>
    <w:rsid w:val="00605F40"/>
    <w:rsid w:val="00605F63"/>
    <w:rsid w:val="00605F79"/>
    <w:rsid w:val="00605F97"/>
    <w:rsid w:val="00605FC2"/>
    <w:rsid w:val="006060D6"/>
    <w:rsid w:val="006061B0"/>
    <w:rsid w:val="006061E4"/>
    <w:rsid w:val="00606290"/>
    <w:rsid w:val="006062DC"/>
    <w:rsid w:val="00606326"/>
    <w:rsid w:val="0060637E"/>
    <w:rsid w:val="0060639A"/>
    <w:rsid w:val="006065D7"/>
    <w:rsid w:val="00606621"/>
    <w:rsid w:val="00606648"/>
    <w:rsid w:val="00606672"/>
    <w:rsid w:val="00606682"/>
    <w:rsid w:val="0060679C"/>
    <w:rsid w:val="006067D1"/>
    <w:rsid w:val="006067E9"/>
    <w:rsid w:val="006067F5"/>
    <w:rsid w:val="0060683A"/>
    <w:rsid w:val="0060684F"/>
    <w:rsid w:val="006068F2"/>
    <w:rsid w:val="006068F3"/>
    <w:rsid w:val="00606901"/>
    <w:rsid w:val="00606929"/>
    <w:rsid w:val="0060693D"/>
    <w:rsid w:val="0060694F"/>
    <w:rsid w:val="0060698E"/>
    <w:rsid w:val="006069F6"/>
    <w:rsid w:val="00606A34"/>
    <w:rsid w:val="00606A9F"/>
    <w:rsid w:val="00606AEB"/>
    <w:rsid w:val="00606AED"/>
    <w:rsid w:val="00606B61"/>
    <w:rsid w:val="00606B88"/>
    <w:rsid w:val="00606BD6"/>
    <w:rsid w:val="00606CDD"/>
    <w:rsid w:val="00606D3D"/>
    <w:rsid w:val="00606D64"/>
    <w:rsid w:val="00606DB0"/>
    <w:rsid w:val="00606DC5"/>
    <w:rsid w:val="00606E50"/>
    <w:rsid w:val="00606E55"/>
    <w:rsid w:val="00606E7E"/>
    <w:rsid w:val="00606EFD"/>
    <w:rsid w:val="00606F67"/>
    <w:rsid w:val="00606FBA"/>
    <w:rsid w:val="00607004"/>
    <w:rsid w:val="00607044"/>
    <w:rsid w:val="00607067"/>
    <w:rsid w:val="00607077"/>
    <w:rsid w:val="006070DD"/>
    <w:rsid w:val="0060720A"/>
    <w:rsid w:val="00607293"/>
    <w:rsid w:val="006072EA"/>
    <w:rsid w:val="00607477"/>
    <w:rsid w:val="00607484"/>
    <w:rsid w:val="0060749B"/>
    <w:rsid w:val="006074A3"/>
    <w:rsid w:val="006074B5"/>
    <w:rsid w:val="006074C4"/>
    <w:rsid w:val="006074D5"/>
    <w:rsid w:val="006074E0"/>
    <w:rsid w:val="0060754F"/>
    <w:rsid w:val="00607572"/>
    <w:rsid w:val="006075B0"/>
    <w:rsid w:val="006075D2"/>
    <w:rsid w:val="006075EB"/>
    <w:rsid w:val="0060762D"/>
    <w:rsid w:val="00607741"/>
    <w:rsid w:val="006077E9"/>
    <w:rsid w:val="006078B0"/>
    <w:rsid w:val="006078E7"/>
    <w:rsid w:val="006078FD"/>
    <w:rsid w:val="00607935"/>
    <w:rsid w:val="0060798C"/>
    <w:rsid w:val="00607994"/>
    <w:rsid w:val="00607A2A"/>
    <w:rsid w:val="00607A44"/>
    <w:rsid w:val="00607A46"/>
    <w:rsid w:val="00607A4D"/>
    <w:rsid w:val="00607AA6"/>
    <w:rsid w:val="00607B01"/>
    <w:rsid w:val="00607B2E"/>
    <w:rsid w:val="00607B98"/>
    <w:rsid w:val="00607BC2"/>
    <w:rsid w:val="00607BF7"/>
    <w:rsid w:val="00607C5E"/>
    <w:rsid w:val="00607D49"/>
    <w:rsid w:val="00607E0A"/>
    <w:rsid w:val="00607E6E"/>
    <w:rsid w:val="00607EE6"/>
    <w:rsid w:val="00607F02"/>
    <w:rsid w:val="00607F76"/>
    <w:rsid w:val="00607FDC"/>
    <w:rsid w:val="0061003A"/>
    <w:rsid w:val="0061008B"/>
    <w:rsid w:val="00610098"/>
    <w:rsid w:val="00610153"/>
    <w:rsid w:val="006101D0"/>
    <w:rsid w:val="006101D6"/>
    <w:rsid w:val="006102BA"/>
    <w:rsid w:val="006103DC"/>
    <w:rsid w:val="00610467"/>
    <w:rsid w:val="00610487"/>
    <w:rsid w:val="006104AF"/>
    <w:rsid w:val="006104B6"/>
    <w:rsid w:val="006104F3"/>
    <w:rsid w:val="00610552"/>
    <w:rsid w:val="00610599"/>
    <w:rsid w:val="00610721"/>
    <w:rsid w:val="0061074C"/>
    <w:rsid w:val="006107B1"/>
    <w:rsid w:val="00610813"/>
    <w:rsid w:val="00610824"/>
    <w:rsid w:val="00610845"/>
    <w:rsid w:val="0061084E"/>
    <w:rsid w:val="006108D9"/>
    <w:rsid w:val="006109CC"/>
    <w:rsid w:val="006109F3"/>
    <w:rsid w:val="00610A39"/>
    <w:rsid w:val="00610AD6"/>
    <w:rsid w:val="00610B1D"/>
    <w:rsid w:val="00610B2E"/>
    <w:rsid w:val="00610B4F"/>
    <w:rsid w:val="00610BA2"/>
    <w:rsid w:val="00610C31"/>
    <w:rsid w:val="00610CCE"/>
    <w:rsid w:val="00610CF8"/>
    <w:rsid w:val="00610CFF"/>
    <w:rsid w:val="00610D0E"/>
    <w:rsid w:val="00610D7A"/>
    <w:rsid w:val="00610DBE"/>
    <w:rsid w:val="00610E7A"/>
    <w:rsid w:val="00610F2B"/>
    <w:rsid w:val="00611001"/>
    <w:rsid w:val="00611039"/>
    <w:rsid w:val="006110A6"/>
    <w:rsid w:val="006110E9"/>
    <w:rsid w:val="006110EF"/>
    <w:rsid w:val="00611150"/>
    <w:rsid w:val="006111A8"/>
    <w:rsid w:val="006111C2"/>
    <w:rsid w:val="00611217"/>
    <w:rsid w:val="00611221"/>
    <w:rsid w:val="0061125D"/>
    <w:rsid w:val="00611263"/>
    <w:rsid w:val="00611273"/>
    <w:rsid w:val="0061127F"/>
    <w:rsid w:val="0061131A"/>
    <w:rsid w:val="0061136A"/>
    <w:rsid w:val="0061141E"/>
    <w:rsid w:val="0061143D"/>
    <w:rsid w:val="00611461"/>
    <w:rsid w:val="0061147F"/>
    <w:rsid w:val="006114CB"/>
    <w:rsid w:val="00611505"/>
    <w:rsid w:val="0061153F"/>
    <w:rsid w:val="00611571"/>
    <w:rsid w:val="0061157B"/>
    <w:rsid w:val="006115A2"/>
    <w:rsid w:val="00611649"/>
    <w:rsid w:val="0061167B"/>
    <w:rsid w:val="006116AC"/>
    <w:rsid w:val="006116BD"/>
    <w:rsid w:val="006116D7"/>
    <w:rsid w:val="006116FF"/>
    <w:rsid w:val="0061170A"/>
    <w:rsid w:val="00611713"/>
    <w:rsid w:val="006117AB"/>
    <w:rsid w:val="00611922"/>
    <w:rsid w:val="006119BE"/>
    <w:rsid w:val="00611B02"/>
    <w:rsid w:val="00611B79"/>
    <w:rsid w:val="00611BCB"/>
    <w:rsid w:val="00611C47"/>
    <w:rsid w:val="00611D14"/>
    <w:rsid w:val="00611D18"/>
    <w:rsid w:val="00611D1D"/>
    <w:rsid w:val="00611D31"/>
    <w:rsid w:val="00611D8C"/>
    <w:rsid w:val="00611D93"/>
    <w:rsid w:val="00611F68"/>
    <w:rsid w:val="00611F82"/>
    <w:rsid w:val="0061200C"/>
    <w:rsid w:val="00612041"/>
    <w:rsid w:val="0061212D"/>
    <w:rsid w:val="00612149"/>
    <w:rsid w:val="00612206"/>
    <w:rsid w:val="00612274"/>
    <w:rsid w:val="0061229D"/>
    <w:rsid w:val="00612348"/>
    <w:rsid w:val="006123A4"/>
    <w:rsid w:val="006123D4"/>
    <w:rsid w:val="0061243B"/>
    <w:rsid w:val="00612472"/>
    <w:rsid w:val="00612497"/>
    <w:rsid w:val="006124C6"/>
    <w:rsid w:val="00612531"/>
    <w:rsid w:val="00612546"/>
    <w:rsid w:val="0061256C"/>
    <w:rsid w:val="0061260F"/>
    <w:rsid w:val="00612681"/>
    <w:rsid w:val="00612683"/>
    <w:rsid w:val="006126D9"/>
    <w:rsid w:val="00612773"/>
    <w:rsid w:val="00612788"/>
    <w:rsid w:val="006127A6"/>
    <w:rsid w:val="006127B1"/>
    <w:rsid w:val="006127B9"/>
    <w:rsid w:val="00612856"/>
    <w:rsid w:val="0061285C"/>
    <w:rsid w:val="00612873"/>
    <w:rsid w:val="0061288F"/>
    <w:rsid w:val="006128C1"/>
    <w:rsid w:val="006128C6"/>
    <w:rsid w:val="006128D8"/>
    <w:rsid w:val="00612916"/>
    <w:rsid w:val="00612927"/>
    <w:rsid w:val="0061296A"/>
    <w:rsid w:val="006129D1"/>
    <w:rsid w:val="00612A94"/>
    <w:rsid w:val="00612AA1"/>
    <w:rsid w:val="00612AE1"/>
    <w:rsid w:val="00612AE7"/>
    <w:rsid w:val="00612AF2"/>
    <w:rsid w:val="00612B91"/>
    <w:rsid w:val="00612C17"/>
    <w:rsid w:val="00612C7A"/>
    <w:rsid w:val="00612CCC"/>
    <w:rsid w:val="00612D8B"/>
    <w:rsid w:val="00612DE2"/>
    <w:rsid w:val="00612E61"/>
    <w:rsid w:val="00612F19"/>
    <w:rsid w:val="00612F64"/>
    <w:rsid w:val="00612F9D"/>
    <w:rsid w:val="00613077"/>
    <w:rsid w:val="0061307D"/>
    <w:rsid w:val="0061309E"/>
    <w:rsid w:val="006130E2"/>
    <w:rsid w:val="006130F6"/>
    <w:rsid w:val="00613155"/>
    <w:rsid w:val="00613218"/>
    <w:rsid w:val="00613240"/>
    <w:rsid w:val="006132CF"/>
    <w:rsid w:val="0061342A"/>
    <w:rsid w:val="0061360B"/>
    <w:rsid w:val="0061360E"/>
    <w:rsid w:val="0061369F"/>
    <w:rsid w:val="006136B1"/>
    <w:rsid w:val="006136CD"/>
    <w:rsid w:val="006136D6"/>
    <w:rsid w:val="00613765"/>
    <w:rsid w:val="0061376D"/>
    <w:rsid w:val="0061376F"/>
    <w:rsid w:val="0061379D"/>
    <w:rsid w:val="0061379F"/>
    <w:rsid w:val="00613844"/>
    <w:rsid w:val="00613856"/>
    <w:rsid w:val="0061385C"/>
    <w:rsid w:val="00613871"/>
    <w:rsid w:val="00613877"/>
    <w:rsid w:val="006138EA"/>
    <w:rsid w:val="0061392A"/>
    <w:rsid w:val="00613978"/>
    <w:rsid w:val="0061398D"/>
    <w:rsid w:val="006139C3"/>
    <w:rsid w:val="006139FE"/>
    <w:rsid w:val="00613A56"/>
    <w:rsid w:val="00613A5B"/>
    <w:rsid w:val="00613B1A"/>
    <w:rsid w:val="00613BFE"/>
    <w:rsid w:val="00613C00"/>
    <w:rsid w:val="00613C73"/>
    <w:rsid w:val="00613C75"/>
    <w:rsid w:val="00613D12"/>
    <w:rsid w:val="00613E47"/>
    <w:rsid w:val="00613E93"/>
    <w:rsid w:val="00613EF2"/>
    <w:rsid w:val="00613F7F"/>
    <w:rsid w:val="0061400B"/>
    <w:rsid w:val="00614038"/>
    <w:rsid w:val="00614069"/>
    <w:rsid w:val="00614092"/>
    <w:rsid w:val="006140CE"/>
    <w:rsid w:val="00614164"/>
    <w:rsid w:val="006141CC"/>
    <w:rsid w:val="006141D6"/>
    <w:rsid w:val="006141E3"/>
    <w:rsid w:val="00614244"/>
    <w:rsid w:val="006142CB"/>
    <w:rsid w:val="006142D2"/>
    <w:rsid w:val="006142F5"/>
    <w:rsid w:val="00614359"/>
    <w:rsid w:val="006143D5"/>
    <w:rsid w:val="00614442"/>
    <w:rsid w:val="0061445B"/>
    <w:rsid w:val="006144E1"/>
    <w:rsid w:val="0061466D"/>
    <w:rsid w:val="006146D7"/>
    <w:rsid w:val="00614767"/>
    <w:rsid w:val="0061476F"/>
    <w:rsid w:val="0061478B"/>
    <w:rsid w:val="006147DE"/>
    <w:rsid w:val="00614842"/>
    <w:rsid w:val="006148AC"/>
    <w:rsid w:val="006148F7"/>
    <w:rsid w:val="006148FE"/>
    <w:rsid w:val="006149E3"/>
    <w:rsid w:val="00614A49"/>
    <w:rsid w:val="00614A63"/>
    <w:rsid w:val="00614A6C"/>
    <w:rsid w:val="00614AAC"/>
    <w:rsid w:val="00614B8B"/>
    <w:rsid w:val="00614BD3"/>
    <w:rsid w:val="00614BE8"/>
    <w:rsid w:val="00614C1B"/>
    <w:rsid w:val="00614CAF"/>
    <w:rsid w:val="00614CED"/>
    <w:rsid w:val="00614D4A"/>
    <w:rsid w:val="00614D53"/>
    <w:rsid w:val="00614E1C"/>
    <w:rsid w:val="00614EC0"/>
    <w:rsid w:val="00614EE0"/>
    <w:rsid w:val="00614EF2"/>
    <w:rsid w:val="00614F69"/>
    <w:rsid w:val="00615025"/>
    <w:rsid w:val="00615052"/>
    <w:rsid w:val="006150DF"/>
    <w:rsid w:val="0061517B"/>
    <w:rsid w:val="0061517F"/>
    <w:rsid w:val="006151E7"/>
    <w:rsid w:val="00615257"/>
    <w:rsid w:val="0061527F"/>
    <w:rsid w:val="006152E5"/>
    <w:rsid w:val="0061538C"/>
    <w:rsid w:val="006153D4"/>
    <w:rsid w:val="006153DF"/>
    <w:rsid w:val="00615469"/>
    <w:rsid w:val="0061548A"/>
    <w:rsid w:val="006154E1"/>
    <w:rsid w:val="006154F7"/>
    <w:rsid w:val="0061552B"/>
    <w:rsid w:val="00615560"/>
    <w:rsid w:val="00615593"/>
    <w:rsid w:val="00615601"/>
    <w:rsid w:val="0061563A"/>
    <w:rsid w:val="00615674"/>
    <w:rsid w:val="0061584E"/>
    <w:rsid w:val="0061585C"/>
    <w:rsid w:val="00615867"/>
    <w:rsid w:val="00615877"/>
    <w:rsid w:val="00615915"/>
    <w:rsid w:val="0061593A"/>
    <w:rsid w:val="0061597C"/>
    <w:rsid w:val="00615990"/>
    <w:rsid w:val="006159EA"/>
    <w:rsid w:val="00615B66"/>
    <w:rsid w:val="00615B88"/>
    <w:rsid w:val="00615BC6"/>
    <w:rsid w:val="00615BD5"/>
    <w:rsid w:val="00615BDF"/>
    <w:rsid w:val="00615C35"/>
    <w:rsid w:val="00615C39"/>
    <w:rsid w:val="00615C42"/>
    <w:rsid w:val="00615C72"/>
    <w:rsid w:val="00615C7A"/>
    <w:rsid w:val="00615D86"/>
    <w:rsid w:val="00615DD9"/>
    <w:rsid w:val="00615E7A"/>
    <w:rsid w:val="00615E80"/>
    <w:rsid w:val="00615E8A"/>
    <w:rsid w:val="00615E8F"/>
    <w:rsid w:val="00615EA8"/>
    <w:rsid w:val="00615F40"/>
    <w:rsid w:val="00615FA4"/>
    <w:rsid w:val="00616020"/>
    <w:rsid w:val="0061606C"/>
    <w:rsid w:val="006160DA"/>
    <w:rsid w:val="006161B7"/>
    <w:rsid w:val="0061625A"/>
    <w:rsid w:val="00616268"/>
    <w:rsid w:val="006162DE"/>
    <w:rsid w:val="006162E0"/>
    <w:rsid w:val="00616304"/>
    <w:rsid w:val="0061633B"/>
    <w:rsid w:val="00616375"/>
    <w:rsid w:val="0061637D"/>
    <w:rsid w:val="006163E4"/>
    <w:rsid w:val="00616421"/>
    <w:rsid w:val="0061642F"/>
    <w:rsid w:val="0061644B"/>
    <w:rsid w:val="00616517"/>
    <w:rsid w:val="0061654D"/>
    <w:rsid w:val="0061654E"/>
    <w:rsid w:val="00616567"/>
    <w:rsid w:val="0061658E"/>
    <w:rsid w:val="006165B1"/>
    <w:rsid w:val="00616665"/>
    <w:rsid w:val="006166DB"/>
    <w:rsid w:val="00616703"/>
    <w:rsid w:val="00616717"/>
    <w:rsid w:val="00616749"/>
    <w:rsid w:val="00616799"/>
    <w:rsid w:val="00616831"/>
    <w:rsid w:val="00616834"/>
    <w:rsid w:val="00616846"/>
    <w:rsid w:val="00616866"/>
    <w:rsid w:val="00616913"/>
    <w:rsid w:val="0061692E"/>
    <w:rsid w:val="006169E6"/>
    <w:rsid w:val="00616A52"/>
    <w:rsid w:val="00616A9A"/>
    <w:rsid w:val="00616AA0"/>
    <w:rsid w:val="00616B06"/>
    <w:rsid w:val="00616B29"/>
    <w:rsid w:val="00616B5A"/>
    <w:rsid w:val="00616C37"/>
    <w:rsid w:val="00616CB5"/>
    <w:rsid w:val="00616D1B"/>
    <w:rsid w:val="00616DCE"/>
    <w:rsid w:val="00616DDE"/>
    <w:rsid w:val="00616DFE"/>
    <w:rsid w:val="00616E18"/>
    <w:rsid w:val="00616E20"/>
    <w:rsid w:val="00616E5E"/>
    <w:rsid w:val="00616E95"/>
    <w:rsid w:val="00616EB6"/>
    <w:rsid w:val="00616F21"/>
    <w:rsid w:val="00616F6D"/>
    <w:rsid w:val="00616FD0"/>
    <w:rsid w:val="00616FEA"/>
    <w:rsid w:val="00617019"/>
    <w:rsid w:val="0061709C"/>
    <w:rsid w:val="006170B9"/>
    <w:rsid w:val="006170D5"/>
    <w:rsid w:val="00617129"/>
    <w:rsid w:val="006171E4"/>
    <w:rsid w:val="00617283"/>
    <w:rsid w:val="006172A4"/>
    <w:rsid w:val="00617349"/>
    <w:rsid w:val="006173A8"/>
    <w:rsid w:val="006173F4"/>
    <w:rsid w:val="006174AB"/>
    <w:rsid w:val="0061763C"/>
    <w:rsid w:val="0061763E"/>
    <w:rsid w:val="0061765C"/>
    <w:rsid w:val="006176B6"/>
    <w:rsid w:val="006176E7"/>
    <w:rsid w:val="00617731"/>
    <w:rsid w:val="00617765"/>
    <w:rsid w:val="006177E3"/>
    <w:rsid w:val="00617835"/>
    <w:rsid w:val="006178F2"/>
    <w:rsid w:val="00617900"/>
    <w:rsid w:val="0061797A"/>
    <w:rsid w:val="00617A8B"/>
    <w:rsid w:val="00617AA7"/>
    <w:rsid w:val="00617ABD"/>
    <w:rsid w:val="00617B15"/>
    <w:rsid w:val="00617B50"/>
    <w:rsid w:val="00617B8C"/>
    <w:rsid w:val="00617BE7"/>
    <w:rsid w:val="00617C24"/>
    <w:rsid w:val="00617C4C"/>
    <w:rsid w:val="00617C63"/>
    <w:rsid w:val="00617CCD"/>
    <w:rsid w:val="00617CDB"/>
    <w:rsid w:val="00617D33"/>
    <w:rsid w:val="00617D8F"/>
    <w:rsid w:val="00617DB8"/>
    <w:rsid w:val="00617DD4"/>
    <w:rsid w:val="00617E3F"/>
    <w:rsid w:val="00617E5E"/>
    <w:rsid w:val="00617EDB"/>
    <w:rsid w:val="00617FC7"/>
    <w:rsid w:val="00617FCE"/>
    <w:rsid w:val="00620006"/>
    <w:rsid w:val="00620026"/>
    <w:rsid w:val="0062006A"/>
    <w:rsid w:val="00620078"/>
    <w:rsid w:val="006200B4"/>
    <w:rsid w:val="00620229"/>
    <w:rsid w:val="00620248"/>
    <w:rsid w:val="00620300"/>
    <w:rsid w:val="00620355"/>
    <w:rsid w:val="00620386"/>
    <w:rsid w:val="00620393"/>
    <w:rsid w:val="006203BD"/>
    <w:rsid w:val="006203F3"/>
    <w:rsid w:val="00620431"/>
    <w:rsid w:val="0062043A"/>
    <w:rsid w:val="0062047C"/>
    <w:rsid w:val="00620507"/>
    <w:rsid w:val="0062050A"/>
    <w:rsid w:val="00620534"/>
    <w:rsid w:val="00620546"/>
    <w:rsid w:val="00620592"/>
    <w:rsid w:val="00620607"/>
    <w:rsid w:val="0062060E"/>
    <w:rsid w:val="0062062E"/>
    <w:rsid w:val="00620689"/>
    <w:rsid w:val="006206CA"/>
    <w:rsid w:val="0062070F"/>
    <w:rsid w:val="00620722"/>
    <w:rsid w:val="0062076A"/>
    <w:rsid w:val="00620780"/>
    <w:rsid w:val="006207FB"/>
    <w:rsid w:val="00620812"/>
    <w:rsid w:val="0062086A"/>
    <w:rsid w:val="006208D4"/>
    <w:rsid w:val="006208EE"/>
    <w:rsid w:val="00620931"/>
    <w:rsid w:val="00620967"/>
    <w:rsid w:val="0062098A"/>
    <w:rsid w:val="006209DB"/>
    <w:rsid w:val="006209ED"/>
    <w:rsid w:val="006209F7"/>
    <w:rsid w:val="00620AA6"/>
    <w:rsid w:val="00620AF6"/>
    <w:rsid w:val="00620B95"/>
    <w:rsid w:val="00620C70"/>
    <w:rsid w:val="00620E3B"/>
    <w:rsid w:val="00620E76"/>
    <w:rsid w:val="00620E7F"/>
    <w:rsid w:val="00620EA5"/>
    <w:rsid w:val="00620EB1"/>
    <w:rsid w:val="00620ECB"/>
    <w:rsid w:val="00620F50"/>
    <w:rsid w:val="00620F68"/>
    <w:rsid w:val="00620FA0"/>
    <w:rsid w:val="00620FBC"/>
    <w:rsid w:val="00621065"/>
    <w:rsid w:val="006210AF"/>
    <w:rsid w:val="006210DE"/>
    <w:rsid w:val="006210FC"/>
    <w:rsid w:val="0062111B"/>
    <w:rsid w:val="006212CC"/>
    <w:rsid w:val="00621323"/>
    <w:rsid w:val="0062132C"/>
    <w:rsid w:val="00621372"/>
    <w:rsid w:val="006213DD"/>
    <w:rsid w:val="006213F9"/>
    <w:rsid w:val="006213FB"/>
    <w:rsid w:val="00621440"/>
    <w:rsid w:val="00621454"/>
    <w:rsid w:val="00621464"/>
    <w:rsid w:val="00621491"/>
    <w:rsid w:val="006214DC"/>
    <w:rsid w:val="006214DE"/>
    <w:rsid w:val="0062157B"/>
    <w:rsid w:val="00621592"/>
    <w:rsid w:val="0062160A"/>
    <w:rsid w:val="0062161A"/>
    <w:rsid w:val="0062161E"/>
    <w:rsid w:val="0062162B"/>
    <w:rsid w:val="0062167A"/>
    <w:rsid w:val="006216A4"/>
    <w:rsid w:val="0062173E"/>
    <w:rsid w:val="0062174E"/>
    <w:rsid w:val="006217A7"/>
    <w:rsid w:val="006217AD"/>
    <w:rsid w:val="0062183B"/>
    <w:rsid w:val="006218C3"/>
    <w:rsid w:val="00621950"/>
    <w:rsid w:val="00621AB7"/>
    <w:rsid w:val="00621B18"/>
    <w:rsid w:val="00621B60"/>
    <w:rsid w:val="00621B8C"/>
    <w:rsid w:val="00621BEC"/>
    <w:rsid w:val="00621C5D"/>
    <w:rsid w:val="00621C6C"/>
    <w:rsid w:val="00621C87"/>
    <w:rsid w:val="00621CCB"/>
    <w:rsid w:val="00621DEA"/>
    <w:rsid w:val="00621E16"/>
    <w:rsid w:val="00621E31"/>
    <w:rsid w:val="00621E52"/>
    <w:rsid w:val="00621E72"/>
    <w:rsid w:val="00621EBF"/>
    <w:rsid w:val="00621F40"/>
    <w:rsid w:val="00621F62"/>
    <w:rsid w:val="00622015"/>
    <w:rsid w:val="00622046"/>
    <w:rsid w:val="006220B9"/>
    <w:rsid w:val="006220EE"/>
    <w:rsid w:val="00622112"/>
    <w:rsid w:val="00622115"/>
    <w:rsid w:val="0062216B"/>
    <w:rsid w:val="006221AF"/>
    <w:rsid w:val="006221D0"/>
    <w:rsid w:val="006221FE"/>
    <w:rsid w:val="0062224B"/>
    <w:rsid w:val="006222A8"/>
    <w:rsid w:val="00622393"/>
    <w:rsid w:val="006223AD"/>
    <w:rsid w:val="006223D0"/>
    <w:rsid w:val="00622411"/>
    <w:rsid w:val="00622425"/>
    <w:rsid w:val="0062242D"/>
    <w:rsid w:val="0062263B"/>
    <w:rsid w:val="0062267C"/>
    <w:rsid w:val="006226CB"/>
    <w:rsid w:val="00622788"/>
    <w:rsid w:val="0062281F"/>
    <w:rsid w:val="0062282B"/>
    <w:rsid w:val="00622849"/>
    <w:rsid w:val="00622861"/>
    <w:rsid w:val="0062288D"/>
    <w:rsid w:val="006228B3"/>
    <w:rsid w:val="006228DC"/>
    <w:rsid w:val="006229AD"/>
    <w:rsid w:val="006229C0"/>
    <w:rsid w:val="00622A1B"/>
    <w:rsid w:val="00622A6D"/>
    <w:rsid w:val="00622AF9"/>
    <w:rsid w:val="00622B82"/>
    <w:rsid w:val="00622BE4"/>
    <w:rsid w:val="00622CCD"/>
    <w:rsid w:val="00622CF9"/>
    <w:rsid w:val="00622D19"/>
    <w:rsid w:val="00622D6D"/>
    <w:rsid w:val="00622DFC"/>
    <w:rsid w:val="00622F1A"/>
    <w:rsid w:val="00622F27"/>
    <w:rsid w:val="00622F77"/>
    <w:rsid w:val="00622FCB"/>
    <w:rsid w:val="00622FD2"/>
    <w:rsid w:val="0062302E"/>
    <w:rsid w:val="00623061"/>
    <w:rsid w:val="006230DC"/>
    <w:rsid w:val="0062315F"/>
    <w:rsid w:val="0062317C"/>
    <w:rsid w:val="0062322B"/>
    <w:rsid w:val="006232D3"/>
    <w:rsid w:val="006232EC"/>
    <w:rsid w:val="00623368"/>
    <w:rsid w:val="006233AA"/>
    <w:rsid w:val="006233EE"/>
    <w:rsid w:val="00623436"/>
    <w:rsid w:val="0062347C"/>
    <w:rsid w:val="006234BB"/>
    <w:rsid w:val="006234E0"/>
    <w:rsid w:val="006234EC"/>
    <w:rsid w:val="0062353B"/>
    <w:rsid w:val="00623549"/>
    <w:rsid w:val="00623616"/>
    <w:rsid w:val="00623659"/>
    <w:rsid w:val="00623695"/>
    <w:rsid w:val="00623773"/>
    <w:rsid w:val="006237BF"/>
    <w:rsid w:val="00623864"/>
    <w:rsid w:val="0062394B"/>
    <w:rsid w:val="00623953"/>
    <w:rsid w:val="006239B1"/>
    <w:rsid w:val="00623A37"/>
    <w:rsid w:val="00623AAD"/>
    <w:rsid w:val="00623AC2"/>
    <w:rsid w:val="00623ADD"/>
    <w:rsid w:val="00623AE1"/>
    <w:rsid w:val="00623AE3"/>
    <w:rsid w:val="00623B33"/>
    <w:rsid w:val="00623B44"/>
    <w:rsid w:val="00623B72"/>
    <w:rsid w:val="00623BDB"/>
    <w:rsid w:val="00623C5D"/>
    <w:rsid w:val="00623D1E"/>
    <w:rsid w:val="00623DAD"/>
    <w:rsid w:val="00623DBC"/>
    <w:rsid w:val="00623DF3"/>
    <w:rsid w:val="00623E01"/>
    <w:rsid w:val="00623EBC"/>
    <w:rsid w:val="00623ED2"/>
    <w:rsid w:val="00623EE5"/>
    <w:rsid w:val="00623F64"/>
    <w:rsid w:val="00623F8B"/>
    <w:rsid w:val="00623FB2"/>
    <w:rsid w:val="00623FBF"/>
    <w:rsid w:val="00623FC2"/>
    <w:rsid w:val="00623FEA"/>
    <w:rsid w:val="006240C2"/>
    <w:rsid w:val="0062421F"/>
    <w:rsid w:val="006242A8"/>
    <w:rsid w:val="006242DF"/>
    <w:rsid w:val="006243B1"/>
    <w:rsid w:val="00624542"/>
    <w:rsid w:val="006245B1"/>
    <w:rsid w:val="006245EA"/>
    <w:rsid w:val="0062468A"/>
    <w:rsid w:val="006246BE"/>
    <w:rsid w:val="00624706"/>
    <w:rsid w:val="00624797"/>
    <w:rsid w:val="006247A9"/>
    <w:rsid w:val="006247FA"/>
    <w:rsid w:val="0062488C"/>
    <w:rsid w:val="006248AF"/>
    <w:rsid w:val="0062492B"/>
    <w:rsid w:val="00624964"/>
    <w:rsid w:val="00624A66"/>
    <w:rsid w:val="00624B3B"/>
    <w:rsid w:val="00624C32"/>
    <w:rsid w:val="00624C4B"/>
    <w:rsid w:val="00624C60"/>
    <w:rsid w:val="00624C84"/>
    <w:rsid w:val="00624CC2"/>
    <w:rsid w:val="00624CD8"/>
    <w:rsid w:val="00624D14"/>
    <w:rsid w:val="00624D5A"/>
    <w:rsid w:val="00624D5B"/>
    <w:rsid w:val="00624DB7"/>
    <w:rsid w:val="00624DC1"/>
    <w:rsid w:val="00624DEA"/>
    <w:rsid w:val="00624DF6"/>
    <w:rsid w:val="00624E3D"/>
    <w:rsid w:val="00624E7B"/>
    <w:rsid w:val="00624EBF"/>
    <w:rsid w:val="00624EE5"/>
    <w:rsid w:val="00624FB6"/>
    <w:rsid w:val="00624FD0"/>
    <w:rsid w:val="00625026"/>
    <w:rsid w:val="006251A1"/>
    <w:rsid w:val="006251F7"/>
    <w:rsid w:val="00625229"/>
    <w:rsid w:val="0062537D"/>
    <w:rsid w:val="006253E0"/>
    <w:rsid w:val="006253EA"/>
    <w:rsid w:val="0062543C"/>
    <w:rsid w:val="0062549C"/>
    <w:rsid w:val="006254BB"/>
    <w:rsid w:val="00625517"/>
    <w:rsid w:val="0062551A"/>
    <w:rsid w:val="006255B9"/>
    <w:rsid w:val="006255E3"/>
    <w:rsid w:val="0062561C"/>
    <w:rsid w:val="0062564C"/>
    <w:rsid w:val="00625671"/>
    <w:rsid w:val="006256DD"/>
    <w:rsid w:val="00625799"/>
    <w:rsid w:val="006257D1"/>
    <w:rsid w:val="006257FB"/>
    <w:rsid w:val="00625822"/>
    <w:rsid w:val="00625862"/>
    <w:rsid w:val="006258D0"/>
    <w:rsid w:val="006258E0"/>
    <w:rsid w:val="00625931"/>
    <w:rsid w:val="0062599F"/>
    <w:rsid w:val="006259B0"/>
    <w:rsid w:val="006259D4"/>
    <w:rsid w:val="006259E4"/>
    <w:rsid w:val="00625AE4"/>
    <w:rsid w:val="00625B16"/>
    <w:rsid w:val="00625B32"/>
    <w:rsid w:val="00625BC1"/>
    <w:rsid w:val="00625C86"/>
    <w:rsid w:val="00625CEB"/>
    <w:rsid w:val="00625D4E"/>
    <w:rsid w:val="00625E14"/>
    <w:rsid w:val="00625E27"/>
    <w:rsid w:val="00625E70"/>
    <w:rsid w:val="00625EBF"/>
    <w:rsid w:val="00625ECE"/>
    <w:rsid w:val="00625F63"/>
    <w:rsid w:val="00625F6C"/>
    <w:rsid w:val="00625F8C"/>
    <w:rsid w:val="00625F8E"/>
    <w:rsid w:val="00625FFB"/>
    <w:rsid w:val="0062601E"/>
    <w:rsid w:val="00626035"/>
    <w:rsid w:val="00626065"/>
    <w:rsid w:val="006260C0"/>
    <w:rsid w:val="00626151"/>
    <w:rsid w:val="006261A0"/>
    <w:rsid w:val="00626261"/>
    <w:rsid w:val="00626297"/>
    <w:rsid w:val="006262B9"/>
    <w:rsid w:val="00626301"/>
    <w:rsid w:val="00626345"/>
    <w:rsid w:val="00626374"/>
    <w:rsid w:val="006263D5"/>
    <w:rsid w:val="006264AD"/>
    <w:rsid w:val="006265A6"/>
    <w:rsid w:val="00626683"/>
    <w:rsid w:val="006266A1"/>
    <w:rsid w:val="006266EA"/>
    <w:rsid w:val="00626731"/>
    <w:rsid w:val="0062676A"/>
    <w:rsid w:val="00626782"/>
    <w:rsid w:val="006267CE"/>
    <w:rsid w:val="006267F8"/>
    <w:rsid w:val="00626840"/>
    <w:rsid w:val="0062689C"/>
    <w:rsid w:val="006268B5"/>
    <w:rsid w:val="00626905"/>
    <w:rsid w:val="00626A8A"/>
    <w:rsid w:val="00626AE8"/>
    <w:rsid w:val="00626B0E"/>
    <w:rsid w:val="00626B59"/>
    <w:rsid w:val="00626B77"/>
    <w:rsid w:val="00626BD8"/>
    <w:rsid w:val="00626C9F"/>
    <w:rsid w:val="00626CFA"/>
    <w:rsid w:val="00626D06"/>
    <w:rsid w:val="00626D35"/>
    <w:rsid w:val="00626D8A"/>
    <w:rsid w:val="00626EEA"/>
    <w:rsid w:val="00626F3E"/>
    <w:rsid w:val="00626F98"/>
    <w:rsid w:val="00626FDC"/>
    <w:rsid w:val="00627012"/>
    <w:rsid w:val="006270EE"/>
    <w:rsid w:val="0062713E"/>
    <w:rsid w:val="00627247"/>
    <w:rsid w:val="006272FB"/>
    <w:rsid w:val="00627325"/>
    <w:rsid w:val="0062735B"/>
    <w:rsid w:val="0062738D"/>
    <w:rsid w:val="00627396"/>
    <w:rsid w:val="006273E1"/>
    <w:rsid w:val="006273E2"/>
    <w:rsid w:val="006273E5"/>
    <w:rsid w:val="00627413"/>
    <w:rsid w:val="0062748A"/>
    <w:rsid w:val="006274F5"/>
    <w:rsid w:val="00627531"/>
    <w:rsid w:val="006275F5"/>
    <w:rsid w:val="0062764B"/>
    <w:rsid w:val="0062765E"/>
    <w:rsid w:val="00627672"/>
    <w:rsid w:val="0062767B"/>
    <w:rsid w:val="006276C9"/>
    <w:rsid w:val="006276FF"/>
    <w:rsid w:val="00627708"/>
    <w:rsid w:val="00627810"/>
    <w:rsid w:val="006278D3"/>
    <w:rsid w:val="006278E8"/>
    <w:rsid w:val="00627953"/>
    <w:rsid w:val="006279F2"/>
    <w:rsid w:val="00627A0C"/>
    <w:rsid w:val="00627A21"/>
    <w:rsid w:val="00627AD2"/>
    <w:rsid w:val="00627AE6"/>
    <w:rsid w:val="00627B03"/>
    <w:rsid w:val="00627B29"/>
    <w:rsid w:val="00627B2F"/>
    <w:rsid w:val="00627B32"/>
    <w:rsid w:val="00627B4C"/>
    <w:rsid w:val="00627B90"/>
    <w:rsid w:val="00627BB0"/>
    <w:rsid w:val="00627C1D"/>
    <w:rsid w:val="00627C43"/>
    <w:rsid w:val="00627C65"/>
    <w:rsid w:val="00627CA8"/>
    <w:rsid w:val="00627CFA"/>
    <w:rsid w:val="00627DAF"/>
    <w:rsid w:val="00627E0A"/>
    <w:rsid w:val="00627E74"/>
    <w:rsid w:val="00627EEC"/>
    <w:rsid w:val="00627EFA"/>
    <w:rsid w:val="00627FBD"/>
    <w:rsid w:val="00627FF6"/>
    <w:rsid w:val="0063001D"/>
    <w:rsid w:val="0063003A"/>
    <w:rsid w:val="0063007B"/>
    <w:rsid w:val="006300B6"/>
    <w:rsid w:val="006300C8"/>
    <w:rsid w:val="006300CA"/>
    <w:rsid w:val="00630170"/>
    <w:rsid w:val="00630185"/>
    <w:rsid w:val="0063019E"/>
    <w:rsid w:val="006302D7"/>
    <w:rsid w:val="00630326"/>
    <w:rsid w:val="00630348"/>
    <w:rsid w:val="0063036B"/>
    <w:rsid w:val="00630372"/>
    <w:rsid w:val="0063038B"/>
    <w:rsid w:val="006303D0"/>
    <w:rsid w:val="006304BE"/>
    <w:rsid w:val="00630506"/>
    <w:rsid w:val="0063058C"/>
    <w:rsid w:val="006306FC"/>
    <w:rsid w:val="006307F2"/>
    <w:rsid w:val="006307FF"/>
    <w:rsid w:val="00630857"/>
    <w:rsid w:val="00630888"/>
    <w:rsid w:val="006308B2"/>
    <w:rsid w:val="006308ED"/>
    <w:rsid w:val="0063090C"/>
    <w:rsid w:val="00630950"/>
    <w:rsid w:val="006309A7"/>
    <w:rsid w:val="006309E5"/>
    <w:rsid w:val="006309ED"/>
    <w:rsid w:val="00630A20"/>
    <w:rsid w:val="00630ACD"/>
    <w:rsid w:val="00630AD2"/>
    <w:rsid w:val="00630B40"/>
    <w:rsid w:val="00630B7D"/>
    <w:rsid w:val="00630C57"/>
    <w:rsid w:val="00630C67"/>
    <w:rsid w:val="00630C76"/>
    <w:rsid w:val="00630CE8"/>
    <w:rsid w:val="00630D59"/>
    <w:rsid w:val="00630E60"/>
    <w:rsid w:val="00630E9F"/>
    <w:rsid w:val="00630EFF"/>
    <w:rsid w:val="00630F75"/>
    <w:rsid w:val="00631025"/>
    <w:rsid w:val="00631074"/>
    <w:rsid w:val="0063107F"/>
    <w:rsid w:val="00631145"/>
    <w:rsid w:val="00631194"/>
    <w:rsid w:val="0063119F"/>
    <w:rsid w:val="006311F1"/>
    <w:rsid w:val="0063126C"/>
    <w:rsid w:val="00631286"/>
    <w:rsid w:val="0063148C"/>
    <w:rsid w:val="006314D6"/>
    <w:rsid w:val="006314E9"/>
    <w:rsid w:val="0063150C"/>
    <w:rsid w:val="0063153B"/>
    <w:rsid w:val="0063156C"/>
    <w:rsid w:val="006315D5"/>
    <w:rsid w:val="006315E8"/>
    <w:rsid w:val="006317A3"/>
    <w:rsid w:val="006317D1"/>
    <w:rsid w:val="006317D5"/>
    <w:rsid w:val="006317DB"/>
    <w:rsid w:val="006317E6"/>
    <w:rsid w:val="006317EE"/>
    <w:rsid w:val="006317F0"/>
    <w:rsid w:val="00631821"/>
    <w:rsid w:val="00631853"/>
    <w:rsid w:val="0063188C"/>
    <w:rsid w:val="006318A9"/>
    <w:rsid w:val="0063192C"/>
    <w:rsid w:val="00631967"/>
    <w:rsid w:val="006319AE"/>
    <w:rsid w:val="006319C6"/>
    <w:rsid w:val="006319E6"/>
    <w:rsid w:val="006319F3"/>
    <w:rsid w:val="00631A1E"/>
    <w:rsid w:val="00631A25"/>
    <w:rsid w:val="00631A94"/>
    <w:rsid w:val="00631B09"/>
    <w:rsid w:val="00631B6E"/>
    <w:rsid w:val="00631C33"/>
    <w:rsid w:val="00631CA8"/>
    <w:rsid w:val="00631CC3"/>
    <w:rsid w:val="00631D2E"/>
    <w:rsid w:val="00631D5C"/>
    <w:rsid w:val="00631E4E"/>
    <w:rsid w:val="00631F7D"/>
    <w:rsid w:val="00631FE4"/>
    <w:rsid w:val="0063200A"/>
    <w:rsid w:val="00632162"/>
    <w:rsid w:val="00632166"/>
    <w:rsid w:val="00632169"/>
    <w:rsid w:val="00632185"/>
    <w:rsid w:val="006321ED"/>
    <w:rsid w:val="00632224"/>
    <w:rsid w:val="00632227"/>
    <w:rsid w:val="0063223D"/>
    <w:rsid w:val="0063227A"/>
    <w:rsid w:val="006322A3"/>
    <w:rsid w:val="0063232A"/>
    <w:rsid w:val="00632404"/>
    <w:rsid w:val="0063241F"/>
    <w:rsid w:val="00632432"/>
    <w:rsid w:val="00632443"/>
    <w:rsid w:val="0063244C"/>
    <w:rsid w:val="006324F0"/>
    <w:rsid w:val="0063254A"/>
    <w:rsid w:val="006325CF"/>
    <w:rsid w:val="006326D9"/>
    <w:rsid w:val="006326E2"/>
    <w:rsid w:val="006326EC"/>
    <w:rsid w:val="006326FE"/>
    <w:rsid w:val="00632703"/>
    <w:rsid w:val="00632744"/>
    <w:rsid w:val="0063276E"/>
    <w:rsid w:val="0063279A"/>
    <w:rsid w:val="006327D0"/>
    <w:rsid w:val="006327E7"/>
    <w:rsid w:val="00632869"/>
    <w:rsid w:val="006328D1"/>
    <w:rsid w:val="006329AD"/>
    <w:rsid w:val="00632A52"/>
    <w:rsid w:val="00632A7F"/>
    <w:rsid w:val="00632A85"/>
    <w:rsid w:val="00632AA2"/>
    <w:rsid w:val="00632ABE"/>
    <w:rsid w:val="00632AE4"/>
    <w:rsid w:val="00632B41"/>
    <w:rsid w:val="00632B72"/>
    <w:rsid w:val="00632BFF"/>
    <w:rsid w:val="00632C3F"/>
    <w:rsid w:val="00632C7B"/>
    <w:rsid w:val="00632C7E"/>
    <w:rsid w:val="00632C8E"/>
    <w:rsid w:val="00632CB5"/>
    <w:rsid w:val="00632CFB"/>
    <w:rsid w:val="00632D2C"/>
    <w:rsid w:val="00632D3F"/>
    <w:rsid w:val="00632D48"/>
    <w:rsid w:val="00632D4D"/>
    <w:rsid w:val="00632D5F"/>
    <w:rsid w:val="00632DFB"/>
    <w:rsid w:val="00632E0E"/>
    <w:rsid w:val="00632E30"/>
    <w:rsid w:val="00632E8D"/>
    <w:rsid w:val="00632F31"/>
    <w:rsid w:val="00632F48"/>
    <w:rsid w:val="00632F9F"/>
    <w:rsid w:val="00633004"/>
    <w:rsid w:val="0063307C"/>
    <w:rsid w:val="00633087"/>
    <w:rsid w:val="006330CD"/>
    <w:rsid w:val="006330E1"/>
    <w:rsid w:val="0063319B"/>
    <w:rsid w:val="006331A3"/>
    <w:rsid w:val="006331D7"/>
    <w:rsid w:val="00633259"/>
    <w:rsid w:val="0063329E"/>
    <w:rsid w:val="0063333F"/>
    <w:rsid w:val="006333D9"/>
    <w:rsid w:val="006333E7"/>
    <w:rsid w:val="006333EE"/>
    <w:rsid w:val="006333F3"/>
    <w:rsid w:val="006334B3"/>
    <w:rsid w:val="006334B9"/>
    <w:rsid w:val="0063353F"/>
    <w:rsid w:val="0063361C"/>
    <w:rsid w:val="006336B3"/>
    <w:rsid w:val="006336BA"/>
    <w:rsid w:val="006336E0"/>
    <w:rsid w:val="00633712"/>
    <w:rsid w:val="00633728"/>
    <w:rsid w:val="00633750"/>
    <w:rsid w:val="00633794"/>
    <w:rsid w:val="006337A1"/>
    <w:rsid w:val="00633813"/>
    <w:rsid w:val="006338CD"/>
    <w:rsid w:val="006338EE"/>
    <w:rsid w:val="00633971"/>
    <w:rsid w:val="006339F8"/>
    <w:rsid w:val="00633A22"/>
    <w:rsid w:val="00633A8D"/>
    <w:rsid w:val="00633AA0"/>
    <w:rsid w:val="00633BF6"/>
    <w:rsid w:val="00633C1A"/>
    <w:rsid w:val="00633C7A"/>
    <w:rsid w:val="00633C86"/>
    <w:rsid w:val="00633D02"/>
    <w:rsid w:val="00633E37"/>
    <w:rsid w:val="00633EBA"/>
    <w:rsid w:val="00633F5E"/>
    <w:rsid w:val="00633F6A"/>
    <w:rsid w:val="00633F6E"/>
    <w:rsid w:val="00634011"/>
    <w:rsid w:val="00634040"/>
    <w:rsid w:val="00634047"/>
    <w:rsid w:val="00634052"/>
    <w:rsid w:val="00634118"/>
    <w:rsid w:val="00634141"/>
    <w:rsid w:val="00634178"/>
    <w:rsid w:val="006341A8"/>
    <w:rsid w:val="006341A9"/>
    <w:rsid w:val="006342B5"/>
    <w:rsid w:val="006342C0"/>
    <w:rsid w:val="006342D9"/>
    <w:rsid w:val="00634391"/>
    <w:rsid w:val="006343C4"/>
    <w:rsid w:val="006343F4"/>
    <w:rsid w:val="00634403"/>
    <w:rsid w:val="0063441B"/>
    <w:rsid w:val="0063442D"/>
    <w:rsid w:val="00634437"/>
    <w:rsid w:val="0063446E"/>
    <w:rsid w:val="0063449B"/>
    <w:rsid w:val="0063449E"/>
    <w:rsid w:val="006344D2"/>
    <w:rsid w:val="0063455B"/>
    <w:rsid w:val="006345AB"/>
    <w:rsid w:val="00634651"/>
    <w:rsid w:val="006346C0"/>
    <w:rsid w:val="00634721"/>
    <w:rsid w:val="0063473E"/>
    <w:rsid w:val="00634859"/>
    <w:rsid w:val="006348E4"/>
    <w:rsid w:val="00634944"/>
    <w:rsid w:val="006349B3"/>
    <w:rsid w:val="006349EB"/>
    <w:rsid w:val="00634A60"/>
    <w:rsid w:val="00634AB5"/>
    <w:rsid w:val="00634AC9"/>
    <w:rsid w:val="00634B01"/>
    <w:rsid w:val="00634B16"/>
    <w:rsid w:val="00634B7E"/>
    <w:rsid w:val="00634B95"/>
    <w:rsid w:val="00634BD6"/>
    <w:rsid w:val="00634C05"/>
    <w:rsid w:val="00634C89"/>
    <w:rsid w:val="00634DEA"/>
    <w:rsid w:val="00634E13"/>
    <w:rsid w:val="00634F27"/>
    <w:rsid w:val="00634F86"/>
    <w:rsid w:val="00634F87"/>
    <w:rsid w:val="00635008"/>
    <w:rsid w:val="00635037"/>
    <w:rsid w:val="00635060"/>
    <w:rsid w:val="006350A9"/>
    <w:rsid w:val="006350EF"/>
    <w:rsid w:val="00635110"/>
    <w:rsid w:val="0063514E"/>
    <w:rsid w:val="00635150"/>
    <w:rsid w:val="00635199"/>
    <w:rsid w:val="00635265"/>
    <w:rsid w:val="006352A8"/>
    <w:rsid w:val="006352E3"/>
    <w:rsid w:val="006352EF"/>
    <w:rsid w:val="00635339"/>
    <w:rsid w:val="0063534D"/>
    <w:rsid w:val="0063534F"/>
    <w:rsid w:val="006353F4"/>
    <w:rsid w:val="00635437"/>
    <w:rsid w:val="00635442"/>
    <w:rsid w:val="00635451"/>
    <w:rsid w:val="00635512"/>
    <w:rsid w:val="0063557B"/>
    <w:rsid w:val="006355B5"/>
    <w:rsid w:val="006355D1"/>
    <w:rsid w:val="00635604"/>
    <w:rsid w:val="006356A1"/>
    <w:rsid w:val="006356C5"/>
    <w:rsid w:val="00635746"/>
    <w:rsid w:val="006358BF"/>
    <w:rsid w:val="00635909"/>
    <w:rsid w:val="0063592D"/>
    <w:rsid w:val="00635990"/>
    <w:rsid w:val="006359BB"/>
    <w:rsid w:val="00635B7F"/>
    <w:rsid w:val="00635B82"/>
    <w:rsid w:val="00635B83"/>
    <w:rsid w:val="00635BA5"/>
    <w:rsid w:val="00635C35"/>
    <w:rsid w:val="00635CE1"/>
    <w:rsid w:val="00635CFE"/>
    <w:rsid w:val="00635D0D"/>
    <w:rsid w:val="00635D39"/>
    <w:rsid w:val="00635D80"/>
    <w:rsid w:val="00635DFE"/>
    <w:rsid w:val="00635FE9"/>
    <w:rsid w:val="00636021"/>
    <w:rsid w:val="00636054"/>
    <w:rsid w:val="00636068"/>
    <w:rsid w:val="00636071"/>
    <w:rsid w:val="00636079"/>
    <w:rsid w:val="0063618C"/>
    <w:rsid w:val="00636196"/>
    <w:rsid w:val="006361AF"/>
    <w:rsid w:val="00636232"/>
    <w:rsid w:val="00636234"/>
    <w:rsid w:val="00636244"/>
    <w:rsid w:val="0063625F"/>
    <w:rsid w:val="00636277"/>
    <w:rsid w:val="006362D8"/>
    <w:rsid w:val="006362D9"/>
    <w:rsid w:val="006363C4"/>
    <w:rsid w:val="00636443"/>
    <w:rsid w:val="0063649A"/>
    <w:rsid w:val="006364CE"/>
    <w:rsid w:val="006364E7"/>
    <w:rsid w:val="0063651D"/>
    <w:rsid w:val="00636540"/>
    <w:rsid w:val="0063654B"/>
    <w:rsid w:val="006365A4"/>
    <w:rsid w:val="00636647"/>
    <w:rsid w:val="006366C5"/>
    <w:rsid w:val="006366CB"/>
    <w:rsid w:val="006366E3"/>
    <w:rsid w:val="00636714"/>
    <w:rsid w:val="00636766"/>
    <w:rsid w:val="00636787"/>
    <w:rsid w:val="006367F4"/>
    <w:rsid w:val="0063683B"/>
    <w:rsid w:val="006368B9"/>
    <w:rsid w:val="006368C9"/>
    <w:rsid w:val="006368ED"/>
    <w:rsid w:val="0063694E"/>
    <w:rsid w:val="00636983"/>
    <w:rsid w:val="006369B0"/>
    <w:rsid w:val="006369FE"/>
    <w:rsid w:val="00636A2B"/>
    <w:rsid w:val="00636A6E"/>
    <w:rsid w:val="00636AE3"/>
    <w:rsid w:val="00636C0A"/>
    <w:rsid w:val="00636C91"/>
    <w:rsid w:val="00636D0E"/>
    <w:rsid w:val="00636D32"/>
    <w:rsid w:val="00636DC5"/>
    <w:rsid w:val="00636E10"/>
    <w:rsid w:val="00636E1D"/>
    <w:rsid w:val="00636E70"/>
    <w:rsid w:val="00636EC8"/>
    <w:rsid w:val="00636F80"/>
    <w:rsid w:val="00636FB0"/>
    <w:rsid w:val="0063704B"/>
    <w:rsid w:val="006370F9"/>
    <w:rsid w:val="00637135"/>
    <w:rsid w:val="00637174"/>
    <w:rsid w:val="006371D9"/>
    <w:rsid w:val="006371FB"/>
    <w:rsid w:val="00637230"/>
    <w:rsid w:val="00637250"/>
    <w:rsid w:val="0063726A"/>
    <w:rsid w:val="00637313"/>
    <w:rsid w:val="006373FF"/>
    <w:rsid w:val="006374CD"/>
    <w:rsid w:val="006374E6"/>
    <w:rsid w:val="006374E8"/>
    <w:rsid w:val="006374FA"/>
    <w:rsid w:val="0063753D"/>
    <w:rsid w:val="0063755A"/>
    <w:rsid w:val="0063757B"/>
    <w:rsid w:val="006375FE"/>
    <w:rsid w:val="0063762C"/>
    <w:rsid w:val="0063769C"/>
    <w:rsid w:val="006376DA"/>
    <w:rsid w:val="00637731"/>
    <w:rsid w:val="00637759"/>
    <w:rsid w:val="00637764"/>
    <w:rsid w:val="00637784"/>
    <w:rsid w:val="0063779B"/>
    <w:rsid w:val="006377CF"/>
    <w:rsid w:val="006377EB"/>
    <w:rsid w:val="00637821"/>
    <w:rsid w:val="00637826"/>
    <w:rsid w:val="0063782C"/>
    <w:rsid w:val="00637861"/>
    <w:rsid w:val="00637894"/>
    <w:rsid w:val="006378BC"/>
    <w:rsid w:val="00637923"/>
    <w:rsid w:val="0063795F"/>
    <w:rsid w:val="006379B1"/>
    <w:rsid w:val="00637A44"/>
    <w:rsid w:val="00637A65"/>
    <w:rsid w:val="00637AA5"/>
    <w:rsid w:val="00637AD2"/>
    <w:rsid w:val="00637AE6"/>
    <w:rsid w:val="00637B01"/>
    <w:rsid w:val="00637B02"/>
    <w:rsid w:val="00637C09"/>
    <w:rsid w:val="00637C10"/>
    <w:rsid w:val="00637C23"/>
    <w:rsid w:val="00637C4F"/>
    <w:rsid w:val="00637C6A"/>
    <w:rsid w:val="00637D19"/>
    <w:rsid w:val="00637D6F"/>
    <w:rsid w:val="00637D78"/>
    <w:rsid w:val="00637D8F"/>
    <w:rsid w:val="00637DE5"/>
    <w:rsid w:val="00637DFC"/>
    <w:rsid w:val="00637E22"/>
    <w:rsid w:val="00637E23"/>
    <w:rsid w:val="00637EE2"/>
    <w:rsid w:val="00637F15"/>
    <w:rsid w:val="00637F6E"/>
    <w:rsid w:val="00637F83"/>
    <w:rsid w:val="00640014"/>
    <w:rsid w:val="00640017"/>
    <w:rsid w:val="0064001E"/>
    <w:rsid w:val="0064005F"/>
    <w:rsid w:val="0064007B"/>
    <w:rsid w:val="00640089"/>
    <w:rsid w:val="0064012E"/>
    <w:rsid w:val="00640193"/>
    <w:rsid w:val="006401F0"/>
    <w:rsid w:val="00640213"/>
    <w:rsid w:val="00640263"/>
    <w:rsid w:val="0064029C"/>
    <w:rsid w:val="006402A9"/>
    <w:rsid w:val="00640367"/>
    <w:rsid w:val="006403B0"/>
    <w:rsid w:val="006403D4"/>
    <w:rsid w:val="00640405"/>
    <w:rsid w:val="0064047C"/>
    <w:rsid w:val="006404CB"/>
    <w:rsid w:val="0064058F"/>
    <w:rsid w:val="006405E8"/>
    <w:rsid w:val="006405EE"/>
    <w:rsid w:val="006405F4"/>
    <w:rsid w:val="00640644"/>
    <w:rsid w:val="0064077C"/>
    <w:rsid w:val="0064085C"/>
    <w:rsid w:val="00640884"/>
    <w:rsid w:val="0064090A"/>
    <w:rsid w:val="00640968"/>
    <w:rsid w:val="00640A34"/>
    <w:rsid w:val="00640A3A"/>
    <w:rsid w:val="00640A81"/>
    <w:rsid w:val="00640BE5"/>
    <w:rsid w:val="00640C05"/>
    <w:rsid w:val="00640C4E"/>
    <w:rsid w:val="00640C71"/>
    <w:rsid w:val="00640C9B"/>
    <w:rsid w:val="00640D1E"/>
    <w:rsid w:val="00640D7E"/>
    <w:rsid w:val="00640DC9"/>
    <w:rsid w:val="00640DE3"/>
    <w:rsid w:val="00640E96"/>
    <w:rsid w:val="00640EDB"/>
    <w:rsid w:val="00640F55"/>
    <w:rsid w:val="00640F61"/>
    <w:rsid w:val="00640FD0"/>
    <w:rsid w:val="00640FF5"/>
    <w:rsid w:val="006410A6"/>
    <w:rsid w:val="006410B4"/>
    <w:rsid w:val="00641166"/>
    <w:rsid w:val="00641194"/>
    <w:rsid w:val="006411B8"/>
    <w:rsid w:val="00641458"/>
    <w:rsid w:val="00641482"/>
    <w:rsid w:val="00641488"/>
    <w:rsid w:val="006414BB"/>
    <w:rsid w:val="006414D6"/>
    <w:rsid w:val="006414DD"/>
    <w:rsid w:val="00641542"/>
    <w:rsid w:val="006415A4"/>
    <w:rsid w:val="006415CD"/>
    <w:rsid w:val="00641619"/>
    <w:rsid w:val="0064167E"/>
    <w:rsid w:val="00641687"/>
    <w:rsid w:val="006417EA"/>
    <w:rsid w:val="006417EF"/>
    <w:rsid w:val="006417F7"/>
    <w:rsid w:val="00641966"/>
    <w:rsid w:val="00641A17"/>
    <w:rsid w:val="00641A50"/>
    <w:rsid w:val="00641AAD"/>
    <w:rsid w:val="00641ACB"/>
    <w:rsid w:val="00641B1D"/>
    <w:rsid w:val="00641B5F"/>
    <w:rsid w:val="00641BEA"/>
    <w:rsid w:val="00641BFA"/>
    <w:rsid w:val="00641D0C"/>
    <w:rsid w:val="00641D50"/>
    <w:rsid w:val="00641D74"/>
    <w:rsid w:val="00641E3A"/>
    <w:rsid w:val="00641E9B"/>
    <w:rsid w:val="00641EC2"/>
    <w:rsid w:val="00641EE1"/>
    <w:rsid w:val="00641EE2"/>
    <w:rsid w:val="00641EF7"/>
    <w:rsid w:val="00641F3C"/>
    <w:rsid w:val="00641F82"/>
    <w:rsid w:val="00642011"/>
    <w:rsid w:val="0064206D"/>
    <w:rsid w:val="006420D2"/>
    <w:rsid w:val="0064215B"/>
    <w:rsid w:val="00642180"/>
    <w:rsid w:val="006421DC"/>
    <w:rsid w:val="00642232"/>
    <w:rsid w:val="00642265"/>
    <w:rsid w:val="006422BF"/>
    <w:rsid w:val="00642398"/>
    <w:rsid w:val="006423F2"/>
    <w:rsid w:val="00642439"/>
    <w:rsid w:val="0064249C"/>
    <w:rsid w:val="006425AC"/>
    <w:rsid w:val="006426D6"/>
    <w:rsid w:val="006426F5"/>
    <w:rsid w:val="00642720"/>
    <w:rsid w:val="00642738"/>
    <w:rsid w:val="0064273A"/>
    <w:rsid w:val="006427D7"/>
    <w:rsid w:val="006427F8"/>
    <w:rsid w:val="0064287F"/>
    <w:rsid w:val="00642962"/>
    <w:rsid w:val="006429F0"/>
    <w:rsid w:val="00642A09"/>
    <w:rsid w:val="00642A59"/>
    <w:rsid w:val="00642AD2"/>
    <w:rsid w:val="00642AD4"/>
    <w:rsid w:val="00642B06"/>
    <w:rsid w:val="00642BF8"/>
    <w:rsid w:val="00642C4E"/>
    <w:rsid w:val="00642CF9"/>
    <w:rsid w:val="00642D9E"/>
    <w:rsid w:val="00642DEF"/>
    <w:rsid w:val="00642DF0"/>
    <w:rsid w:val="00642ECA"/>
    <w:rsid w:val="00642F36"/>
    <w:rsid w:val="00642F80"/>
    <w:rsid w:val="00642F82"/>
    <w:rsid w:val="00643027"/>
    <w:rsid w:val="0064302F"/>
    <w:rsid w:val="00643043"/>
    <w:rsid w:val="00643059"/>
    <w:rsid w:val="00643080"/>
    <w:rsid w:val="006430BD"/>
    <w:rsid w:val="006430DE"/>
    <w:rsid w:val="0064313B"/>
    <w:rsid w:val="00643209"/>
    <w:rsid w:val="00643220"/>
    <w:rsid w:val="006432DE"/>
    <w:rsid w:val="006433D9"/>
    <w:rsid w:val="00643488"/>
    <w:rsid w:val="006434BC"/>
    <w:rsid w:val="006434DF"/>
    <w:rsid w:val="006434E5"/>
    <w:rsid w:val="00643515"/>
    <w:rsid w:val="0064352A"/>
    <w:rsid w:val="00643565"/>
    <w:rsid w:val="0064368E"/>
    <w:rsid w:val="006436E1"/>
    <w:rsid w:val="00643751"/>
    <w:rsid w:val="00643753"/>
    <w:rsid w:val="0064391A"/>
    <w:rsid w:val="00643942"/>
    <w:rsid w:val="00643A13"/>
    <w:rsid w:val="00643AD6"/>
    <w:rsid w:val="00643ADF"/>
    <w:rsid w:val="00643AE0"/>
    <w:rsid w:val="00643AF1"/>
    <w:rsid w:val="00643B0B"/>
    <w:rsid w:val="00643B11"/>
    <w:rsid w:val="00643BB5"/>
    <w:rsid w:val="00643C33"/>
    <w:rsid w:val="00643D4B"/>
    <w:rsid w:val="00643D79"/>
    <w:rsid w:val="00643D92"/>
    <w:rsid w:val="00643DC9"/>
    <w:rsid w:val="00643DCE"/>
    <w:rsid w:val="00643DD0"/>
    <w:rsid w:val="00643E76"/>
    <w:rsid w:val="00643E98"/>
    <w:rsid w:val="00643EB4"/>
    <w:rsid w:val="00643ED2"/>
    <w:rsid w:val="00643EF5"/>
    <w:rsid w:val="00643F0E"/>
    <w:rsid w:val="00643F2B"/>
    <w:rsid w:val="00643F34"/>
    <w:rsid w:val="00643F51"/>
    <w:rsid w:val="00643FDC"/>
    <w:rsid w:val="00644209"/>
    <w:rsid w:val="00644290"/>
    <w:rsid w:val="006442B9"/>
    <w:rsid w:val="00644359"/>
    <w:rsid w:val="00644384"/>
    <w:rsid w:val="006443E1"/>
    <w:rsid w:val="0064442E"/>
    <w:rsid w:val="006444C4"/>
    <w:rsid w:val="006444CD"/>
    <w:rsid w:val="006444EC"/>
    <w:rsid w:val="006444F8"/>
    <w:rsid w:val="00644511"/>
    <w:rsid w:val="0064451C"/>
    <w:rsid w:val="006445DA"/>
    <w:rsid w:val="0064463F"/>
    <w:rsid w:val="0064464B"/>
    <w:rsid w:val="00644660"/>
    <w:rsid w:val="0064475F"/>
    <w:rsid w:val="006447AD"/>
    <w:rsid w:val="006448BE"/>
    <w:rsid w:val="006448CA"/>
    <w:rsid w:val="0064490B"/>
    <w:rsid w:val="0064499F"/>
    <w:rsid w:val="006449DB"/>
    <w:rsid w:val="006449F4"/>
    <w:rsid w:val="00644A41"/>
    <w:rsid w:val="00644A63"/>
    <w:rsid w:val="00644B67"/>
    <w:rsid w:val="00644BAF"/>
    <w:rsid w:val="00644BD1"/>
    <w:rsid w:val="00644D00"/>
    <w:rsid w:val="00644D99"/>
    <w:rsid w:val="00644DCA"/>
    <w:rsid w:val="00644EAF"/>
    <w:rsid w:val="00644EC9"/>
    <w:rsid w:val="00644EDA"/>
    <w:rsid w:val="00644F22"/>
    <w:rsid w:val="00644F28"/>
    <w:rsid w:val="00644F67"/>
    <w:rsid w:val="00644F85"/>
    <w:rsid w:val="00645071"/>
    <w:rsid w:val="006450CD"/>
    <w:rsid w:val="00645129"/>
    <w:rsid w:val="0064513D"/>
    <w:rsid w:val="006451B2"/>
    <w:rsid w:val="0064523E"/>
    <w:rsid w:val="006452C7"/>
    <w:rsid w:val="006452E3"/>
    <w:rsid w:val="0064530B"/>
    <w:rsid w:val="00645369"/>
    <w:rsid w:val="0064538C"/>
    <w:rsid w:val="006453D1"/>
    <w:rsid w:val="00645471"/>
    <w:rsid w:val="00645499"/>
    <w:rsid w:val="00645509"/>
    <w:rsid w:val="0064553E"/>
    <w:rsid w:val="006455C5"/>
    <w:rsid w:val="006455DB"/>
    <w:rsid w:val="0064567E"/>
    <w:rsid w:val="006456E3"/>
    <w:rsid w:val="006456E5"/>
    <w:rsid w:val="00645777"/>
    <w:rsid w:val="006457A8"/>
    <w:rsid w:val="006457E1"/>
    <w:rsid w:val="006457F3"/>
    <w:rsid w:val="00645832"/>
    <w:rsid w:val="00645876"/>
    <w:rsid w:val="0064587D"/>
    <w:rsid w:val="0064595E"/>
    <w:rsid w:val="006459AD"/>
    <w:rsid w:val="00645A33"/>
    <w:rsid w:val="00645A8B"/>
    <w:rsid w:val="00645B44"/>
    <w:rsid w:val="00645CA2"/>
    <w:rsid w:val="00645D41"/>
    <w:rsid w:val="00645D79"/>
    <w:rsid w:val="00645D8B"/>
    <w:rsid w:val="00645DA7"/>
    <w:rsid w:val="00645E94"/>
    <w:rsid w:val="00645F31"/>
    <w:rsid w:val="00645F84"/>
    <w:rsid w:val="00645F89"/>
    <w:rsid w:val="00645F9C"/>
    <w:rsid w:val="00646052"/>
    <w:rsid w:val="00646081"/>
    <w:rsid w:val="006460C1"/>
    <w:rsid w:val="006461B5"/>
    <w:rsid w:val="00646227"/>
    <w:rsid w:val="006463D5"/>
    <w:rsid w:val="00646437"/>
    <w:rsid w:val="0064644A"/>
    <w:rsid w:val="0064644F"/>
    <w:rsid w:val="0064645D"/>
    <w:rsid w:val="00646491"/>
    <w:rsid w:val="006464BB"/>
    <w:rsid w:val="00646546"/>
    <w:rsid w:val="006465B1"/>
    <w:rsid w:val="006466CB"/>
    <w:rsid w:val="006466EA"/>
    <w:rsid w:val="006466F6"/>
    <w:rsid w:val="00646734"/>
    <w:rsid w:val="00646761"/>
    <w:rsid w:val="006468AD"/>
    <w:rsid w:val="006469CC"/>
    <w:rsid w:val="006469D2"/>
    <w:rsid w:val="006469D4"/>
    <w:rsid w:val="00646A37"/>
    <w:rsid w:val="00646ABC"/>
    <w:rsid w:val="00646B11"/>
    <w:rsid w:val="00646B54"/>
    <w:rsid w:val="00646BC6"/>
    <w:rsid w:val="00646C02"/>
    <w:rsid w:val="00646C0E"/>
    <w:rsid w:val="00646C43"/>
    <w:rsid w:val="00646C94"/>
    <w:rsid w:val="00646CE3"/>
    <w:rsid w:val="00646D0A"/>
    <w:rsid w:val="00646D77"/>
    <w:rsid w:val="00646DC2"/>
    <w:rsid w:val="00646DDD"/>
    <w:rsid w:val="00646E0C"/>
    <w:rsid w:val="00646E1B"/>
    <w:rsid w:val="00646E39"/>
    <w:rsid w:val="00646E3F"/>
    <w:rsid w:val="00646E9E"/>
    <w:rsid w:val="00646EF3"/>
    <w:rsid w:val="00646F0D"/>
    <w:rsid w:val="00646F16"/>
    <w:rsid w:val="00646F6E"/>
    <w:rsid w:val="00646FE6"/>
    <w:rsid w:val="0064702A"/>
    <w:rsid w:val="00647073"/>
    <w:rsid w:val="006470A3"/>
    <w:rsid w:val="00647201"/>
    <w:rsid w:val="00647290"/>
    <w:rsid w:val="00647309"/>
    <w:rsid w:val="0064730B"/>
    <w:rsid w:val="0064736B"/>
    <w:rsid w:val="006473BE"/>
    <w:rsid w:val="006473FA"/>
    <w:rsid w:val="0064743C"/>
    <w:rsid w:val="006474B6"/>
    <w:rsid w:val="0064754F"/>
    <w:rsid w:val="0064766A"/>
    <w:rsid w:val="0064767A"/>
    <w:rsid w:val="00647686"/>
    <w:rsid w:val="00647693"/>
    <w:rsid w:val="006476DA"/>
    <w:rsid w:val="0064772B"/>
    <w:rsid w:val="006477A2"/>
    <w:rsid w:val="006477C2"/>
    <w:rsid w:val="006477C9"/>
    <w:rsid w:val="0064780B"/>
    <w:rsid w:val="00647820"/>
    <w:rsid w:val="006478C3"/>
    <w:rsid w:val="00647A2F"/>
    <w:rsid w:val="00647B27"/>
    <w:rsid w:val="00647B31"/>
    <w:rsid w:val="00647B9E"/>
    <w:rsid w:val="00647C61"/>
    <w:rsid w:val="00647C82"/>
    <w:rsid w:val="00647CB9"/>
    <w:rsid w:val="00647CFD"/>
    <w:rsid w:val="00647D4C"/>
    <w:rsid w:val="00647D53"/>
    <w:rsid w:val="00647D93"/>
    <w:rsid w:val="00647DC5"/>
    <w:rsid w:val="00647EDD"/>
    <w:rsid w:val="00647F13"/>
    <w:rsid w:val="00647F58"/>
    <w:rsid w:val="00647FB8"/>
    <w:rsid w:val="00647FDC"/>
    <w:rsid w:val="00650067"/>
    <w:rsid w:val="00650081"/>
    <w:rsid w:val="006500C3"/>
    <w:rsid w:val="006500FF"/>
    <w:rsid w:val="00650256"/>
    <w:rsid w:val="00650310"/>
    <w:rsid w:val="00650347"/>
    <w:rsid w:val="00650440"/>
    <w:rsid w:val="006504D5"/>
    <w:rsid w:val="006504F6"/>
    <w:rsid w:val="0065053C"/>
    <w:rsid w:val="006505DF"/>
    <w:rsid w:val="006505F8"/>
    <w:rsid w:val="00650602"/>
    <w:rsid w:val="00650840"/>
    <w:rsid w:val="0065084C"/>
    <w:rsid w:val="006508AB"/>
    <w:rsid w:val="006508E5"/>
    <w:rsid w:val="006508F8"/>
    <w:rsid w:val="00650928"/>
    <w:rsid w:val="00650998"/>
    <w:rsid w:val="006509D0"/>
    <w:rsid w:val="006509E4"/>
    <w:rsid w:val="00650A4B"/>
    <w:rsid w:val="00650AB7"/>
    <w:rsid w:val="00650AEE"/>
    <w:rsid w:val="00650B53"/>
    <w:rsid w:val="00650B7C"/>
    <w:rsid w:val="00650B8D"/>
    <w:rsid w:val="00650C1E"/>
    <w:rsid w:val="00650C33"/>
    <w:rsid w:val="00650C7A"/>
    <w:rsid w:val="00650CA5"/>
    <w:rsid w:val="00650CBE"/>
    <w:rsid w:val="00650D4A"/>
    <w:rsid w:val="00650D5E"/>
    <w:rsid w:val="00650D92"/>
    <w:rsid w:val="00650D9E"/>
    <w:rsid w:val="00650E42"/>
    <w:rsid w:val="00650E6A"/>
    <w:rsid w:val="00650E75"/>
    <w:rsid w:val="00650E85"/>
    <w:rsid w:val="00650ED4"/>
    <w:rsid w:val="00650F97"/>
    <w:rsid w:val="00650FDC"/>
    <w:rsid w:val="0065106F"/>
    <w:rsid w:val="006510CC"/>
    <w:rsid w:val="006510E1"/>
    <w:rsid w:val="0065110C"/>
    <w:rsid w:val="00651208"/>
    <w:rsid w:val="00651244"/>
    <w:rsid w:val="00651246"/>
    <w:rsid w:val="00651294"/>
    <w:rsid w:val="006512ED"/>
    <w:rsid w:val="00651380"/>
    <w:rsid w:val="0065138D"/>
    <w:rsid w:val="0065139B"/>
    <w:rsid w:val="0065142A"/>
    <w:rsid w:val="00651450"/>
    <w:rsid w:val="006514D9"/>
    <w:rsid w:val="006514F1"/>
    <w:rsid w:val="00651526"/>
    <w:rsid w:val="006515DA"/>
    <w:rsid w:val="00651620"/>
    <w:rsid w:val="0065171E"/>
    <w:rsid w:val="00651789"/>
    <w:rsid w:val="0065179A"/>
    <w:rsid w:val="006517B4"/>
    <w:rsid w:val="006517B8"/>
    <w:rsid w:val="00651857"/>
    <w:rsid w:val="00651887"/>
    <w:rsid w:val="00651947"/>
    <w:rsid w:val="00651956"/>
    <w:rsid w:val="00651964"/>
    <w:rsid w:val="006519A0"/>
    <w:rsid w:val="006519B4"/>
    <w:rsid w:val="00651A66"/>
    <w:rsid w:val="00651A89"/>
    <w:rsid w:val="00651A92"/>
    <w:rsid w:val="00651B7F"/>
    <w:rsid w:val="00651B8B"/>
    <w:rsid w:val="00651C06"/>
    <w:rsid w:val="00651CB4"/>
    <w:rsid w:val="00651CBE"/>
    <w:rsid w:val="00651D61"/>
    <w:rsid w:val="00651DB8"/>
    <w:rsid w:val="00651E83"/>
    <w:rsid w:val="00651ECD"/>
    <w:rsid w:val="00651EE0"/>
    <w:rsid w:val="00651F27"/>
    <w:rsid w:val="00651F55"/>
    <w:rsid w:val="00651FFC"/>
    <w:rsid w:val="00652051"/>
    <w:rsid w:val="00652127"/>
    <w:rsid w:val="0065214F"/>
    <w:rsid w:val="00652195"/>
    <w:rsid w:val="0065228B"/>
    <w:rsid w:val="0065229A"/>
    <w:rsid w:val="00652359"/>
    <w:rsid w:val="0065235F"/>
    <w:rsid w:val="00652426"/>
    <w:rsid w:val="00652443"/>
    <w:rsid w:val="0065247A"/>
    <w:rsid w:val="006524CC"/>
    <w:rsid w:val="0065254B"/>
    <w:rsid w:val="0065256B"/>
    <w:rsid w:val="006525BC"/>
    <w:rsid w:val="00652698"/>
    <w:rsid w:val="00652755"/>
    <w:rsid w:val="00652789"/>
    <w:rsid w:val="006527D4"/>
    <w:rsid w:val="006528E0"/>
    <w:rsid w:val="006528FF"/>
    <w:rsid w:val="00652996"/>
    <w:rsid w:val="00652998"/>
    <w:rsid w:val="006529C4"/>
    <w:rsid w:val="006529CB"/>
    <w:rsid w:val="00652AB7"/>
    <w:rsid w:val="00652AE4"/>
    <w:rsid w:val="00652B00"/>
    <w:rsid w:val="00652B54"/>
    <w:rsid w:val="00652BB4"/>
    <w:rsid w:val="00652C86"/>
    <w:rsid w:val="00652CC6"/>
    <w:rsid w:val="00652D14"/>
    <w:rsid w:val="00652D46"/>
    <w:rsid w:val="00652D81"/>
    <w:rsid w:val="00652DA1"/>
    <w:rsid w:val="00652DA3"/>
    <w:rsid w:val="00652DC3"/>
    <w:rsid w:val="00652E21"/>
    <w:rsid w:val="00652E47"/>
    <w:rsid w:val="00652E6E"/>
    <w:rsid w:val="00652EF2"/>
    <w:rsid w:val="00652F97"/>
    <w:rsid w:val="00652FC0"/>
    <w:rsid w:val="00653023"/>
    <w:rsid w:val="0065303C"/>
    <w:rsid w:val="006530C0"/>
    <w:rsid w:val="00653105"/>
    <w:rsid w:val="00653146"/>
    <w:rsid w:val="00653161"/>
    <w:rsid w:val="006531E1"/>
    <w:rsid w:val="00653212"/>
    <w:rsid w:val="00653216"/>
    <w:rsid w:val="00653252"/>
    <w:rsid w:val="006532C1"/>
    <w:rsid w:val="006532ED"/>
    <w:rsid w:val="0065330E"/>
    <w:rsid w:val="00653364"/>
    <w:rsid w:val="006533E7"/>
    <w:rsid w:val="006533F9"/>
    <w:rsid w:val="006534E3"/>
    <w:rsid w:val="00653549"/>
    <w:rsid w:val="006535AC"/>
    <w:rsid w:val="006536D7"/>
    <w:rsid w:val="006536E3"/>
    <w:rsid w:val="006536F3"/>
    <w:rsid w:val="00653763"/>
    <w:rsid w:val="00653768"/>
    <w:rsid w:val="006537CA"/>
    <w:rsid w:val="00653803"/>
    <w:rsid w:val="00653822"/>
    <w:rsid w:val="00653829"/>
    <w:rsid w:val="006538C9"/>
    <w:rsid w:val="00653934"/>
    <w:rsid w:val="00653988"/>
    <w:rsid w:val="00653B72"/>
    <w:rsid w:val="00653B87"/>
    <w:rsid w:val="00653B93"/>
    <w:rsid w:val="00653BB8"/>
    <w:rsid w:val="00653BF4"/>
    <w:rsid w:val="00653D5A"/>
    <w:rsid w:val="00653D83"/>
    <w:rsid w:val="00653DF1"/>
    <w:rsid w:val="00653E43"/>
    <w:rsid w:val="00653ED8"/>
    <w:rsid w:val="00653F1B"/>
    <w:rsid w:val="00653F7C"/>
    <w:rsid w:val="00654036"/>
    <w:rsid w:val="0065406A"/>
    <w:rsid w:val="0065408A"/>
    <w:rsid w:val="0065409E"/>
    <w:rsid w:val="006540C2"/>
    <w:rsid w:val="006540D3"/>
    <w:rsid w:val="006540F7"/>
    <w:rsid w:val="00654137"/>
    <w:rsid w:val="00654191"/>
    <w:rsid w:val="0065429A"/>
    <w:rsid w:val="006542C8"/>
    <w:rsid w:val="00654338"/>
    <w:rsid w:val="00654375"/>
    <w:rsid w:val="006543D0"/>
    <w:rsid w:val="00654424"/>
    <w:rsid w:val="00654567"/>
    <w:rsid w:val="00654571"/>
    <w:rsid w:val="006545BC"/>
    <w:rsid w:val="00654636"/>
    <w:rsid w:val="00654660"/>
    <w:rsid w:val="006546B2"/>
    <w:rsid w:val="006546C4"/>
    <w:rsid w:val="00654714"/>
    <w:rsid w:val="00654787"/>
    <w:rsid w:val="006547C1"/>
    <w:rsid w:val="0065485D"/>
    <w:rsid w:val="00654890"/>
    <w:rsid w:val="006548BC"/>
    <w:rsid w:val="00654963"/>
    <w:rsid w:val="006549A4"/>
    <w:rsid w:val="006549D4"/>
    <w:rsid w:val="00654A79"/>
    <w:rsid w:val="00654AC3"/>
    <w:rsid w:val="00654BBD"/>
    <w:rsid w:val="00654C24"/>
    <w:rsid w:val="00654C92"/>
    <w:rsid w:val="00654CB4"/>
    <w:rsid w:val="00654CC0"/>
    <w:rsid w:val="00654D07"/>
    <w:rsid w:val="00654D1F"/>
    <w:rsid w:val="00654DA9"/>
    <w:rsid w:val="00654DB7"/>
    <w:rsid w:val="00654EC3"/>
    <w:rsid w:val="0065507F"/>
    <w:rsid w:val="006550CD"/>
    <w:rsid w:val="006550DB"/>
    <w:rsid w:val="0065513B"/>
    <w:rsid w:val="00655174"/>
    <w:rsid w:val="006551A8"/>
    <w:rsid w:val="006551CA"/>
    <w:rsid w:val="006551DC"/>
    <w:rsid w:val="006552D1"/>
    <w:rsid w:val="006552D6"/>
    <w:rsid w:val="006552ED"/>
    <w:rsid w:val="006553AA"/>
    <w:rsid w:val="006553AE"/>
    <w:rsid w:val="006553D8"/>
    <w:rsid w:val="006553F2"/>
    <w:rsid w:val="00655439"/>
    <w:rsid w:val="006554D8"/>
    <w:rsid w:val="006554E3"/>
    <w:rsid w:val="006554F6"/>
    <w:rsid w:val="00655521"/>
    <w:rsid w:val="00655541"/>
    <w:rsid w:val="0065555B"/>
    <w:rsid w:val="006555D1"/>
    <w:rsid w:val="00655620"/>
    <w:rsid w:val="0065562E"/>
    <w:rsid w:val="00655656"/>
    <w:rsid w:val="0065570B"/>
    <w:rsid w:val="00655767"/>
    <w:rsid w:val="006557BC"/>
    <w:rsid w:val="006557C7"/>
    <w:rsid w:val="0065581D"/>
    <w:rsid w:val="0065581E"/>
    <w:rsid w:val="006558A2"/>
    <w:rsid w:val="0065593B"/>
    <w:rsid w:val="006559EB"/>
    <w:rsid w:val="00655A00"/>
    <w:rsid w:val="00655A33"/>
    <w:rsid w:val="00655A50"/>
    <w:rsid w:val="00655A6C"/>
    <w:rsid w:val="00655AB5"/>
    <w:rsid w:val="00655BC2"/>
    <w:rsid w:val="00655C69"/>
    <w:rsid w:val="00655D1A"/>
    <w:rsid w:val="00655D4B"/>
    <w:rsid w:val="00655DA8"/>
    <w:rsid w:val="00655E6C"/>
    <w:rsid w:val="00655EDA"/>
    <w:rsid w:val="00655F0A"/>
    <w:rsid w:val="00655F5F"/>
    <w:rsid w:val="00655F73"/>
    <w:rsid w:val="0065602A"/>
    <w:rsid w:val="0065604A"/>
    <w:rsid w:val="00656088"/>
    <w:rsid w:val="0065610B"/>
    <w:rsid w:val="00656136"/>
    <w:rsid w:val="006561D3"/>
    <w:rsid w:val="006561F2"/>
    <w:rsid w:val="0065626E"/>
    <w:rsid w:val="00656304"/>
    <w:rsid w:val="00656306"/>
    <w:rsid w:val="0065634A"/>
    <w:rsid w:val="0065635D"/>
    <w:rsid w:val="00656360"/>
    <w:rsid w:val="00656370"/>
    <w:rsid w:val="0065638B"/>
    <w:rsid w:val="006563E1"/>
    <w:rsid w:val="00656487"/>
    <w:rsid w:val="006564DB"/>
    <w:rsid w:val="0065651F"/>
    <w:rsid w:val="0065652D"/>
    <w:rsid w:val="0065659D"/>
    <w:rsid w:val="006566AD"/>
    <w:rsid w:val="00656706"/>
    <w:rsid w:val="00656722"/>
    <w:rsid w:val="006567B0"/>
    <w:rsid w:val="00656843"/>
    <w:rsid w:val="006568BA"/>
    <w:rsid w:val="00656985"/>
    <w:rsid w:val="00656A5F"/>
    <w:rsid w:val="00656A92"/>
    <w:rsid w:val="00656AC1"/>
    <w:rsid w:val="00656B01"/>
    <w:rsid w:val="00656B63"/>
    <w:rsid w:val="00656BA0"/>
    <w:rsid w:val="00656BD3"/>
    <w:rsid w:val="00656BFB"/>
    <w:rsid w:val="00656C07"/>
    <w:rsid w:val="00656C1C"/>
    <w:rsid w:val="00656D69"/>
    <w:rsid w:val="00656DA7"/>
    <w:rsid w:val="00656E46"/>
    <w:rsid w:val="00656F09"/>
    <w:rsid w:val="00656F2A"/>
    <w:rsid w:val="00656F8A"/>
    <w:rsid w:val="00656F9A"/>
    <w:rsid w:val="0065704E"/>
    <w:rsid w:val="0065709D"/>
    <w:rsid w:val="006570A5"/>
    <w:rsid w:val="0065716C"/>
    <w:rsid w:val="006571A3"/>
    <w:rsid w:val="00657208"/>
    <w:rsid w:val="0065727D"/>
    <w:rsid w:val="006572B0"/>
    <w:rsid w:val="006572F8"/>
    <w:rsid w:val="0065730F"/>
    <w:rsid w:val="00657338"/>
    <w:rsid w:val="00657386"/>
    <w:rsid w:val="006573AD"/>
    <w:rsid w:val="00657447"/>
    <w:rsid w:val="0065758E"/>
    <w:rsid w:val="00657666"/>
    <w:rsid w:val="006576B7"/>
    <w:rsid w:val="006576F1"/>
    <w:rsid w:val="006576FA"/>
    <w:rsid w:val="00657904"/>
    <w:rsid w:val="0065790F"/>
    <w:rsid w:val="00657923"/>
    <w:rsid w:val="0065798E"/>
    <w:rsid w:val="0065799B"/>
    <w:rsid w:val="006579B1"/>
    <w:rsid w:val="006579C7"/>
    <w:rsid w:val="00657A72"/>
    <w:rsid w:val="00657A97"/>
    <w:rsid w:val="00657ABD"/>
    <w:rsid w:val="00657AEA"/>
    <w:rsid w:val="00657B23"/>
    <w:rsid w:val="00657B7A"/>
    <w:rsid w:val="00657B9F"/>
    <w:rsid w:val="00657BF6"/>
    <w:rsid w:val="00657CD6"/>
    <w:rsid w:val="00657CFD"/>
    <w:rsid w:val="00657D39"/>
    <w:rsid w:val="00657DCB"/>
    <w:rsid w:val="00657E8C"/>
    <w:rsid w:val="00657EC2"/>
    <w:rsid w:val="00657F9F"/>
    <w:rsid w:val="00657FCC"/>
    <w:rsid w:val="00660004"/>
    <w:rsid w:val="00660010"/>
    <w:rsid w:val="006601C6"/>
    <w:rsid w:val="006601CA"/>
    <w:rsid w:val="006602AD"/>
    <w:rsid w:val="006602B3"/>
    <w:rsid w:val="006602B6"/>
    <w:rsid w:val="00660340"/>
    <w:rsid w:val="00660466"/>
    <w:rsid w:val="0066048D"/>
    <w:rsid w:val="00660497"/>
    <w:rsid w:val="0066060F"/>
    <w:rsid w:val="006606BA"/>
    <w:rsid w:val="0066073A"/>
    <w:rsid w:val="006607A7"/>
    <w:rsid w:val="006607E7"/>
    <w:rsid w:val="0066084A"/>
    <w:rsid w:val="00660885"/>
    <w:rsid w:val="006609F2"/>
    <w:rsid w:val="00660A2C"/>
    <w:rsid w:val="00660A83"/>
    <w:rsid w:val="00660B0D"/>
    <w:rsid w:val="00660B3B"/>
    <w:rsid w:val="00660B6F"/>
    <w:rsid w:val="00660BD1"/>
    <w:rsid w:val="00660C6C"/>
    <w:rsid w:val="00660CC3"/>
    <w:rsid w:val="00660CF5"/>
    <w:rsid w:val="00660D03"/>
    <w:rsid w:val="00660D63"/>
    <w:rsid w:val="00660DC6"/>
    <w:rsid w:val="00660EE5"/>
    <w:rsid w:val="00660F07"/>
    <w:rsid w:val="00660F82"/>
    <w:rsid w:val="00660F97"/>
    <w:rsid w:val="00661012"/>
    <w:rsid w:val="0066102A"/>
    <w:rsid w:val="00661038"/>
    <w:rsid w:val="006610D7"/>
    <w:rsid w:val="00661108"/>
    <w:rsid w:val="00661129"/>
    <w:rsid w:val="00661132"/>
    <w:rsid w:val="0066113E"/>
    <w:rsid w:val="00661150"/>
    <w:rsid w:val="00661202"/>
    <w:rsid w:val="00661216"/>
    <w:rsid w:val="0066122B"/>
    <w:rsid w:val="006612C5"/>
    <w:rsid w:val="006612CB"/>
    <w:rsid w:val="00661339"/>
    <w:rsid w:val="00661348"/>
    <w:rsid w:val="0066135C"/>
    <w:rsid w:val="006613DF"/>
    <w:rsid w:val="00661402"/>
    <w:rsid w:val="00661473"/>
    <w:rsid w:val="00661499"/>
    <w:rsid w:val="0066151C"/>
    <w:rsid w:val="00661587"/>
    <w:rsid w:val="00661590"/>
    <w:rsid w:val="006615D7"/>
    <w:rsid w:val="00661620"/>
    <w:rsid w:val="006616BD"/>
    <w:rsid w:val="006616FC"/>
    <w:rsid w:val="00661748"/>
    <w:rsid w:val="006617AD"/>
    <w:rsid w:val="006617C9"/>
    <w:rsid w:val="006617DF"/>
    <w:rsid w:val="006617F2"/>
    <w:rsid w:val="00661860"/>
    <w:rsid w:val="006618FF"/>
    <w:rsid w:val="00661905"/>
    <w:rsid w:val="006619EA"/>
    <w:rsid w:val="00661A7B"/>
    <w:rsid w:val="00661AE0"/>
    <w:rsid w:val="00661B5B"/>
    <w:rsid w:val="00661B5E"/>
    <w:rsid w:val="00661BB2"/>
    <w:rsid w:val="00661C0B"/>
    <w:rsid w:val="00661C61"/>
    <w:rsid w:val="00661C66"/>
    <w:rsid w:val="00661C74"/>
    <w:rsid w:val="00661CA0"/>
    <w:rsid w:val="00661CD4"/>
    <w:rsid w:val="00661DAB"/>
    <w:rsid w:val="00661DB6"/>
    <w:rsid w:val="00661DE2"/>
    <w:rsid w:val="00661DFC"/>
    <w:rsid w:val="00661E61"/>
    <w:rsid w:val="00661EA1"/>
    <w:rsid w:val="00661F97"/>
    <w:rsid w:val="00661FB5"/>
    <w:rsid w:val="00661FDD"/>
    <w:rsid w:val="00661FE0"/>
    <w:rsid w:val="00662137"/>
    <w:rsid w:val="00662206"/>
    <w:rsid w:val="0066220D"/>
    <w:rsid w:val="0066223D"/>
    <w:rsid w:val="00662297"/>
    <w:rsid w:val="00662331"/>
    <w:rsid w:val="0066241B"/>
    <w:rsid w:val="00662450"/>
    <w:rsid w:val="00662455"/>
    <w:rsid w:val="00662457"/>
    <w:rsid w:val="00662485"/>
    <w:rsid w:val="006624D1"/>
    <w:rsid w:val="0066253D"/>
    <w:rsid w:val="006625A2"/>
    <w:rsid w:val="006625F1"/>
    <w:rsid w:val="006626C5"/>
    <w:rsid w:val="006626CB"/>
    <w:rsid w:val="006626CC"/>
    <w:rsid w:val="00662703"/>
    <w:rsid w:val="00662759"/>
    <w:rsid w:val="006627C1"/>
    <w:rsid w:val="00662800"/>
    <w:rsid w:val="00662826"/>
    <w:rsid w:val="006628E7"/>
    <w:rsid w:val="00662932"/>
    <w:rsid w:val="006629AB"/>
    <w:rsid w:val="006629BC"/>
    <w:rsid w:val="00662A34"/>
    <w:rsid w:val="00662A49"/>
    <w:rsid w:val="00662A8D"/>
    <w:rsid w:val="00662BE8"/>
    <w:rsid w:val="00662CC6"/>
    <w:rsid w:val="00662D34"/>
    <w:rsid w:val="00662D63"/>
    <w:rsid w:val="00662D74"/>
    <w:rsid w:val="00662E74"/>
    <w:rsid w:val="00662E76"/>
    <w:rsid w:val="00662F0C"/>
    <w:rsid w:val="00662F22"/>
    <w:rsid w:val="00662F3B"/>
    <w:rsid w:val="00662F84"/>
    <w:rsid w:val="00662F9C"/>
    <w:rsid w:val="00662FE8"/>
    <w:rsid w:val="006630A8"/>
    <w:rsid w:val="00663124"/>
    <w:rsid w:val="006631B9"/>
    <w:rsid w:val="006631FB"/>
    <w:rsid w:val="006631FD"/>
    <w:rsid w:val="006632AA"/>
    <w:rsid w:val="00663301"/>
    <w:rsid w:val="006633B7"/>
    <w:rsid w:val="006633C7"/>
    <w:rsid w:val="006633EA"/>
    <w:rsid w:val="0066342D"/>
    <w:rsid w:val="0066343B"/>
    <w:rsid w:val="00663454"/>
    <w:rsid w:val="006634AC"/>
    <w:rsid w:val="006634BB"/>
    <w:rsid w:val="006634EF"/>
    <w:rsid w:val="0066357C"/>
    <w:rsid w:val="006635B2"/>
    <w:rsid w:val="006635D3"/>
    <w:rsid w:val="006635EC"/>
    <w:rsid w:val="00663656"/>
    <w:rsid w:val="006636B0"/>
    <w:rsid w:val="006636CA"/>
    <w:rsid w:val="006636EE"/>
    <w:rsid w:val="0066373A"/>
    <w:rsid w:val="006637D6"/>
    <w:rsid w:val="0066387C"/>
    <w:rsid w:val="0066390F"/>
    <w:rsid w:val="00663917"/>
    <w:rsid w:val="0066391D"/>
    <w:rsid w:val="0066392D"/>
    <w:rsid w:val="00663934"/>
    <w:rsid w:val="00663961"/>
    <w:rsid w:val="0066399E"/>
    <w:rsid w:val="006639AB"/>
    <w:rsid w:val="00663A17"/>
    <w:rsid w:val="00663A3E"/>
    <w:rsid w:val="00663A51"/>
    <w:rsid w:val="00663A90"/>
    <w:rsid w:val="00663AF2"/>
    <w:rsid w:val="00663AFB"/>
    <w:rsid w:val="00663B07"/>
    <w:rsid w:val="00663B92"/>
    <w:rsid w:val="00663BE2"/>
    <w:rsid w:val="00663C33"/>
    <w:rsid w:val="00663C37"/>
    <w:rsid w:val="00663C39"/>
    <w:rsid w:val="00663C76"/>
    <w:rsid w:val="00663CA1"/>
    <w:rsid w:val="00663D77"/>
    <w:rsid w:val="00663D86"/>
    <w:rsid w:val="00663E0C"/>
    <w:rsid w:val="00663E93"/>
    <w:rsid w:val="00664002"/>
    <w:rsid w:val="006640AF"/>
    <w:rsid w:val="006640B0"/>
    <w:rsid w:val="006640B7"/>
    <w:rsid w:val="006640C2"/>
    <w:rsid w:val="006641A0"/>
    <w:rsid w:val="00664261"/>
    <w:rsid w:val="0066427F"/>
    <w:rsid w:val="0066428F"/>
    <w:rsid w:val="0066433B"/>
    <w:rsid w:val="00664372"/>
    <w:rsid w:val="00664519"/>
    <w:rsid w:val="0066452C"/>
    <w:rsid w:val="00664570"/>
    <w:rsid w:val="00664587"/>
    <w:rsid w:val="0066459F"/>
    <w:rsid w:val="006645B8"/>
    <w:rsid w:val="006645E8"/>
    <w:rsid w:val="00664687"/>
    <w:rsid w:val="006646D3"/>
    <w:rsid w:val="00664738"/>
    <w:rsid w:val="00664746"/>
    <w:rsid w:val="00664815"/>
    <w:rsid w:val="00664881"/>
    <w:rsid w:val="00664890"/>
    <w:rsid w:val="006648E9"/>
    <w:rsid w:val="00664AA1"/>
    <w:rsid w:val="00664B0A"/>
    <w:rsid w:val="00664B13"/>
    <w:rsid w:val="00664B40"/>
    <w:rsid w:val="00664BDC"/>
    <w:rsid w:val="00664C01"/>
    <w:rsid w:val="00664C13"/>
    <w:rsid w:val="00664C30"/>
    <w:rsid w:val="00664C92"/>
    <w:rsid w:val="00664CC9"/>
    <w:rsid w:val="00664CEF"/>
    <w:rsid w:val="00664D4D"/>
    <w:rsid w:val="00664D99"/>
    <w:rsid w:val="00664E28"/>
    <w:rsid w:val="00664EC9"/>
    <w:rsid w:val="00664ED7"/>
    <w:rsid w:val="00664F6F"/>
    <w:rsid w:val="00664F72"/>
    <w:rsid w:val="00664F85"/>
    <w:rsid w:val="00664FE7"/>
    <w:rsid w:val="00665021"/>
    <w:rsid w:val="00665024"/>
    <w:rsid w:val="006650E4"/>
    <w:rsid w:val="00665106"/>
    <w:rsid w:val="006651B1"/>
    <w:rsid w:val="006651BB"/>
    <w:rsid w:val="00665239"/>
    <w:rsid w:val="00665262"/>
    <w:rsid w:val="0066532B"/>
    <w:rsid w:val="0066534C"/>
    <w:rsid w:val="0066536B"/>
    <w:rsid w:val="00665391"/>
    <w:rsid w:val="006653BD"/>
    <w:rsid w:val="006653C8"/>
    <w:rsid w:val="00665453"/>
    <w:rsid w:val="0066549F"/>
    <w:rsid w:val="006654AD"/>
    <w:rsid w:val="006654FA"/>
    <w:rsid w:val="0066552E"/>
    <w:rsid w:val="006655BA"/>
    <w:rsid w:val="006655CC"/>
    <w:rsid w:val="0066563A"/>
    <w:rsid w:val="006656D2"/>
    <w:rsid w:val="00665706"/>
    <w:rsid w:val="006657A4"/>
    <w:rsid w:val="006657C6"/>
    <w:rsid w:val="006657ED"/>
    <w:rsid w:val="0066581B"/>
    <w:rsid w:val="00665853"/>
    <w:rsid w:val="006658CE"/>
    <w:rsid w:val="006658E7"/>
    <w:rsid w:val="006658F2"/>
    <w:rsid w:val="006658FF"/>
    <w:rsid w:val="00665954"/>
    <w:rsid w:val="00665990"/>
    <w:rsid w:val="006659C0"/>
    <w:rsid w:val="00665AA5"/>
    <w:rsid w:val="00665AD2"/>
    <w:rsid w:val="00665B21"/>
    <w:rsid w:val="00665B77"/>
    <w:rsid w:val="00665C14"/>
    <w:rsid w:val="00665C3A"/>
    <w:rsid w:val="00665C92"/>
    <w:rsid w:val="00665D1A"/>
    <w:rsid w:val="00665D9F"/>
    <w:rsid w:val="00665E05"/>
    <w:rsid w:val="00665E7B"/>
    <w:rsid w:val="00665E86"/>
    <w:rsid w:val="00665ED0"/>
    <w:rsid w:val="00665EEC"/>
    <w:rsid w:val="00665F3A"/>
    <w:rsid w:val="00665FD4"/>
    <w:rsid w:val="00666007"/>
    <w:rsid w:val="00666072"/>
    <w:rsid w:val="0066609F"/>
    <w:rsid w:val="00666104"/>
    <w:rsid w:val="00666159"/>
    <w:rsid w:val="00666187"/>
    <w:rsid w:val="0066618D"/>
    <w:rsid w:val="006661C1"/>
    <w:rsid w:val="006661FE"/>
    <w:rsid w:val="0066626C"/>
    <w:rsid w:val="00666271"/>
    <w:rsid w:val="0066627C"/>
    <w:rsid w:val="00666292"/>
    <w:rsid w:val="0066629C"/>
    <w:rsid w:val="006662E1"/>
    <w:rsid w:val="006662F1"/>
    <w:rsid w:val="0066637D"/>
    <w:rsid w:val="0066641F"/>
    <w:rsid w:val="0066645B"/>
    <w:rsid w:val="0066656F"/>
    <w:rsid w:val="006665BD"/>
    <w:rsid w:val="006665F7"/>
    <w:rsid w:val="006666CF"/>
    <w:rsid w:val="006667DB"/>
    <w:rsid w:val="0066680D"/>
    <w:rsid w:val="00666867"/>
    <w:rsid w:val="006668D4"/>
    <w:rsid w:val="0066691E"/>
    <w:rsid w:val="006669C1"/>
    <w:rsid w:val="006669E3"/>
    <w:rsid w:val="006669E7"/>
    <w:rsid w:val="00666A83"/>
    <w:rsid w:val="00666B2F"/>
    <w:rsid w:val="00666B3C"/>
    <w:rsid w:val="00666BBF"/>
    <w:rsid w:val="00666C00"/>
    <w:rsid w:val="00666C4B"/>
    <w:rsid w:val="00666CF7"/>
    <w:rsid w:val="00666CFF"/>
    <w:rsid w:val="00666D22"/>
    <w:rsid w:val="00666D62"/>
    <w:rsid w:val="00666E45"/>
    <w:rsid w:val="00666E85"/>
    <w:rsid w:val="00666F35"/>
    <w:rsid w:val="00666F48"/>
    <w:rsid w:val="00666FCE"/>
    <w:rsid w:val="00667028"/>
    <w:rsid w:val="006670F8"/>
    <w:rsid w:val="00667114"/>
    <w:rsid w:val="00667188"/>
    <w:rsid w:val="006671A1"/>
    <w:rsid w:val="00667206"/>
    <w:rsid w:val="0066720A"/>
    <w:rsid w:val="0066720B"/>
    <w:rsid w:val="00667265"/>
    <w:rsid w:val="006672A7"/>
    <w:rsid w:val="00667398"/>
    <w:rsid w:val="006673DB"/>
    <w:rsid w:val="00667466"/>
    <w:rsid w:val="006674A2"/>
    <w:rsid w:val="006674E0"/>
    <w:rsid w:val="00667510"/>
    <w:rsid w:val="0066762D"/>
    <w:rsid w:val="0066764F"/>
    <w:rsid w:val="006676D1"/>
    <w:rsid w:val="0066770E"/>
    <w:rsid w:val="00667730"/>
    <w:rsid w:val="00667751"/>
    <w:rsid w:val="00667758"/>
    <w:rsid w:val="0066777A"/>
    <w:rsid w:val="0066778A"/>
    <w:rsid w:val="006677D6"/>
    <w:rsid w:val="00667813"/>
    <w:rsid w:val="0066783D"/>
    <w:rsid w:val="006678A7"/>
    <w:rsid w:val="006678BB"/>
    <w:rsid w:val="006678E3"/>
    <w:rsid w:val="00667940"/>
    <w:rsid w:val="00667957"/>
    <w:rsid w:val="00667A2A"/>
    <w:rsid w:val="00667ACD"/>
    <w:rsid w:val="00667B12"/>
    <w:rsid w:val="00667B19"/>
    <w:rsid w:val="00667B36"/>
    <w:rsid w:val="00667C55"/>
    <w:rsid w:val="00667C6F"/>
    <w:rsid w:val="00667C8D"/>
    <w:rsid w:val="00667CF1"/>
    <w:rsid w:val="00667D15"/>
    <w:rsid w:val="00667D24"/>
    <w:rsid w:val="00667DC4"/>
    <w:rsid w:val="00667EC4"/>
    <w:rsid w:val="00667ED1"/>
    <w:rsid w:val="00667F00"/>
    <w:rsid w:val="00667F05"/>
    <w:rsid w:val="00667F10"/>
    <w:rsid w:val="00667F4E"/>
    <w:rsid w:val="00667F61"/>
    <w:rsid w:val="00667FB3"/>
    <w:rsid w:val="00670098"/>
    <w:rsid w:val="00670143"/>
    <w:rsid w:val="00670157"/>
    <w:rsid w:val="00670185"/>
    <w:rsid w:val="006701AF"/>
    <w:rsid w:val="0067020C"/>
    <w:rsid w:val="0067021A"/>
    <w:rsid w:val="00670249"/>
    <w:rsid w:val="00670257"/>
    <w:rsid w:val="0067028F"/>
    <w:rsid w:val="006702B2"/>
    <w:rsid w:val="006702D2"/>
    <w:rsid w:val="006702F4"/>
    <w:rsid w:val="0067037E"/>
    <w:rsid w:val="006703B1"/>
    <w:rsid w:val="006703D0"/>
    <w:rsid w:val="0067046F"/>
    <w:rsid w:val="00670472"/>
    <w:rsid w:val="006704D0"/>
    <w:rsid w:val="006704D8"/>
    <w:rsid w:val="006704E6"/>
    <w:rsid w:val="006704EA"/>
    <w:rsid w:val="0067054B"/>
    <w:rsid w:val="0067057E"/>
    <w:rsid w:val="00670598"/>
    <w:rsid w:val="0067060F"/>
    <w:rsid w:val="00670618"/>
    <w:rsid w:val="006706C3"/>
    <w:rsid w:val="00670752"/>
    <w:rsid w:val="0067076D"/>
    <w:rsid w:val="00670907"/>
    <w:rsid w:val="00670921"/>
    <w:rsid w:val="0067096D"/>
    <w:rsid w:val="0067097B"/>
    <w:rsid w:val="0067098C"/>
    <w:rsid w:val="006709D2"/>
    <w:rsid w:val="00670A16"/>
    <w:rsid w:val="00670A57"/>
    <w:rsid w:val="00670ACB"/>
    <w:rsid w:val="00670B03"/>
    <w:rsid w:val="00670B9D"/>
    <w:rsid w:val="00670BBB"/>
    <w:rsid w:val="00670BE2"/>
    <w:rsid w:val="00670C16"/>
    <w:rsid w:val="00670C94"/>
    <w:rsid w:val="00670CFB"/>
    <w:rsid w:val="00670D22"/>
    <w:rsid w:val="00670E89"/>
    <w:rsid w:val="00670F2C"/>
    <w:rsid w:val="00670F96"/>
    <w:rsid w:val="006710F1"/>
    <w:rsid w:val="00671103"/>
    <w:rsid w:val="00671110"/>
    <w:rsid w:val="00671151"/>
    <w:rsid w:val="0067117F"/>
    <w:rsid w:val="006711FD"/>
    <w:rsid w:val="00671367"/>
    <w:rsid w:val="006714C7"/>
    <w:rsid w:val="00671503"/>
    <w:rsid w:val="00671546"/>
    <w:rsid w:val="00671589"/>
    <w:rsid w:val="0067158A"/>
    <w:rsid w:val="0067159D"/>
    <w:rsid w:val="00671622"/>
    <w:rsid w:val="00671643"/>
    <w:rsid w:val="0067165D"/>
    <w:rsid w:val="0067173E"/>
    <w:rsid w:val="006717C6"/>
    <w:rsid w:val="006717CD"/>
    <w:rsid w:val="006717E9"/>
    <w:rsid w:val="006717F4"/>
    <w:rsid w:val="00671810"/>
    <w:rsid w:val="006718BD"/>
    <w:rsid w:val="006718D4"/>
    <w:rsid w:val="006718FC"/>
    <w:rsid w:val="00671922"/>
    <w:rsid w:val="00671947"/>
    <w:rsid w:val="006719AB"/>
    <w:rsid w:val="006719FD"/>
    <w:rsid w:val="00671AA5"/>
    <w:rsid w:val="00671ABC"/>
    <w:rsid w:val="00671AEC"/>
    <w:rsid w:val="00671B13"/>
    <w:rsid w:val="00671B34"/>
    <w:rsid w:val="00671B46"/>
    <w:rsid w:val="00671B49"/>
    <w:rsid w:val="00671BA8"/>
    <w:rsid w:val="00671C15"/>
    <w:rsid w:val="00671C1D"/>
    <w:rsid w:val="00671C84"/>
    <w:rsid w:val="00671C9D"/>
    <w:rsid w:val="00671CCE"/>
    <w:rsid w:val="00671CEA"/>
    <w:rsid w:val="00671D54"/>
    <w:rsid w:val="00671D72"/>
    <w:rsid w:val="00671D7B"/>
    <w:rsid w:val="00671DC5"/>
    <w:rsid w:val="00671DD6"/>
    <w:rsid w:val="00671E6A"/>
    <w:rsid w:val="00671F3D"/>
    <w:rsid w:val="00671FB0"/>
    <w:rsid w:val="0067201D"/>
    <w:rsid w:val="006720A1"/>
    <w:rsid w:val="006720A6"/>
    <w:rsid w:val="006721E6"/>
    <w:rsid w:val="006721EC"/>
    <w:rsid w:val="006721EE"/>
    <w:rsid w:val="00672215"/>
    <w:rsid w:val="006722FA"/>
    <w:rsid w:val="00672348"/>
    <w:rsid w:val="0067235D"/>
    <w:rsid w:val="0067244E"/>
    <w:rsid w:val="00672486"/>
    <w:rsid w:val="0067249E"/>
    <w:rsid w:val="006724DC"/>
    <w:rsid w:val="00672505"/>
    <w:rsid w:val="00672509"/>
    <w:rsid w:val="00672564"/>
    <w:rsid w:val="0067257A"/>
    <w:rsid w:val="006725D4"/>
    <w:rsid w:val="00672634"/>
    <w:rsid w:val="006726E7"/>
    <w:rsid w:val="006726FC"/>
    <w:rsid w:val="0067274E"/>
    <w:rsid w:val="0067275F"/>
    <w:rsid w:val="00672863"/>
    <w:rsid w:val="006728C7"/>
    <w:rsid w:val="0067298F"/>
    <w:rsid w:val="006729F8"/>
    <w:rsid w:val="00672A20"/>
    <w:rsid w:val="00672A92"/>
    <w:rsid w:val="00672ACA"/>
    <w:rsid w:val="00672B5D"/>
    <w:rsid w:val="00672B65"/>
    <w:rsid w:val="00672BB7"/>
    <w:rsid w:val="00672BF1"/>
    <w:rsid w:val="00672C08"/>
    <w:rsid w:val="00672C0D"/>
    <w:rsid w:val="00672C1C"/>
    <w:rsid w:val="00672CB9"/>
    <w:rsid w:val="00672D23"/>
    <w:rsid w:val="00672D48"/>
    <w:rsid w:val="00672D72"/>
    <w:rsid w:val="00672D84"/>
    <w:rsid w:val="00672E32"/>
    <w:rsid w:val="00672F3E"/>
    <w:rsid w:val="00672FFD"/>
    <w:rsid w:val="0067308A"/>
    <w:rsid w:val="00673091"/>
    <w:rsid w:val="006730AA"/>
    <w:rsid w:val="006730D0"/>
    <w:rsid w:val="006730FC"/>
    <w:rsid w:val="00673107"/>
    <w:rsid w:val="0067322E"/>
    <w:rsid w:val="006732FE"/>
    <w:rsid w:val="00673311"/>
    <w:rsid w:val="00673348"/>
    <w:rsid w:val="0067346A"/>
    <w:rsid w:val="0067346F"/>
    <w:rsid w:val="006734A1"/>
    <w:rsid w:val="006734A7"/>
    <w:rsid w:val="006734C8"/>
    <w:rsid w:val="006734FE"/>
    <w:rsid w:val="00673522"/>
    <w:rsid w:val="006736A7"/>
    <w:rsid w:val="006736E7"/>
    <w:rsid w:val="006737AC"/>
    <w:rsid w:val="006737BB"/>
    <w:rsid w:val="0067381E"/>
    <w:rsid w:val="006739DB"/>
    <w:rsid w:val="00673A00"/>
    <w:rsid w:val="00673A37"/>
    <w:rsid w:val="00673A48"/>
    <w:rsid w:val="00673BA1"/>
    <w:rsid w:val="00673C3A"/>
    <w:rsid w:val="00673CFD"/>
    <w:rsid w:val="00673DFE"/>
    <w:rsid w:val="00673E33"/>
    <w:rsid w:val="00673E5D"/>
    <w:rsid w:val="00673F1A"/>
    <w:rsid w:val="00673F50"/>
    <w:rsid w:val="00673FB0"/>
    <w:rsid w:val="00674042"/>
    <w:rsid w:val="006740F3"/>
    <w:rsid w:val="00674108"/>
    <w:rsid w:val="0067410A"/>
    <w:rsid w:val="00674144"/>
    <w:rsid w:val="00674290"/>
    <w:rsid w:val="00674365"/>
    <w:rsid w:val="006743AE"/>
    <w:rsid w:val="006743B3"/>
    <w:rsid w:val="006743D7"/>
    <w:rsid w:val="006743E0"/>
    <w:rsid w:val="0067442E"/>
    <w:rsid w:val="00674434"/>
    <w:rsid w:val="00674579"/>
    <w:rsid w:val="006745A7"/>
    <w:rsid w:val="006745C1"/>
    <w:rsid w:val="00674629"/>
    <w:rsid w:val="0067469C"/>
    <w:rsid w:val="00674708"/>
    <w:rsid w:val="00674733"/>
    <w:rsid w:val="00674749"/>
    <w:rsid w:val="006747E9"/>
    <w:rsid w:val="006747EA"/>
    <w:rsid w:val="00674871"/>
    <w:rsid w:val="006748B9"/>
    <w:rsid w:val="00674914"/>
    <w:rsid w:val="00674998"/>
    <w:rsid w:val="006749BD"/>
    <w:rsid w:val="00674A24"/>
    <w:rsid w:val="00674A64"/>
    <w:rsid w:val="00674A7A"/>
    <w:rsid w:val="00674A9E"/>
    <w:rsid w:val="00674ABA"/>
    <w:rsid w:val="00674AF1"/>
    <w:rsid w:val="00674B8D"/>
    <w:rsid w:val="00674BCF"/>
    <w:rsid w:val="00674D12"/>
    <w:rsid w:val="00674D5B"/>
    <w:rsid w:val="00674D68"/>
    <w:rsid w:val="00674E53"/>
    <w:rsid w:val="00674E57"/>
    <w:rsid w:val="00674FEC"/>
    <w:rsid w:val="00674FF3"/>
    <w:rsid w:val="00675048"/>
    <w:rsid w:val="0067504E"/>
    <w:rsid w:val="00675072"/>
    <w:rsid w:val="00675098"/>
    <w:rsid w:val="006750E2"/>
    <w:rsid w:val="0067510F"/>
    <w:rsid w:val="00675126"/>
    <w:rsid w:val="0067514A"/>
    <w:rsid w:val="0067515D"/>
    <w:rsid w:val="00675166"/>
    <w:rsid w:val="00675187"/>
    <w:rsid w:val="00675188"/>
    <w:rsid w:val="006751BB"/>
    <w:rsid w:val="006752B7"/>
    <w:rsid w:val="00675393"/>
    <w:rsid w:val="006753C6"/>
    <w:rsid w:val="006753D3"/>
    <w:rsid w:val="006753E1"/>
    <w:rsid w:val="0067544E"/>
    <w:rsid w:val="00675468"/>
    <w:rsid w:val="006754BC"/>
    <w:rsid w:val="00675509"/>
    <w:rsid w:val="0067551E"/>
    <w:rsid w:val="00675542"/>
    <w:rsid w:val="0067554F"/>
    <w:rsid w:val="006755AD"/>
    <w:rsid w:val="006755B6"/>
    <w:rsid w:val="00675624"/>
    <w:rsid w:val="00675635"/>
    <w:rsid w:val="006756CF"/>
    <w:rsid w:val="006756E6"/>
    <w:rsid w:val="0067572C"/>
    <w:rsid w:val="006758DE"/>
    <w:rsid w:val="0067590D"/>
    <w:rsid w:val="00675911"/>
    <w:rsid w:val="00675989"/>
    <w:rsid w:val="006759EF"/>
    <w:rsid w:val="00675B88"/>
    <w:rsid w:val="00675B95"/>
    <w:rsid w:val="00675BB0"/>
    <w:rsid w:val="00675C11"/>
    <w:rsid w:val="00675D19"/>
    <w:rsid w:val="00675D66"/>
    <w:rsid w:val="00675D8A"/>
    <w:rsid w:val="00675DA3"/>
    <w:rsid w:val="00675EA8"/>
    <w:rsid w:val="00675EB4"/>
    <w:rsid w:val="00675ED7"/>
    <w:rsid w:val="00675F28"/>
    <w:rsid w:val="00675F70"/>
    <w:rsid w:val="00676075"/>
    <w:rsid w:val="0067608A"/>
    <w:rsid w:val="006760F7"/>
    <w:rsid w:val="0067622C"/>
    <w:rsid w:val="0067625A"/>
    <w:rsid w:val="006762B6"/>
    <w:rsid w:val="006762EB"/>
    <w:rsid w:val="00676355"/>
    <w:rsid w:val="006763A1"/>
    <w:rsid w:val="006763D2"/>
    <w:rsid w:val="00676424"/>
    <w:rsid w:val="00676439"/>
    <w:rsid w:val="0067649C"/>
    <w:rsid w:val="006764D7"/>
    <w:rsid w:val="00676534"/>
    <w:rsid w:val="00676564"/>
    <w:rsid w:val="006765DA"/>
    <w:rsid w:val="00676645"/>
    <w:rsid w:val="00676676"/>
    <w:rsid w:val="006766A4"/>
    <w:rsid w:val="006766C5"/>
    <w:rsid w:val="0067671C"/>
    <w:rsid w:val="006767C2"/>
    <w:rsid w:val="006767FB"/>
    <w:rsid w:val="00676807"/>
    <w:rsid w:val="00676874"/>
    <w:rsid w:val="0067689D"/>
    <w:rsid w:val="0067692A"/>
    <w:rsid w:val="00676954"/>
    <w:rsid w:val="006769D3"/>
    <w:rsid w:val="006769D9"/>
    <w:rsid w:val="006769EB"/>
    <w:rsid w:val="00676A25"/>
    <w:rsid w:val="00676B38"/>
    <w:rsid w:val="00676B4E"/>
    <w:rsid w:val="00676B52"/>
    <w:rsid w:val="00676B9D"/>
    <w:rsid w:val="00676C58"/>
    <w:rsid w:val="00676CB4"/>
    <w:rsid w:val="00676CC2"/>
    <w:rsid w:val="00676CE6"/>
    <w:rsid w:val="00676E50"/>
    <w:rsid w:val="00676F08"/>
    <w:rsid w:val="00676F18"/>
    <w:rsid w:val="00676F38"/>
    <w:rsid w:val="00676F89"/>
    <w:rsid w:val="00676F8C"/>
    <w:rsid w:val="00676FA4"/>
    <w:rsid w:val="00677016"/>
    <w:rsid w:val="0067702B"/>
    <w:rsid w:val="00677040"/>
    <w:rsid w:val="00677052"/>
    <w:rsid w:val="006770A9"/>
    <w:rsid w:val="006770C2"/>
    <w:rsid w:val="006770E4"/>
    <w:rsid w:val="00677155"/>
    <w:rsid w:val="00677188"/>
    <w:rsid w:val="0067722F"/>
    <w:rsid w:val="0067726E"/>
    <w:rsid w:val="00677317"/>
    <w:rsid w:val="00677359"/>
    <w:rsid w:val="006773D2"/>
    <w:rsid w:val="0067741B"/>
    <w:rsid w:val="00677453"/>
    <w:rsid w:val="0067747D"/>
    <w:rsid w:val="006774FB"/>
    <w:rsid w:val="00677531"/>
    <w:rsid w:val="00677547"/>
    <w:rsid w:val="00677697"/>
    <w:rsid w:val="00677699"/>
    <w:rsid w:val="006776C9"/>
    <w:rsid w:val="0067777D"/>
    <w:rsid w:val="006777A0"/>
    <w:rsid w:val="006777C9"/>
    <w:rsid w:val="006777FB"/>
    <w:rsid w:val="00677870"/>
    <w:rsid w:val="006778B0"/>
    <w:rsid w:val="006778EF"/>
    <w:rsid w:val="00677925"/>
    <w:rsid w:val="006779BC"/>
    <w:rsid w:val="00677A24"/>
    <w:rsid w:val="00677A7B"/>
    <w:rsid w:val="00677A8E"/>
    <w:rsid w:val="00677B83"/>
    <w:rsid w:val="00677C5D"/>
    <w:rsid w:val="00677D4C"/>
    <w:rsid w:val="00677D4D"/>
    <w:rsid w:val="00677D6C"/>
    <w:rsid w:val="00677D85"/>
    <w:rsid w:val="00677DD1"/>
    <w:rsid w:val="00677DF8"/>
    <w:rsid w:val="00677E22"/>
    <w:rsid w:val="00677E35"/>
    <w:rsid w:val="00677E9F"/>
    <w:rsid w:val="00677EC3"/>
    <w:rsid w:val="00677F26"/>
    <w:rsid w:val="00677FA3"/>
    <w:rsid w:val="00680065"/>
    <w:rsid w:val="00680107"/>
    <w:rsid w:val="00680116"/>
    <w:rsid w:val="00680174"/>
    <w:rsid w:val="0068018F"/>
    <w:rsid w:val="006801D6"/>
    <w:rsid w:val="006801E4"/>
    <w:rsid w:val="00680248"/>
    <w:rsid w:val="0068025B"/>
    <w:rsid w:val="006802A3"/>
    <w:rsid w:val="006802B7"/>
    <w:rsid w:val="006802DC"/>
    <w:rsid w:val="0068035F"/>
    <w:rsid w:val="006803CB"/>
    <w:rsid w:val="006803FA"/>
    <w:rsid w:val="0068048D"/>
    <w:rsid w:val="006804AC"/>
    <w:rsid w:val="0068051E"/>
    <w:rsid w:val="00680528"/>
    <w:rsid w:val="00680570"/>
    <w:rsid w:val="006805B2"/>
    <w:rsid w:val="006805D6"/>
    <w:rsid w:val="006805F6"/>
    <w:rsid w:val="00680644"/>
    <w:rsid w:val="0068068A"/>
    <w:rsid w:val="006806A8"/>
    <w:rsid w:val="0068074B"/>
    <w:rsid w:val="0068078A"/>
    <w:rsid w:val="006807F2"/>
    <w:rsid w:val="00680838"/>
    <w:rsid w:val="0068089E"/>
    <w:rsid w:val="006808EE"/>
    <w:rsid w:val="0068091D"/>
    <w:rsid w:val="0068093E"/>
    <w:rsid w:val="00680A0A"/>
    <w:rsid w:val="00680AB0"/>
    <w:rsid w:val="00680AC0"/>
    <w:rsid w:val="00680ADD"/>
    <w:rsid w:val="00680B69"/>
    <w:rsid w:val="00680BED"/>
    <w:rsid w:val="00680C02"/>
    <w:rsid w:val="00680CF6"/>
    <w:rsid w:val="00680D82"/>
    <w:rsid w:val="00680D8C"/>
    <w:rsid w:val="00680D90"/>
    <w:rsid w:val="00680E3C"/>
    <w:rsid w:val="00680E6D"/>
    <w:rsid w:val="00680F3E"/>
    <w:rsid w:val="00680F77"/>
    <w:rsid w:val="00680FAA"/>
    <w:rsid w:val="00681043"/>
    <w:rsid w:val="00681089"/>
    <w:rsid w:val="006810F3"/>
    <w:rsid w:val="00681133"/>
    <w:rsid w:val="00681198"/>
    <w:rsid w:val="0068127D"/>
    <w:rsid w:val="00681378"/>
    <w:rsid w:val="006813A1"/>
    <w:rsid w:val="00681401"/>
    <w:rsid w:val="0068142E"/>
    <w:rsid w:val="00681432"/>
    <w:rsid w:val="00681438"/>
    <w:rsid w:val="00681440"/>
    <w:rsid w:val="00681473"/>
    <w:rsid w:val="006815A8"/>
    <w:rsid w:val="00681602"/>
    <w:rsid w:val="00681628"/>
    <w:rsid w:val="006816D8"/>
    <w:rsid w:val="006816F7"/>
    <w:rsid w:val="006816FB"/>
    <w:rsid w:val="00681791"/>
    <w:rsid w:val="006817B9"/>
    <w:rsid w:val="006817C5"/>
    <w:rsid w:val="006817D5"/>
    <w:rsid w:val="006817FB"/>
    <w:rsid w:val="00681802"/>
    <w:rsid w:val="00681823"/>
    <w:rsid w:val="0068184C"/>
    <w:rsid w:val="006818C1"/>
    <w:rsid w:val="006818D7"/>
    <w:rsid w:val="00681998"/>
    <w:rsid w:val="006819D9"/>
    <w:rsid w:val="00681A18"/>
    <w:rsid w:val="00681ABD"/>
    <w:rsid w:val="00681B3D"/>
    <w:rsid w:val="00681B41"/>
    <w:rsid w:val="00681C6E"/>
    <w:rsid w:val="00681D2F"/>
    <w:rsid w:val="00681D9F"/>
    <w:rsid w:val="00681DA4"/>
    <w:rsid w:val="00681DD7"/>
    <w:rsid w:val="00681EFB"/>
    <w:rsid w:val="00681F19"/>
    <w:rsid w:val="00681F4B"/>
    <w:rsid w:val="00681F68"/>
    <w:rsid w:val="00681F78"/>
    <w:rsid w:val="00682006"/>
    <w:rsid w:val="0068202A"/>
    <w:rsid w:val="006820E6"/>
    <w:rsid w:val="006820E8"/>
    <w:rsid w:val="0068217C"/>
    <w:rsid w:val="006821BC"/>
    <w:rsid w:val="00682249"/>
    <w:rsid w:val="006822E3"/>
    <w:rsid w:val="0068236A"/>
    <w:rsid w:val="006823B7"/>
    <w:rsid w:val="00682416"/>
    <w:rsid w:val="0068241A"/>
    <w:rsid w:val="0068251A"/>
    <w:rsid w:val="00682561"/>
    <w:rsid w:val="00682570"/>
    <w:rsid w:val="006825E3"/>
    <w:rsid w:val="00682665"/>
    <w:rsid w:val="00682695"/>
    <w:rsid w:val="006826FD"/>
    <w:rsid w:val="00682858"/>
    <w:rsid w:val="0068288B"/>
    <w:rsid w:val="006828D8"/>
    <w:rsid w:val="00682946"/>
    <w:rsid w:val="00682970"/>
    <w:rsid w:val="00682A15"/>
    <w:rsid w:val="00682ACB"/>
    <w:rsid w:val="00682AFC"/>
    <w:rsid w:val="00682B19"/>
    <w:rsid w:val="00682B1C"/>
    <w:rsid w:val="00682BA6"/>
    <w:rsid w:val="00682C93"/>
    <w:rsid w:val="00682D3F"/>
    <w:rsid w:val="00682D51"/>
    <w:rsid w:val="00682D63"/>
    <w:rsid w:val="00682D76"/>
    <w:rsid w:val="00682D99"/>
    <w:rsid w:val="00682DC4"/>
    <w:rsid w:val="00682E67"/>
    <w:rsid w:val="00682E92"/>
    <w:rsid w:val="00682EC1"/>
    <w:rsid w:val="00682ECB"/>
    <w:rsid w:val="00682F06"/>
    <w:rsid w:val="00682F2A"/>
    <w:rsid w:val="00682F2C"/>
    <w:rsid w:val="00682F61"/>
    <w:rsid w:val="00683027"/>
    <w:rsid w:val="0068306A"/>
    <w:rsid w:val="0068306B"/>
    <w:rsid w:val="006830C1"/>
    <w:rsid w:val="006830CD"/>
    <w:rsid w:val="006831DC"/>
    <w:rsid w:val="006833A0"/>
    <w:rsid w:val="006833FF"/>
    <w:rsid w:val="00683459"/>
    <w:rsid w:val="00683496"/>
    <w:rsid w:val="00683501"/>
    <w:rsid w:val="00683529"/>
    <w:rsid w:val="00683566"/>
    <w:rsid w:val="00683589"/>
    <w:rsid w:val="006835CF"/>
    <w:rsid w:val="006835E6"/>
    <w:rsid w:val="006836EE"/>
    <w:rsid w:val="0068370B"/>
    <w:rsid w:val="00683779"/>
    <w:rsid w:val="006837C4"/>
    <w:rsid w:val="0068384E"/>
    <w:rsid w:val="00683885"/>
    <w:rsid w:val="006838BD"/>
    <w:rsid w:val="00683A03"/>
    <w:rsid w:val="00683A5A"/>
    <w:rsid w:val="00683A9A"/>
    <w:rsid w:val="00683AC3"/>
    <w:rsid w:val="00683B80"/>
    <w:rsid w:val="00683B8B"/>
    <w:rsid w:val="00683BB9"/>
    <w:rsid w:val="00683BD0"/>
    <w:rsid w:val="00683C9E"/>
    <w:rsid w:val="00683CBF"/>
    <w:rsid w:val="00683CC6"/>
    <w:rsid w:val="00683CDE"/>
    <w:rsid w:val="00683D25"/>
    <w:rsid w:val="00683D62"/>
    <w:rsid w:val="00683D83"/>
    <w:rsid w:val="00683E9E"/>
    <w:rsid w:val="00683EC2"/>
    <w:rsid w:val="00683ED5"/>
    <w:rsid w:val="00683F31"/>
    <w:rsid w:val="00683F4F"/>
    <w:rsid w:val="00683FB2"/>
    <w:rsid w:val="00683FFC"/>
    <w:rsid w:val="0068401C"/>
    <w:rsid w:val="0068409A"/>
    <w:rsid w:val="006840ED"/>
    <w:rsid w:val="00684126"/>
    <w:rsid w:val="00684166"/>
    <w:rsid w:val="00684183"/>
    <w:rsid w:val="006841B6"/>
    <w:rsid w:val="00684226"/>
    <w:rsid w:val="00684247"/>
    <w:rsid w:val="00684277"/>
    <w:rsid w:val="006842BE"/>
    <w:rsid w:val="00684320"/>
    <w:rsid w:val="00684349"/>
    <w:rsid w:val="00684380"/>
    <w:rsid w:val="006843BF"/>
    <w:rsid w:val="00684507"/>
    <w:rsid w:val="00684544"/>
    <w:rsid w:val="0068455F"/>
    <w:rsid w:val="0068459B"/>
    <w:rsid w:val="0068461E"/>
    <w:rsid w:val="0068468B"/>
    <w:rsid w:val="00684732"/>
    <w:rsid w:val="006847A7"/>
    <w:rsid w:val="006847F5"/>
    <w:rsid w:val="00684849"/>
    <w:rsid w:val="00684853"/>
    <w:rsid w:val="006848D2"/>
    <w:rsid w:val="00684916"/>
    <w:rsid w:val="00684944"/>
    <w:rsid w:val="00684982"/>
    <w:rsid w:val="00684AA9"/>
    <w:rsid w:val="00684AAF"/>
    <w:rsid w:val="00684AB1"/>
    <w:rsid w:val="00684B0B"/>
    <w:rsid w:val="00684C42"/>
    <w:rsid w:val="00684C95"/>
    <w:rsid w:val="00684CBC"/>
    <w:rsid w:val="00684E23"/>
    <w:rsid w:val="00684E48"/>
    <w:rsid w:val="00684E57"/>
    <w:rsid w:val="00684EDC"/>
    <w:rsid w:val="00684F2E"/>
    <w:rsid w:val="00684F4C"/>
    <w:rsid w:val="00684F63"/>
    <w:rsid w:val="00684F78"/>
    <w:rsid w:val="00684F89"/>
    <w:rsid w:val="00684FA2"/>
    <w:rsid w:val="006850AD"/>
    <w:rsid w:val="00685124"/>
    <w:rsid w:val="00685156"/>
    <w:rsid w:val="006852C8"/>
    <w:rsid w:val="006852E1"/>
    <w:rsid w:val="006852E6"/>
    <w:rsid w:val="00685398"/>
    <w:rsid w:val="006853E2"/>
    <w:rsid w:val="0068542C"/>
    <w:rsid w:val="00685438"/>
    <w:rsid w:val="0068544E"/>
    <w:rsid w:val="0068548A"/>
    <w:rsid w:val="00685496"/>
    <w:rsid w:val="006855E5"/>
    <w:rsid w:val="00685646"/>
    <w:rsid w:val="006856B8"/>
    <w:rsid w:val="00685797"/>
    <w:rsid w:val="00685845"/>
    <w:rsid w:val="006858C8"/>
    <w:rsid w:val="0068590C"/>
    <w:rsid w:val="0068590E"/>
    <w:rsid w:val="00685976"/>
    <w:rsid w:val="006859BD"/>
    <w:rsid w:val="00685A3B"/>
    <w:rsid w:val="00685BB5"/>
    <w:rsid w:val="00685BBA"/>
    <w:rsid w:val="00685BBD"/>
    <w:rsid w:val="00685CC4"/>
    <w:rsid w:val="00685CF7"/>
    <w:rsid w:val="00685D0B"/>
    <w:rsid w:val="00685D52"/>
    <w:rsid w:val="00685DB5"/>
    <w:rsid w:val="00685DD6"/>
    <w:rsid w:val="00685DE2"/>
    <w:rsid w:val="00685E22"/>
    <w:rsid w:val="00685EA5"/>
    <w:rsid w:val="00685F38"/>
    <w:rsid w:val="00685F48"/>
    <w:rsid w:val="00685F61"/>
    <w:rsid w:val="00685F9B"/>
    <w:rsid w:val="00685F9E"/>
    <w:rsid w:val="00685FC2"/>
    <w:rsid w:val="00685FDB"/>
    <w:rsid w:val="00686078"/>
    <w:rsid w:val="0068608D"/>
    <w:rsid w:val="006860C0"/>
    <w:rsid w:val="00686154"/>
    <w:rsid w:val="00686165"/>
    <w:rsid w:val="0068618D"/>
    <w:rsid w:val="006861A7"/>
    <w:rsid w:val="006861B7"/>
    <w:rsid w:val="006861C4"/>
    <w:rsid w:val="006861E7"/>
    <w:rsid w:val="0068625F"/>
    <w:rsid w:val="00686321"/>
    <w:rsid w:val="006863C4"/>
    <w:rsid w:val="006863E3"/>
    <w:rsid w:val="00686490"/>
    <w:rsid w:val="0068651B"/>
    <w:rsid w:val="00686597"/>
    <w:rsid w:val="006865F6"/>
    <w:rsid w:val="00686643"/>
    <w:rsid w:val="006866B0"/>
    <w:rsid w:val="00686734"/>
    <w:rsid w:val="00686762"/>
    <w:rsid w:val="006867B8"/>
    <w:rsid w:val="006867CF"/>
    <w:rsid w:val="006867D8"/>
    <w:rsid w:val="0068681B"/>
    <w:rsid w:val="006868A4"/>
    <w:rsid w:val="006868CE"/>
    <w:rsid w:val="006868DF"/>
    <w:rsid w:val="0068690C"/>
    <w:rsid w:val="006869E8"/>
    <w:rsid w:val="006869FE"/>
    <w:rsid w:val="00686AA3"/>
    <w:rsid w:val="00686ACB"/>
    <w:rsid w:val="00686B27"/>
    <w:rsid w:val="00686B48"/>
    <w:rsid w:val="00686B6E"/>
    <w:rsid w:val="00686BDF"/>
    <w:rsid w:val="00686C01"/>
    <w:rsid w:val="00686C0E"/>
    <w:rsid w:val="00686C1F"/>
    <w:rsid w:val="00686C93"/>
    <w:rsid w:val="00686D4B"/>
    <w:rsid w:val="00686DDD"/>
    <w:rsid w:val="00686DEF"/>
    <w:rsid w:val="00686E33"/>
    <w:rsid w:val="00686EA0"/>
    <w:rsid w:val="00686EEA"/>
    <w:rsid w:val="00686F60"/>
    <w:rsid w:val="00686FAB"/>
    <w:rsid w:val="00686FD0"/>
    <w:rsid w:val="00687024"/>
    <w:rsid w:val="00687044"/>
    <w:rsid w:val="006870D9"/>
    <w:rsid w:val="006870FA"/>
    <w:rsid w:val="0068715F"/>
    <w:rsid w:val="006871C4"/>
    <w:rsid w:val="0068720E"/>
    <w:rsid w:val="00687271"/>
    <w:rsid w:val="006872FF"/>
    <w:rsid w:val="00687356"/>
    <w:rsid w:val="006873A2"/>
    <w:rsid w:val="00687521"/>
    <w:rsid w:val="0068753F"/>
    <w:rsid w:val="00687589"/>
    <w:rsid w:val="006875B6"/>
    <w:rsid w:val="00687603"/>
    <w:rsid w:val="00687656"/>
    <w:rsid w:val="00687695"/>
    <w:rsid w:val="006876ED"/>
    <w:rsid w:val="00687738"/>
    <w:rsid w:val="006877C1"/>
    <w:rsid w:val="00687835"/>
    <w:rsid w:val="00687868"/>
    <w:rsid w:val="006878AE"/>
    <w:rsid w:val="00687965"/>
    <w:rsid w:val="0068797A"/>
    <w:rsid w:val="006879A7"/>
    <w:rsid w:val="006879AF"/>
    <w:rsid w:val="00687A21"/>
    <w:rsid w:val="00687AAF"/>
    <w:rsid w:val="00687C2A"/>
    <w:rsid w:val="00687C69"/>
    <w:rsid w:val="00687CB9"/>
    <w:rsid w:val="00687CD2"/>
    <w:rsid w:val="00687D2B"/>
    <w:rsid w:val="00687D4D"/>
    <w:rsid w:val="00687D5E"/>
    <w:rsid w:val="00687D68"/>
    <w:rsid w:val="00687D98"/>
    <w:rsid w:val="00687D9F"/>
    <w:rsid w:val="00687DAD"/>
    <w:rsid w:val="00687DFF"/>
    <w:rsid w:val="00687E03"/>
    <w:rsid w:val="00687E6B"/>
    <w:rsid w:val="00690082"/>
    <w:rsid w:val="006901B2"/>
    <w:rsid w:val="006901D1"/>
    <w:rsid w:val="0069022A"/>
    <w:rsid w:val="006902A1"/>
    <w:rsid w:val="006902B0"/>
    <w:rsid w:val="006902F2"/>
    <w:rsid w:val="00690341"/>
    <w:rsid w:val="006903BD"/>
    <w:rsid w:val="006903E9"/>
    <w:rsid w:val="00690404"/>
    <w:rsid w:val="00690662"/>
    <w:rsid w:val="006906C0"/>
    <w:rsid w:val="006906C3"/>
    <w:rsid w:val="006906E4"/>
    <w:rsid w:val="0069071E"/>
    <w:rsid w:val="0069083A"/>
    <w:rsid w:val="006908E7"/>
    <w:rsid w:val="006909EA"/>
    <w:rsid w:val="006909FB"/>
    <w:rsid w:val="00690A0A"/>
    <w:rsid w:val="00690A2B"/>
    <w:rsid w:val="00690A2E"/>
    <w:rsid w:val="00690A73"/>
    <w:rsid w:val="00690A78"/>
    <w:rsid w:val="00690AAB"/>
    <w:rsid w:val="00690B17"/>
    <w:rsid w:val="00690B4B"/>
    <w:rsid w:val="00690BA4"/>
    <w:rsid w:val="00690BAF"/>
    <w:rsid w:val="00690C71"/>
    <w:rsid w:val="00690C7C"/>
    <w:rsid w:val="00690C9C"/>
    <w:rsid w:val="00690CF9"/>
    <w:rsid w:val="00690D5E"/>
    <w:rsid w:val="00690DEC"/>
    <w:rsid w:val="00690E72"/>
    <w:rsid w:val="00690EA9"/>
    <w:rsid w:val="00690F6A"/>
    <w:rsid w:val="00691034"/>
    <w:rsid w:val="00691111"/>
    <w:rsid w:val="0069111E"/>
    <w:rsid w:val="00691132"/>
    <w:rsid w:val="0069120F"/>
    <w:rsid w:val="0069124E"/>
    <w:rsid w:val="00691251"/>
    <w:rsid w:val="006912EE"/>
    <w:rsid w:val="0069130E"/>
    <w:rsid w:val="00691356"/>
    <w:rsid w:val="0069136C"/>
    <w:rsid w:val="0069148E"/>
    <w:rsid w:val="00691509"/>
    <w:rsid w:val="006915AE"/>
    <w:rsid w:val="006915F3"/>
    <w:rsid w:val="0069160D"/>
    <w:rsid w:val="0069163C"/>
    <w:rsid w:val="00691642"/>
    <w:rsid w:val="006916ED"/>
    <w:rsid w:val="00691701"/>
    <w:rsid w:val="00691722"/>
    <w:rsid w:val="006917BD"/>
    <w:rsid w:val="00691836"/>
    <w:rsid w:val="00691850"/>
    <w:rsid w:val="0069190B"/>
    <w:rsid w:val="00691A4C"/>
    <w:rsid w:val="00691A9C"/>
    <w:rsid w:val="00691ACC"/>
    <w:rsid w:val="00691ACD"/>
    <w:rsid w:val="00691B22"/>
    <w:rsid w:val="00691B43"/>
    <w:rsid w:val="00691BFA"/>
    <w:rsid w:val="00691C02"/>
    <w:rsid w:val="00691C3F"/>
    <w:rsid w:val="00691C63"/>
    <w:rsid w:val="00691C7A"/>
    <w:rsid w:val="00691C88"/>
    <w:rsid w:val="00691C9F"/>
    <w:rsid w:val="00691CB5"/>
    <w:rsid w:val="00691CC2"/>
    <w:rsid w:val="00691D62"/>
    <w:rsid w:val="00691D74"/>
    <w:rsid w:val="00691D7D"/>
    <w:rsid w:val="00691D85"/>
    <w:rsid w:val="00691E39"/>
    <w:rsid w:val="00691F23"/>
    <w:rsid w:val="00691F2A"/>
    <w:rsid w:val="00691F53"/>
    <w:rsid w:val="00691FA4"/>
    <w:rsid w:val="00691FBE"/>
    <w:rsid w:val="00691FD2"/>
    <w:rsid w:val="00692073"/>
    <w:rsid w:val="006921F7"/>
    <w:rsid w:val="006922BC"/>
    <w:rsid w:val="006922D6"/>
    <w:rsid w:val="006922EB"/>
    <w:rsid w:val="0069232E"/>
    <w:rsid w:val="00692344"/>
    <w:rsid w:val="00692362"/>
    <w:rsid w:val="006923CE"/>
    <w:rsid w:val="006923D0"/>
    <w:rsid w:val="006923DF"/>
    <w:rsid w:val="00692423"/>
    <w:rsid w:val="00692449"/>
    <w:rsid w:val="0069245D"/>
    <w:rsid w:val="006925DC"/>
    <w:rsid w:val="006925F6"/>
    <w:rsid w:val="00692609"/>
    <w:rsid w:val="0069265B"/>
    <w:rsid w:val="0069270D"/>
    <w:rsid w:val="00692711"/>
    <w:rsid w:val="0069271A"/>
    <w:rsid w:val="00692768"/>
    <w:rsid w:val="00692776"/>
    <w:rsid w:val="0069280E"/>
    <w:rsid w:val="006928BF"/>
    <w:rsid w:val="006928E6"/>
    <w:rsid w:val="006928F1"/>
    <w:rsid w:val="0069291F"/>
    <w:rsid w:val="006929E1"/>
    <w:rsid w:val="006929FD"/>
    <w:rsid w:val="00692A02"/>
    <w:rsid w:val="00692A6A"/>
    <w:rsid w:val="00692A89"/>
    <w:rsid w:val="00692AA6"/>
    <w:rsid w:val="00692AA8"/>
    <w:rsid w:val="00692AC1"/>
    <w:rsid w:val="00692AFE"/>
    <w:rsid w:val="00692B70"/>
    <w:rsid w:val="00692BB7"/>
    <w:rsid w:val="00692BC1"/>
    <w:rsid w:val="00692BD0"/>
    <w:rsid w:val="00692C26"/>
    <w:rsid w:val="00692D26"/>
    <w:rsid w:val="00692D47"/>
    <w:rsid w:val="00692DCF"/>
    <w:rsid w:val="00692E4B"/>
    <w:rsid w:val="00692E7B"/>
    <w:rsid w:val="00692EA8"/>
    <w:rsid w:val="00692EB1"/>
    <w:rsid w:val="00692F0D"/>
    <w:rsid w:val="00692F18"/>
    <w:rsid w:val="00692F62"/>
    <w:rsid w:val="00692FEA"/>
    <w:rsid w:val="00693044"/>
    <w:rsid w:val="0069304E"/>
    <w:rsid w:val="0069306B"/>
    <w:rsid w:val="006930A7"/>
    <w:rsid w:val="0069317C"/>
    <w:rsid w:val="006931A4"/>
    <w:rsid w:val="006931B2"/>
    <w:rsid w:val="006931B9"/>
    <w:rsid w:val="006931E5"/>
    <w:rsid w:val="0069321B"/>
    <w:rsid w:val="00693264"/>
    <w:rsid w:val="006932E1"/>
    <w:rsid w:val="006932F9"/>
    <w:rsid w:val="00693308"/>
    <w:rsid w:val="00693369"/>
    <w:rsid w:val="006933D6"/>
    <w:rsid w:val="006933F0"/>
    <w:rsid w:val="00693493"/>
    <w:rsid w:val="006934C9"/>
    <w:rsid w:val="006934CF"/>
    <w:rsid w:val="00693533"/>
    <w:rsid w:val="00693538"/>
    <w:rsid w:val="0069361F"/>
    <w:rsid w:val="0069364B"/>
    <w:rsid w:val="00693672"/>
    <w:rsid w:val="0069369B"/>
    <w:rsid w:val="0069384F"/>
    <w:rsid w:val="00693879"/>
    <w:rsid w:val="006938AF"/>
    <w:rsid w:val="0069390E"/>
    <w:rsid w:val="0069393E"/>
    <w:rsid w:val="00693970"/>
    <w:rsid w:val="0069397E"/>
    <w:rsid w:val="00693993"/>
    <w:rsid w:val="006939DB"/>
    <w:rsid w:val="006939E2"/>
    <w:rsid w:val="006939F4"/>
    <w:rsid w:val="00693A02"/>
    <w:rsid w:val="00693A17"/>
    <w:rsid w:val="00693A67"/>
    <w:rsid w:val="00693A7E"/>
    <w:rsid w:val="00693AEC"/>
    <w:rsid w:val="00693B30"/>
    <w:rsid w:val="00693BAC"/>
    <w:rsid w:val="00693C1A"/>
    <w:rsid w:val="00693C90"/>
    <w:rsid w:val="00693C99"/>
    <w:rsid w:val="00693CB4"/>
    <w:rsid w:val="00693D49"/>
    <w:rsid w:val="00693DE9"/>
    <w:rsid w:val="00693EE9"/>
    <w:rsid w:val="00693F0D"/>
    <w:rsid w:val="00693F36"/>
    <w:rsid w:val="00693FD2"/>
    <w:rsid w:val="00693FD3"/>
    <w:rsid w:val="00693FE6"/>
    <w:rsid w:val="00693FED"/>
    <w:rsid w:val="00694077"/>
    <w:rsid w:val="00694086"/>
    <w:rsid w:val="006940FC"/>
    <w:rsid w:val="00694103"/>
    <w:rsid w:val="00694105"/>
    <w:rsid w:val="00694108"/>
    <w:rsid w:val="00694125"/>
    <w:rsid w:val="00694165"/>
    <w:rsid w:val="00694180"/>
    <w:rsid w:val="0069422F"/>
    <w:rsid w:val="00694242"/>
    <w:rsid w:val="0069426A"/>
    <w:rsid w:val="00694273"/>
    <w:rsid w:val="00694275"/>
    <w:rsid w:val="0069427E"/>
    <w:rsid w:val="006942B9"/>
    <w:rsid w:val="006942FF"/>
    <w:rsid w:val="00694329"/>
    <w:rsid w:val="0069435B"/>
    <w:rsid w:val="006943B8"/>
    <w:rsid w:val="006943CD"/>
    <w:rsid w:val="00694490"/>
    <w:rsid w:val="006944AC"/>
    <w:rsid w:val="00694557"/>
    <w:rsid w:val="00694587"/>
    <w:rsid w:val="00694598"/>
    <w:rsid w:val="0069459D"/>
    <w:rsid w:val="006945DA"/>
    <w:rsid w:val="00694608"/>
    <w:rsid w:val="00694649"/>
    <w:rsid w:val="00694650"/>
    <w:rsid w:val="00694682"/>
    <w:rsid w:val="006946EA"/>
    <w:rsid w:val="006946EE"/>
    <w:rsid w:val="006946F9"/>
    <w:rsid w:val="0069479E"/>
    <w:rsid w:val="006947E8"/>
    <w:rsid w:val="00694825"/>
    <w:rsid w:val="0069483F"/>
    <w:rsid w:val="0069484D"/>
    <w:rsid w:val="00694921"/>
    <w:rsid w:val="0069498F"/>
    <w:rsid w:val="00694996"/>
    <w:rsid w:val="006949A4"/>
    <w:rsid w:val="00694A47"/>
    <w:rsid w:val="00694B6D"/>
    <w:rsid w:val="00694B9C"/>
    <w:rsid w:val="00694C17"/>
    <w:rsid w:val="00694C5B"/>
    <w:rsid w:val="00694C7D"/>
    <w:rsid w:val="00694C9A"/>
    <w:rsid w:val="00694CBF"/>
    <w:rsid w:val="00694D17"/>
    <w:rsid w:val="00694D57"/>
    <w:rsid w:val="00694E0F"/>
    <w:rsid w:val="00694F08"/>
    <w:rsid w:val="00694F25"/>
    <w:rsid w:val="00694F4E"/>
    <w:rsid w:val="00694F80"/>
    <w:rsid w:val="00694F89"/>
    <w:rsid w:val="00694FAC"/>
    <w:rsid w:val="00694FB5"/>
    <w:rsid w:val="00694FE0"/>
    <w:rsid w:val="00694FF6"/>
    <w:rsid w:val="00695055"/>
    <w:rsid w:val="00695067"/>
    <w:rsid w:val="0069513C"/>
    <w:rsid w:val="0069514B"/>
    <w:rsid w:val="0069517F"/>
    <w:rsid w:val="0069521D"/>
    <w:rsid w:val="0069529E"/>
    <w:rsid w:val="006952B3"/>
    <w:rsid w:val="00695352"/>
    <w:rsid w:val="006953C6"/>
    <w:rsid w:val="006953F5"/>
    <w:rsid w:val="00695428"/>
    <w:rsid w:val="0069542C"/>
    <w:rsid w:val="00695436"/>
    <w:rsid w:val="0069547D"/>
    <w:rsid w:val="006954A3"/>
    <w:rsid w:val="006955A5"/>
    <w:rsid w:val="006955C7"/>
    <w:rsid w:val="00695741"/>
    <w:rsid w:val="00695767"/>
    <w:rsid w:val="006958A3"/>
    <w:rsid w:val="0069592D"/>
    <w:rsid w:val="0069598E"/>
    <w:rsid w:val="00695A52"/>
    <w:rsid w:val="00695A85"/>
    <w:rsid w:val="00695AEF"/>
    <w:rsid w:val="00695AF6"/>
    <w:rsid w:val="00695B36"/>
    <w:rsid w:val="00695B3C"/>
    <w:rsid w:val="00695B50"/>
    <w:rsid w:val="00695BA2"/>
    <w:rsid w:val="00695BF6"/>
    <w:rsid w:val="00695C35"/>
    <w:rsid w:val="00695C6D"/>
    <w:rsid w:val="00695C94"/>
    <w:rsid w:val="00695D60"/>
    <w:rsid w:val="00695DC3"/>
    <w:rsid w:val="00695E44"/>
    <w:rsid w:val="00695E81"/>
    <w:rsid w:val="00695EAE"/>
    <w:rsid w:val="00695F0B"/>
    <w:rsid w:val="00695F52"/>
    <w:rsid w:val="00695F84"/>
    <w:rsid w:val="006960A2"/>
    <w:rsid w:val="006960AF"/>
    <w:rsid w:val="00696156"/>
    <w:rsid w:val="0069615E"/>
    <w:rsid w:val="00696174"/>
    <w:rsid w:val="006961C1"/>
    <w:rsid w:val="00696268"/>
    <w:rsid w:val="00696351"/>
    <w:rsid w:val="0069636F"/>
    <w:rsid w:val="00696371"/>
    <w:rsid w:val="00696482"/>
    <w:rsid w:val="0069651E"/>
    <w:rsid w:val="006965B5"/>
    <w:rsid w:val="006965DA"/>
    <w:rsid w:val="00696638"/>
    <w:rsid w:val="0069667C"/>
    <w:rsid w:val="00696684"/>
    <w:rsid w:val="0069668D"/>
    <w:rsid w:val="0069668E"/>
    <w:rsid w:val="00696752"/>
    <w:rsid w:val="0069675B"/>
    <w:rsid w:val="00696821"/>
    <w:rsid w:val="00696886"/>
    <w:rsid w:val="006968CB"/>
    <w:rsid w:val="00696938"/>
    <w:rsid w:val="00696A52"/>
    <w:rsid w:val="00696AAD"/>
    <w:rsid w:val="00696ABA"/>
    <w:rsid w:val="00696B30"/>
    <w:rsid w:val="00696CA8"/>
    <w:rsid w:val="00696CC5"/>
    <w:rsid w:val="00696D46"/>
    <w:rsid w:val="00696DA6"/>
    <w:rsid w:val="00696DD5"/>
    <w:rsid w:val="00696DDF"/>
    <w:rsid w:val="00696EB7"/>
    <w:rsid w:val="00696F29"/>
    <w:rsid w:val="00696F38"/>
    <w:rsid w:val="00697095"/>
    <w:rsid w:val="006970A7"/>
    <w:rsid w:val="006970C7"/>
    <w:rsid w:val="006970E6"/>
    <w:rsid w:val="006971A3"/>
    <w:rsid w:val="00697212"/>
    <w:rsid w:val="0069726A"/>
    <w:rsid w:val="0069726B"/>
    <w:rsid w:val="00697278"/>
    <w:rsid w:val="006972A0"/>
    <w:rsid w:val="006973C1"/>
    <w:rsid w:val="006973D4"/>
    <w:rsid w:val="00697403"/>
    <w:rsid w:val="00697489"/>
    <w:rsid w:val="006974BE"/>
    <w:rsid w:val="0069751D"/>
    <w:rsid w:val="0069751F"/>
    <w:rsid w:val="00697584"/>
    <w:rsid w:val="00697594"/>
    <w:rsid w:val="006975B9"/>
    <w:rsid w:val="006975CD"/>
    <w:rsid w:val="0069764C"/>
    <w:rsid w:val="0069765C"/>
    <w:rsid w:val="006976A0"/>
    <w:rsid w:val="006976DB"/>
    <w:rsid w:val="00697700"/>
    <w:rsid w:val="00697747"/>
    <w:rsid w:val="00697759"/>
    <w:rsid w:val="00697761"/>
    <w:rsid w:val="0069781F"/>
    <w:rsid w:val="00697888"/>
    <w:rsid w:val="00697910"/>
    <w:rsid w:val="00697992"/>
    <w:rsid w:val="00697A69"/>
    <w:rsid w:val="00697A92"/>
    <w:rsid w:val="00697B41"/>
    <w:rsid w:val="00697B5C"/>
    <w:rsid w:val="00697BBA"/>
    <w:rsid w:val="00697CF1"/>
    <w:rsid w:val="00697CF3"/>
    <w:rsid w:val="00697D14"/>
    <w:rsid w:val="00697E34"/>
    <w:rsid w:val="00697E70"/>
    <w:rsid w:val="00697E78"/>
    <w:rsid w:val="00697EA8"/>
    <w:rsid w:val="00697F08"/>
    <w:rsid w:val="00697F1C"/>
    <w:rsid w:val="00697F62"/>
    <w:rsid w:val="00697F6C"/>
    <w:rsid w:val="00697F8A"/>
    <w:rsid w:val="00697FE1"/>
    <w:rsid w:val="00697FF0"/>
    <w:rsid w:val="006A000B"/>
    <w:rsid w:val="006A0022"/>
    <w:rsid w:val="006A0027"/>
    <w:rsid w:val="006A0076"/>
    <w:rsid w:val="006A00FC"/>
    <w:rsid w:val="006A012F"/>
    <w:rsid w:val="006A013D"/>
    <w:rsid w:val="006A0165"/>
    <w:rsid w:val="006A01B0"/>
    <w:rsid w:val="006A01D8"/>
    <w:rsid w:val="006A0230"/>
    <w:rsid w:val="006A0234"/>
    <w:rsid w:val="006A025B"/>
    <w:rsid w:val="006A0283"/>
    <w:rsid w:val="006A02B4"/>
    <w:rsid w:val="006A02C8"/>
    <w:rsid w:val="006A0335"/>
    <w:rsid w:val="006A0389"/>
    <w:rsid w:val="006A03D3"/>
    <w:rsid w:val="006A03F7"/>
    <w:rsid w:val="006A0424"/>
    <w:rsid w:val="006A045E"/>
    <w:rsid w:val="006A04DA"/>
    <w:rsid w:val="006A0697"/>
    <w:rsid w:val="006A0731"/>
    <w:rsid w:val="006A0780"/>
    <w:rsid w:val="006A07E2"/>
    <w:rsid w:val="006A07EB"/>
    <w:rsid w:val="006A08F8"/>
    <w:rsid w:val="006A0990"/>
    <w:rsid w:val="006A09BE"/>
    <w:rsid w:val="006A09F4"/>
    <w:rsid w:val="006A0ABD"/>
    <w:rsid w:val="006A0AF4"/>
    <w:rsid w:val="006A0AF6"/>
    <w:rsid w:val="006A0B73"/>
    <w:rsid w:val="006A0C0A"/>
    <w:rsid w:val="006A0C6D"/>
    <w:rsid w:val="006A0C71"/>
    <w:rsid w:val="006A0E87"/>
    <w:rsid w:val="006A0ECB"/>
    <w:rsid w:val="006A0F07"/>
    <w:rsid w:val="006A0F69"/>
    <w:rsid w:val="006A0F88"/>
    <w:rsid w:val="006A0FF5"/>
    <w:rsid w:val="006A1045"/>
    <w:rsid w:val="006A1053"/>
    <w:rsid w:val="006A10A2"/>
    <w:rsid w:val="006A10CD"/>
    <w:rsid w:val="006A1107"/>
    <w:rsid w:val="006A1127"/>
    <w:rsid w:val="006A1155"/>
    <w:rsid w:val="006A1252"/>
    <w:rsid w:val="006A12F5"/>
    <w:rsid w:val="006A1324"/>
    <w:rsid w:val="006A1563"/>
    <w:rsid w:val="006A15BB"/>
    <w:rsid w:val="006A15DD"/>
    <w:rsid w:val="006A1600"/>
    <w:rsid w:val="006A1677"/>
    <w:rsid w:val="006A1748"/>
    <w:rsid w:val="006A181B"/>
    <w:rsid w:val="006A183F"/>
    <w:rsid w:val="006A1862"/>
    <w:rsid w:val="006A1874"/>
    <w:rsid w:val="006A1888"/>
    <w:rsid w:val="006A1896"/>
    <w:rsid w:val="006A18A1"/>
    <w:rsid w:val="006A18EA"/>
    <w:rsid w:val="006A1928"/>
    <w:rsid w:val="006A19B0"/>
    <w:rsid w:val="006A19D4"/>
    <w:rsid w:val="006A1A33"/>
    <w:rsid w:val="006A1A65"/>
    <w:rsid w:val="006A1A86"/>
    <w:rsid w:val="006A1AF8"/>
    <w:rsid w:val="006A1B06"/>
    <w:rsid w:val="006A1B1F"/>
    <w:rsid w:val="006A1B27"/>
    <w:rsid w:val="006A1B2B"/>
    <w:rsid w:val="006A1B48"/>
    <w:rsid w:val="006A1B88"/>
    <w:rsid w:val="006A1CBB"/>
    <w:rsid w:val="006A1CF6"/>
    <w:rsid w:val="006A1D5A"/>
    <w:rsid w:val="006A1D96"/>
    <w:rsid w:val="006A1E3D"/>
    <w:rsid w:val="006A1E3F"/>
    <w:rsid w:val="006A1E5C"/>
    <w:rsid w:val="006A1E60"/>
    <w:rsid w:val="006A1EAC"/>
    <w:rsid w:val="006A1F0B"/>
    <w:rsid w:val="006A1F3F"/>
    <w:rsid w:val="006A1F68"/>
    <w:rsid w:val="006A1F9C"/>
    <w:rsid w:val="006A209F"/>
    <w:rsid w:val="006A20D0"/>
    <w:rsid w:val="006A2222"/>
    <w:rsid w:val="006A235A"/>
    <w:rsid w:val="006A2369"/>
    <w:rsid w:val="006A23EA"/>
    <w:rsid w:val="006A2405"/>
    <w:rsid w:val="006A2433"/>
    <w:rsid w:val="006A246F"/>
    <w:rsid w:val="006A2478"/>
    <w:rsid w:val="006A247D"/>
    <w:rsid w:val="006A2486"/>
    <w:rsid w:val="006A24D5"/>
    <w:rsid w:val="006A2508"/>
    <w:rsid w:val="006A255B"/>
    <w:rsid w:val="006A258F"/>
    <w:rsid w:val="006A2615"/>
    <w:rsid w:val="006A26A8"/>
    <w:rsid w:val="006A26E2"/>
    <w:rsid w:val="006A2701"/>
    <w:rsid w:val="006A2741"/>
    <w:rsid w:val="006A27A7"/>
    <w:rsid w:val="006A2806"/>
    <w:rsid w:val="006A2890"/>
    <w:rsid w:val="006A28D7"/>
    <w:rsid w:val="006A28D9"/>
    <w:rsid w:val="006A29E0"/>
    <w:rsid w:val="006A2A2E"/>
    <w:rsid w:val="006A2A41"/>
    <w:rsid w:val="006A2ABB"/>
    <w:rsid w:val="006A2AD8"/>
    <w:rsid w:val="006A2AE0"/>
    <w:rsid w:val="006A2B99"/>
    <w:rsid w:val="006A2BF8"/>
    <w:rsid w:val="006A2C89"/>
    <w:rsid w:val="006A2C9A"/>
    <w:rsid w:val="006A2CB1"/>
    <w:rsid w:val="006A2D38"/>
    <w:rsid w:val="006A2D5A"/>
    <w:rsid w:val="006A2D96"/>
    <w:rsid w:val="006A2DE9"/>
    <w:rsid w:val="006A2DFF"/>
    <w:rsid w:val="006A2E31"/>
    <w:rsid w:val="006A2F1E"/>
    <w:rsid w:val="006A2FFC"/>
    <w:rsid w:val="006A2FFE"/>
    <w:rsid w:val="006A301D"/>
    <w:rsid w:val="006A301E"/>
    <w:rsid w:val="006A3045"/>
    <w:rsid w:val="006A307F"/>
    <w:rsid w:val="006A30A2"/>
    <w:rsid w:val="006A30B6"/>
    <w:rsid w:val="006A30DF"/>
    <w:rsid w:val="006A30E4"/>
    <w:rsid w:val="006A30FA"/>
    <w:rsid w:val="006A310E"/>
    <w:rsid w:val="006A3251"/>
    <w:rsid w:val="006A32E3"/>
    <w:rsid w:val="006A32E4"/>
    <w:rsid w:val="006A33D4"/>
    <w:rsid w:val="006A33E1"/>
    <w:rsid w:val="006A33E7"/>
    <w:rsid w:val="006A340E"/>
    <w:rsid w:val="006A348B"/>
    <w:rsid w:val="006A34A1"/>
    <w:rsid w:val="006A34B6"/>
    <w:rsid w:val="006A34F7"/>
    <w:rsid w:val="006A3534"/>
    <w:rsid w:val="006A3618"/>
    <w:rsid w:val="006A361D"/>
    <w:rsid w:val="006A3636"/>
    <w:rsid w:val="006A3660"/>
    <w:rsid w:val="006A3678"/>
    <w:rsid w:val="006A3774"/>
    <w:rsid w:val="006A37C8"/>
    <w:rsid w:val="006A37F5"/>
    <w:rsid w:val="006A3811"/>
    <w:rsid w:val="006A38DF"/>
    <w:rsid w:val="006A3901"/>
    <w:rsid w:val="006A3925"/>
    <w:rsid w:val="006A392C"/>
    <w:rsid w:val="006A3937"/>
    <w:rsid w:val="006A39C7"/>
    <w:rsid w:val="006A3BC7"/>
    <w:rsid w:val="006A3BE9"/>
    <w:rsid w:val="006A3C0F"/>
    <w:rsid w:val="006A3C50"/>
    <w:rsid w:val="006A3C57"/>
    <w:rsid w:val="006A3C7D"/>
    <w:rsid w:val="006A3CF6"/>
    <w:rsid w:val="006A3D53"/>
    <w:rsid w:val="006A3DAD"/>
    <w:rsid w:val="006A3DB5"/>
    <w:rsid w:val="006A3E1B"/>
    <w:rsid w:val="006A3E7C"/>
    <w:rsid w:val="006A3F96"/>
    <w:rsid w:val="006A406C"/>
    <w:rsid w:val="006A4103"/>
    <w:rsid w:val="006A417C"/>
    <w:rsid w:val="006A424A"/>
    <w:rsid w:val="006A428D"/>
    <w:rsid w:val="006A42D5"/>
    <w:rsid w:val="006A42DB"/>
    <w:rsid w:val="006A4359"/>
    <w:rsid w:val="006A435E"/>
    <w:rsid w:val="006A438C"/>
    <w:rsid w:val="006A43AD"/>
    <w:rsid w:val="006A43B0"/>
    <w:rsid w:val="006A43F1"/>
    <w:rsid w:val="006A442E"/>
    <w:rsid w:val="006A44CF"/>
    <w:rsid w:val="006A44D8"/>
    <w:rsid w:val="006A458C"/>
    <w:rsid w:val="006A45D0"/>
    <w:rsid w:val="006A45E4"/>
    <w:rsid w:val="006A4707"/>
    <w:rsid w:val="006A4766"/>
    <w:rsid w:val="006A47AF"/>
    <w:rsid w:val="006A47C5"/>
    <w:rsid w:val="006A4846"/>
    <w:rsid w:val="006A4886"/>
    <w:rsid w:val="006A48B7"/>
    <w:rsid w:val="006A48CA"/>
    <w:rsid w:val="006A495B"/>
    <w:rsid w:val="006A496B"/>
    <w:rsid w:val="006A4AFB"/>
    <w:rsid w:val="006A4B43"/>
    <w:rsid w:val="006A4B51"/>
    <w:rsid w:val="006A4CB3"/>
    <w:rsid w:val="006A4D43"/>
    <w:rsid w:val="006A4D91"/>
    <w:rsid w:val="006A4DA5"/>
    <w:rsid w:val="006A4DF8"/>
    <w:rsid w:val="006A4E85"/>
    <w:rsid w:val="006A4EFC"/>
    <w:rsid w:val="006A4F77"/>
    <w:rsid w:val="006A5043"/>
    <w:rsid w:val="006A5046"/>
    <w:rsid w:val="006A512E"/>
    <w:rsid w:val="006A515D"/>
    <w:rsid w:val="006A5166"/>
    <w:rsid w:val="006A5251"/>
    <w:rsid w:val="006A5283"/>
    <w:rsid w:val="006A529D"/>
    <w:rsid w:val="006A52D0"/>
    <w:rsid w:val="006A52FF"/>
    <w:rsid w:val="006A5366"/>
    <w:rsid w:val="006A53C1"/>
    <w:rsid w:val="006A53FD"/>
    <w:rsid w:val="006A542B"/>
    <w:rsid w:val="006A5459"/>
    <w:rsid w:val="006A546C"/>
    <w:rsid w:val="006A54BB"/>
    <w:rsid w:val="006A54D6"/>
    <w:rsid w:val="006A5514"/>
    <w:rsid w:val="006A5524"/>
    <w:rsid w:val="006A5547"/>
    <w:rsid w:val="006A555B"/>
    <w:rsid w:val="006A556E"/>
    <w:rsid w:val="006A55B1"/>
    <w:rsid w:val="006A5612"/>
    <w:rsid w:val="006A56B8"/>
    <w:rsid w:val="006A56FC"/>
    <w:rsid w:val="006A57F9"/>
    <w:rsid w:val="006A5895"/>
    <w:rsid w:val="006A596E"/>
    <w:rsid w:val="006A59CD"/>
    <w:rsid w:val="006A5A0E"/>
    <w:rsid w:val="006A5A1A"/>
    <w:rsid w:val="006A5A72"/>
    <w:rsid w:val="006A5ABF"/>
    <w:rsid w:val="006A5B0B"/>
    <w:rsid w:val="006A5B16"/>
    <w:rsid w:val="006A5BD4"/>
    <w:rsid w:val="006A5C47"/>
    <w:rsid w:val="006A5C4A"/>
    <w:rsid w:val="006A5C73"/>
    <w:rsid w:val="006A5CF3"/>
    <w:rsid w:val="006A5CFD"/>
    <w:rsid w:val="006A5D68"/>
    <w:rsid w:val="006A5DB3"/>
    <w:rsid w:val="006A5DD3"/>
    <w:rsid w:val="006A5DF6"/>
    <w:rsid w:val="006A5E8F"/>
    <w:rsid w:val="006A5EE9"/>
    <w:rsid w:val="006A5F1B"/>
    <w:rsid w:val="006A60FE"/>
    <w:rsid w:val="006A610E"/>
    <w:rsid w:val="006A617A"/>
    <w:rsid w:val="006A61F0"/>
    <w:rsid w:val="006A6214"/>
    <w:rsid w:val="006A6237"/>
    <w:rsid w:val="006A6243"/>
    <w:rsid w:val="006A6284"/>
    <w:rsid w:val="006A629D"/>
    <w:rsid w:val="006A62C6"/>
    <w:rsid w:val="006A62CF"/>
    <w:rsid w:val="006A6322"/>
    <w:rsid w:val="006A63BC"/>
    <w:rsid w:val="006A641F"/>
    <w:rsid w:val="006A6420"/>
    <w:rsid w:val="006A6449"/>
    <w:rsid w:val="006A64D3"/>
    <w:rsid w:val="006A64E4"/>
    <w:rsid w:val="006A65DE"/>
    <w:rsid w:val="006A661E"/>
    <w:rsid w:val="006A673A"/>
    <w:rsid w:val="006A67C7"/>
    <w:rsid w:val="006A67E9"/>
    <w:rsid w:val="006A6853"/>
    <w:rsid w:val="006A6A38"/>
    <w:rsid w:val="006A6A99"/>
    <w:rsid w:val="006A6AF1"/>
    <w:rsid w:val="006A6B8F"/>
    <w:rsid w:val="006A6C0F"/>
    <w:rsid w:val="006A6CB7"/>
    <w:rsid w:val="006A6D0C"/>
    <w:rsid w:val="006A6D29"/>
    <w:rsid w:val="006A6D74"/>
    <w:rsid w:val="006A6D93"/>
    <w:rsid w:val="006A6E19"/>
    <w:rsid w:val="006A6E26"/>
    <w:rsid w:val="006A6E96"/>
    <w:rsid w:val="006A6EAA"/>
    <w:rsid w:val="006A6EFF"/>
    <w:rsid w:val="006A6F36"/>
    <w:rsid w:val="006A70BD"/>
    <w:rsid w:val="006A70EE"/>
    <w:rsid w:val="006A7210"/>
    <w:rsid w:val="006A7287"/>
    <w:rsid w:val="006A72EA"/>
    <w:rsid w:val="006A73BD"/>
    <w:rsid w:val="006A7567"/>
    <w:rsid w:val="006A75B4"/>
    <w:rsid w:val="006A75BC"/>
    <w:rsid w:val="006A75ED"/>
    <w:rsid w:val="006A7608"/>
    <w:rsid w:val="006A760C"/>
    <w:rsid w:val="006A769E"/>
    <w:rsid w:val="006A7843"/>
    <w:rsid w:val="006A784E"/>
    <w:rsid w:val="006A790B"/>
    <w:rsid w:val="006A795C"/>
    <w:rsid w:val="006A7977"/>
    <w:rsid w:val="006A79C9"/>
    <w:rsid w:val="006A79D7"/>
    <w:rsid w:val="006A79DB"/>
    <w:rsid w:val="006A7A5B"/>
    <w:rsid w:val="006A7AE5"/>
    <w:rsid w:val="006A7B8F"/>
    <w:rsid w:val="006A7C14"/>
    <w:rsid w:val="006A7C67"/>
    <w:rsid w:val="006A7C9A"/>
    <w:rsid w:val="006A7D3F"/>
    <w:rsid w:val="006A7D50"/>
    <w:rsid w:val="006A7D82"/>
    <w:rsid w:val="006A7D84"/>
    <w:rsid w:val="006A7DE2"/>
    <w:rsid w:val="006A7DF1"/>
    <w:rsid w:val="006A7DFF"/>
    <w:rsid w:val="006A7E06"/>
    <w:rsid w:val="006A7E19"/>
    <w:rsid w:val="006A7E3A"/>
    <w:rsid w:val="006A7EA3"/>
    <w:rsid w:val="006A7EB3"/>
    <w:rsid w:val="006A7EB4"/>
    <w:rsid w:val="006A7F04"/>
    <w:rsid w:val="006A7FC0"/>
    <w:rsid w:val="006A7FDE"/>
    <w:rsid w:val="006B0000"/>
    <w:rsid w:val="006B0069"/>
    <w:rsid w:val="006B0159"/>
    <w:rsid w:val="006B0176"/>
    <w:rsid w:val="006B0182"/>
    <w:rsid w:val="006B0187"/>
    <w:rsid w:val="006B0194"/>
    <w:rsid w:val="006B0253"/>
    <w:rsid w:val="006B0258"/>
    <w:rsid w:val="006B02E7"/>
    <w:rsid w:val="006B0361"/>
    <w:rsid w:val="006B038C"/>
    <w:rsid w:val="006B0397"/>
    <w:rsid w:val="006B03AF"/>
    <w:rsid w:val="006B03B8"/>
    <w:rsid w:val="006B03D5"/>
    <w:rsid w:val="006B0572"/>
    <w:rsid w:val="006B0592"/>
    <w:rsid w:val="006B0675"/>
    <w:rsid w:val="006B068E"/>
    <w:rsid w:val="006B0737"/>
    <w:rsid w:val="006B0763"/>
    <w:rsid w:val="006B0773"/>
    <w:rsid w:val="006B08D8"/>
    <w:rsid w:val="006B0969"/>
    <w:rsid w:val="006B099C"/>
    <w:rsid w:val="006B09D6"/>
    <w:rsid w:val="006B0A0E"/>
    <w:rsid w:val="006B0A28"/>
    <w:rsid w:val="006B0A4D"/>
    <w:rsid w:val="006B0A72"/>
    <w:rsid w:val="006B0B4C"/>
    <w:rsid w:val="006B0B61"/>
    <w:rsid w:val="006B0C00"/>
    <w:rsid w:val="006B0C15"/>
    <w:rsid w:val="006B0C42"/>
    <w:rsid w:val="006B0C51"/>
    <w:rsid w:val="006B0C5C"/>
    <w:rsid w:val="006B0CE4"/>
    <w:rsid w:val="006B0D0D"/>
    <w:rsid w:val="006B0D23"/>
    <w:rsid w:val="006B0D91"/>
    <w:rsid w:val="006B0D9B"/>
    <w:rsid w:val="006B0D9E"/>
    <w:rsid w:val="006B0DA4"/>
    <w:rsid w:val="006B0DB3"/>
    <w:rsid w:val="006B0DBE"/>
    <w:rsid w:val="006B0E0A"/>
    <w:rsid w:val="006B0EF8"/>
    <w:rsid w:val="006B0FAA"/>
    <w:rsid w:val="006B1062"/>
    <w:rsid w:val="006B10CA"/>
    <w:rsid w:val="006B10DE"/>
    <w:rsid w:val="006B116E"/>
    <w:rsid w:val="006B117D"/>
    <w:rsid w:val="006B122C"/>
    <w:rsid w:val="006B122F"/>
    <w:rsid w:val="006B124B"/>
    <w:rsid w:val="006B124D"/>
    <w:rsid w:val="006B12A2"/>
    <w:rsid w:val="006B13D5"/>
    <w:rsid w:val="006B1411"/>
    <w:rsid w:val="006B156D"/>
    <w:rsid w:val="006B157B"/>
    <w:rsid w:val="006B1596"/>
    <w:rsid w:val="006B15C3"/>
    <w:rsid w:val="006B1600"/>
    <w:rsid w:val="006B1614"/>
    <w:rsid w:val="006B164B"/>
    <w:rsid w:val="006B170A"/>
    <w:rsid w:val="006B173E"/>
    <w:rsid w:val="006B1797"/>
    <w:rsid w:val="006B188A"/>
    <w:rsid w:val="006B190D"/>
    <w:rsid w:val="006B1967"/>
    <w:rsid w:val="006B19FF"/>
    <w:rsid w:val="006B1A2B"/>
    <w:rsid w:val="006B1A85"/>
    <w:rsid w:val="006B1ABE"/>
    <w:rsid w:val="006B1B46"/>
    <w:rsid w:val="006B1BA1"/>
    <w:rsid w:val="006B1C0E"/>
    <w:rsid w:val="006B1C3D"/>
    <w:rsid w:val="006B1C6B"/>
    <w:rsid w:val="006B1CD0"/>
    <w:rsid w:val="006B1D31"/>
    <w:rsid w:val="006B1D38"/>
    <w:rsid w:val="006B1D6E"/>
    <w:rsid w:val="006B1D7B"/>
    <w:rsid w:val="006B1DC9"/>
    <w:rsid w:val="006B1E7D"/>
    <w:rsid w:val="006B1F97"/>
    <w:rsid w:val="006B1FA1"/>
    <w:rsid w:val="006B2084"/>
    <w:rsid w:val="006B209C"/>
    <w:rsid w:val="006B2134"/>
    <w:rsid w:val="006B21A9"/>
    <w:rsid w:val="006B21AE"/>
    <w:rsid w:val="006B2242"/>
    <w:rsid w:val="006B22A6"/>
    <w:rsid w:val="006B230B"/>
    <w:rsid w:val="006B234B"/>
    <w:rsid w:val="006B2359"/>
    <w:rsid w:val="006B235B"/>
    <w:rsid w:val="006B239E"/>
    <w:rsid w:val="006B2476"/>
    <w:rsid w:val="006B24FB"/>
    <w:rsid w:val="006B250C"/>
    <w:rsid w:val="006B2517"/>
    <w:rsid w:val="006B256B"/>
    <w:rsid w:val="006B25A5"/>
    <w:rsid w:val="006B25A9"/>
    <w:rsid w:val="006B2639"/>
    <w:rsid w:val="006B266E"/>
    <w:rsid w:val="006B2691"/>
    <w:rsid w:val="006B26AA"/>
    <w:rsid w:val="006B26C5"/>
    <w:rsid w:val="006B2748"/>
    <w:rsid w:val="006B27BC"/>
    <w:rsid w:val="006B2901"/>
    <w:rsid w:val="006B295C"/>
    <w:rsid w:val="006B2966"/>
    <w:rsid w:val="006B298A"/>
    <w:rsid w:val="006B2A5D"/>
    <w:rsid w:val="006B2A6F"/>
    <w:rsid w:val="006B2BBE"/>
    <w:rsid w:val="006B2C8E"/>
    <w:rsid w:val="006B2C96"/>
    <w:rsid w:val="006B2D62"/>
    <w:rsid w:val="006B2D9D"/>
    <w:rsid w:val="006B2E2C"/>
    <w:rsid w:val="006B2E74"/>
    <w:rsid w:val="006B2F13"/>
    <w:rsid w:val="006B2F3A"/>
    <w:rsid w:val="006B3040"/>
    <w:rsid w:val="006B3194"/>
    <w:rsid w:val="006B3259"/>
    <w:rsid w:val="006B3396"/>
    <w:rsid w:val="006B33D9"/>
    <w:rsid w:val="006B33DE"/>
    <w:rsid w:val="006B33FB"/>
    <w:rsid w:val="006B3412"/>
    <w:rsid w:val="006B3442"/>
    <w:rsid w:val="006B349C"/>
    <w:rsid w:val="006B34D0"/>
    <w:rsid w:val="006B34F8"/>
    <w:rsid w:val="006B3595"/>
    <w:rsid w:val="006B3679"/>
    <w:rsid w:val="006B3815"/>
    <w:rsid w:val="006B38FF"/>
    <w:rsid w:val="006B398E"/>
    <w:rsid w:val="006B39AA"/>
    <w:rsid w:val="006B3AB8"/>
    <w:rsid w:val="006B3B22"/>
    <w:rsid w:val="006B3B6B"/>
    <w:rsid w:val="006B3B9A"/>
    <w:rsid w:val="006B3BDB"/>
    <w:rsid w:val="006B3C6C"/>
    <w:rsid w:val="006B3CB4"/>
    <w:rsid w:val="006B3CDE"/>
    <w:rsid w:val="006B3D03"/>
    <w:rsid w:val="006B3D8A"/>
    <w:rsid w:val="006B3DEB"/>
    <w:rsid w:val="006B3E55"/>
    <w:rsid w:val="006B3E7B"/>
    <w:rsid w:val="006B3E89"/>
    <w:rsid w:val="006B3EBC"/>
    <w:rsid w:val="006B3F33"/>
    <w:rsid w:val="006B3FFF"/>
    <w:rsid w:val="006B401D"/>
    <w:rsid w:val="006B4162"/>
    <w:rsid w:val="006B41F2"/>
    <w:rsid w:val="006B4292"/>
    <w:rsid w:val="006B4320"/>
    <w:rsid w:val="006B4355"/>
    <w:rsid w:val="006B4370"/>
    <w:rsid w:val="006B437F"/>
    <w:rsid w:val="006B439B"/>
    <w:rsid w:val="006B445E"/>
    <w:rsid w:val="006B446E"/>
    <w:rsid w:val="006B44A1"/>
    <w:rsid w:val="006B44A8"/>
    <w:rsid w:val="006B44BD"/>
    <w:rsid w:val="006B44C9"/>
    <w:rsid w:val="006B44E3"/>
    <w:rsid w:val="006B452B"/>
    <w:rsid w:val="006B4585"/>
    <w:rsid w:val="006B45B0"/>
    <w:rsid w:val="006B45D7"/>
    <w:rsid w:val="006B4741"/>
    <w:rsid w:val="006B4789"/>
    <w:rsid w:val="006B47DB"/>
    <w:rsid w:val="006B47E7"/>
    <w:rsid w:val="006B484A"/>
    <w:rsid w:val="006B4850"/>
    <w:rsid w:val="006B48AA"/>
    <w:rsid w:val="006B48B9"/>
    <w:rsid w:val="006B48EB"/>
    <w:rsid w:val="006B497F"/>
    <w:rsid w:val="006B49AE"/>
    <w:rsid w:val="006B49B0"/>
    <w:rsid w:val="006B49BE"/>
    <w:rsid w:val="006B49C5"/>
    <w:rsid w:val="006B49DC"/>
    <w:rsid w:val="006B4A1F"/>
    <w:rsid w:val="006B4A61"/>
    <w:rsid w:val="006B4A62"/>
    <w:rsid w:val="006B4A65"/>
    <w:rsid w:val="006B4B8F"/>
    <w:rsid w:val="006B4C7B"/>
    <w:rsid w:val="006B4DA7"/>
    <w:rsid w:val="006B4DB0"/>
    <w:rsid w:val="006B4DC9"/>
    <w:rsid w:val="006B4E59"/>
    <w:rsid w:val="006B4E6C"/>
    <w:rsid w:val="006B4E71"/>
    <w:rsid w:val="006B4F9A"/>
    <w:rsid w:val="006B4FD0"/>
    <w:rsid w:val="006B4FF3"/>
    <w:rsid w:val="006B4FFB"/>
    <w:rsid w:val="006B5094"/>
    <w:rsid w:val="006B509A"/>
    <w:rsid w:val="006B50A8"/>
    <w:rsid w:val="006B5137"/>
    <w:rsid w:val="006B5141"/>
    <w:rsid w:val="006B5148"/>
    <w:rsid w:val="006B530F"/>
    <w:rsid w:val="006B5326"/>
    <w:rsid w:val="006B538E"/>
    <w:rsid w:val="006B53FD"/>
    <w:rsid w:val="006B5481"/>
    <w:rsid w:val="006B5486"/>
    <w:rsid w:val="006B5496"/>
    <w:rsid w:val="006B54DE"/>
    <w:rsid w:val="006B556E"/>
    <w:rsid w:val="006B557F"/>
    <w:rsid w:val="006B5590"/>
    <w:rsid w:val="006B55DA"/>
    <w:rsid w:val="006B55F2"/>
    <w:rsid w:val="006B563D"/>
    <w:rsid w:val="006B569B"/>
    <w:rsid w:val="006B56BF"/>
    <w:rsid w:val="006B56CB"/>
    <w:rsid w:val="006B578D"/>
    <w:rsid w:val="006B57F7"/>
    <w:rsid w:val="006B5800"/>
    <w:rsid w:val="006B5813"/>
    <w:rsid w:val="006B5860"/>
    <w:rsid w:val="006B58CD"/>
    <w:rsid w:val="006B58EA"/>
    <w:rsid w:val="006B58F8"/>
    <w:rsid w:val="006B591B"/>
    <w:rsid w:val="006B59F7"/>
    <w:rsid w:val="006B5ACB"/>
    <w:rsid w:val="006B5B0E"/>
    <w:rsid w:val="006B5B26"/>
    <w:rsid w:val="006B5BA1"/>
    <w:rsid w:val="006B5BE6"/>
    <w:rsid w:val="006B5BED"/>
    <w:rsid w:val="006B5BF9"/>
    <w:rsid w:val="006B5C05"/>
    <w:rsid w:val="006B5C63"/>
    <w:rsid w:val="006B5CA7"/>
    <w:rsid w:val="006B5D4B"/>
    <w:rsid w:val="006B5D83"/>
    <w:rsid w:val="006B5DAC"/>
    <w:rsid w:val="006B5EE8"/>
    <w:rsid w:val="006B5EFA"/>
    <w:rsid w:val="006B5F83"/>
    <w:rsid w:val="006B5FA6"/>
    <w:rsid w:val="006B5FF8"/>
    <w:rsid w:val="006B6002"/>
    <w:rsid w:val="006B6039"/>
    <w:rsid w:val="006B6084"/>
    <w:rsid w:val="006B609E"/>
    <w:rsid w:val="006B612A"/>
    <w:rsid w:val="006B6138"/>
    <w:rsid w:val="006B61A5"/>
    <w:rsid w:val="006B61DD"/>
    <w:rsid w:val="006B6216"/>
    <w:rsid w:val="006B62F2"/>
    <w:rsid w:val="006B636F"/>
    <w:rsid w:val="006B637C"/>
    <w:rsid w:val="006B638E"/>
    <w:rsid w:val="006B63F0"/>
    <w:rsid w:val="006B642E"/>
    <w:rsid w:val="006B6451"/>
    <w:rsid w:val="006B645C"/>
    <w:rsid w:val="006B6466"/>
    <w:rsid w:val="006B6498"/>
    <w:rsid w:val="006B64D5"/>
    <w:rsid w:val="006B659A"/>
    <w:rsid w:val="006B6660"/>
    <w:rsid w:val="006B666B"/>
    <w:rsid w:val="006B66A0"/>
    <w:rsid w:val="006B66F2"/>
    <w:rsid w:val="006B6750"/>
    <w:rsid w:val="006B67D7"/>
    <w:rsid w:val="006B67FA"/>
    <w:rsid w:val="006B6887"/>
    <w:rsid w:val="006B69B3"/>
    <w:rsid w:val="006B69B8"/>
    <w:rsid w:val="006B69E8"/>
    <w:rsid w:val="006B69FB"/>
    <w:rsid w:val="006B6B70"/>
    <w:rsid w:val="006B6BEA"/>
    <w:rsid w:val="006B6C12"/>
    <w:rsid w:val="006B6D83"/>
    <w:rsid w:val="006B6DA7"/>
    <w:rsid w:val="006B6DDA"/>
    <w:rsid w:val="006B6DE6"/>
    <w:rsid w:val="006B6E34"/>
    <w:rsid w:val="006B6E55"/>
    <w:rsid w:val="006B6E63"/>
    <w:rsid w:val="006B6F4F"/>
    <w:rsid w:val="006B6F5D"/>
    <w:rsid w:val="006B6F7C"/>
    <w:rsid w:val="006B6F89"/>
    <w:rsid w:val="006B6FAB"/>
    <w:rsid w:val="006B6FD2"/>
    <w:rsid w:val="006B6FD6"/>
    <w:rsid w:val="006B6FF9"/>
    <w:rsid w:val="006B70DD"/>
    <w:rsid w:val="006B710C"/>
    <w:rsid w:val="006B7167"/>
    <w:rsid w:val="006B71A0"/>
    <w:rsid w:val="006B7218"/>
    <w:rsid w:val="006B725B"/>
    <w:rsid w:val="006B725E"/>
    <w:rsid w:val="006B727B"/>
    <w:rsid w:val="006B72ED"/>
    <w:rsid w:val="006B7303"/>
    <w:rsid w:val="006B7338"/>
    <w:rsid w:val="006B73A9"/>
    <w:rsid w:val="006B740D"/>
    <w:rsid w:val="006B745B"/>
    <w:rsid w:val="006B745E"/>
    <w:rsid w:val="006B7503"/>
    <w:rsid w:val="006B755B"/>
    <w:rsid w:val="006B7586"/>
    <w:rsid w:val="006B75B5"/>
    <w:rsid w:val="006B75B6"/>
    <w:rsid w:val="006B76B0"/>
    <w:rsid w:val="006B7713"/>
    <w:rsid w:val="006B775C"/>
    <w:rsid w:val="006B777B"/>
    <w:rsid w:val="006B777E"/>
    <w:rsid w:val="006B778E"/>
    <w:rsid w:val="006B7861"/>
    <w:rsid w:val="006B7878"/>
    <w:rsid w:val="006B7888"/>
    <w:rsid w:val="006B78D1"/>
    <w:rsid w:val="006B79A6"/>
    <w:rsid w:val="006B7A2F"/>
    <w:rsid w:val="006B7A80"/>
    <w:rsid w:val="006B7AAD"/>
    <w:rsid w:val="006B7AB1"/>
    <w:rsid w:val="006B7AE0"/>
    <w:rsid w:val="006B7AEF"/>
    <w:rsid w:val="006B7AFB"/>
    <w:rsid w:val="006B7B23"/>
    <w:rsid w:val="006B7B94"/>
    <w:rsid w:val="006B7D69"/>
    <w:rsid w:val="006B7DCA"/>
    <w:rsid w:val="006B7E0B"/>
    <w:rsid w:val="006B7E21"/>
    <w:rsid w:val="006B7E22"/>
    <w:rsid w:val="006B7E53"/>
    <w:rsid w:val="006B7E91"/>
    <w:rsid w:val="006B7F56"/>
    <w:rsid w:val="006B7F7E"/>
    <w:rsid w:val="006B7F7F"/>
    <w:rsid w:val="006B7FD5"/>
    <w:rsid w:val="006C001E"/>
    <w:rsid w:val="006C003C"/>
    <w:rsid w:val="006C0082"/>
    <w:rsid w:val="006C009F"/>
    <w:rsid w:val="006C00B8"/>
    <w:rsid w:val="006C01E1"/>
    <w:rsid w:val="006C01EB"/>
    <w:rsid w:val="006C0257"/>
    <w:rsid w:val="006C027E"/>
    <w:rsid w:val="006C0294"/>
    <w:rsid w:val="006C02BA"/>
    <w:rsid w:val="006C0440"/>
    <w:rsid w:val="006C0544"/>
    <w:rsid w:val="006C0568"/>
    <w:rsid w:val="006C0583"/>
    <w:rsid w:val="006C0593"/>
    <w:rsid w:val="006C06C1"/>
    <w:rsid w:val="006C06ED"/>
    <w:rsid w:val="006C0716"/>
    <w:rsid w:val="006C07CC"/>
    <w:rsid w:val="006C080A"/>
    <w:rsid w:val="006C080B"/>
    <w:rsid w:val="006C08FC"/>
    <w:rsid w:val="006C0935"/>
    <w:rsid w:val="006C095D"/>
    <w:rsid w:val="006C09E9"/>
    <w:rsid w:val="006C0A88"/>
    <w:rsid w:val="006C0B00"/>
    <w:rsid w:val="006C0C08"/>
    <w:rsid w:val="006C0C14"/>
    <w:rsid w:val="006C0C53"/>
    <w:rsid w:val="006C0CE8"/>
    <w:rsid w:val="006C0D31"/>
    <w:rsid w:val="006C0D52"/>
    <w:rsid w:val="006C0D80"/>
    <w:rsid w:val="006C0EDD"/>
    <w:rsid w:val="006C0F03"/>
    <w:rsid w:val="006C0F55"/>
    <w:rsid w:val="006C0F80"/>
    <w:rsid w:val="006C1051"/>
    <w:rsid w:val="006C105A"/>
    <w:rsid w:val="006C119C"/>
    <w:rsid w:val="006C11B2"/>
    <w:rsid w:val="006C11B6"/>
    <w:rsid w:val="006C1253"/>
    <w:rsid w:val="006C129C"/>
    <w:rsid w:val="006C12BF"/>
    <w:rsid w:val="006C1330"/>
    <w:rsid w:val="006C13F0"/>
    <w:rsid w:val="006C142B"/>
    <w:rsid w:val="006C1442"/>
    <w:rsid w:val="006C148A"/>
    <w:rsid w:val="006C14C4"/>
    <w:rsid w:val="006C14FC"/>
    <w:rsid w:val="006C151B"/>
    <w:rsid w:val="006C1570"/>
    <w:rsid w:val="006C15AF"/>
    <w:rsid w:val="006C15DA"/>
    <w:rsid w:val="006C15ED"/>
    <w:rsid w:val="006C1659"/>
    <w:rsid w:val="006C165C"/>
    <w:rsid w:val="006C1675"/>
    <w:rsid w:val="006C1775"/>
    <w:rsid w:val="006C177F"/>
    <w:rsid w:val="006C178C"/>
    <w:rsid w:val="006C17AE"/>
    <w:rsid w:val="006C17CB"/>
    <w:rsid w:val="006C1892"/>
    <w:rsid w:val="006C1915"/>
    <w:rsid w:val="006C1967"/>
    <w:rsid w:val="006C1982"/>
    <w:rsid w:val="006C1AA5"/>
    <w:rsid w:val="006C1ACD"/>
    <w:rsid w:val="006C1BE7"/>
    <w:rsid w:val="006C1CB2"/>
    <w:rsid w:val="006C1D35"/>
    <w:rsid w:val="006C1D62"/>
    <w:rsid w:val="006C1DB7"/>
    <w:rsid w:val="006C1DEE"/>
    <w:rsid w:val="006C1E4D"/>
    <w:rsid w:val="006C1E66"/>
    <w:rsid w:val="006C1EE3"/>
    <w:rsid w:val="006C1F0B"/>
    <w:rsid w:val="006C1F12"/>
    <w:rsid w:val="006C1F45"/>
    <w:rsid w:val="006C1F7E"/>
    <w:rsid w:val="006C1FE1"/>
    <w:rsid w:val="006C2023"/>
    <w:rsid w:val="006C2143"/>
    <w:rsid w:val="006C2181"/>
    <w:rsid w:val="006C21E9"/>
    <w:rsid w:val="006C2263"/>
    <w:rsid w:val="006C2320"/>
    <w:rsid w:val="006C243E"/>
    <w:rsid w:val="006C248B"/>
    <w:rsid w:val="006C24AC"/>
    <w:rsid w:val="006C24F1"/>
    <w:rsid w:val="006C255B"/>
    <w:rsid w:val="006C2635"/>
    <w:rsid w:val="006C26CF"/>
    <w:rsid w:val="006C2738"/>
    <w:rsid w:val="006C284B"/>
    <w:rsid w:val="006C2876"/>
    <w:rsid w:val="006C2919"/>
    <w:rsid w:val="006C297B"/>
    <w:rsid w:val="006C2A2E"/>
    <w:rsid w:val="006C2AB8"/>
    <w:rsid w:val="006C2BC9"/>
    <w:rsid w:val="006C2C25"/>
    <w:rsid w:val="006C2C7B"/>
    <w:rsid w:val="006C2C82"/>
    <w:rsid w:val="006C2DA9"/>
    <w:rsid w:val="006C2DD2"/>
    <w:rsid w:val="006C2DEA"/>
    <w:rsid w:val="006C2E1C"/>
    <w:rsid w:val="006C2E52"/>
    <w:rsid w:val="006C2EF1"/>
    <w:rsid w:val="006C2F48"/>
    <w:rsid w:val="006C2F49"/>
    <w:rsid w:val="006C2FFF"/>
    <w:rsid w:val="006C3020"/>
    <w:rsid w:val="006C3082"/>
    <w:rsid w:val="006C30AA"/>
    <w:rsid w:val="006C31C4"/>
    <w:rsid w:val="006C3217"/>
    <w:rsid w:val="006C329F"/>
    <w:rsid w:val="006C32B2"/>
    <w:rsid w:val="006C32DC"/>
    <w:rsid w:val="006C33FD"/>
    <w:rsid w:val="006C3484"/>
    <w:rsid w:val="006C349A"/>
    <w:rsid w:val="006C34B3"/>
    <w:rsid w:val="006C3538"/>
    <w:rsid w:val="006C35BA"/>
    <w:rsid w:val="006C35D8"/>
    <w:rsid w:val="006C35EF"/>
    <w:rsid w:val="006C36B3"/>
    <w:rsid w:val="006C3744"/>
    <w:rsid w:val="006C375C"/>
    <w:rsid w:val="006C37A7"/>
    <w:rsid w:val="006C3893"/>
    <w:rsid w:val="006C38CD"/>
    <w:rsid w:val="006C38F4"/>
    <w:rsid w:val="006C3977"/>
    <w:rsid w:val="006C3982"/>
    <w:rsid w:val="006C39AE"/>
    <w:rsid w:val="006C3A4C"/>
    <w:rsid w:val="006C3A61"/>
    <w:rsid w:val="006C3ADC"/>
    <w:rsid w:val="006C3AE0"/>
    <w:rsid w:val="006C3B40"/>
    <w:rsid w:val="006C3BC2"/>
    <w:rsid w:val="006C3BC9"/>
    <w:rsid w:val="006C3BD2"/>
    <w:rsid w:val="006C3BF7"/>
    <w:rsid w:val="006C3C1F"/>
    <w:rsid w:val="006C3C45"/>
    <w:rsid w:val="006C3C48"/>
    <w:rsid w:val="006C3C73"/>
    <w:rsid w:val="006C3C77"/>
    <w:rsid w:val="006C3CA3"/>
    <w:rsid w:val="006C3CB0"/>
    <w:rsid w:val="006C3CCD"/>
    <w:rsid w:val="006C3D84"/>
    <w:rsid w:val="006C3E29"/>
    <w:rsid w:val="006C3E98"/>
    <w:rsid w:val="006C3FE6"/>
    <w:rsid w:val="006C4006"/>
    <w:rsid w:val="006C4047"/>
    <w:rsid w:val="006C4054"/>
    <w:rsid w:val="006C40EF"/>
    <w:rsid w:val="006C41CD"/>
    <w:rsid w:val="006C4266"/>
    <w:rsid w:val="006C427A"/>
    <w:rsid w:val="006C427C"/>
    <w:rsid w:val="006C4291"/>
    <w:rsid w:val="006C430B"/>
    <w:rsid w:val="006C4379"/>
    <w:rsid w:val="006C437B"/>
    <w:rsid w:val="006C43A9"/>
    <w:rsid w:val="006C43C0"/>
    <w:rsid w:val="006C43D0"/>
    <w:rsid w:val="006C4467"/>
    <w:rsid w:val="006C451E"/>
    <w:rsid w:val="006C4520"/>
    <w:rsid w:val="006C4540"/>
    <w:rsid w:val="006C457D"/>
    <w:rsid w:val="006C4603"/>
    <w:rsid w:val="006C461E"/>
    <w:rsid w:val="006C4649"/>
    <w:rsid w:val="006C47EF"/>
    <w:rsid w:val="006C4866"/>
    <w:rsid w:val="006C48F9"/>
    <w:rsid w:val="006C4957"/>
    <w:rsid w:val="006C49EA"/>
    <w:rsid w:val="006C49ED"/>
    <w:rsid w:val="006C4A16"/>
    <w:rsid w:val="006C4A41"/>
    <w:rsid w:val="006C4A4F"/>
    <w:rsid w:val="006C4ADE"/>
    <w:rsid w:val="006C4BBE"/>
    <w:rsid w:val="006C4C9E"/>
    <w:rsid w:val="006C4DA6"/>
    <w:rsid w:val="006C4E87"/>
    <w:rsid w:val="006C4F1C"/>
    <w:rsid w:val="006C4F1D"/>
    <w:rsid w:val="006C4F84"/>
    <w:rsid w:val="006C5027"/>
    <w:rsid w:val="006C5091"/>
    <w:rsid w:val="006C50AC"/>
    <w:rsid w:val="006C50B0"/>
    <w:rsid w:val="006C513C"/>
    <w:rsid w:val="006C5192"/>
    <w:rsid w:val="006C5332"/>
    <w:rsid w:val="006C5371"/>
    <w:rsid w:val="006C5372"/>
    <w:rsid w:val="006C542B"/>
    <w:rsid w:val="006C544F"/>
    <w:rsid w:val="006C556A"/>
    <w:rsid w:val="006C5660"/>
    <w:rsid w:val="006C5690"/>
    <w:rsid w:val="006C56B2"/>
    <w:rsid w:val="006C571B"/>
    <w:rsid w:val="006C57B5"/>
    <w:rsid w:val="006C5803"/>
    <w:rsid w:val="006C5805"/>
    <w:rsid w:val="006C5841"/>
    <w:rsid w:val="006C590A"/>
    <w:rsid w:val="006C593E"/>
    <w:rsid w:val="006C59DF"/>
    <w:rsid w:val="006C5A0F"/>
    <w:rsid w:val="006C5A18"/>
    <w:rsid w:val="006C5B06"/>
    <w:rsid w:val="006C5B22"/>
    <w:rsid w:val="006C5B36"/>
    <w:rsid w:val="006C5B37"/>
    <w:rsid w:val="006C5B73"/>
    <w:rsid w:val="006C5BCA"/>
    <w:rsid w:val="006C5BFE"/>
    <w:rsid w:val="006C5C29"/>
    <w:rsid w:val="006C5C59"/>
    <w:rsid w:val="006C5CC6"/>
    <w:rsid w:val="006C5CE8"/>
    <w:rsid w:val="006C5D5E"/>
    <w:rsid w:val="006C5D77"/>
    <w:rsid w:val="006C5D81"/>
    <w:rsid w:val="006C5D8A"/>
    <w:rsid w:val="006C5D9A"/>
    <w:rsid w:val="006C5DD5"/>
    <w:rsid w:val="006C5E3E"/>
    <w:rsid w:val="006C5E57"/>
    <w:rsid w:val="006C5E8E"/>
    <w:rsid w:val="006C614F"/>
    <w:rsid w:val="006C616B"/>
    <w:rsid w:val="006C6182"/>
    <w:rsid w:val="006C622F"/>
    <w:rsid w:val="006C6245"/>
    <w:rsid w:val="006C62F3"/>
    <w:rsid w:val="006C6382"/>
    <w:rsid w:val="006C638A"/>
    <w:rsid w:val="006C63C7"/>
    <w:rsid w:val="006C6412"/>
    <w:rsid w:val="006C6415"/>
    <w:rsid w:val="006C645D"/>
    <w:rsid w:val="006C64AB"/>
    <w:rsid w:val="006C64C8"/>
    <w:rsid w:val="006C660D"/>
    <w:rsid w:val="006C6698"/>
    <w:rsid w:val="006C6737"/>
    <w:rsid w:val="006C6864"/>
    <w:rsid w:val="006C6892"/>
    <w:rsid w:val="006C68F0"/>
    <w:rsid w:val="006C692A"/>
    <w:rsid w:val="006C699D"/>
    <w:rsid w:val="006C6A02"/>
    <w:rsid w:val="006C6A29"/>
    <w:rsid w:val="006C6A7A"/>
    <w:rsid w:val="006C6B01"/>
    <w:rsid w:val="006C6BE0"/>
    <w:rsid w:val="006C6C5A"/>
    <w:rsid w:val="006C6D2C"/>
    <w:rsid w:val="006C6D36"/>
    <w:rsid w:val="006C6EF8"/>
    <w:rsid w:val="006C6FC1"/>
    <w:rsid w:val="006C701F"/>
    <w:rsid w:val="006C7094"/>
    <w:rsid w:val="006C70E0"/>
    <w:rsid w:val="006C70EF"/>
    <w:rsid w:val="006C713D"/>
    <w:rsid w:val="006C713E"/>
    <w:rsid w:val="006C71DF"/>
    <w:rsid w:val="006C7255"/>
    <w:rsid w:val="006C72FC"/>
    <w:rsid w:val="006C7305"/>
    <w:rsid w:val="006C73BA"/>
    <w:rsid w:val="006C7429"/>
    <w:rsid w:val="006C7545"/>
    <w:rsid w:val="006C7569"/>
    <w:rsid w:val="006C75D1"/>
    <w:rsid w:val="006C75F3"/>
    <w:rsid w:val="006C7671"/>
    <w:rsid w:val="006C7681"/>
    <w:rsid w:val="006C7719"/>
    <w:rsid w:val="006C7746"/>
    <w:rsid w:val="006C7750"/>
    <w:rsid w:val="006C7761"/>
    <w:rsid w:val="006C77AC"/>
    <w:rsid w:val="006C7832"/>
    <w:rsid w:val="006C7874"/>
    <w:rsid w:val="006C78B6"/>
    <w:rsid w:val="006C790B"/>
    <w:rsid w:val="006C7953"/>
    <w:rsid w:val="006C7956"/>
    <w:rsid w:val="006C79EA"/>
    <w:rsid w:val="006C7A22"/>
    <w:rsid w:val="006C7A51"/>
    <w:rsid w:val="006C7AAE"/>
    <w:rsid w:val="006C7B38"/>
    <w:rsid w:val="006C7BA1"/>
    <w:rsid w:val="006C7BDD"/>
    <w:rsid w:val="006C7C24"/>
    <w:rsid w:val="006C7C8E"/>
    <w:rsid w:val="006C7D2C"/>
    <w:rsid w:val="006C7E78"/>
    <w:rsid w:val="006C7E7D"/>
    <w:rsid w:val="006C7E8C"/>
    <w:rsid w:val="006C7EEA"/>
    <w:rsid w:val="006C7F8D"/>
    <w:rsid w:val="006D0005"/>
    <w:rsid w:val="006D0082"/>
    <w:rsid w:val="006D0126"/>
    <w:rsid w:val="006D0185"/>
    <w:rsid w:val="006D0217"/>
    <w:rsid w:val="006D02A0"/>
    <w:rsid w:val="006D0322"/>
    <w:rsid w:val="006D042E"/>
    <w:rsid w:val="006D0456"/>
    <w:rsid w:val="006D0495"/>
    <w:rsid w:val="006D04EA"/>
    <w:rsid w:val="006D04F9"/>
    <w:rsid w:val="006D053F"/>
    <w:rsid w:val="006D05C2"/>
    <w:rsid w:val="006D05D4"/>
    <w:rsid w:val="006D062A"/>
    <w:rsid w:val="006D068F"/>
    <w:rsid w:val="006D06F6"/>
    <w:rsid w:val="006D072C"/>
    <w:rsid w:val="006D077A"/>
    <w:rsid w:val="006D078E"/>
    <w:rsid w:val="006D0829"/>
    <w:rsid w:val="006D0838"/>
    <w:rsid w:val="006D085F"/>
    <w:rsid w:val="006D086B"/>
    <w:rsid w:val="006D08F6"/>
    <w:rsid w:val="006D09A2"/>
    <w:rsid w:val="006D09FD"/>
    <w:rsid w:val="006D0A6E"/>
    <w:rsid w:val="006D0A71"/>
    <w:rsid w:val="006D0A99"/>
    <w:rsid w:val="006D0ACD"/>
    <w:rsid w:val="006D0ACF"/>
    <w:rsid w:val="006D0C57"/>
    <w:rsid w:val="006D0C94"/>
    <w:rsid w:val="006D0CFC"/>
    <w:rsid w:val="006D0D9B"/>
    <w:rsid w:val="006D0E09"/>
    <w:rsid w:val="006D0EB1"/>
    <w:rsid w:val="006D0EE0"/>
    <w:rsid w:val="006D0F57"/>
    <w:rsid w:val="006D0FAA"/>
    <w:rsid w:val="006D1015"/>
    <w:rsid w:val="006D10AA"/>
    <w:rsid w:val="006D1152"/>
    <w:rsid w:val="006D1158"/>
    <w:rsid w:val="006D11E2"/>
    <w:rsid w:val="006D1230"/>
    <w:rsid w:val="006D124C"/>
    <w:rsid w:val="006D1251"/>
    <w:rsid w:val="006D126D"/>
    <w:rsid w:val="006D1270"/>
    <w:rsid w:val="006D12FA"/>
    <w:rsid w:val="006D1318"/>
    <w:rsid w:val="006D136B"/>
    <w:rsid w:val="006D1398"/>
    <w:rsid w:val="006D13AB"/>
    <w:rsid w:val="006D142D"/>
    <w:rsid w:val="006D1455"/>
    <w:rsid w:val="006D1469"/>
    <w:rsid w:val="006D1477"/>
    <w:rsid w:val="006D149C"/>
    <w:rsid w:val="006D14AC"/>
    <w:rsid w:val="006D14CF"/>
    <w:rsid w:val="006D14F5"/>
    <w:rsid w:val="006D150D"/>
    <w:rsid w:val="006D1547"/>
    <w:rsid w:val="006D15B4"/>
    <w:rsid w:val="006D1644"/>
    <w:rsid w:val="006D167F"/>
    <w:rsid w:val="006D1701"/>
    <w:rsid w:val="006D170A"/>
    <w:rsid w:val="006D1715"/>
    <w:rsid w:val="006D1732"/>
    <w:rsid w:val="006D174B"/>
    <w:rsid w:val="006D17A2"/>
    <w:rsid w:val="006D17D9"/>
    <w:rsid w:val="006D17F6"/>
    <w:rsid w:val="006D1818"/>
    <w:rsid w:val="006D18B7"/>
    <w:rsid w:val="006D1949"/>
    <w:rsid w:val="006D19B5"/>
    <w:rsid w:val="006D19D6"/>
    <w:rsid w:val="006D19E3"/>
    <w:rsid w:val="006D1A59"/>
    <w:rsid w:val="006D1A8F"/>
    <w:rsid w:val="006D1AD3"/>
    <w:rsid w:val="006D1B50"/>
    <w:rsid w:val="006D1BFD"/>
    <w:rsid w:val="006D1C2D"/>
    <w:rsid w:val="006D1C41"/>
    <w:rsid w:val="006D1C65"/>
    <w:rsid w:val="006D1CB1"/>
    <w:rsid w:val="006D1CD1"/>
    <w:rsid w:val="006D1CE2"/>
    <w:rsid w:val="006D1DC9"/>
    <w:rsid w:val="006D1E04"/>
    <w:rsid w:val="006D1E70"/>
    <w:rsid w:val="006D1E9C"/>
    <w:rsid w:val="006D1EC4"/>
    <w:rsid w:val="006D1EDC"/>
    <w:rsid w:val="006D1EEC"/>
    <w:rsid w:val="006D1F27"/>
    <w:rsid w:val="006D1F67"/>
    <w:rsid w:val="006D1F94"/>
    <w:rsid w:val="006D1FDE"/>
    <w:rsid w:val="006D206D"/>
    <w:rsid w:val="006D207D"/>
    <w:rsid w:val="006D2184"/>
    <w:rsid w:val="006D21A3"/>
    <w:rsid w:val="006D21DF"/>
    <w:rsid w:val="006D2209"/>
    <w:rsid w:val="006D220A"/>
    <w:rsid w:val="006D228B"/>
    <w:rsid w:val="006D22AC"/>
    <w:rsid w:val="006D22D1"/>
    <w:rsid w:val="006D2303"/>
    <w:rsid w:val="006D2411"/>
    <w:rsid w:val="006D2437"/>
    <w:rsid w:val="006D2459"/>
    <w:rsid w:val="006D24C1"/>
    <w:rsid w:val="006D25D3"/>
    <w:rsid w:val="006D2621"/>
    <w:rsid w:val="006D2648"/>
    <w:rsid w:val="006D26C7"/>
    <w:rsid w:val="006D26FA"/>
    <w:rsid w:val="006D2769"/>
    <w:rsid w:val="006D2846"/>
    <w:rsid w:val="006D2871"/>
    <w:rsid w:val="006D289C"/>
    <w:rsid w:val="006D28B4"/>
    <w:rsid w:val="006D28E2"/>
    <w:rsid w:val="006D2958"/>
    <w:rsid w:val="006D2995"/>
    <w:rsid w:val="006D2A23"/>
    <w:rsid w:val="006D2A32"/>
    <w:rsid w:val="006D2A60"/>
    <w:rsid w:val="006D2A68"/>
    <w:rsid w:val="006D2A6C"/>
    <w:rsid w:val="006D2B38"/>
    <w:rsid w:val="006D2B53"/>
    <w:rsid w:val="006D2B5C"/>
    <w:rsid w:val="006D2B7C"/>
    <w:rsid w:val="006D2BEE"/>
    <w:rsid w:val="006D2D1C"/>
    <w:rsid w:val="006D2D1E"/>
    <w:rsid w:val="006D2D1F"/>
    <w:rsid w:val="006D2DCA"/>
    <w:rsid w:val="006D2DD8"/>
    <w:rsid w:val="006D2E38"/>
    <w:rsid w:val="006D2E62"/>
    <w:rsid w:val="006D2E70"/>
    <w:rsid w:val="006D2F8E"/>
    <w:rsid w:val="006D2FC2"/>
    <w:rsid w:val="006D2FD3"/>
    <w:rsid w:val="006D3018"/>
    <w:rsid w:val="006D308A"/>
    <w:rsid w:val="006D30A0"/>
    <w:rsid w:val="006D30A4"/>
    <w:rsid w:val="006D30D6"/>
    <w:rsid w:val="006D3138"/>
    <w:rsid w:val="006D3158"/>
    <w:rsid w:val="006D31B6"/>
    <w:rsid w:val="006D31DB"/>
    <w:rsid w:val="006D3279"/>
    <w:rsid w:val="006D3342"/>
    <w:rsid w:val="006D3350"/>
    <w:rsid w:val="006D338F"/>
    <w:rsid w:val="006D33AF"/>
    <w:rsid w:val="006D344B"/>
    <w:rsid w:val="006D3592"/>
    <w:rsid w:val="006D3604"/>
    <w:rsid w:val="006D3610"/>
    <w:rsid w:val="006D3612"/>
    <w:rsid w:val="006D3626"/>
    <w:rsid w:val="006D36DB"/>
    <w:rsid w:val="006D3724"/>
    <w:rsid w:val="006D3738"/>
    <w:rsid w:val="006D3778"/>
    <w:rsid w:val="006D3861"/>
    <w:rsid w:val="006D3889"/>
    <w:rsid w:val="006D3891"/>
    <w:rsid w:val="006D3966"/>
    <w:rsid w:val="006D3992"/>
    <w:rsid w:val="006D39D0"/>
    <w:rsid w:val="006D3A07"/>
    <w:rsid w:val="006D3A23"/>
    <w:rsid w:val="006D3A29"/>
    <w:rsid w:val="006D3BBB"/>
    <w:rsid w:val="006D3C09"/>
    <w:rsid w:val="006D3C6D"/>
    <w:rsid w:val="006D3CEF"/>
    <w:rsid w:val="006D3DF5"/>
    <w:rsid w:val="006D3E29"/>
    <w:rsid w:val="006D3E3D"/>
    <w:rsid w:val="006D3E63"/>
    <w:rsid w:val="006D3EAD"/>
    <w:rsid w:val="006D3EFA"/>
    <w:rsid w:val="006D3F99"/>
    <w:rsid w:val="006D4047"/>
    <w:rsid w:val="006D405F"/>
    <w:rsid w:val="006D40F2"/>
    <w:rsid w:val="006D416B"/>
    <w:rsid w:val="006D4188"/>
    <w:rsid w:val="006D4222"/>
    <w:rsid w:val="006D43D7"/>
    <w:rsid w:val="006D43F5"/>
    <w:rsid w:val="006D4422"/>
    <w:rsid w:val="006D44CC"/>
    <w:rsid w:val="006D44F8"/>
    <w:rsid w:val="006D4571"/>
    <w:rsid w:val="006D4592"/>
    <w:rsid w:val="006D45A9"/>
    <w:rsid w:val="006D45B0"/>
    <w:rsid w:val="006D45CB"/>
    <w:rsid w:val="006D45EF"/>
    <w:rsid w:val="006D4629"/>
    <w:rsid w:val="006D4632"/>
    <w:rsid w:val="006D4666"/>
    <w:rsid w:val="006D4783"/>
    <w:rsid w:val="006D4797"/>
    <w:rsid w:val="006D47C4"/>
    <w:rsid w:val="006D47E8"/>
    <w:rsid w:val="006D485F"/>
    <w:rsid w:val="006D492F"/>
    <w:rsid w:val="006D4951"/>
    <w:rsid w:val="006D4975"/>
    <w:rsid w:val="006D4A11"/>
    <w:rsid w:val="006D4A33"/>
    <w:rsid w:val="006D4AB4"/>
    <w:rsid w:val="006D4BB4"/>
    <w:rsid w:val="006D4C1E"/>
    <w:rsid w:val="006D4C84"/>
    <w:rsid w:val="006D4D2C"/>
    <w:rsid w:val="006D4D82"/>
    <w:rsid w:val="006D4EEF"/>
    <w:rsid w:val="006D4EF6"/>
    <w:rsid w:val="006D4F42"/>
    <w:rsid w:val="006D506F"/>
    <w:rsid w:val="006D508C"/>
    <w:rsid w:val="006D5290"/>
    <w:rsid w:val="006D52C1"/>
    <w:rsid w:val="006D52E5"/>
    <w:rsid w:val="006D52EF"/>
    <w:rsid w:val="006D5377"/>
    <w:rsid w:val="006D538D"/>
    <w:rsid w:val="006D53DE"/>
    <w:rsid w:val="006D540A"/>
    <w:rsid w:val="006D5435"/>
    <w:rsid w:val="006D5453"/>
    <w:rsid w:val="006D545D"/>
    <w:rsid w:val="006D54E7"/>
    <w:rsid w:val="006D5516"/>
    <w:rsid w:val="006D5558"/>
    <w:rsid w:val="006D555A"/>
    <w:rsid w:val="006D5581"/>
    <w:rsid w:val="006D55CC"/>
    <w:rsid w:val="006D5627"/>
    <w:rsid w:val="006D562D"/>
    <w:rsid w:val="006D56FC"/>
    <w:rsid w:val="006D5702"/>
    <w:rsid w:val="006D576D"/>
    <w:rsid w:val="006D5774"/>
    <w:rsid w:val="006D577D"/>
    <w:rsid w:val="006D57A3"/>
    <w:rsid w:val="006D57C6"/>
    <w:rsid w:val="006D57EF"/>
    <w:rsid w:val="006D5844"/>
    <w:rsid w:val="006D5866"/>
    <w:rsid w:val="006D588C"/>
    <w:rsid w:val="006D5891"/>
    <w:rsid w:val="006D58C8"/>
    <w:rsid w:val="006D595A"/>
    <w:rsid w:val="006D59B9"/>
    <w:rsid w:val="006D59CA"/>
    <w:rsid w:val="006D5AA7"/>
    <w:rsid w:val="006D5ACB"/>
    <w:rsid w:val="006D5B75"/>
    <w:rsid w:val="006D5B81"/>
    <w:rsid w:val="006D5BFA"/>
    <w:rsid w:val="006D5C23"/>
    <w:rsid w:val="006D5D7B"/>
    <w:rsid w:val="006D5E53"/>
    <w:rsid w:val="006D5E5E"/>
    <w:rsid w:val="006D5F2E"/>
    <w:rsid w:val="006D5F98"/>
    <w:rsid w:val="006D603B"/>
    <w:rsid w:val="006D604A"/>
    <w:rsid w:val="006D605B"/>
    <w:rsid w:val="006D60BC"/>
    <w:rsid w:val="006D60E6"/>
    <w:rsid w:val="006D61C7"/>
    <w:rsid w:val="006D61CE"/>
    <w:rsid w:val="006D6210"/>
    <w:rsid w:val="006D6211"/>
    <w:rsid w:val="006D623C"/>
    <w:rsid w:val="006D62F9"/>
    <w:rsid w:val="006D6307"/>
    <w:rsid w:val="006D635C"/>
    <w:rsid w:val="006D643C"/>
    <w:rsid w:val="006D647E"/>
    <w:rsid w:val="006D6494"/>
    <w:rsid w:val="006D649A"/>
    <w:rsid w:val="006D64A9"/>
    <w:rsid w:val="006D64B2"/>
    <w:rsid w:val="006D6539"/>
    <w:rsid w:val="006D6708"/>
    <w:rsid w:val="006D685F"/>
    <w:rsid w:val="006D686F"/>
    <w:rsid w:val="006D68C1"/>
    <w:rsid w:val="006D68C6"/>
    <w:rsid w:val="006D697C"/>
    <w:rsid w:val="006D697D"/>
    <w:rsid w:val="006D69C8"/>
    <w:rsid w:val="006D6A92"/>
    <w:rsid w:val="006D6AF8"/>
    <w:rsid w:val="006D6BAB"/>
    <w:rsid w:val="006D6BBA"/>
    <w:rsid w:val="006D6C4E"/>
    <w:rsid w:val="006D6CC9"/>
    <w:rsid w:val="006D6CCF"/>
    <w:rsid w:val="006D6D1D"/>
    <w:rsid w:val="006D6D20"/>
    <w:rsid w:val="006D6D48"/>
    <w:rsid w:val="006D6D87"/>
    <w:rsid w:val="006D6DA2"/>
    <w:rsid w:val="006D6DBC"/>
    <w:rsid w:val="006D6DEF"/>
    <w:rsid w:val="006D6EB7"/>
    <w:rsid w:val="006D6ED1"/>
    <w:rsid w:val="006D6F5F"/>
    <w:rsid w:val="006D6FB6"/>
    <w:rsid w:val="006D6FDD"/>
    <w:rsid w:val="006D7018"/>
    <w:rsid w:val="006D70A2"/>
    <w:rsid w:val="006D70D2"/>
    <w:rsid w:val="006D70EC"/>
    <w:rsid w:val="006D70EE"/>
    <w:rsid w:val="006D7153"/>
    <w:rsid w:val="006D7171"/>
    <w:rsid w:val="006D717D"/>
    <w:rsid w:val="006D7182"/>
    <w:rsid w:val="006D71D1"/>
    <w:rsid w:val="006D71DB"/>
    <w:rsid w:val="006D7271"/>
    <w:rsid w:val="006D72F2"/>
    <w:rsid w:val="006D7312"/>
    <w:rsid w:val="006D7364"/>
    <w:rsid w:val="006D7385"/>
    <w:rsid w:val="006D73B2"/>
    <w:rsid w:val="006D74F1"/>
    <w:rsid w:val="006D74FF"/>
    <w:rsid w:val="006D754A"/>
    <w:rsid w:val="006D7588"/>
    <w:rsid w:val="006D75DD"/>
    <w:rsid w:val="006D75EB"/>
    <w:rsid w:val="006D7606"/>
    <w:rsid w:val="006D7629"/>
    <w:rsid w:val="006D7644"/>
    <w:rsid w:val="006D767C"/>
    <w:rsid w:val="006D7693"/>
    <w:rsid w:val="006D7762"/>
    <w:rsid w:val="006D7778"/>
    <w:rsid w:val="006D77AB"/>
    <w:rsid w:val="006D7801"/>
    <w:rsid w:val="006D78EE"/>
    <w:rsid w:val="006D7955"/>
    <w:rsid w:val="006D7976"/>
    <w:rsid w:val="006D798B"/>
    <w:rsid w:val="006D79A9"/>
    <w:rsid w:val="006D7A77"/>
    <w:rsid w:val="006D7AB5"/>
    <w:rsid w:val="006D7B7B"/>
    <w:rsid w:val="006D7BB6"/>
    <w:rsid w:val="006D7CB3"/>
    <w:rsid w:val="006D7D0F"/>
    <w:rsid w:val="006D7D4A"/>
    <w:rsid w:val="006D7DF6"/>
    <w:rsid w:val="006D7E1A"/>
    <w:rsid w:val="006D7F2B"/>
    <w:rsid w:val="006D7F35"/>
    <w:rsid w:val="006E0023"/>
    <w:rsid w:val="006E0031"/>
    <w:rsid w:val="006E0064"/>
    <w:rsid w:val="006E00B5"/>
    <w:rsid w:val="006E0108"/>
    <w:rsid w:val="006E011B"/>
    <w:rsid w:val="006E013E"/>
    <w:rsid w:val="006E017F"/>
    <w:rsid w:val="006E0279"/>
    <w:rsid w:val="006E0315"/>
    <w:rsid w:val="006E03F4"/>
    <w:rsid w:val="006E0405"/>
    <w:rsid w:val="006E048F"/>
    <w:rsid w:val="006E04DC"/>
    <w:rsid w:val="006E04E0"/>
    <w:rsid w:val="006E0523"/>
    <w:rsid w:val="006E059B"/>
    <w:rsid w:val="006E05F7"/>
    <w:rsid w:val="006E0680"/>
    <w:rsid w:val="006E0684"/>
    <w:rsid w:val="006E06AE"/>
    <w:rsid w:val="006E075D"/>
    <w:rsid w:val="006E07A4"/>
    <w:rsid w:val="006E07A5"/>
    <w:rsid w:val="006E07AA"/>
    <w:rsid w:val="006E0888"/>
    <w:rsid w:val="006E08B7"/>
    <w:rsid w:val="006E08D9"/>
    <w:rsid w:val="006E08DB"/>
    <w:rsid w:val="006E08F4"/>
    <w:rsid w:val="006E090E"/>
    <w:rsid w:val="006E0948"/>
    <w:rsid w:val="006E094F"/>
    <w:rsid w:val="006E096E"/>
    <w:rsid w:val="006E0979"/>
    <w:rsid w:val="006E0996"/>
    <w:rsid w:val="006E0A07"/>
    <w:rsid w:val="006E0AFC"/>
    <w:rsid w:val="006E0B67"/>
    <w:rsid w:val="006E0C18"/>
    <w:rsid w:val="006E0C5A"/>
    <w:rsid w:val="006E0C64"/>
    <w:rsid w:val="006E0D01"/>
    <w:rsid w:val="006E0D12"/>
    <w:rsid w:val="006E0D70"/>
    <w:rsid w:val="006E0EC9"/>
    <w:rsid w:val="006E0F1B"/>
    <w:rsid w:val="006E0F1D"/>
    <w:rsid w:val="006E0F6A"/>
    <w:rsid w:val="006E0FB0"/>
    <w:rsid w:val="006E1046"/>
    <w:rsid w:val="006E10DE"/>
    <w:rsid w:val="006E1112"/>
    <w:rsid w:val="006E1129"/>
    <w:rsid w:val="006E1150"/>
    <w:rsid w:val="006E1158"/>
    <w:rsid w:val="006E1173"/>
    <w:rsid w:val="006E11DC"/>
    <w:rsid w:val="006E11EF"/>
    <w:rsid w:val="006E1222"/>
    <w:rsid w:val="006E127F"/>
    <w:rsid w:val="006E1341"/>
    <w:rsid w:val="006E135B"/>
    <w:rsid w:val="006E1385"/>
    <w:rsid w:val="006E13B3"/>
    <w:rsid w:val="006E1462"/>
    <w:rsid w:val="006E14EB"/>
    <w:rsid w:val="006E152B"/>
    <w:rsid w:val="006E1562"/>
    <w:rsid w:val="006E1565"/>
    <w:rsid w:val="006E1567"/>
    <w:rsid w:val="006E16D0"/>
    <w:rsid w:val="006E170C"/>
    <w:rsid w:val="006E1729"/>
    <w:rsid w:val="006E173B"/>
    <w:rsid w:val="006E1774"/>
    <w:rsid w:val="006E17E5"/>
    <w:rsid w:val="006E1908"/>
    <w:rsid w:val="006E195B"/>
    <w:rsid w:val="006E199F"/>
    <w:rsid w:val="006E19A9"/>
    <w:rsid w:val="006E1A3F"/>
    <w:rsid w:val="006E1A81"/>
    <w:rsid w:val="006E1C1C"/>
    <w:rsid w:val="006E1C51"/>
    <w:rsid w:val="006E1C7B"/>
    <w:rsid w:val="006E1C8D"/>
    <w:rsid w:val="006E1C94"/>
    <w:rsid w:val="006E1C97"/>
    <w:rsid w:val="006E1D50"/>
    <w:rsid w:val="006E1D86"/>
    <w:rsid w:val="006E1DAE"/>
    <w:rsid w:val="006E1E2E"/>
    <w:rsid w:val="006E1E58"/>
    <w:rsid w:val="006E1E97"/>
    <w:rsid w:val="006E2014"/>
    <w:rsid w:val="006E2079"/>
    <w:rsid w:val="006E20CA"/>
    <w:rsid w:val="006E22F3"/>
    <w:rsid w:val="006E22F6"/>
    <w:rsid w:val="006E2303"/>
    <w:rsid w:val="006E2308"/>
    <w:rsid w:val="006E2335"/>
    <w:rsid w:val="006E23C3"/>
    <w:rsid w:val="006E23D6"/>
    <w:rsid w:val="006E2517"/>
    <w:rsid w:val="006E2550"/>
    <w:rsid w:val="006E26B4"/>
    <w:rsid w:val="006E2724"/>
    <w:rsid w:val="006E2776"/>
    <w:rsid w:val="006E28CD"/>
    <w:rsid w:val="006E2926"/>
    <w:rsid w:val="006E2940"/>
    <w:rsid w:val="006E297B"/>
    <w:rsid w:val="006E2AA9"/>
    <w:rsid w:val="006E2B10"/>
    <w:rsid w:val="006E2B4F"/>
    <w:rsid w:val="006E2BF7"/>
    <w:rsid w:val="006E2C7C"/>
    <w:rsid w:val="006E2C93"/>
    <w:rsid w:val="006E2CE6"/>
    <w:rsid w:val="006E2D04"/>
    <w:rsid w:val="006E2D2A"/>
    <w:rsid w:val="006E2DD2"/>
    <w:rsid w:val="006E2DD4"/>
    <w:rsid w:val="006E2E91"/>
    <w:rsid w:val="006E2F1E"/>
    <w:rsid w:val="006E2F61"/>
    <w:rsid w:val="006E2F66"/>
    <w:rsid w:val="006E2F6B"/>
    <w:rsid w:val="006E2FB0"/>
    <w:rsid w:val="006E3022"/>
    <w:rsid w:val="006E311E"/>
    <w:rsid w:val="006E3155"/>
    <w:rsid w:val="006E3156"/>
    <w:rsid w:val="006E315F"/>
    <w:rsid w:val="006E316E"/>
    <w:rsid w:val="006E31A1"/>
    <w:rsid w:val="006E3258"/>
    <w:rsid w:val="006E33F5"/>
    <w:rsid w:val="006E342F"/>
    <w:rsid w:val="006E34B0"/>
    <w:rsid w:val="006E34E1"/>
    <w:rsid w:val="006E350D"/>
    <w:rsid w:val="006E3546"/>
    <w:rsid w:val="006E354A"/>
    <w:rsid w:val="006E3551"/>
    <w:rsid w:val="006E35B5"/>
    <w:rsid w:val="006E35DE"/>
    <w:rsid w:val="006E363C"/>
    <w:rsid w:val="006E36A1"/>
    <w:rsid w:val="006E3743"/>
    <w:rsid w:val="006E374D"/>
    <w:rsid w:val="006E378C"/>
    <w:rsid w:val="006E37DF"/>
    <w:rsid w:val="006E3878"/>
    <w:rsid w:val="006E38E1"/>
    <w:rsid w:val="006E3901"/>
    <w:rsid w:val="006E399D"/>
    <w:rsid w:val="006E39C4"/>
    <w:rsid w:val="006E3A40"/>
    <w:rsid w:val="006E3B7E"/>
    <w:rsid w:val="006E3B81"/>
    <w:rsid w:val="006E3BA6"/>
    <w:rsid w:val="006E3BF1"/>
    <w:rsid w:val="006E3C0E"/>
    <w:rsid w:val="006E3C5E"/>
    <w:rsid w:val="006E3CB6"/>
    <w:rsid w:val="006E3CC3"/>
    <w:rsid w:val="006E3D50"/>
    <w:rsid w:val="006E3D7C"/>
    <w:rsid w:val="006E3D89"/>
    <w:rsid w:val="006E3DD8"/>
    <w:rsid w:val="006E3DF4"/>
    <w:rsid w:val="006E3E35"/>
    <w:rsid w:val="006E3F68"/>
    <w:rsid w:val="006E3FB9"/>
    <w:rsid w:val="006E3FC0"/>
    <w:rsid w:val="006E3FE9"/>
    <w:rsid w:val="006E40EE"/>
    <w:rsid w:val="006E40F7"/>
    <w:rsid w:val="006E4163"/>
    <w:rsid w:val="006E4239"/>
    <w:rsid w:val="006E4250"/>
    <w:rsid w:val="006E425B"/>
    <w:rsid w:val="006E42C0"/>
    <w:rsid w:val="006E42E7"/>
    <w:rsid w:val="006E435A"/>
    <w:rsid w:val="006E4478"/>
    <w:rsid w:val="006E4530"/>
    <w:rsid w:val="006E4594"/>
    <w:rsid w:val="006E4635"/>
    <w:rsid w:val="006E4676"/>
    <w:rsid w:val="006E473D"/>
    <w:rsid w:val="006E478C"/>
    <w:rsid w:val="006E47B0"/>
    <w:rsid w:val="006E4822"/>
    <w:rsid w:val="006E48B3"/>
    <w:rsid w:val="006E48D4"/>
    <w:rsid w:val="006E4938"/>
    <w:rsid w:val="006E499D"/>
    <w:rsid w:val="006E49BA"/>
    <w:rsid w:val="006E49E0"/>
    <w:rsid w:val="006E4A60"/>
    <w:rsid w:val="006E4AE6"/>
    <w:rsid w:val="006E4B52"/>
    <w:rsid w:val="006E4B5C"/>
    <w:rsid w:val="006E4BBD"/>
    <w:rsid w:val="006E4C1E"/>
    <w:rsid w:val="006E4C79"/>
    <w:rsid w:val="006E4D1C"/>
    <w:rsid w:val="006E4D46"/>
    <w:rsid w:val="006E4D49"/>
    <w:rsid w:val="006E4D5E"/>
    <w:rsid w:val="006E4D6A"/>
    <w:rsid w:val="006E4E27"/>
    <w:rsid w:val="006E4E7F"/>
    <w:rsid w:val="006E4FC7"/>
    <w:rsid w:val="006E5027"/>
    <w:rsid w:val="006E50A4"/>
    <w:rsid w:val="006E50C3"/>
    <w:rsid w:val="006E515C"/>
    <w:rsid w:val="006E5202"/>
    <w:rsid w:val="006E525D"/>
    <w:rsid w:val="006E52ED"/>
    <w:rsid w:val="006E533B"/>
    <w:rsid w:val="006E5462"/>
    <w:rsid w:val="006E549E"/>
    <w:rsid w:val="006E54A2"/>
    <w:rsid w:val="006E54AB"/>
    <w:rsid w:val="006E54C5"/>
    <w:rsid w:val="006E5593"/>
    <w:rsid w:val="006E559F"/>
    <w:rsid w:val="006E55AE"/>
    <w:rsid w:val="006E563C"/>
    <w:rsid w:val="006E56A8"/>
    <w:rsid w:val="006E56B2"/>
    <w:rsid w:val="006E56E0"/>
    <w:rsid w:val="006E56E6"/>
    <w:rsid w:val="006E56EB"/>
    <w:rsid w:val="006E56F7"/>
    <w:rsid w:val="006E5764"/>
    <w:rsid w:val="006E57CB"/>
    <w:rsid w:val="006E5822"/>
    <w:rsid w:val="006E5844"/>
    <w:rsid w:val="006E58DB"/>
    <w:rsid w:val="006E58E1"/>
    <w:rsid w:val="006E58FB"/>
    <w:rsid w:val="006E595D"/>
    <w:rsid w:val="006E59A4"/>
    <w:rsid w:val="006E59BB"/>
    <w:rsid w:val="006E5A14"/>
    <w:rsid w:val="006E5B4A"/>
    <w:rsid w:val="006E5B70"/>
    <w:rsid w:val="006E5B71"/>
    <w:rsid w:val="006E5B7A"/>
    <w:rsid w:val="006E5BEB"/>
    <w:rsid w:val="006E5C96"/>
    <w:rsid w:val="006E5CD7"/>
    <w:rsid w:val="006E5D59"/>
    <w:rsid w:val="006E5DD6"/>
    <w:rsid w:val="006E5DD9"/>
    <w:rsid w:val="006E5E2A"/>
    <w:rsid w:val="006E5E7A"/>
    <w:rsid w:val="006E5F5F"/>
    <w:rsid w:val="006E5F61"/>
    <w:rsid w:val="006E6015"/>
    <w:rsid w:val="006E6115"/>
    <w:rsid w:val="006E613B"/>
    <w:rsid w:val="006E6166"/>
    <w:rsid w:val="006E635A"/>
    <w:rsid w:val="006E6362"/>
    <w:rsid w:val="006E63E6"/>
    <w:rsid w:val="006E646D"/>
    <w:rsid w:val="006E64A7"/>
    <w:rsid w:val="006E64B8"/>
    <w:rsid w:val="006E64EE"/>
    <w:rsid w:val="006E650E"/>
    <w:rsid w:val="006E6531"/>
    <w:rsid w:val="006E655C"/>
    <w:rsid w:val="006E655D"/>
    <w:rsid w:val="006E6646"/>
    <w:rsid w:val="006E6681"/>
    <w:rsid w:val="006E66C4"/>
    <w:rsid w:val="006E66EB"/>
    <w:rsid w:val="006E6726"/>
    <w:rsid w:val="006E679C"/>
    <w:rsid w:val="006E67BA"/>
    <w:rsid w:val="006E67EE"/>
    <w:rsid w:val="006E6866"/>
    <w:rsid w:val="006E6946"/>
    <w:rsid w:val="006E6AC6"/>
    <w:rsid w:val="006E6AE3"/>
    <w:rsid w:val="006E6C4A"/>
    <w:rsid w:val="006E6CB3"/>
    <w:rsid w:val="006E6CEE"/>
    <w:rsid w:val="006E6D02"/>
    <w:rsid w:val="006E6D28"/>
    <w:rsid w:val="006E6D58"/>
    <w:rsid w:val="006E6DCB"/>
    <w:rsid w:val="006E6E18"/>
    <w:rsid w:val="006E6EC6"/>
    <w:rsid w:val="006E6EC9"/>
    <w:rsid w:val="006E6ECA"/>
    <w:rsid w:val="006E6ED0"/>
    <w:rsid w:val="006E6F2C"/>
    <w:rsid w:val="006E6F2D"/>
    <w:rsid w:val="006E6F3F"/>
    <w:rsid w:val="006E6FDB"/>
    <w:rsid w:val="006E7067"/>
    <w:rsid w:val="006E7158"/>
    <w:rsid w:val="006E720D"/>
    <w:rsid w:val="006E7220"/>
    <w:rsid w:val="006E727C"/>
    <w:rsid w:val="006E728E"/>
    <w:rsid w:val="006E72C6"/>
    <w:rsid w:val="006E735B"/>
    <w:rsid w:val="006E73CC"/>
    <w:rsid w:val="006E742A"/>
    <w:rsid w:val="006E7646"/>
    <w:rsid w:val="006E768A"/>
    <w:rsid w:val="006E7697"/>
    <w:rsid w:val="006E769B"/>
    <w:rsid w:val="006E76B3"/>
    <w:rsid w:val="006E7767"/>
    <w:rsid w:val="006E779E"/>
    <w:rsid w:val="006E77C2"/>
    <w:rsid w:val="006E788B"/>
    <w:rsid w:val="006E7A1C"/>
    <w:rsid w:val="006E7A64"/>
    <w:rsid w:val="006E7AB4"/>
    <w:rsid w:val="006E7B3F"/>
    <w:rsid w:val="006E7B47"/>
    <w:rsid w:val="006E7BBE"/>
    <w:rsid w:val="006E7C44"/>
    <w:rsid w:val="006E7C7D"/>
    <w:rsid w:val="006E7D08"/>
    <w:rsid w:val="006E7DA2"/>
    <w:rsid w:val="006E7EBC"/>
    <w:rsid w:val="006E7ECD"/>
    <w:rsid w:val="006E7EE2"/>
    <w:rsid w:val="006E7EE6"/>
    <w:rsid w:val="006E7F08"/>
    <w:rsid w:val="006F0203"/>
    <w:rsid w:val="006F02BB"/>
    <w:rsid w:val="006F0313"/>
    <w:rsid w:val="006F0430"/>
    <w:rsid w:val="006F0473"/>
    <w:rsid w:val="006F0615"/>
    <w:rsid w:val="006F064D"/>
    <w:rsid w:val="006F0792"/>
    <w:rsid w:val="006F091A"/>
    <w:rsid w:val="006F0967"/>
    <w:rsid w:val="006F09C7"/>
    <w:rsid w:val="006F0B68"/>
    <w:rsid w:val="006F0BEC"/>
    <w:rsid w:val="006F0CFA"/>
    <w:rsid w:val="006F0D4B"/>
    <w:rsid w:val="006F0DB6"/>
    <w:rsid w:val="006F0E8B"/>
    <w:rsid w:val="006F0EA7"/>
    <w:rsid w:val="006F0ED8"/>
    <w:rsid w:val="006F0F54"/>
    <w:rsid w:val="006F0F5A"/>
    <w:rsid w:val="006F0F6B"/>
    <w:rsid w:val="006F0FBA"/>
    <w:rsid w:val="006F0FF5"/>
    <w:rsid w:val="006F1021"/>
    <w:rsid w:val="006F1031"/>
    <w:rsid w:val="006F1065"/>
    <w:rsid w:val="006F1067"/>
    <w:rsid w:val="006F1194"/>
    <w:rsid w:val="006F123D"/>
    <w:rsid w:val="006F125C"/>
    <w:rsid w:val="006F126B"/>
    <w:rsid w:val="006F1377"/>
    <w:rsid w:val="006F137F"/>
    <w:rsid w:val="006F13CC"/>
    <w:rsid w:val="006F13F2"/>
    <w:rsid w:val="006F145D"/>
    <w:rsid w:val="006F1493"/>
    <w:rsid w:val="006F14C9"/>
    <w:rsid w:val="006F155B"/>
    <w:rsid w:val="006F15CD"/>
    <w:rsid w:val="006F169B"/>
    <w:rsid w:val="006F1733"/>
    <w:rsid w:val="006F17A9"/>
    <w:rsid w:val="006F1825"/>
    <w:rsid w:val="006F1869"/>
    <w:rsid w:val="006F186A"/>
    <w:rsid w:val="006F18C0"/>
    <w:rsid w:val="006F18F1"/>
    <w:rsid w:val="006F1988"/>
    <w:rsid w:val="006F1989"/>
    <w:rsid w:val="006F19DA"/>
    <w:rsid w:val="006F1A34"/>
    <w:rsid w:val="006F1A4D"/>
    <w:rsid w:val="006F1AEE"/>
    <w:rsid w:val="006F1B78"/>
    <w:rsid w:val="006F1BA8"/>
    <w:rsid w:val="006F1C32"/>
    <w:rsid w:val="006F1CD9"/>
    <w:rsid w:val="006F1D09"/>
    <w:rsid w:val="006F1D3A"/>
    <w:rsid w:val="006F1DEA"/>
    <w:rsid w:val="006F1E6F"/>
    <w:rsid w:val="006F1E83"/>
    <w:rsid w:val="006F1ED6"/>
    <w:rsid w:val="006F1F06"/>
    <w:rsid w:val="006F1FBC"/>
    <w:rsid w:val="006F2080"/>
    <w:rsid w:val="006F21DF"/>
    <w:rsid w:val="006F2237"/>
    <w:rsid w:val="006F2256"/>
    <w:rsid w:val="006F239E"/>
    <w:rsid w:val="006F2409"/>
    <w:rsid w:val="006F244F"/>
    <w:rsid w:val="006F248C"/>
    <w:rsid w:val="006F249F"/>
    <w:rsid w:val="006F24D2"/>
    <w:rsid w:val="006F251D"/>
    <w:rsid w:val="006F259C"/>
    <w:rsid w:val="006F25A4"/>
    <w:rsid w:val="006F2629"/>
    <w:rsid w:val="006F2669"/>
    <w:rsid w:val="006F26BD"/>
    <w:rsid w:val="006F2700"/>
    <w:rsid w:val="006F27BA"/>
    <w:rsid w:val="006F2827"/>
    <w:rsid w:val="006F2880"/>
    <w:rsid w:val="006F2903"/>
    <w:rsid w:val="006F2974"/>
    <w:rsid w:val="006F29C7"/>
    <w:rsid w:val="006F29E5"/>
    <w:rsid w:val="006F29ED"/>
    <w:rsid w:val="006F2AEA"/>
    <w:rsid w:val="006F2B6F"/>
    <w:rsid w:val="006F2B8A"/>
    <w:rsid w:val="006F2B8B"/>
    <w:rsid w:val="006F2BB5"/>
    <w:rsid w:val="006F2BC8"/>
    <w:rsid w:val="006F2BF9"/>
    <w:rsid w:val="006F2C8C"/>
    <w:rsid w:val="006F2CA2"/>
    <w:rsid w:val="006F2CE1"/>
    <w:rsid w:val="006F2CEF"/>
    <w:rsid w:val="006F2D72"/>
    <w:rsid w:val="006F2D87"/>
    <w:rsid w:val="006F2DCF"/>
    <w:rsid w:val="006F2DF5"/>
    <w:rsid w:val="006F2E5B"/>
    <w:rsid w:val="006F2F10"/>
    <w:rsid w:val="006F2F2A"/>
    <w:rsid w:val="006F2FC0"/>
    <w:rsid w:val="006F2FE8"/>
    <w:rsid w:val="006F2FEB"/>
    <w:rsid w:val="006F3047"/>
    <w:rsid w:val="006F3069"/>
    <w:rsid w:val="006F306D"/>
    <w:rsid w:val="006F31EB"/>
    <w:rsid w:val="006F3210"/>
    <w:rsid w:val="006F3241"/>
    <w:rsid w:val="006F324C"/>
    <w:rsid w:val="006F3297"/>
    <w:rsid w:val="006F32BA"/>
    <w:rsid w:val="006F32BB"/>
    <w:rsid w:val="006F3390"/>
    <w:rsid w:val="006F340A"/>
    <w:rsid w:val="006F3418"/>
    <w:rsid w:val="006F34A9"/>
    <w:rsid w:val="006F356B"/>
    <w:rsid w:val="006F3574"/>
    <w:rsid w:val="006F358F"/>
    <w:rsid w:val="006F36A6"/>
    <w:rsid w:val="006F36F4"/>
    <w:rsid w:val="006F3789"/>
    <w:rsid w:val="006F380F"/>
    <w:rsid w:val="006F3829"/>
    <w:rsid w:val="006F3924"/>
    <w:rsid w:val="006F3953"/>
    <w:rsid w:val="006F3A81"/>
    <w:rsid w:val="006F3BE5"/>
    <w:rsid w:val="006F3C30"/>
    <w:rsid w:val="006F3CCD"/>
    <w:rsid w:val="006F3DF5"/>
    <w:rsid w:val="006F3E1D"/>
    <w:rsid w:val="006F3E3A"/>
    <w:rsid w:val="006F3E4A"/>
    <w:rsid w:val="006F3E88"/>
    <w:rsid w:val="006F3EA0"/>
    <w:rsid w:val="006F4005"/>
    <w:rsid w:val="006F4006"/>
    <w:rsid w:val="006F408E"/>
    <w:rsid w:val="006F4096"/>
    <w:rsid w:val="006F40C7"/>
    <w:rsid w:val="006F40EB"/>
    <w:rsid w:val="006F4195"/>
    <w:rsid w:val="006F4290"/>
    <w:rsid w:val="006F42D2"/>
    <w:rsid w:val="006F42F9"/>
    <w:rsid w:val="006F43A2"/>
    <w:rsid w:val="006F43FB"/>
    <w:rsid w:val="006F4404"/>
    <w:rsid w:val="006F4409"/>
    <w:rsid w:val="006F44F3"/>
    <w:rsid w:val="006F44FF"/>
    <w:rsid w:val="006F4535"/>
    <w:rsid w:val="006F4539"/>
    <w:rsid w:val="006F454F"/>
    <w:rsid w:val="006F4557"/>
    <w:rsid w:val="006F45BA"/>
    <w:rsid w:val="006F45DC"/>
    <w:rsid w:val="006F465A"/>
    <w:rsid w:val="006F4734"/>
    <w:rsid w:val="006F47AD"/>
    <w:rsid w:val="006F47FC"/>
    <w:rsid w:val="006F4854"/>
    <w:rsid w:val="006F48AD"/>
    <w:rsid w:val="006F48E3"/>
    <w:rsid w:val="006F49F9"/>
    <w:rsid w:val="006F4AF1"/>
    <w:rsid w:val="006F4B0F"/>
    <w:rsid w:val="006F4B53"/>
    <w:rsid w:val="006F4B74"/>
    <w:rsid w:val="006F4B96"/>
    <w:rsid w:val="006F4BA1"/>
    <w:rsid w:val="006F4BB3"/>
    <w:rsid w:val="006F4CA5"/>
    <w:rsid w:val="006F4CAB"/>
    <w:rsid w:val="006F4CB6"/>
    <w:rsid w:val="006F4D28"/>
    <w:rsid w:val="006F4D53"/>
    <w:rsid w:val="006F4D6C"/>
    <w:rsid w:val="006F4D82"/>
    <w:rsid w:val="006F4E01"/>
    <w:rsid w:val="006F4F44"/>
    <w:rsid w:val="006F4F57"/>
    <w:rsid w:val="006F4F6F"/>
    <w:rsid w:val="006F4F7B"/>
    <w:rsid w:val="006F503E"/>
    <w:rsid w:val="006F5045"/>
    <w:rsid w:val="006F50BF"/>
    <w:rsid w:val="006F5101"/>
    <w:rsid w:val="006F5109"/>
    <w:rsid w:val="006F513E"/>
    <w:rsid w:val="006F51A4"/>
    <w:rsid w:val="006F51EE"/>
    <w:rsid w:val="006F51F8"/>
    <w:rsid w:val="006F5216"/>
    <w:rsid w:val="006F5282"/>
    <w:rsid w:val="006F54CC"/>
    <w:rsid w:val="006F54DD"/>
    <w:rsid w:val="006F5517"/>
    <w:rsid w:val="006F5615"/>
    <w:rsid w:val="006F5630"/>
    <w:rsid w:val="006F5660"/>
    <w:rsid w:val="006F56A0"/>
    <w:rsid w:val="006F56B0"/>
    <w:rsid w:val="006F56C0"/>
    <w:rsid w:val="006F56D3"/>
    <w:rsid w:val="006F56D4"/>
    <w:rsid w:val="006F5709"/>
    <w:rsid w:val="006F570E"/>
    <w:rsid w:val="006F570F"/>
    <w:rsid w:val="006F5839"/>
    <w:rsid w:val="006F5908"/>
    <w:rsid w:val="006F59A1"/>
    <w:rsid w:val="006F59B9"/>
    <w:rsid w:val="006F5A20"/>
    <w:rsid w:val="006F5AAB"/>
    <w:rsid w:val="006F5B35"/>
    <w:rsid w:val="006F5B60"/>
    <w:rsid w:val="006F5C29"/>
    <w:rsid w:val="006F5D0B"/>
    <w:rsid w:val="006F5D87"/>
    <w:rsid w:val="006F5DFD"/>
    <w:rsid w:val="006F5DFE"/>
    <w:rsid w:val="006F5EA4"/>
    <w:rsid w:val="006F5EFD"/>
    <w:rsid w:val="006F5F8D"/>
    <w:rsid w:val="006F5F9F"/>
    <w:rsid w:val="006F6096"/>
    <w:rsid w:val="006F61C6"/>
    <w:rsid w:val="006F6232"/>
    <w:rsid w:val="006F6265"/>
    <w:rsid w:val="006F628D"/>
    <w:rsid w:val="006F62EC"/>
    <w:rsid w:val="006F6302"/>
    <w:rsid w:val="006F6316"/>
    <w:rsid w:val="006F63B5"/>
    <w:rsid w:val="006F63DA"/>
    <w:rsid w:val="006F6404"/>
    <w:rsid w:val="006F642F"/>
    <w:rsid w:val="006F6495"/>
    <w:rsid w:val="006F6501"/>
    <w:rsid w:val="006F651A"/>
    <w:rsid w:val="006F651E"/>
    <w:rsid w:val="006F66C5"/>
    <w:rsid w:val="006F66F1"/>
    <w:rsid w:val="006F6753"/>
    <w:rsid w:val="006F67C0"/>
    <w:rsid w:val="006F6821"/>
    <w:rsid w:val="006F688E"/>
    <w:rsid w:val="006F68DF"/>
    <w:rsid w:val="006F698C"/>
    <w:rsid w:val="006F6995"/>
    <w:rsid w:val="006F6A35"/>
    <w:rsid w:val="006F6A5E"/>
    <w:rsid w:val="006F6B60"/>
    <w:rsid w:val="006F6B80"/>
    <w:rsid w:val="006F6BA9"/>
    <w:rsid w:val="006F6BDD"/>
    <w:rsid w:val="006F6C0E"/>
    <w:rsid w:val="006F6C59"/>
    <w:rsid w:val="006F6C5B"/>
    <w:rsid w:val="006F6CCC"/>
    <w:rsid w:val="006F6D33"/>
    <w:rsid w:val="006F6DC6"/>
    <w:rsid w:val="006F6E23"/>
    <w:rsid w:val="006F6E8C"/>
    <w:rsid w:val="006F6E97"/>
    <w:rsid w:val="006F6EEF"/>
    <w:rsid w:val="006F6F40"/>
    <w:rsid w:val="006F6FB0"/>
    <w:rsid w:val="006F6FB3"/>
    <w:rsid w:val="006F6FF4"/>
    <w:rsid w:val="006F70C4"/>
    <w:rsid w:val="006F70D8"/>
    <w:rsid w:val="006F7128"/>
    <w:rsid w:val="006F7159"/>
    <w:rsid w:val="006F71C9"/>
    <w:rsid w:val="006F72CA"/>
    <w:rsid w:val="006F73C0"/>
    <w:rsid w:val="006F73DA"/>
    <w:rsid w:val="006F741E"/>
    <w:rsid w:val="006F7538"/>
    <w:rsid w:val="006F753C"/>
    <w:rsid w:val="006F7673"/>
    <w:rsid w:val="006F767D"/>
    <w:rsid w:val="006F768D"/>
    <w:rsid w:val="006F76F4"/>
    <w:rsid w:val="006F7806"/>
    <w:rsid w:val="006F789C"/>
    <w:rsid w:val="006F78D8"/>
    <w:rsid w:val="006F7915"/>
    <w:rsid w:val="006F791D"/>
    <w:rsid w:val="006F793E"/>
    <w:rsid w:val="006F7945"/>
    <w:rsid w:val="006F7980"/>
    <w:rsid w:val="006F79E4"/>
    <w:rsid w:val="006F79F1"/>
    <w:rsid w:val="006F7A2B"/>
    <w:rsid w:val="006F7B26"/>
    <w:rsid w:val="006F7B5E"/>
    <w:rsid w:val="006F7B9B"/>
    <w:rsid w:val="006F7C16"/>
    <w:rsid w:val="006F7CBB"/>
    <w:rsid w:val="006F7D12"/>
    <w:rsid w:val="006F7D1C"/>
    <w:rsid w:val="006F7DAB"/>
    <w:rsid w:val="006F7E62"/>
    <w:rsid w:val="006F7EE3"/>
    <w:rsid w:val="006F7EEF"/>
    <w:rsid w:val="0070000C"/>
    <w:rsid w:val="0070000E"/>
    <w:rsid w:val="00700042"/>
    <w:rsid w:val="007000D6"/>
    <w:rsid w:val="007001BB"/>
    <w:rsid w:val="007001E1"/>
    <w:rsid w:val="007002C8"/>
    <w:rsid w:val="007002E7"/>
    <w:rsid w:val="00700343"/>
    <w:rsid w:val="0070039D"/>
    <w:rsid w:val="00700435"/>
    <w:rsid w:val="00700585"/>
    <w:rsid w:val="007005E5"/>
    <w:rsid w:val="00700668"/>
    <w:rsid w:val="00700795"/>
    <w:rsid w:val="007007BA"/>
    <w:rsid w:val="00700883"/>
    <w:rsid w:val="0070094C"/>
    <w:rsid w:val="007009CC"/>
    <w:rsid w:val="00700A07"/>
    <w:rsid w:val="00700A9B"/>
    <w:rsid w:val="00700AE4"/>
    <w:rsid w:val="00700B4B"/>
    <w:rsid w:val="00700B78"/>
    <w:rsid w:val="00700B7D"/>
    <w:rsid w:val="00700BB8"/>
    <w:rsid w:val="00700BD0"/>
    <w:rsid w:val="00700C34"/>
    <w:rsid w:val="00700C48"/>
    <w:rsid w:val="00700CEE"/>
    <w:rsid w:val="00700D3B"/>
    <w:rsid w:val="00700D3C"/>
    <w:rsid w:val="00700D62"/>
    <w:rsid w:val="00700D76"/>
    <w:rsid w:val="00700D7B"/>
    <w:rsid w:val="00700DD7"/>
    <w:rsid w:val="00700ECA"/>
    <w:rsid w:val="0070100C"/>
    <w:rsid w:val="00701060"/>
    <w:rsid w:val="007010FE"/>
    <w:rsid w:val="0070119E"/>
    <w:rsid w:val="007011CE"/>
    <w:rsid w:val="00701209"/>
    <w:rsid w:val="00701258"/>
    <w:rsid w:val="00701298"/>
    <w:rsid w:val="007012AB"/>
    <w:rsid w:val="007012D9"/>
    <w:rsid w:val="007012EA"/>
    <w:rsid w:val="007012FD"/>
    <w:rsid w:val="00701366"/>
    <w:rsid w:val="0070136B"/>
    <w:rsid w:val="00701392"/>
    <w:rsid w:val="00701399"/>
    <w:rsid w:val="007013CD"/>
    <w:rsid w:val="007013FF"/>
    <w:rsid w:val="0070141D"/>
    <w:rsid w:val="00701459"/>
    <w:rsid w:val="00701488"/>
    <w:rsid w:val="0070152D"/>
    <w:rsid w:val="00701555"/>
    <w:rsid w:val="00701556"/>
    <w:rsid w:val="00701646"/>
    <w:rsid w:val="00701664"/>
    <w:rsid w:val="007016C4"/>
    <w:rsid w:val="0070170A"/>
    <w:rsid w:val="00701713"/>
    <w:rsid w:val="00701718"/>
    <w:rsid w:val="00701726"/>
    <w:rsid w:val="00701750"/>
    <w:rsid w:val="00701753"/>
    <w:rsid w:val="00701764"/>
    <w:rsid w:val="0070177C"/>
    <w:rsid w:val="00701795"/>
    <w:rsid w:val="00701807"/>
    <w:rsid w:val="0070181D"/>
    <w:rsid w:val="007018B0"/>
    <w:rsid w:val="00701920"/>
    <w:rsid w:val="00701944"/>
    <w:rsid w:val="007019E0"/>
    <w:rsid w:val="00701A60"/>
    <w:rsid w:val="00701A76"/>
    <w:rsid w:val="00701A86"/>
    <w:rsid w:val="00701AA6"/>
    <w:rsid w:val="00701BF7"/>
    <w:rsid w:val="00701C01"/>
    <w:rsid w:val="00701D02"/>
    <w:rsid w:val="00701D05"/>
    <w:rsid w:val="00701D45"/>
    <w:rsid w:val="00701D75"/>
    <w:rsid w:val="00701D9C"/>
    <w:rsid w:val="00701DA7"/>
    <w:rsid w:val="00701E7E"/>
    <w:rsid w:val="00701E9D"/>
    <w:rsid w:val="00701E9F"/>
    <w:rsid w:val="00701EEB"/>
    <w:rsid w:val="00701F19"/>
    <w:rsid w:val="00701F3D"/>
    <w:rsid w:val="00701F4E"/>
    <w:rsid w:val="00701F64"/>
    <w:rsid w:val="00701FC6"/>
    <w:rsid w:val="00702001"/>
    <w:rsid w:val="0070201F"/>
    <w:rsid w:val="00702053"/>
    <w:rsid w:val="0070209A"/>
    <w:rsid w:val="007020F2"/>
    <w:rsid w:val="007020F9"/>
    <w:rsid w:val="00702132"/>
    <w:rsid w:val="00702143"/>
    <w:rsid w:val="0070218D"/>
    <w:rsid w:val="00702200"/>
    <w:rsid w:val="00702215"/>
    <w:rsid w:val="00702218"/>
    <w:rsid w:val="007022BA"/>
    <w:rsid w:val="007022D9"/>
    <w:rsid w:val="0070235D"/>
    <w:rsid w:val="00702442"/>
    <w:rsid w:val="007024CC"/>
    <w:rsid w:val="0070253C"/>
    <w:rsid w:val="00702594"/>
    <w:rsid w:val="007025EF"/>
    <w:rsid w:val="00702691"/>
    <w:rsid w:val="007026D6"/>
    <w:rsid w:val="007026F3"/>
    <w:rsid w:val="00702703"/>
    <w:rsid w:val="00702732"/>
    <w:rsid w:val="007027CB"/>
    <w:rsid w:val="007027F3"/>
    <w:rsid w:val="00702817"/>
    <w:rsid w:val="00702858"/>
    <w:rsid w:val="0070289C"/>
    <w:rsid w:val="007028F6"/>
    <w:rsid w:val="0070290F"/>
    <w:rsid w:val="00702A49"/>
    <w:rsid w:val="00702A8B"/>
    <w:rsid w:val="00702AEE"/>
    <w:rsid w:val="00702B98"/>
    <w:rsid w:val="00702BE1"/>
    <w:rsid w:val="00702C7C"/>
    <w:rsid w:val="00702D7E"/>
    <w:rsid w:val="00702D96"/>
    <w:rsid w:val="00702E21"/>
    <w:rsid w:val="00702E2C"/>
    <w:rsid w:val="00702E92"/>
    <w:rsid w:val="00703020"/>
    <w:rsid w:val="00703055"/>
    <w:rsid w:val="007030CA"/>
    <w:rsid w:val="0070310E"/>
    <w:rsid w:val="007031D1"/>
    <w:rsid w:val="00703202"/>
    <w:rsid w:val="00703283"/>
    <w:rsid w:val="007032F9"/>
    <w:rsid w:val="00703301"/>
    <w:rsid w:val="007033E7"/>
    <w:rsid w:val="0070341A"/>
    <w:rsid w:val="007034BD"/>
    <w:rsid w:val="007034D2"/>
    <w:rsid w:val="00703519"/>
    <w:rsid w:val="00703660"/>
    <w:rsid w:val="0070369D"/>
    <w:rsid w:val="0070369E"/>
    <w:rsid w:val="007036B1"/>
    <w:rsid w:val="007036F5"/>
    <w:rsid w:val="007037BB"/>
    <w:rsid w:val="007037CC"/>
    <w:rsid w:val="007037D3"/>
    <w:rsid w:val="007037E8"/>
    <w:rsid w:val="0070384D"/>
    <w:rsid w:val="0070392D"/>
    <w:rsid w:val="00703975"/>
    <w:rsid w:val="007039D1"/>
    <w:rsid w:val="00703A0D"/>
    <w:rsid w:val="00703A4E"/>
    <w:rsid w:val="00703AAB"/>
    <w:rsid w:val="00703B1F"/>
    <w:rsid w:val="00703B97"/>
    <w:rsid w:val="00703BD7"/>
    <w:rsid w:val="00703C3B"/>
    <w:rsid w:val="00703C3D"/>
    <w:rsid w:val="00703D0A"/>
    <w:rsid w:val="00703D0E"/>
    <w:rsid w:val="00703DBC"/>
    <w:rsid w:val="00703E34"/>
    <w:rsid w:val="00703E3B"/>
    <w:rsid w:val="00703E44"/>
    <w:rsid w:val="00703E96"/>
    <w:rsid w:val="00703E9B"/>
    <w:rsid w:val="00703F1E"/>
    <w:rsid w:val="00703F41"/>
    <w:rsid w:val="00703F88"/>
    <w:rsid w:val="00703F9D"/>
    <w:rsid w:val="00703FAF"/>
    <w:rsid w:val="00703FC6"/>
    <w:rsid w:val="00703FD8"/>
    <w:rsid w:val="00704053"/>
    <w:rsid w:val="0070406E"/>
    <w:rsid w:val="0070408C"/>
    <w:rsid w:val="007040C2"/>
    <w:rsid w:val="007040EA"/>
    <w:rsid w:val="00704110"/>
    <w:rsid w:val="00704131"/>
    <w:rsid w:val="00704210"/>
    <w:rsid w:val="0070427D"/>
    <w:rsid w:val="0070430B"/>
    <w:rsid w:val="0070440E"/>
    <w:rsid w:val="0070441D"/>
    <w:rsid w:val="00704425"/>
    <w:rsid w:val="0070446C"/>
    <w:rsid w:val="00704531"/>
    <w:rsid w:val="00704536"/>
    <w:rsid w:val="007045A6"/>
    <w:rsid w:val="007045F7"/>
    <w:rsid w:val="007046CB"/>
    <w:rsid w:val="007046D2"/>
    <w:rsid w:val="007046E2"/>
    <w:rsid w:val="0070481D"/>
    <w:rsid w:val="00704903"/>
    <w:rsid w:val="00704920"/>
    <w:rsid w:val="00704941"/>
    <w:rsid w:val="0070497F"/>
    <w:rsid w:val="007049C9"/>
    <w:rsid w:val="007049DB"/>
    <w:rsid w:val="00704A32"/>
    <w:rsid w:val="00704AAB"/>
    <w:rsid w:val="00704AD9"/>
    <w:rsid w:val="00704B0B"/>
    <w:rsid w:val="00704C71"/>
    <w:rsid w:val="00704C7D"/>
    <w:rsid w:val="00704CB6"/>
    <w:rsid w:val="00704D3B"/>
    <w:rsid w:val="00704D3C"/>
    <w:rsid w:val="00704D65"/>
    <w:rsid w:val="00704DB0"/>
    <w:rsid w:val="00704DB9"/>
    <w:rsid w:val="00704DD2"/>
    <w:rsid w:val="00704E94"/>
    <w:rsid w:val="00704ED5"/>
    <w:rsid w:val="00704F69"/>
    <w:rsid w:val="0070501F"/>
    <w:rsid w:val="00705077"/>
    <w:rsid w:val="00705078"/>
    <w:rsid w:val="00705099"/>
    <w:rsid w:val="007050AE"/>
    <w:rsid w:val="007050C9"/>
    <w:rsid w:val="0070512A"/>
    <w:rsid w:val="007051C3"/>
    <w:rsid w:val="007052AC"/>
    <w:rsid w:val="007052DC"/>
    <w:rsid w:val="00705314"/>
    <w:rsid w:val="0070534C"/>
    <w:rsid w:val="00705368"/>
    <w:rsid w:val="0070547C"/>
    <w:rsid w:val="007054D9"/>
    <w:rsid w:val="0070551F"/>
    <w:rsid w:val="00705584"/>
    <w:rsid w:val="00705594"/>
    <w:rsid w:val="007055C0"/>
    <w:rsid w:val="00705600"/>
    <w:rsid w:val="00705609"/>
    <w:rsid w:val="00705615"/>
    <w:rsid w:val="0070569C"/>
    <w:rsid w:val="007056AA"/>
    <w:rsid w:val="007056C1"/>
    <w:rsid w:val="007056E9"/>
    <w:rsid w:val="00705752"/>
    <w:rsid w:val="0070578C"/>
    <w:rsid w:val="0070579C"/>
    <w:rsid w:val="007057A7"/>
    <w:rsid w:val="007057CC"/>
    <w:rsid w:val="00705809"/>
    <w:rsid w:val="00705818"/>
    <w:rsid w:val="00705839"/>
    <w:rsid w:val="00705846"/>
    <w:rsid w:val="0070595B"/>
    <w:rsid w:val="007059BF"/>
    <w:rsid w:val="00705A2B"/>
    <w:rsid w:val="00705AFF"/>
    <w:rsid w:val="00705B00"/>
    <w:rsid w:val="00705B69"/>
    <w:rsid w:val="00705BA6"/>
    <w:rsid w:val="00705CC5"/>
    <w:rsid w:val="00705D1A"/>
    <w:rsid w:val="00705D9A"/>
    <w:rsid w:val="00705DCC"/>
    <w:rsid w:val="00705DF4"/>
    <w:rsid w:val="00705E0F"/>
    <w:rsid w:val="00705E8D"/>
    <w:rsid w:val="00705EBF"/>
    <w:rsid w:val="00705EFA"/>
    <w:rsid w:val="00705F14"/>
    <w:rsid w:val="007060DB"/>
    <w:rsid w:val="00706129"/>
    <w:rsid w:val="007061E3"/>
    <w:rsid w:val="0070622A"/>
    <w:rsid w:val="007062A8"/>
    <w:rsid w:val="007062BD"/>
    <w:rsid w:val="007062FD"/>
    <w:rsid w:val="00706358"/>
    <w:rsid w:val="0070638F"/>
    <w:rsid w:val="007063E8"/>
    <w:rsid w:val="007063F4"/>
    <w:rsid w:val="007064EF"/>
    <w:rsid w:val="00706569"/>
    <w:rsid w:val="00706687"/>
    <w:rsid w:val="00706689"/>
    <w:rsid w:val="0070672F"/>
    <w:rsid w:val="00706740"/>
    <w:rsid w:val="00706750"/>
    <w:rsid w:val="007067CF"/>
    <w:rsid w:val="0070687F"/>
    <w:rsid w:val="007068B1"/>
    <w:rsid w:val="00706935"/>
    <w:rsid w:val="0070694F"/>
    <w:rsid w:val="007069B8"/>
    <w:rsid w:val="00706A35"/>
    <w:rsid w:val="00706AFB"/>
    <w:rsid w:val="00706BA7"/>
    <w:rsid w:val="00706D0A"/>
    <w:rsid w:val="00706D77"/>
    <w:rsid w:val="00706DB9"/>
    <w:rsid w:val="00706E0A"/>
    <w:rsid w:val="00706E3A"/>
    <w:rsid w:val="00706E3D"/>
    <w:rsid w:val="00706E8E"/>
    <w:rsid w:val="00706F5E"/>
    <w:rsid w:val="00706FC9"/>
    <w:rsid w:val="00706FFB"/>
    <w:rsid w:val="00707032"/>
    <w:rsid w:val="0070706E"/>
    <w:rsid w:val="0070709A"/>
    <w:rsid w:val="007070A6"/>
    <w:rsid w:val="007070C2"/>
    <w:rsid w:val="007070FD"/>
    <w:rsid w:val="00707133"/>
    <w:rsid w:val="0070718A"/>
    <w:rsid w:val="007071EA"/>
    <w:rsid w:val="00707222"/>
    <w:rsid w:val="0070733E"/>
    <w:rsid w:val="007073A5"/>
    <w:rsid w:val="007073E9"/>
    <w:rsid w:val="007074C9"/>
    <w:rsid w:val="007074EB"/>
    <w:rsid w:val="0070750E"/>
    <w:rsid w:val="0070751E"/>
    <w:rsid w:val="00707564"/>
    <w:rsid w:val="007075B7"/>
    <w:rsid w:val="007075EE"/>
    <w:rsid w:val="00707626"/>
    <w:rsid w:val="0070764C"/>
    <w:rsid w:val="00707668"/>
    <w:rsid w:val="007076C4"/>
    <w:rsid w:val="007076CB"/>
    <w:rsid w:val="007076E9"/>
    <w:rsid w:val="007076F3"/>
    <w:rsid w:val="007076FE"/>
    <w:rsid w:val="00707791"/>
    <w:rsid w:val="007077C1"/>
    <w:rsid w:val="00707805"/>
    <w:rsid w:val="00707821"/>
    <w:rsid w:val="00707860"/>
    <w:rsid w:val="00707869"/>
    <w:rsid w:val="007078A5"/>
    <w:rsid w:val="007078AA"/>
    <w:rsid w:val="007078E7"/>
    <w:rsid w:val="0070794A"/>
    <w:rsid w:val="007079C0"/>
    <w:rsid w:val="007079DB"/>
    <w:rsid w:val="00707A06"/>
    <w:rsid w:val="00707A6C"/>
    <w:rsid w:val="00707A91"/>
    <w:rsid w:val="00707AA0"/>
    <w:rsid w:val="00707B4C"/>
    <w:rsid w:val="00707B4F"/>
    <w:rsid w:val="00707BB2"/>
    <w:rsid w:val="00707BC8"/>
    <w:rsid w:val="00707CA8"/>
    <w:rsid w:val="00707D0F"/>
    <w:rsid w:val="00707D26"/>
    <w:rsid w:val="00707D48"/>
    <w:rsid w:val="00707D59"/>
    <w:rsid w:val="00707DCD"/>
    <w:rsid w:val="00707E4D"/>
    <w:rsid w:val="00707EA1"/>
    <w:rsid w:val="00707ED5"/>
    <w:rsid w:val="00707EE6"/>
    <w:rsid w:val="00707FC7"/>
    <w:rsid w:val="00710008"/>
    <w:rsid w:val="00710023"/>
    <w:rsid w:val="00710057"/>
    <w:rsid w:val="00710093"/>
    <w:rsid w:val="00710104"/>
    <w:rsid w:val="0071016B"/>
    <w:rsid w:val="00710178"/>
    <w:rsid w:val="00710179"/>
    <w:rsid w:val="007102CA"/>
    <w:rsid w:val="007102D5"/>
    <w:rsid w:val="007102F3"/>
    <w:rsid w:val="0071033E"/>
    <w:rsid w:val="00710342"/>
    <w:rsid w:val="0071034F"/>
    <w:rsid w:val="00710395"/>
    <w:rsid w:val="0071041D"/>
    <w:rsid w:val="00710445"/>
    <w:rsid w:val="007104DB"/>
    <w:rsid w:val="00710540"/>
    <w:rsid w:val="0071078E"/>
    <w:rsid w:val="007108A8"/>
    <w:rsid w:val="007108DA"/>
    <w:rsid w:val="00710998"/>
    <w:rsid w:val="00710999"/>
    <w:rsid w:val="007109C2"/>
    <w:rsid w:val="007109F0"/>
    <w:rsid w:val="00710A3E"/>
    <w:rsid w:val="00710B10"/>
    <w:rsid w:val="00710CB1"/>
    <w:rsid w:val="00710D0E"/>
    <w:rsid w:val="00710D6B"/>
    <w:rsid w:val="00710D72"/>
    <w:rsid w:val="00710D7B"/>
    <w:rsid w:val="00710D7C"/>
    <w:rsid w:val="00710DEE"/>
    <w:rsid w:val="00710DF5"/>
    <w:rsid w:val="00710E27"/>
    <w:rsid w:val="00710ED7"/>
    <w:rsid w:val="00710F18"/>
    <w:rsid w:val="00710F2E"/>
    <w:rsid w:val="00710FD0"/>
    <w:rsid w:val="00711065"/>
    <w:rsid w:val="007110CB"/>
    <w:rsid w:val="0071110D"/>
    <w:rsid w:val="0071122D"/>
    <w:rsid w:val="00711278"/>
    <w:rsid w:val="00711315"/>
    <w:rsid w:val="00711342"/>
    <w:rsid w:val="007113BC"/>
    <w:rsid w:val="0071143A"/>
    <w:rsid w:val="00711446"/>
    <w:rsid w:val="00711447"/>
    <w:rsid w:val="007114A9"/>
    <w:rsid w:val="0071152A"/>
    <w:rsid w:val="00711572"/>
    <w:rsid w:val="007115CF"/>
    <w:rsid w:val="00711696"/>
    <w:rsid w:val="007116F4"/>
    <w:rsid w:val="007117BB"/>
    <w:rsid w:val="0071195B"/>
    <w:rsid w:val="0071196A"/>
    <w:rsid w:val="0071197B"/>
    <w:rsid w:val="007119BD"/>
    <w:rsid w:val="00711A72"/>
    <w:rsid w:val="00711AA7"/>
    <w:rsid w:val="00711B1D"/>
    <w:rsid w:val="00711B4F"/>
    <w:rsid w:val="00711CB8"/>
    <w:rsid w:val="00711CBD"/>
    <w:rsid w:val="00711D26"/>
    <w:rsid w:val="00711DC4"/>
    <w:rsid w:val="00711DD7"/>
    <w:rsid w:val="00711DDD"/>
    <w:rsid w:val="00711E63"/>
    <w:rsid w:val="00711EA0"/>
    <w:rsid w:val="00711EF9"/>
    <w:rsid w:val="00711F45"/>
    <w:rsid w:val="00711F58"/>
    <w:rsid w:val="00711FA1"/>
    <w:rsid w:val="00711FCA"/>
    <w:rsid w:val="00711FDA"/>
    <w:rsid w:val="00711FFC"/>
    <w:rsid w:val="00712025"/>
    <w:rsid w:val="00712042"/>
    <w:rsid w:val="00712051"/>
    <w:rsid w:val="0071209F"/>
    <w:rsid w:val="007120F8"/>
    <w:rsid w:val="007121AF"/>
    <w:rsid w:val="007121BD"/>
    <w:rsid w:val="007122D5"/>
    <w:rsid w:val="00712315"/>
    <w:rsid w:val="00712346"/>
    <w:rsid w:val="0071235D"/>
    <w:rsid w:val="0071236C"/>
    <w:rsid w:val="00712384"/>
    <w:rsid w:val="00712386"/>
    <w:rsid w:val="007123AA"/>
    <w:rsid w:val="007123DD"/>
    <w:rsid w:val="00712401"/>
    <w:rsid w:val="00712429"/>
    <w:rsid w:val="00712488"/>
    <w:rsid w:val="00712562"/>
    <w:rsid w:val="00712580"/>
    <w:rsid w:val="007125A2"/>
    <w:rsid w:val="007125C4"/>
    <w:rsid w:val="007125D1"/>
    <w:rsid w:val="007126E4"/>
    <w:rsid w:val="007126EA"/>
    <w:rsid w:val="0071274C"/>
    <w:rsid w:val="007127E6"/>
    <w:rsid w:val="007127F7"/>
    <w:rsid w:val="007127FA"/>
    <w:rsid w:val="007127FB"/>
    <w:rsid w:val="007127FD"/>
    <w:rsid w:val="00712810"/>
    <w:rsid w:val="00712821"/>
    <w:rsid w:val="0071282A"/>
    <w:rsid w:val="00712839"/>
    <w:rsid w:val="00712867"/>
    <w:rsid w:val="00712875"/>
    <w:rsid w:val="0071287D"/>
    <w:rsid w:val="00712891"/>
    <w:rsid w:val="00712899"/>
    <w:rsid w:val="007128CC"/>
    <w:rsid w:val="00712917"/>
    <w:rsid w:val="00712A24"/>
    <w:rsid w:val="00712AB4"/>
    <w:rsid w:val="00712AD9"/>
    <w:rsid w:val="00712B80"/>
    <w:rsid w:val="00712BB5"/>
    <w:rsid w:val="00712C96"/>
    <w:rsid w:val="00712CAF"/>
    <w:rsid w:val="00712CC6"/>
    <w:rsid w:val="00712CEF"/>
    <w:rsid w:val="00712D33"/>
    <w:rsid w:val="00712D62"/>
    <w:rsid w:val="00712DA5"/>
    <w:rsid w:val="00712DC0"/>
    <w:rsid w:val="00712DEB"/>
    <w:rsid w:val="00712E68"/>
    <w:rsid w:val="00712EAE"/>
    <w:rsid w:val="00712ECD"/>
    <w:rsid w:val="00712F4E"/>
    <w:rsid w:val="00712F95"/>
    <w:rsid w:val="00712FFA"/>
    <w:rsid w:val="0071302F"/>
    <w:rsid w:val="0071303E"/>
    <w:rsid w:val="00713116"/>
    <w:rsid w:val="0071313E"/>
    <w:rsid w:val="0071317A"/>
    <w:rsid w:val="007131D5"/>
    <w:rsid w:val="0071326D"/>
    <w:rsid w:val="007132DD"/>
    <w:rsid w:val="00713302"/>
    <w:rsid w:val="00713359"/>
    <w:rsid w:val="00713368"/>
    <w:rsid w:val="007133C7"/>
    <w:rsid w:val="00713445"/>
    <w:rsid w:val="0071345A"/>
    <w:rsid w:val="00713469"/>
    <w:rsid w:val="0071348A"/>
    <w:rsid w:val="00713553"/>
    <w:rsid w:val="0071358D"/>
    <w:rsid w:val="00713774"/>
    <w:rsid w:val="007138CF"/>
    <w:rsid w:val="00713995"/>
    <w:rsid w:val="007139DC"/>
    <w:rsid w:val="00713A53"/>
    <w:rsid w:val="00713A5E"/>
    <w:rsid w:val="00713A7E"/>
    <w:rsid w:val="00713B0D"/>
    <w:rsid w:val="00713B2E"/>
    <w:rsid w:val="00713B30"/>
    <w:rsid w:val="00713B35"/>
    <w:rsid w:val="00713B42"/>
    <w:rsid w:val="00713B4E"/>
    <w:rsid w:val="00713B5F"/>
    <w:rsid w:val="00713C54"/>
    <w:rsid w:val="00713D8A"/>
    <w:rsid w:val="00713D8C"/>
    <w:rsid w:val="00713DB9"/>
    <w:rsid w:val="00713DDA"/>
    <w:rsid w:val="00713DEE"/>
    <w:rsid w:val="00713E24"/>
    <w:rsid w:val="00713EA6"/>
    <w:rsid w:val="00714007"/>
    <w:rsid w:val="0071401E"/>
    <w:rsid w:val="00714083"/>
    <w:rsid w:val="007140A5"/>
    <w:rsid w:val="00714143"/>
    <w:rsid w:val="007141DE"/>
    <w:rsid w:val="00714220"/>
    <w:rsid w:val="00714254"/>
    <w:rsid w:val="00714265"/>
    <w:rsid w:val="007142A5"/>
    <w:rsid w:val="007142CD"/>
    <w:rsid w:val="0071430A"/>
    <w:rsid w:val="0071432D"/>
    <w:rsid w:val="00714378"/>
    <w:rsid w:val="007143BC"/>
    <w:rsid w:val="007144AC"/>
    <w:rsid w:val="007144C4"/>
    <w:rsid w:val="007144E2"/>
    <w:rsid w:val="007144FE"/>
    <w:rsid w:val="00714531"/>
    <w:rsid w:val="0071456E"/>
    <w:rsid w:val="007145DE"/>
    <w:rsid w:val="007146BD"/>
    <w:rsid w:val="0071472D"/>
    <w:rsid w:val="007147A2"/>
    <w:rsid w:val="00714838"/>
    <w:rsid w:val="0071485F"/>
    <w:rsid w:val="00714861"/>
    <w:rsid w:val="00714895"/>
    <w:rsid w:val="007148B3"/>
    <w:rsid w:val="007148F1"/>
    <w:rsid w:val="00714940"/>
    <w:rsid w:val="00714953"/>
    <w:rsid w:val="00714967"/>
    <w:rsid w:val="007149F7"/>
    <w:rsid w:val="00714C23"/>
    <w:rsid w:val="00714CD7"/>
    <w:rsid w:val="00714D35"/>
    <w:rsid w:val="00714D3F"/>
    <w:rsid w:val="00714D9F"/>
    <w:rsid w:val="00714EA7"/>
    <w:rsid w:val="00714EB2"/>
    <w:rsid w:val="00714ECA"/>
    <w:rsid w:val="00714F52"/>
    <w:rsid w:val="00714F63"/>
    <w:rsid w:val="00714FA3"/>
    <w:rsid w:val="00714FAB"/>
    <w:rsid w:val="00714FB9"/>
    <w:rsid w:val="00715074"/>
    <w:rsid w:val="00715179"/>
    <w:rsid w:val="007151A2"/>
    <w:rsid w:val="0071521C"/>
    <w:rsid w:val="00715238"/>
    <w:rsid w:val="007152F9"/>
    <w:rsid w:val="00715335"/>
    <w:rsid w:val="00715347"/>
    <w:rsid w:val="007153B2"/>
    <w:rsid w:val="007153E4"/>
    <w:rsid w:val="00715421"/>
    <w:rsid w:val="007154F7"/>
    <w:rsid w:val="0071552C"/>
    <w:rsid w:val="0071553C"/>
    <w:rsid w:val="00715575"/>
    <w:rsid w:val="00715626"/>
    <w:rsid w:val="007156B6"/>
    <w:rsid w:val="007156CB"/>
    <w:rsid w:val="00715779"/>
    <w:rsid w:val="0071579B"/>
    <w:rsid w:val="0071583A"/>
    <w:rsid w:val="0071589A"/>
    <w:rsid w:val="0071592C"/>
    <w:rsid w:val="0071593A"/>
    <w:rsid w:val="00715956"/>
    <w:rsid w:val="0071595B"/>
    <w:rsid w:val="00715995"/>
    <w:rsid w:val="007159C4"/>
    <w:rsid w:val="007159E9"/>
    <w:rsid w:val="00715ABF"/>
    <w:rsid w:val="00715B56"/>
    <w:rsid w:val="00715B6A"/>
    <w:rsid w:val="00715BD3"/>
    <w:rsid w:val="00715C3A"/>
    <w:rsid w:val="00715C7D"/>
    <w:rsid w:val="00715CC7"/>
    <w:rsid w:val="00715D2A"/>
    <w:rsid w:val="00715DE9"/>
    <w:rsid w:val="00715E14"/>
    <w:rsid w:val="00715EC2"/>
    <w:rsid w:val="00715FB0"/>
    <w:rsid w:val="00715FFE"/>
    <w:rsid w:val="00716066"/>
    <w:rsid w:val="0071609A"/>
    <w:rsid w:val="007160CC"/>
    <w:rsid w:val="007160E5"/>
    <w:rsid w:val="0071618F"/>
    <w:rsid w:val="007161D9"/>
    <w:rsid w:val="007161F3"/>
    <w:rsid w:val="0071620E"/>
    <w:rsid w:val="007162BC"/>
    <w:rsid w:val="007162D4"/>
    <w:rsid w:val="007162E2"/>
    <w:rsid w:val="00716333"/>
    <w:rsid w:val="0071637D"/>
    <w:rsid w:val="00716380"/>
    <w:rsid w:val="00716389"/>
    <w:rsid w:val="007164B4"/>
    <w:rsid w:val="00716520"/>
    <w:rsid w:val="007165D0"/>
    <w:rsid w:val="007165F9"/>
    <w:rsid w:val="00716652"/>
    <w:rsid w:val="007166B0"/>
    <w:rsid w:val="007166B6"/>
    <w:rsid w:val="007166C3"/>
    <w:rsid w:val="007167BF"/>
    <w:rsid w:val="007168A0"/>
    <w:rsid w:val="007168EA"/>
    <w:rsid w:val="00716AF4"/>
    <w:rsid w:val="00716BBE"/>
    <w:rsid w:val="00716C49"/>
    <w:rsid w:val="00716C54"/>
    <w:rsid w:val="00716C69"/>
    <w:rsid w:val="00716CBA"/>
    <w:rsid w:val="00716CF7"/>
    <w:rsid w:val="00716D16"/>
    <w:rsid w:val="00716DCF"/>
    <w:rsid w:val="00716E12"/>
    <w:rsid w:val="00716E5F"/>
    <w:rsid w:val="00716EF1"/>
    <w:rsid w:val="00716F0B"/>
    <w:rsid w:val="00716FB1"/>
    <w:rsid w:val="00716FD3"/>
    <w:rsid w:val="00716FD8"/>
    <w:rsid w:val="0071707A"/>
    <w:rsid w:val="007170B0"/>
    <w:rsid w:val="007171D5"/>
    <w:rsid w:val="00717282"/>
    <w:rsid w:val="00717308"/>
    <w:rsid w:val="007173B7"/>
    <w:rsid w:val="007173BA"/>
    <w:rsid w:val="007173EF"/>
    <w:rsid w:val="007174A4"/>
    <w:rsid w:val="007174B0"/>
    <w:rsid w:val="007174BE"/>
    <w:rsid w:val="00717552"/>
    <w:rsid w:val="0071757D"/>
    <w:rsid w:val="007175B1"/>
    <w:rsid w:val="007175E8"/>
    <w:rsid w:val="007176C9"/>
    <w:rsid w:val="007177A8"/>
    <w:rsid w:val="007177D5"/>
    <w:rsid w:val="007179A1"/>
    <w:rsid w:val="00717A1A"/>
    <w:rsid w:val="00717A22"/>
    <w:rsid w:val="00717A23"/>
    <w:rsid w:val="00717A61"/>
    <w:rsid w:val="00717A7F"/>
    <w:rsid w:val="00717AAA"/>
    <w:rsid w:val="00717B03"/>
    <w:rsid w:val="00717B06"/>
    <w:rsid w:val="00717B29"/>
    <w:rsid w:val="00717B56"/>
    <w:rsid w:val="00717BB2"/>
    <w:rsid w:val="00717BCA"/>
    <w:rsid w:val="00717BE1"/>
    <w:rsid w:val="00717BEE"/>
    <w:rsid w:val="00717C3C"/>
    <w:rsid w:val="00717C6C"/>
    <w:rsid w:val="00717C75"/>
    <w:rsid w:val="00717C7F"/>
    <w:rsid w:val="00717CA9"/>
    <w:rsid w:val="00717CDA"/>
    <w:rsid w:val="00717D16"/>
    <w:rsid w:val="00717D25"/>
    <w:rsid w:val="00717D3F"/>
    <w:rsid w:val="00717D65"/>
    <w:rsid w:val="00717DD4"/>
    <w:rsid w:val="00717DF1"/>
    <w:rsid w:val="00717EA6"/>
    <w:rsid w:val="00717ECF"/>
    <w:rsid w:val="00717EEA"/>
    <w:rsid w:val="00717F93"/>
    <w:rsid w:val="00717FEF"/>
    <w:rsid w:val="00717FF4"/>
    <w:rsid w:val="0072000A"/>
    <w:rsid w:val="0072000C"/>
    <w:rsid w:val="0072001C"/>
    <w:rsid w:val="0072015F"/>
    <w:rsid w:val="007201C2"/>
    <w:rsid w:val="007201FB"/>
    <w:rsid w:val="0072021A"/>
    <w:rsid w:val="0072028D"/>
    <w:rsid w:val="007202A3"/>
    <w:rsid w:val="007202D2"/>
    <w:rsid w:val="00720339"/>
    <w:rsid w:val="007203D9"/>
    <w:rsid w:val="007204C3"/>
    <w:rsid w:val="007205A4"/>
    <w:rsid w:val="00720754"/>
    <w:rsid w:val="00720869"/>
    <w:rsid w:val="0072086D"/>
    <w:rsid w:val="007208D6"/>
    <w:rsid w:val="007209A0"/>
    <w:rsid w:val="00720A0C"/>
    <w:rsid w:val="00720ADE"/>
    <w:rsid w:val="00720AED"/>
    <w:rsid w:val="00720B83"/>
    <w:rsid w:val="00720BA0"/>
    <w:rsid w:val="00720C2C"/>
    <w:rsid w:val="00720CF6"/>
    <w:rsid w:val="00720D0C"/>
    <w:rsid w:val="00720D25"/>
    <w:rsid w:val="00720D84"/>
    <w:rsid w:val="00720DBA"/>
    <w:rsid w:val="00720E41"/>
    <w:rsid w:val="00720E46"/>
    <w:rsid w:val="00720E50"/>
    <w:rsid w:val="00720F7F"/>
    <w:rsid w:val="00720FCD"/>
    <w:rsid w:val="007210BA"/>
    <w:rsid w:val="007210D0"/>
    <w:rsid w:val="00721115"/>
    <w:rsid w:val="00721131"/>
    <w:rsid w:val="00721148"/>
    <w:rsid w:val="00721149"/>
    <w:rsid w:val="0072115A"/>
    <w:rsid w:val="00721215"/>
    <w:rsid w:val="007213FE"/>
    <w:rsid w:val="00721406"/>
    <w:rsid w:val="0072140D"/>
    <w:rsid w:val="007214C8"/>
    <w:rsid w:val="00721576"/>
    <w:rsid w:val="007215FF"/>
    <w:rsid w:val="00721605"/>
    <w:rsid w:val="00721734"/>
    <w:rsid w:val="007217EC"/>
    <w:rsid w:val="00721835"/>
    <w:rsid w:val="0072185A"/>
    <w:rsid w:val="0072186E"/>
    <w:rsid w:val="00721880"/>
    <w:rsid w:val="007218BD"/>
    <w:rsid w:val="007218F2"/>
    <w:rsid w:val="00721928"/>
    <w:rsid w:val="00721970"/>
    <w:rsid w:val="00721A42"/>
    <w:rsid w:val="00721B52"/>
    <w:rsid w:val="00721B55"/>
    <w:rsid w:val="00721B6F"/>
    <w:rsid w:val="00721B7C"/>
    <w:rsid w:val="00721BAD"/>
    <w:rsid w:val="00721BAE"/>
    <w:rsid w:val="00721BC9"/>
    <w:rsid w:val="00721BD1"/>
    <w:rsid w:val="00721C20"/>
    <w:rsid w:val="00721CA8"/>
    <w:rsid w:val="00721CAF"/>
    <w:rsid w:val="00721D1E"/>
    <w:rsid w:val="00721DBB"/>
    <w:rsid w:val="00721DE6"/>
    <w:rsid w:val="00721E21"/>
    <w:rsid w:val="00721E59"/>
    <w:rsid w:val="00721F14"/>
    <w:rsid w:val="00721F97"/>
    <w:rsid w:val="00721FE7"/>
    <w:rsid w:val="00722066"/>
    <w:rsid w:val="0072210C"/>
    <w:rsid w:val="00722155"/>
    <w:rsid w:val="00722212"/>
    <w:rsid w:val="00722219"/>
    <w:rsid w:val="0072229C"/>
    <w:rsid w:val="007222EA"/>
    <w:rsid w:val="007223B8"/>
    <w:rsid w:val="0072247D"/>
    <w:rsid w:val="00722481"/>
    <w:rsid w:val="0072251E"/>
    <w:rsid w:val="00722559"/>
    <w:rsid w:val="00722562"/>
    <w:rsid w:val="00722589"/>
    <w:rsid w:val="00722644"/>
    <w:rsid w:val="007226D2"/>
    <w:rsid w:val="00722733"/>
    <w:rsid w:val="00722773"/>
    <w:rsid w:val="007227F2"/>
    <w:rsid w:val="00722813"/>
    <w:rsid w:val="0072286B"/>
    <w:rsid w:val="0072290C"/>
    <w:rsid w:val="007229BD"/>
    <w:rsid w:val="007229D1"/>
    <w:rsid w:val="007229F2"/>
    <w:rsid w:val="007229F9"/>
    <w:rsid w:val="00722A22"/>
    <w:rsid w:val="00722A54"/>
    <w:rsid w:val="00722A77"/>
    <w:rsid w:val="00722A7E"/>
    <w:rsid w:val="00722A91"/>
    <w:rsid w:val="00722B32"/>
    <w:rsid w:val="00722B53"/>
    <w:rsid w:val="00722B92"/>
    <w:rsid w:val="00722BBB"/>
    <w:rsid w:val="00722C03"/>
    <w:rsid w:val="00722C0D"/>
    <w:rsid w:val="00722C34"/>
    <w:rsid w:val="00722C86"/>
    <w:rsid w:val="00722CA3"/>
    <w:rsid w:val="00722CC5"/>
    <w:rsid w:val="00722CDD"/>
    <w:rsid w:val="00722D03"/>
    <w:rsid w:val="00722D07"/>
    <w:rsid w:val="00722D0A"/>
    <w:rsid w:val="00722D85"/>
    <w:rsid w:val="00722D9A"/>
    <w:rsid w:val="00722DD3"/>
    <w:rsid w:val="00722EBC"/>
    <w:rsid w:val="00722F95"/>
    <w:rsid w:val="00722FA0"/>
    <w:rsid w:val="00722FA9"/>
    <w:rsid w:val="007230AD"/>
    <w:rsid w:val="0072319A"/>
    <w:rsid w:val="00723205"/>
    <w:rsid w:val="0072327B"/>
    <w:rsid w:val="0072329D"/>
    <w:rsid w:val="007232C3"/>
    <w:rsid w:val="007233E7"/>
    <w:rsid w:val="00723452"/>
    <w:rsid w:val="00723476"/>
    <w:rsid w:val="007234BD"/>
    <w:rsid w:val="0072362A"/>
    <w:rsid w:val="00723741"/>
    <w:rsid w:val="007237DF"/>
    <w:rsid w:val="007237E5"/>
    <w:rsid w:val="007238B0"/>
    <w:rsid w:val="007238C5"/>
    <w:rsid w:val="007238D8"/>
    <w:rsid w:val="007238DF"/>
    <w:rsid w:val="00723994"/>
    <w:rsid w:val="007239C2"/>
    <w:rsid w:val="00723A47"/>
    <w:rsid w:val="00723A52"/>
    <w:rsid w:val="00723B21"/>
    <w:rsid w:val="00723B59"/>
    <w:rsid w:val="00723B8E"/>
    <w:rsid w:val="00723BC9"/>
    <w:rsid w:val="00723C0C"/>
    <w:rsid w:val="00723C1D"/>
    <w:rsid w:val="00723C28"/>
    <w:rsid w:val="00723C58"/>
    <w:rsid w:val="00723CE5"/>
    <w:rsid w:val="00723CE6"/>
    <w:rsid w:val="00723E0C"/>
    <w:rsid w:val="00723E2E"/>
    <w:rsid w:val="00723EC1"/>
    <w:rsid w:val="00723ED5"/>
    <w:rsid w:val="00723FA5"/>
    <w:rsid w:val="0072403B"/>
    <w:rsid w:val="007240D9"/>
    <w:rsid w:val="00724165"/>
    <w:rsid w:val="007241B8"/>
    <w:rsid w:val="007242B4"/>
    <w:rsid w:val="007242D1"/>
    <w:rsid w:val="00724328"/>
    <w:rsid w:val="007243D1"/>
    <w:rsid w:val="007245B8"/>
    <w:rsid w:val="007245C5"/>
    <w:rsid w:val="007245C7"/>
    <w:rsid w:val="007245CE"/>
    <w:rsid w:val="007245D4"/>
    <w:rsid w:val="0072463C"/>
    <w:rsid w:val="0072475B"/>
    <w:rsid w:val="00724778"/>
    <w:rsid w:val="0072478D"/>
    <w:rsid w:val="007247CD"/>
    <w:rsid w:val="0072487C"/>
    <w:rsid w:val="007248C1"/>
    <w:rsid w:val="0072496F"/>
    <w:rsid w:val="007249DA"/>
    <w:rsid w:val="00724A8F"/>
    <w:rsid w:val="00724AAE"/>
    <w:rsid w:val="00724AC7"/>
    <w:rsid w:val="00724B56"/>
    <w:rsid w:val="00724B76"/>
    <w:rsid w:val="00724B7E"/>
    <w:rsid w:val="00724C14"/>
    <w:rsid w:val="00724C65"/>
    <w:rsid w:val="00724D08"/>
    <w:rsid w:val="00724D50"/>
    <w:rsid w:val="00724E38"/>
    <w:rsid w:val="00724F0C"/>
    <w:rsid w:val="00724F5D"/>
    <w:rsid w:val="00724F89"/>
    <w:rsid w:val="00724FCB"/>
    <w:rsid w:val="00724FD6"/>
    <w:rsid w:val="00724FDF"/>
    <w:rsid w:val="00724FE7"/>
    <w:rsid w:val="00725236"/>
    <w:rsid w:val="007252C3"/>
    <w:rsid w:val="00725315"/>
    <w:rsid w:val="00725317"/>
    <w:rsid w:val="00725319"/>
    <w:rsid w:val="00725348"/>
    <w:rsid w:val="007253A4"/>
    <w:rsid w:val="007253C2"/>
    <w:rsid w:val="007253E3"/>
    <w:rsid w:val="00725425"/>
    <w:rsid w:val="00725428"/>
    <w:rsid w:val="00725486"/>
    <w:rsid w:val="007254FE"/>
    <w:rsid w:val="00725526"/>
    <w:rsid w:val="00725589"/>
    <w:rsid w:val="007255D6"/>
    <w:rsid w:val="00725621"/>
    <w:rsid w:val="0072564D"/>
    <w:rsid w:val="00725659"/>
    <w:rsid w:val="0072567E"/>
    <w:rsid w:val="007256C1"/>
    <w:rsid w:val="0072573C"/>
    <w:rsid w:val="00725783"/>
    <w:rsid w:val="007257C5"/>
    <w:rsid w:val="00725800"/>
    <w:rsid w:val="00725830"/>
    <w:rsid w:val="00725834"/>
    <w:rsid w:val="007258F0"/>
    <w:rsid w:val="00725958"/>
    <w:rsid w:val="00725977"/>
    <w:rsid w:val="0072598B"/>
    <w:rsid w:val="00725992"/>
    <w:rsid w:val="00725A29"/>
    <w:rsid w:val="00725AB7"/>
    <w:rsid w:val="00725AC6"/>
    <w:rsid w:val="00725B15"/>
    <w:rsid w:val="00725B2D"/>
    <w:rsid w:val="00725B94"/>
    <w:rsid w:val="00725B9D"/>
    <w:rsid w:val="00725BA0"/>
    <w:rsid w:val="00725C1F"/>
    <w:rsid w:val="00725C26"/>
    <w:rsid w:val="00725C4C"/>
    <w:rsid w:val="00725D17"/>
    <w:rsid w:val="00725D1A"/>
    <w:rsid w:val="00725D33"/>
    <w:rsid w:val="00725E0C"/>
    <w:rsid w:val="00725E65"/>
    <w:rsid w:val="00725F5C"/>
    <w:rsid w:val="00725F74"/>
    <w:rsid w:val="00725F7D"/>
    <w:rsid w:val="00725FDF"/>
    <w:rsid w:val="00725FE7"/>
    <w:rsid w:val="00726010"/>
    <w:rsid w:val="0072604B"/>
    <w:rsid w:val="0072608F"/>
    <w:rsid w:val="007260FA"/>
    <w:rsid w:val="00726180"/>
    <w:rsid w:val="007261D2"/>
    <w:rsid w:val="0072622B"/>
    <w:rsid w:val="0072629C"/>
    <w:rsid w:val="007262EF"/>
    <w:rsid w:val="00726417"/>
    <w:rsid w:val="0072655D"/>
    <w:rsid w:val="00726640"/>
    <w:rsid w:val="00726834"/>
    <w:rsid w:val="007268C8"/>
    <w:rsid w:val="00726900"/>
    <w:rsid w:val="0072691C"/>
    <w:rsid w:val="00726920"/>
    <w:rsid w:val="0072698D"/>
    <w:rsid w:val="00726A20"/>
    <w:rsid w:val="00726A54"/>
    <w:rsid w:val="00726AB4"/>
    <w:rsid w:val="00726ADA"/>
    <w:rsid w:val="00726BB8"/>
    <w:rsid w:val="00726BF5"/>
    <w:rsid w:val="00726BFC"/>
    <w:rsid w:val="00726C33"/>
    <w:rsid w:val="00726C89"/>
    <w:rsid w:val="00726D17"/>
    <w:rsid w:val="00726D34"/>
    <w:rsid w:val="00726DD7"/>
    <w:rsid w:val="00726DF2"/>
    <w:rsid w:val="00726E43"/>
    <w:rsid w:val="00726E4F"/>
    <w:rsid w:val="00726EF9"/>
    <w:rsid w:val="00726F36"/>
    <w:rsid w:val="00726F9D"/>
    <w:rsid w:val="00726FA9"/>
    <w:rsid w:val="00726FDB"/>
    <w:rsid w:val="0072700F"/>
    <w:rsid w:val="00727089"/>
    <w:rsid w:val="007270B6"/>
    <w:rsid w:val="0072712B"/>
    <w:rsid w:val="0072714E"/>
    <w:rsid w:val="00727200"/>
    <w:rsid w:val="0072720D"/>
    <w:rsid w:val="00727238"/>
    <w:rsid w:val="007272BF"/>
    <w:rsid w:val="007273B2"/>
    <w:rsid w:val="007273D4"/>
    <w:rsid w:val="007273E2"/>
    <w:rsid w:val="00727412"/>
    <w:rsid w:val="0072742F"/>
    <w:rsid w:val="007274FA"/>
    <w:rsid w:val="007275A9"/>
    <w:rsid w:val="007275D1"/>
    <w:rsid w:val="00727641"/>
    <w:rsid w:val="0072764D"/>
    <w:rsid w:val="00727686"/>
    <w:rsid w:val="007276AA"/>
    <w:rsid w:val="007276E2"/>
    <w:rsid w:val="007276F7"/>
    <w:rsid w:val="00727746"/>
    <w:rsid w:val="0072775E"/>
    <w:rsid w:val="0072785B"/>
    <w:rsid w:val="0072785E"/>
    <w:rsid w:val="007278E2"/>
    <w:rsid w:val="007278E7"/>
    <w:rsid w:val="0072790C"/>
    <w:rsid w:val="007279C5"/>
    <w:rsid w:val="00727A18"/>
    <w:rsid w:val="00727A19"/>
    <w:rsid w:val="00727A29"/>
    <w:rsid w:val="00727A36"/>
    <w:rsid w:val="00727A91"/>
    <w:rsid w:val="00727AC3"/>
    <w:rsid w:val="00727B28"/>
    <w:rsid w:val="00727B31"/>
    <w:rsid w:val="00727BDA"/>
    <w:rsid w:val="00727C54"/>
    <w:rsid w:val="00727CD8"/>
    <w:rsid w:val="00727CED"/>
    <w:rsid w:val="00727D44"/>
    <w:rsid w:val="00727D6B"/>
    <w:rsid w:val="00727DDC"/>
    <w:rsid w:val="00727E17"/>
    <w:rsid w:val="00727E36"/>
    <w:rsid w:val="00727E83"/>
    <w:rsid w:val="00727EAA"/>
    <w:rsid w:val="00727F4F"/>
    <w:rsid w:val="00727FD6"/>
    <w:rsid w:val="00730040"/>
    <w:rsid w:val="0073009C"/>
    <w:rsid w:val="0073015C"/>
    <w:rsid w:val="0073025C"/>
    <w:rsid w:val="00730327"/>
    <w:rsid w:val="00730378"/>
    <w:rsid w:val="0073037D"/>
    <w:rsid w:val="0073041D"/>
    <w:rsid w:val="00730505"/>
    <w:rsid w:val="00730531"/>
    <w:rsid w:val="007305E6"/>
    <w:rsid w:val="007305FF"/>
    <w:rsid w:val="00730609"/>
    <w:rsid w:val="00730625"/>
    <w:rsid w:val="00730697"/>
    <w:rsid w:val="0073081A"/>
    <w:rsid w:val="00730881"/>
    <w:rsid w:val="00730887"/>
    <w:rsid w:val="0073089C"/>
    <w:rsid w:val="007308C5"/>
    <w:rsid w:val="0073090E"/>
    <w:rsid w:val="00730965"/>
    <w:rsid w:val="0073099C"/>
    <w:rsid w:val="007309F7"/>
    <w:rsid w:val="00730A32"/>
    <w:rsid w:val="00730A8E"/>
    <w:rsid w:val="00730A92"/>
    <w:rsid w:val="00730B52"/>
    <w:rsid w:val="00730BA0"/>
    <w:rsid w:val="00730BC7"/>
    <w:rsid w:val="00730BF2"/>
    <w:rsid w:val="00730CB4"/>
    <w:rsid w:val="00730D3E"/>
    <w:rsid w:val="00730D60"/>
    <w:rsid w:val="00730D73"/>
    <w:rsid w:val="00730DF3"/>
    <w:rsid w:val="00730E52"/>
    <w:rsid w:val="00730E80"/>
    <w:rsid w:val="00730EF4"/>
    <w:rsid w:val="00730F0D"/>
    <w:rsid w:val="00730F0E"/>
    <w:rsid w:val="0073109B"/>
    <w:rsid w:val="007310BF"/>
    <w:rsid w:val="00731120"/>
    <w:rsid w:val="0073112F"/>
    <w:rsid w:val="00731246"/>
    <w:rsid w:val="00731265"/>
    <w:rsid w:val="00731273"/>
    <w:rsid w:val="007312E8"/>
    <w:rsid w:val="0073133E"/>
    <w:rsid w:val="00731383"/>
    <w:rsid w:val="00731384"/>
    <w:rsid w:val="007313C0"/>
    <w:rsid w:val="007313C1"/>
    <w:rsid w:val="007313D9"/>
    <w:rsid w:val="007313EA"/>
    <w:rsid w:val="00731414"/>
    <w:rsid w:val="00731423"/>
    <w:rsid w:val="0073144A"/>
    <w:rsid w:val="007314B0"/>
    <w:rsid w:val="0073155F"/>
    <w:rsid w:val="007315AE"/>
    <w:rsid w:val="007315CC"/>
    <w:rsid w:val="00731682"/>
    <w:rsid w:val="007316A3"/>
    <w:rsid w:val="0073173D"/>
    <w:rsid w:val="0073174C"/>
    <w:rsid w:val="007317D0"/>
    <w:rsid w:val="007317D5"/>
    <w:rsid w:val="007317F8"/>
    <w:rsid w:val="00731818"/>
    <w:rsid w:val="0073186A"/>
    <w:rsid w:val="00731898"/>
    <w:rsid w:val="007318B2"/>
    <w:rsid w:val="007318BF"/>
    <w:rsid w:val="00731941"/>
    <w:rsid w:val="00731953"/>
    <w:rsid w:val="00731968"/>
    <w:rsid w:val="00731997"/>
    <w:rsid w:val="007319AB"/>
    <w:rsid w:val="00731A3B"/>
    <w:rsid w:val="00731AFA"/>
    <w:rsid w:val="00731B8D"/>
    <w:rsid w:val="00731B99"/>
    <w:rsid w:val="00731BEF"/>
    <w:rsid w:val="00731CEE"/>
    <w:rsid w:val="00731D64"/>
    <w:rsid w:val="00731D9D"/>
    <w:rsid w:val="00731DE2"/>
    <w:rsid w:val="00731EB5"/>
    <w:rsid w:val="00731ECB"/>
    <w:rsid w:val="00731EEC"/>
    <w:rsid w:val="00731F06"/>
    <w:rsid w:val="00731F2E"/>
    <w:rsid w:val="00731F44"/>
    <w:rsid w:val="00731F54"/>
    <w:rsid w:val="00731F64"/>
    <w:rsid w:val="00731FC9"/>
    <w:rsid w:val="00732057"/>
    <w:rsid w:val="00732115"/>
    <w:rsid w:val="00732121"/>
    <w:rsid w:val="00732130"/>
    <w:rsid w:val="00732141"/>
    <w:rsid w:val="00732176"/>
    <w:rsid w:val="007321CF"/>
    <w:rsid w:val="00732249"/>
    <w:rsid w:val="00732259"/>
    <w:rsid w:val="0073225C"/>
    <w:rsid w:val="007322A1"/>
    <w:rsid w:val="007322C3"/>
    <w:rsid w:val="0073236D"/>
    <w:rsid w:val="00732396"/>
    <w:rsid w:val="007323C4"/>
    <w:rsid w:val="00732517"/>
    <w:rsid w:val="00732558"/>
    <w:rsid w:val="007325F0"/>
    <w:rsid w:val="007325F6"/>
    <w:rsid w:val="00732615"/>
    <w:rsid w:val="0073266A"/>
    <w:rsid w:val="007326B6"/>
    <w:rsid w:val="00732750"/>
    <w:rsid w:val="00732761"/>
    <w:rsid w:val="007327DF"/>
    <w:rsid w:val="00732897"/>
    <w:rsid w:val="007328F3"/>
    <w:rsid w:val="007328F7"/>
    <w:rsid w:val="0073290E"/>
    <w:rsid w:val="0073291D"/>
    <w:rsid w:val="007329B7"/>
    <w:rsid w:val="007329B9"/>
    <w:rsid w:val="00732A2B"/>
    <w:rsid w:val="00732AAD"/>
    <w:rsid w:val="00732B0C"/>
    <w:rsid w:val="00732B14"/>
    <w:rsid w:val="00732B15"/>
    <w:rsid w:val="00732B7B"/>
    <w:rsid w:val="00732BFE"/>
    <w:rsid w:val="00732C19"/>
    <w:rsid w:val="00732C39"/>
    <w:rsid w:val="00732C54"/>
    <w:rsid w:val="00732C6B"/>
    <w:rsid w:val="00732C84"/>
    <w:rsid w:val="00732CA7"/>
    <w:rsid w:val="00732D37"/>
    <w:rsid w:val="00732D3B"/>
    <w:rsid w:val="00732DDA"/>
    <w:rsid w:val="00732DE1"/>
    <w:rsid w:val="00732E32"/>
    <w:rsid w:val="00732E75"/>
    <w:rsid w:val="00732F17"/>
    <w:rsid w:val="00732FAE"/>
    <w:rsid w:val="00733087"/>
    <w:rsid w:val="007330ED"/>
    <w:rsid w:val="007331A8"/>
    <w:rsid w:val="007331C8"/>
    <w:rsid w:val="00733220"/>
    <w:rsid w:val="00733268"/>
    <w:rsid w:val="0073326F"/>
    <w:rsid w:val="00733282"/>
    <w:rsid w:val="007333F2"/>
    <w:rsid w:val="00733472"/>
    <w:rsid w:val="00733557"/>
    <w:rsid w:val="00733574"/>
    <w:rsid w:val="007335C0"/>
    <w:rsid w:val="007335C4"/>
    <w:rsid w:val="00733614"/>
    <w:rsid w:val="007336A8"/>
    <w:rsid w:val="00733737"/>
    <w:rsid w:val="00733779"/>
    <w:rsid w:val="00733839"/>
    <w:rsid w:val="007338C4"/>
    <w:rsid w:val="007338E4"/>
    <w:rsid w:val="007338F0"/>
    <w:rsid w:val="007339B1"/>
    <w:rsid w:val="007339DF"/>
    <w:rsid w:val="00733B32"/>
    <w:rsid w:val="00733B5D"/>
    <w:rsid w:val="00733B97"/>
    <w:rsid w:val="00733BB3"/>
    <w:rsid w:val="00733BC9"/>
    <w:rsid w:val="00733C4F"/>
    <w:rsid w:val="00733C70"/>
    <w:rsid w:val="00733C80"/>
    <w:rsid w:val="00733D7C"/>
    <w:rsid w:val="00733E68"/>
    <w:rsid w:val="00733F26"/>
    <w:rsid w:val="00733F56"/>
    <w:rsid w:val="00733F5A"/>
    <w:rsid w:val="00733FEB"/>
    <w:rsid w:val="00734015"/>
    <w:rsid w:val="0073409A"/>
    <w:rsid w:val="007340D0"/>
    <w:rsid w:val="00734160"/>
    <w:rsid w:val="00734203"/>
    <w:rsid w:val="00734245"/>
    <w:rsid w:val="007342AA"/>
    <w:rsid w:val="00734303"/>
    <w:rsid w:val="00734399"/>
    <w:rsid w:val="007344BF"/>
    <w:rsid w:val="007344CD"/>
    <w:rsid w:val="00734503"/>
    <w:rsid w:val="00734554"/>
    <w:rsid w:val="007345EE"/>
    <w:rsid w:val="007346C3"/>
    <w:rsid w:val="007346D2"/>
    <w:rsid w:val="00734711"/>
    <w:rsid w:val="00734784"/>
    <w:rsid w:val="007348C9"/>
    <w:rsid w:val="00734905"/>
    <w:rsid w:val="00734947"/>
    <w:rsid w:val="00734A4A"/>
    <w:rsid w:val="00734A6B"/>
    <w:rsid w:val="00734AC6"/>
    <w:rsid w:val="00734B41"/>
    <w:rsid w:val="00734C4E"/>
    <w:rsid w:val="00734C7E"/>
    <w:rsid w:val="00734CB8"/>
    <w:rsid w:val="00734CD8"/>
    <w:rsid w:val="00734CDF"/>
    <w:rsid w:val="00734D39"/>
    <w:rsid w:val="00734D65"/>
    <w:rsid w:val="00734D8F"/>
    <w:rsid w:val="00734DB3"/>
    <w:rsid w:val="00734DB4"/>
    <w:rsid w:val="00734DC2"/>
    <w:rsid w:val="00734E3E"/>
    <w:rsid w:val="00734E76"/>
    <w:rsid w:val="00734ED0"/>
    <w:rsid w:val="00734F05"/>
    <w:rsid w:val="00734F92"/>
    <w:rsid w:val="00734FC2"/>
    <w:rsid w:val="00735029"/>
    <w:rsid w:val="0073504A"/>
    <w:rsid w:val="0073506E"/>
    <w:rsid w:val="007350AF"/>
    <w:rsid w:val="007350C4"/>
    <w:rsid w:val="007350D4"/>
    <w:rsid w:val="0073515E"/>
    <w:rsid w:val="007351B1"/>
    <w:rsid w:val="007351B2"/>
    <w:rsid w:val="007351DF"/>
    <w:rsid w:val="007351F2"/>
    <w:rsid w:val="00735243"/>
    <w:rsid w:val="007352EB"/>
    <w:rsid w:val="007352FD"/>
    <w:rsid w:val="00735306"/>
    <w:rsid w:val="00735340"/>
    <w:rsid w:val="00735348"/>
    <w:rsid w:val="007353DA"/>
    <w:rsid w:val="00735468"/>
    <w:rsid w:val="00735477"/>
    <w:rsid w:val="00735479"/>
    <w:rsid w:val="00735497"/>
    <w:rsid w:val="0073549C"/>
    <w:rsid w:val="0073550B"/>
    <w:rsid w:val="0073556E"/>
    <w:rsid w:val="00735581"/>
    <w:rsid w:val="00735604"/>
    <w:rsid w:val="0073563C"/>
    <w:rsid w:val="00735647"/>
    <w:rsid w:val="00735678"/>
    <w:rsid w:val="0073567F"/>
    <w:rsid w:val="007356D1"/>
    <w:rsid w:val="007356FF"/>
    <w:rsid w:val="0073572B"/>
    <w:rsid w:val="00735740"/>
    <w:rsid w:val="00735774"/>
    <w:rsid w:val="0073577F"/>
    <w:rsid w:val="007357A0"/>
    <w:rsid w:val="0073584C"/>
    <w:rsid w:val="00735858"/>
    <w:rsid w:val="00735897"/>
    <w:rsid w:val="007358A6"/>
    <w:rsid w:val="007358E9"/>
    <w:rsid w:val="00735980"/>
    <w:rsid w:val="007359A4"/>
    <w:rsid w:val="00735B44"/>
    <w:rsid w:val="00735B52"/>
    <w:rsid w:val="00735B67"/>
    <w:rsid w:val="00735B6C"/>
    <w:rsid w:val="00735B9B"/>
    <w:rsid w:val="00735B9E"/>
    <w:rsid w:val="00735BA6"/>
    <w:rsid w:val="00735BCB"/>
    <w:rsid w:val="00735C09"/>
    <w:rsid w:val="00735C0B"/>
    <w:rsid w:val="00735C18"/>
    <w:rsid w:val="00735C81"/>
    <w:rsid w:val="00735D1A"/>
    <w:rsid w:val="00735D67"/>
    <w:rsid w:val="00735D6B"/>
    <w:rsid w:val="00735D6E"/>
    <w:rsid w:val="00735E70"/>
    <w:rsid w:val="00735EB0"/>
    <w:rsid w:val="00735F3D"/>
    <w:rsid w:val="00735F48"/>
    <w:rsid w:val="00735F51"/>
    <w:rsid w:val="00735F72"/>
    <w:rsid w:val="00736063"/>
    <w:rsid w:val="00736121"/>
    <w:rsid w:val="007361A8"/>
    <w:rsid w:val="007361B1"/>
    <w:rsid w:val="0073627F"/>
    <w:rsid w:val="00736293"/>
    <w:rsid w:val="007362A0"/>
    <w:rsid w:val="007363C5"/>
    <w:rsid w:val="00736456"/>
    <w:rsid w:val="0073647F"/>
    <w:rsid w:val="00736482"/>
    <w:rsid w:val="00736518"/>
    <w:rsid w:val="00736531"/>
    <w:rsid w:val="00736533"/>
    <w:rsid w:val="007365AB"/>
    <w:rsid w:val="007365E0"/>
    <w:rsid w:val="007365F4"/>
    <w:rsid w:val="007366B0"/>
    <w:rsid w:val="007366F6"/>
    <w:rsid w:val="00736771"/>
    <w:rsid w:val="00736785"/>
    <w:rsid w:val="007367C2"/>
    <w:rsid w:val="007367E2"/>
    <w:rsid w:val="0073683C"/>
    <w:rsid w:val="007369D2"/>
    <w:rsid w:val="007369FF"/>
    <w:rsid w:val="00736A32"/>
    <w:rsid w:val="00736A7B"/>
    <w:rsid w:val="00736A8C"/>
    <w:rsid w:val="00736ADD"/>
    <w:rsid w:val="00736B1F"/>
    <w:rsid w:val="00736BD3"/>
    <w:rsid w:val="00736C3F"/>
    <w:rsid w:val="00736C74"/>
    <w:rsid w:val="00736CD8"/>
    <w:rsid w:val="00736CDD"/>
    <w:rsid w:val="00736CF5"/>
    <w:rsid w:val="00736D05"/>
    <w:rsid w:val="00736D55"/>
    <w:rsid w:val="00736D8F"/>
    <w:rsid w:val="00736DA3"/>
    <w:rsid w:val="00736DC1"/>
    <w:rsid w:val="00736E72"/>
    <w:rsid w:val="00736ECE"/>
    <w:rsid w:val="00736ED9"/>
    <w:rsid w:val="00736F07"/>
    <w:rsid w:val="00736F64"/>
    <w:rsid w:val="00736FC2"/>
    <w:rsid w:val="00736FE2"/>
    <w:rsid w:val="00737013"/>
    <w:rsid w:val="00737025"/>
    <w:rsid w:val="007370F5"/>
    <w:rsid w:val="00737118"/>
    <w:rsid w:val="00737122"/>
    <w:rsid w:val="00737174"/>
    <w:rsid w:val="007371AE"/>
    <w:rsid w:val="007371C4"/>
    <w:rsid w:val="0073727B"/>
    <w:rsid w:val="00737283"/>
    <w:rsid w:val="007372B0"/>
    <w:rsid w:val="007372DD"/>
    <w:rsid w:val="007374DD"/>
    <w:rsid w:val="0073752A"/>
    <w:rsid w:val="0073756F"/>
    <w:rsid w:val="00737577"/>
    <w:rsid w:val="007375E5"/>
    <w:rsid w:val="0073762F"/>
    <w:rsid w:val="0073767D"/>
    <w:rsid w:val="007376AF"/>
    <w:rsid w:val="00737748"/>
    <w:rsid w:val="0073781F"/>
    <w:rsid w:val="00737830"/>
    <w:rsid w:val="00737909"/>
    <w:rsid w:val="00737934"/>
    <w:rsid w:val="0073798E"/>
    <w:rsid w:val="00737994"/>
    <w:rsid w:val="0073799C"/>
    <w:rsid w:val="00737A8F"/>
    <w:rsid w:val="00737A94"/>
    <w:rsid w:val="00737B9B"/>
    <w:rsid w:val="00737BB0"/>
    <w:rsid w:val="00737BC5"/>
    <w:rsid w:val="00737C48"/>
    <w:rsid w:val="00737C59"/>
    <w:rsid w:val="00737C87"/>
    <w:rsid w:val="00737CD9"/>
    <w:rsid w:val="00737D30"/>
    <w:rsid w:val="00737D61"/>
    <w:rsid w:val="00737D8B"/>
    <w:rsid w:val="00737DF4"/>
    <w:rsid w:val="00737E55"/>
    <w:rsid w:val="00737EDE"/>
    <w:rsid w:val="00737EE4"/>
    <w:rsid w:val="00737F1D"/>
    <w:rsid w:val="00737F3B"/>
    <w:rsid w:val="00737F8F"/>
    <w:rsid w:val="00737FAD"/>
    <w:rsid w:val="00737FAE"/>
    <w:rsid w:val="00737FB3"/>
    <w:rsid w:val="00740005"/>
    <w:rsid w:val="0074001D"/>
    <w:rsid w:val="00740023"/>
    <w:rsid w:val="00740054"/>
    <w:rsid w:val="007400C8"/>
    <w:rsid w:val="007401CB"/>
    <w:rsid w:val="007401D0"/>
    <w:rsid w:val="00740228"/>
    <w:rsid w:val="007402DB"/>
    <w:rsid w:val="00740342"/>
    <w:rsid w:val="007403BD"/>
    <w:rsid w:val="0074042C"/>
    <w:rsid w:val="00740486"/>
    <w:rsid w:val="00740491"/>
    <w:rsid w:val="00740492"/>
    <w:rsid w:val="00740537"/>
    <w:rsid w:val="007405C5"/>
    <w:rsid w:val="00740640"/>
    <w:rsid w:val="00740682"/>
    <w:rsid w:val="007406CB"/>
    <w:rsid w:val="00740735"/>
    <w:rsid w:val="007407C2"/>
    <w:rsid w:val="00740846"/>
    <w:rsid w:val="00740858"/>
    <w:rsid w:val="0074087F"/>
    <w:rsid w:val="00740889"/>
    <w:rsid w:val="00740896"/>
    <w:rsid w:val="00740931"/>
    <w:rsid w:val="007409E4"/>
    <w:rsid w:val="00740A34"/>
    <w:rsid w:val="00740AA5"/>
    <w:rsid w:val="00740C39"/>
    <w:rsid w:val="00740C3C"/>
    <w:rsid w:val="00740CD2"/>
    <w:rsid w:val="00740D33"/>
    <w:rsid w:val="00740D75"/>
    <w:rsid w:val="00740D7D"/>
    <w:rsid w:val="00740DBA"/>
    <w:rsid w:val="00740DEC"/>
    <w:rsid w:val="00740E19"/>
    <w:rsid w:val="00740E9E"/>
    <w:rsid w:val="00740EE7"/>
    <w:rsid w:val="00740F2E"/>
    <w:rsid w:val="00740F40"/>
    <w:rsid w:val="00740F9B"/>
    <w:rsid w:val="00740FC7"/>
    <w:rsid w:val="00741037"/>
    <w:rsid w:val="00741078"/>
    <w:rsid w:val="007410CE"/>
    <w:rsid w:val="007410D9"/>
    <w:rsid w:val="007410F7"/>
    <w:rsid w:val="0074113D"/>
    <w:rsid w:val="00741148"/>
    <w:rsid w:val="007411ED"/>
    <w:rsid w:val="0074124A"/>
    <w:rsid w:val="0074125C"/>
    <w:rsid w:val="007412F4"/>
    <w:rsid w:val="00741384"/>
    <w:rsid w:val="0074141F"/>
    <w:rsid w:val="0074144F"/>
    <w:rsid w:val="0074145F"/>
    <w:rsid w:val="007414C5"/>
    <w:rsid w:val="007414E6"/>
    <w:rsid w:val="007414ED"/>
    <w:rsid w:val="0074159E"/>
    <w:rsid w:val="007415AF"/>
    <w:rsid w:val="0074160C"/>
    <w:rsid w:val="0074162A"/>
    <w:rsid w:val="007416AF"/>
    <w:rsid w:val="007416C0"/>
    <w:rsid w:val="007416C3"/>
    <w:rsid w:val="00741734"/>
    <w:rsid w:val="007417C8"/>
    <w:rsid w:val="00741839"/>
    <w:rsid w:val="007418C4"/>
    <w:rsid w:val="00741A9D"/>
    <w:rsid w:val="00741B35"/>
    <w:rsid w:val="00741B47"/>
    <w:rsid w:val="00741B53"/>
    <w:rsid w:val="00741B84"/>
    <w:rsid w:val="00741BEB"/>
    <w:rsid w:val="00741BFB"/>
    <w:rsid w:val="00741C8D"/>
    <w:rsid w:val="00741CED"/>
    <w:rsid w:val="00741D44"/>
    <w:rsid w:val="00741DC2"/>
    <w:rsid w:val="00741E11"/>
    <w:rsid w:val="00741E9C"/>
    <w:rsid w:val="00741EF6"/>
    <w:rsid w:val="00741F6D"/>
    <w:rsid w:val="00741FBC"/>
    <w:rsid w:val="00741FF9"/>
    <w:rsid w:val="00742000"/>
    <w:rsid w:val="00742016"/>
    <w:rsid w:val="007420C8"/>
    <w:rsid w:val="007420E0"/>
    <w:rsid w:val="00742183"/>
    <w:rsid w:val="007421A4"/>
    <w:rsid w:val="007422A5"/>
    <w:rsid w:val="0074232D"/>
    <w:rsid w:val="00742355"/>
    <w:rsid w:val="00742366"/>
    <w:rsid w:val="00742406"/>
    <w:rsid w:val="00742416"/>
    <w:rsid w:val="0074243F"/>
    <w:rsid w:val="007424B3"/>
    <w:rsid w:val="007424C1"/>
    <w:rsid w:val="007424E7"/>
    <w:rsid w:val="00742540"/>
    <w:rsid w:val="00742542"/>
    <w:rsid w:val="0074257E"/>
    <w:rsid w:val="00742591"/>
    <w:rsid w:val="007425BC"/>
    <w:rsid w:val="007425C2"/>
    <w:rsid w:val="00742660"/>
    <w:rsid w:val="0074266A"/>
    <w:rsid w:val="00742736"/>
    <w:rsid w:val="0074273F"/>
    <w:rsid w:val="007427C0"/>
    <w:rsid w:val="007427C9"/>
    <w:rsid w:val="007427CE"/>
    <w:rsid w:val="007427E1"/>
    <w:rsid w:val="007428E9"/>
    <w:rsid w:val="00742A0E"/>
    <w:rsid w:val="00742A34"/>
    <w:rsid w:val="00742AB6"/>
    <w:rsid w:val="00742B33"/>
    <w:rsid w:val="00742BCD"/>
    <w:rsid w:val="00742BF6"/>
    <w:rsid w:val="00742C45"/>
    <w:rsid w:val="00742C6D"/>
    <w:rsid w:val="00742C74"/>
    <w:rsid w:val="00742CD0"/>
    <w:rsid w:val="00742D13"/>
    <w:rsid w:val="00742D33"/>
    <w:rsid w:val="00742DE0"/>
    <w:rsid w:val="00742E6F"/>
    <w:rsid w:val="00742EA6"/>
    <w:rsid w:val="00742EBC"/>
    <w:rsid w:val="00742F1E"/>
    <w:rsid w:val="00742F73"/>
    <w:rsid w:val="00742F99"/>
    <w:rsid w:val="00742FFA"/>
    <w:rsid w:val="0074315F"/>
    <w:rsid w:val="00743188"/>
    <w:rsid w:val="007431FD"/>
    <w:rsid w:val="007432B8"/>
    <w:rsid w:val="00743300"/>
    <w:rsid w:val="00743324"/>
    <w:rsid w:val="007433C4"/>
    <w:rsid w:val="00743453"/>
    <w:rsid w:val="00743507"/>
    <w:rsid w:val="00743537"/>
    <w:rsid w:val="00743546"/>
    <w:rsid w:val="0074354D"/>
    <w:rsid w:val="0074377B"/>
    <w:rsid w:val="007437E9"/>
    <w:rsid w:val="007438A5"/>
    <w:rsid w:val="007438D3"/>
    <w:rsid w:val="0074390C"/>
    <w:rsid w:val="00743948"/>
    <w:rsid w:val="0074398B"/>
    <w:rsid w:val="00743AA5"/>
    <w:rsid w:val="00743ADE"/>
    <w:rsid w:val="00743B18"/>
    <w:rsid w:val="00743B80"/>
    <w:rsid w:val="00743BCB"/>
    <w:rsid w:val="00743BD2"/>
    <w:rsid w:val="00743BEE"/>
    <w:rsid w:val="00743D02"/>
    <w:rsid w:val="00743D65"/>
    <w:rsid w:val="00743DEB"/>
    <w:rsid w:val="00743EB9"/>
    <w:rsid w:val="0074410C"/>
    <w:rsid w:val="00744187"/>
    <w:rsid w:val="00744195"/>
    <w:rsid w:val="007441A6"/>
    <w:rsid w:val="007441D2"/>
    <w:rsid w:val="0074421F"/>
    <w:rsid w:val="0074426F"/>
    <w:rsid w:val="007442D1"/>
    <w:rsid w:val="007442D8"/>
    <w:rsid w:val="00744316"/>
    <w:rsid w:val="0074437A"/>
    <w:rsid w:val="00744484"/>
    <w:rsid w:val="007444DB"/>
    <w:rsid w:val="00744503"/>
    <w:rsid w:val="00744512"/>
    <w:rsid w:val="00744588"/>
    <w:rsid w:val="00744643"/>
    <w:rsid w:val="0074469D"/>
    <w:rsid w:val="0074473D"/>
    <w:rsid w:val="00744740"/>
    <w:rsid w:val="007447BC"/>
    <w:rsid w:val="007447CC"/>
    <w:rsid w:val="0074485C"/>
    <w:rsid w:val="007448D5"/>
    <w:rsid w:val="0074494E"/>
    <w:rsid w:val="007449AA"/>
    <w:rsid w:val="007449C5"/>
    <w:rsid w:val="007449F0"/>
    <w:rsid w:val="00744A24"/>
    <w:rsid w:val="00744A49"/>
    <w:rsid w:val="00744ABD"/>
    <w:rsid w:val="00744BD1"/>
    <w:rsid w:val="00744C33"/>
    <w:rsid w:val="00744D57"/>
    <w:rsid w:val="00744D77"/>
    <w:rsid w:val="00744E0D"/>
    <w:rsid w:val="00744E2A"/>
    <w:rsid w:val="00744FA0"/>
    <w:rsid w:val="00744FB8"/>
    <w:rsid w:val="00745045"/>
    <w:rsid w:val="00745052"/>
    <w:rsid w:val="007450C8"/>
    <w:rsid w:val="0074511B"/>
    <w:rsid w:val="00745214"/>
    <w:rsid w:val="00745245"/>
    <w:rsid w:val="00745281"/>
    <w:rsid w:val="007452D5"/>
    <w:rsid w:val="007452E8"/>
    <w:rsid w:val="007452F9"/>
    <w:rsid w:val="00745372"/>
    <w:rsid w:val="0074539A"/>
    <w:rsid w:val="0074539D"/>
    <w:rsid w:val="007453B5"/>
    <w:rsid w:val="0074540C"/>
    <w:rsid w:val="0074544C"/>
    <w:rsid w:val="0074553A"/>
    <w:rsid w:val="0074556F"/>
    <w:rsid w:val="007455CF"/>
    <w:rsid w:val="00745606"/>
    <w:rsid w:val="00745718"/>
    <w:rsid w:val="00745746"/>
    <w:rsid w:val="00745756"/>
    <w:rsid w:val="007457DB"/>
    <w:rsid w:val="00745872"/>
    <w:rsid w:val="0074587F"/>
    <w:rsid w:val="00745998"/>
    <w:rsid w:val="007459B0"/>
    <w:rsid w:val="00745A2A"/>
    <w:rsid w:val="00745ACD"/>
    <w:rsid w:val="00745B07"/>
    <w:rsid w:val="00745C28"/>
    <w:rsid w:val="00745C2D"/>
    <w:rsid w:val="00745D31"/>
    <w:rsid w:val="00745D72"/>
    <w:rsid w:val="00745E4F"/>
    <w:rsid w:val="00745EAD"/>
    <w:rsid w:val="00745EC0"/>
    <w:rsid w:val="00745EE5"/>
    <w:rsid w:val="00745EF5"/>
    <w:rsid w:val="00745F28"/>
    <w:rsid w:val="00745F86"/>
    <w:rsid w:val="0074600C"/>
    <w:rsid w:val="00746026"/>
    <w:rsid w:val="00746057"/>
    <w:rsid w:val="007460E9"/>
    <w:rsid w:val="0074618E"/>
    <w:rsid w:val="00746203"/>
    <w:rsid w:val="007462B8"/>
    <w:rsid w:val="007462D5"/>
    <w:rsid w:val="007462D8"/>
    <w:rsid w:val="007463E6"/>
    <w:rsid w:val="0074640A"/>
    <w:rsid w:val="00746413"/>
    <w:rsid w:val="0074641A"/>
    <w:rsid w:val="0074648A"/>
    <w:rsid w:val="007464F3"/>
    <w:rsid w:val="007465AA"/>
    <w:rsid w:val="00746632"/>
    <w:rsid w:val="007466BE"/>
    <w:rsid w:val="00746713"/>
    <w:rsid w:val="00746786"/>
    <w:rsid w:val="00746799"/>
    <w:rsid w:val="00746803"/>
    <w:rsid w:val="00746806"/>
    <w:rsid w:val="00746841"/>
    <w:rsid w:val="00746857"/>
    <w:rsid w:val="007468FE"/>
    <w:rsid w:val="00746978"/>
    <w:rsid w:val="007469A4"/>
    <w:rsid w:val="007469B5"/>
    <w:rsid w:val="00746A55"/>
    <w:rsid w:val="00746A5A"/>
    <w:rsid w:val="00746B4F"/>
    <w:rsid w:val="00746B6C"/>
    <w:rsid w:val="00746BBC"/>
    <w:rsid w:val="00746BD4"/>
    <w:rsid w:val="00746BF1"/>
    <w:rsid w:val="00746C57"/>
    <w:rsid w:val="00746C82"/>
    <w:rsid w:val="00746CD0"/>
    <w:rsid w:val="00746D92"/>
    <w:rsid w:val="00746D96"/>
    <w:rsid w:val="00746DBF"/>
    <w:rsid w:val="00746DC9"/>
    <w:rsid w:val="00746DDD"/>
    <w:rsid w:val="00746E22"/>
    <w:rsid w:val="00746E2E"/>
    <w:rsid w:val="00746E82"/>
    <w:rsid w:val="00746EFF"/>
    <w:rsid w:val="00746F1A"/>
    <w:rsid w:val="00746F80"/>
    <w:rsid w:val="0074701A"/>
    <w:rsid w:val="00747059"/>
    <w:rsid w:val="007470EB"/>
    <w:rsid w:val="00747127"/>
    <w:rsid w:val="0074712E"/>
    <w:rsid w:val="007471CC"/>
    <w:rsid w:val="00747216"/>
    <w:rsid w:val="00747252"/>
    <w:rsid w:val="00747295"/>
    <w:rsid w:val="0074729E"/>
    <w:rsid w:val="00747312"/>
    <w:rsid w:val="0074736F"/>
    <w:rsid w:val="007473C6"/>
    <w:rsid w:val="007473F1"/>
    <w:rsid w:val="00747456"/>
    <w:rsid w:val="007475E1"/>
    <w:rsid w:val="00747650"/>
    <w:rsid w:val="00747653"/>
    <w:rsid w:val="00747673"/>
    <w:rsid w:val="007476CB"/>
    <w:rsid w:val="007476E8"/>
    <w:rsid w:val="007476F8"/>
    <w:rsid w:val="007476FD"/>
    <w:rsid w:val="00747788"/>
    <w:rsid w:val="0074784D"/>
    <w:rsid w:val="007478BC"/>
    <w:rsid w:val="007478CB"/>
    <w:rsid w:val="007478F0"/>
    <w:rsid w:val="00747936"/>
    <w:rsid w:val="00747A39"/>
    <w:rsid w:val="00747A5B"/>
    <w:rsid w:val="00747A9D"/>
    <w:rsid w:val="00747B29"/>
    <w:rsid w:val="00747B63"/>
    <w:rsid w:val="00747BBE"/>
    <w:rsid w:val="00747BF3"/>
    <w:rsid w:val="00747BF7"/>
    <w:rsid w:val="00747C43"/>
    <w:rsid w:val="00747CB6"/>
    <w:rsid w:val="00747CD1"/>
    <w:rsid w:val="00747D2E"/>
    <w:rsid w:val="00747D3A"/>
    <w:rsid w:val="00747D4B"/>
    <w:rsid w:val="00747DBE"/>
    <w:rsid w:val="00747DD4"/>
    <w:rsid w:val="00747E01"/>
    <w:rsid w:val="00747E3B"/>
    <w:rsid w:val="00747F45"/>
    <w:rsid w:val="00747F6B"/>
    <w:rsid w:val="00747F8E"/>
    <w:rsid w:val="007500CF"/>
    <w:rsid w:val="007500D1"/>
    <w:rsid w:val="0075011C"/>
    <w:rsid w:val="00750126"/>
    <w:rsid w:val="0075015F"/>
    <w:rsid w:val="007501DC"/>
    <w:rsid w:val="007501ED"/>
    <w:rsid w:val="00750236"/>
    <w:rsid w:val="007502AC"/>
    <w:rsid w:val="007502E1"/>
    <w:rsid w:val="0075040C"/>
    <w:rsid w:val="00750420"/>
    <w:rsid w:val="007504DB"/>
    <w:rsid w:val="007505A1"/>
    <w:rsid w:val="007505BF"/>
    <w:rsid w:val="00750819"/>
    <w:rsid w:val="007508F4"/>
    <w:rsid w:val="007508F6"/>
    <w:rsid w:val="0075095D"/>
    <w:rsid w:val="0075098E"/>
    <w:rsid w:val="007509C9"/>
    <w:rsid w:val="007509DD"/>
    <w:rsid w:val="007509F3"/>
    <w:rsid w:val="00750A8C"/>
    <w:rsid w:val="00750ABE"/>
    <w:rsid w:val="00750B0F"/>
    <w:rsid w:val="00750B26"/>
    <w:rsid w:val="00750BFB"/>
    <w:rsid w:val="00750BFE"/>
    <w:rsid w:val="00750C32"/>
    <w:rsid w:val="00750C48"/>
    <w:rsid w:val="00750CDC"/>
    <w:rsid w:val="00750D1E"/>
    <w:rsid w:val="00750D27"/>
    <w:rsid w:val="00750D3F"/>
    <w:rsid w:val="00750D72"/>
    <w:rsid w:val="00750DE0"/>
    <w:rsid w:val="00750E5E"/>
    <w:rsid w:val="00750F23"/>
    <w:rsid w:val="00750F4D"/>
    <w:rsid w:val="00750F51"/>
    <w:rsid w:val="00750F97"/>
    <w:rsid w:val="00750FB2"/>
    <w:rsid w:val="0075101B"/>
    <w:rsid w:val="00751028"/>
    <w:rsid w:val="00751031"/>
    <w:rsid w:val="00751042"/>
    <w:rsid w:val="00751045"/>
    <w:rsid w:val="0075104A"/>
    <w:rsid w:val="007510C0"/>
    <w:rsid w:val="007510F1"/>
    <w:rsid w:val="007510F5"/>
    <w:rsid w:val="0075122C"/>
    <w:rsid w:val="007512CC"/>
    <w:rsid w:val="00751339"/>
    <w:rsid w:val="0075133E"/>
    <w:rsid w:val="0075134F"/>
    <w:rsid w:val="00751354"/>
    <w:rsid w:val="007513AB"/>
    <w:rsid w:val="007513BE"/>
    <w:rsid w:val="007513E2"/>
    <w:rsid w:val="007513F6"/>
    <w:rsid w:val="00751432"/>
    <w:rsid w:val="0075156E"/>
    <w:rsid w:val="007515DB"/>
    <w:rsid w:val="007515E3"/>
    <w:rsid w:val="0075161A"/>
    <w:rsid w:val="00751649"/>
    <w:rsid w:val="007516B2"/>
    <w:rsid w:val="00751763"/>
    <w:rsid w:val="0075176C"/>
    <w:rsid w:val="007517C8"/>
    <w:rsid w:val="00751894"/>
    <w:rsid w:val="007518A8"/>
    <w:rsid w:val="007518AD"/>
    <w:rsid w:val="007518C2"/>
    <w:rsid w:val="007519AF"/>
    <w:rsid w:val="00751A0C"/>
    <w:rsid w:val="00751A33"/>
    <w:rsid w:val="00751A80"/>
    <w:rsid w:val="00751AA0"/>
    <w:rsid w:val="00751AC6"/>
    <w:rsid w:val="00751C24"/>
    <w:rsid w:val="00751C2D"/>
    <w:rsid w:val="00751C48"/>
    <w:rsid w:val="00751D0B"/>
    <w:rsid w:val="00751D71"/>
    <w:rsid w:val="00751DE2"/>
    <w:rsid w:val="00751DEE"/>
    <w:rsid w:val="00751E00"/>
    <w:rsid w:val="00751E3F"/>
    <w:rsid w:val="00751E9F"/>
    <w:rsid w:val="00751F6A"/>
    <w:rsid w:val="00752020"/>
    <w:rsid w:val="0075202E"/>
    <w:rsid w:val="00752094"/>
    <w:rsid w:val="00752097"/>
    <w:rsid w:val="007520E4"/>
    <w:rsid w:val="0075219F"/>
    <w:rsid w:val="0075223E"/>
    <w:rsid w:val="00752293"/>
    <w:rsid w:val="0075229C"/>
    <w:rsid w:val="007522AD"/>
    <w:rsid w:val="007522D8"/>
    <w:rsid w:val="00752335"/>
    <w:rsid w:val="00752362"/>
    <w:rsid w:val="007523AA"/>
    <w:rsid w:val="007523F3"/>
    <w:rsid w:val="0075241A"/>
    <w:rsid w:val="0075249B"/>
    <w:rsid w:val="007524AE"/>
    <w:rsid w:val="0075251D"/>
    <w:rsid w:val="00752532"/>
    <w:rsid w:val="00752667"/>
    <w:rsid w:val="007526B0"/>
    <w:rsid w:val="007526CD"/>
    <w:rsid w:val="007526FC"/>
    <w:rsid w:val="0075271D"/>
    <w:rsid w:val="0075281A"/>
    <w:rsid w:val="00752846"/>
    <w:rsid w:val="00752859"/>
    <w:rsid w:val="007528B8"/>
    <w:rsid w:val="00752957"/>
    <w:rsid w:val="007529B4"/>
    <w:rsid w:val="007529CA"/>
    <w:rsid w:val="00752A15"/>
    <w:rsid w:val="00752B07"/>
    <w:rsid w:val="00752B67"/>
    <w:rsid w:val="00752B75"/>
    <w:rsid w:val="00752B76"/>
    <w:rsid w:val="00752BDD"/>
    <w:rsid w:val="00752C41"/>
    <w:rsid w:val="00752C42"/>
    <w:rsid w:val="00752CD7"/>
    <w:rsid w:val="00752D6B"/>
    <w:rsid w:val="00752D77"/>
    <w:rsid w:val="00752D7A"/>
    <w:rsid w:val="00752DE5"/>
    <w:rsid w:val="00752DF1"/>
    <w:rsid w:val="00752E3E"/>
    <w:rsid w:val="00752E55"/>
    <w:rsid w:val="00752E7B"/>
    <w:rsid w:val="00752E87"/>
    <w:rsid w:val="00752E8E"/>
    <w:rsid w:val="00752E9E"/>
    <w:rsid w:val="00752EC7"/>
    <w:rsid w:val="00752EC9"/>
    <w:rsid w:val="00752F2E"/>
    <w:rsid w:val="00752F88"/>
    <w:rsid w:val="00752FBA"/>
    <w:rsid w:val="00752FD8"/>
    <w:rsid w:val="00753002"/>
    <w:rsid w:val="0075302B"/>
    <w:rsid w:val="0075303A"/>
    <w:rsid w:val="0075308A"/>
    <w:rsid w:val="00753093"/>
    <w:rsid w:val="00753102"/>
    <w:rsid w:val="0075312A"/>
    <w:rsid w:val="00753148"/>
    <w:rsid w:val="00753182"/>
    <w:rsid w:val="007531C4"/>
    <w:rsid w:val="007531F9"/>
    <w:rsid w:val="0075326C"/>
    <w:rsid w:val="00753366"/>
    <w:rsid w:val="00753371"/>
    <w:rsid w:val="0075342B"/>
    <w:rsid w:val="00753463"/>
    <w:rsid w:val="00753465"/>
    <w:rsid w:val="007534E7"/>
    <w:rsid w:val="0075350A"/>
    <w:rsid w:val="0075351A"/>
    <w:rsid w:val="0075352A"/>
    <w:rsid w:val="0075360E"/>
    <w:rsid w:val="00753683"/>
    <w:rsid w:val="00753702"/>
    <w:rsid w:val="0075371C"/>
    <w:rsid w:val="00753731"/>
    <w:rsid w:val="007537C6"/>
    <w:rsid w:val="007537FC"/>
    <w:rsid w:val="00753843"/>
    <w:rsid w:val="007538D0"/>
    <w:rsid w:val="0075394D"/>
    <w:rsid w:val="00753A40"/>
    <w:rsid w:val="00753A6E"/>
    <w:rsid w:val="00753A89"/>
    <w:rsid w:val="00753A93"/>
    <w:rsid w:val="00753AC0"/>
    <w:rsid w:val="00753AF0"/>
    <w:rsid w:val="00753C66"/>
    <w:rsid w:val="00753C7B"/>
    <w:rsid w:val="00753C99"/>
    <w:rsid w:val="00753D12"/>
    <w:rsid w:val="00753DC4"/>
    <w:rsid w:val="00753DC8"/>
    <w:rsid w:val="00753DF3"/>
    <w:rsid w:val="00753E3B"/>
    <w:rsid w:val="00753E50"/>
    <w:rsid w:val="00753F0E"/>
    <w:rsid w:val="00753F1B"/>
    <w:rsid w:val="00753F83"/>
    <w:rsid w:val="00754019"/>
    <w:rsid w:val="00754021"/>
    <w:rsid w:val="007540EC"/>
    <w:rsid w:val="00754136"/>
    <w:rsid w:val="007542F7"/>
    <w:rsid w:val="00754351"/>
    <w:rsid w:val="00754367"/>
    <w:rsid w:val="007543C7"/>
    <w:rsid w:val="00754407"/>
    <w:rsid w:val="00754454"/>
    <w:rsid w:val="00754482"/>
    <w:rsid w:val="0075449A"/>
    <w:rsid w:val="007544A2"/>
    <w:rsid w:val="007544E2"/>
    <w:rsid w:val="007544E5"/>
    <w:rsid w:val="0075457E"/>
    <w:rsid w:val="00754582"/>
    <w:rsid w:val="007545BA"/>
    <w:rsid w:val="00754621"/>
    <w:rsid w:val="00754631"/>
    <w:rsid w:val="00754652"/>
    <w:rsid w:val="007546D5"/>
    <w:rsid w:val="007547A0"/>
    <w:rsid w:val="007547B9"/>
    <w:rsid w:val="007547C4"/>
    <w:rsid w:val="0075485C"/>
    <w:rsid w:val="007548BA"/>
    <w:rsid w:val="007548C3"/>
    <w:rsid w:val="007548C9"/>
    <w:rsid w:val="00754975"/>
    <w:rsid w:val="0075499A"/>
    <w:rsid w:val="0075499F"/>
    <w:rsid w:val="007549B9"/>
    <w:rsid w:val="007549F4"/>
    <w:rsid w:val="00754B2B"/>
    <w:rsid w:val="00754B6B"/>
    <w:rsid w:val="00754BB6"/>
    <w:rsid w:val="00754D38"/>
    <w:rsid w:val="00754D49"/>
    <w:rsid w:val="00754E1A"/>
    <w:rsid w:val="00754EDD"/>
    <w:rsid w:val="00754F34"/>
    <w:rsid w:val="00754F37"/>
    <w:rsid w:val="00755137"/>
    <w:rsid w:val="00755171"/>
    <w:rsid w:val="007551C4"/>
    <w:rsid w:val="00755239"/>
    <w:rsid w:val="0075523C"/>
    <w:rsid w:val="0075524A"/>
    <w:rsid w:val="00755260"/>
    <w:rsid w:val="0075527B"/>
    <w:rsid w:val="007552A8"/>
    <w:rsid w:val="007552AF"/>
    <w:rsid w:val="007552B6"/>
    <w:rsid w:val="00755397"/>
    <w:rsid w:val="0075539E"/>
    <w:rsid w:val="0075547F"/>
    <w:rsid w:val="0075549A"/>
    <w:rsid w:val="007554F0"/>
    <w:rsid w:val="007555AD"/>
    <w:rsid w:val="007555AE"/>
    <w:rsid w:val="00755688"/>
    <w:rsid w:val="0075571B"/>
    <w:rsid w:val="00755895"/>
    <w:rsid w:val="007558C5"/>
    <w:rsid w:val="007558F9"/>
    <w:rsid w:val="00755931"/>
    <w:rsid w:val="0075597E"/>
    <w:rsid w:val="00755983"/>
    <w:rsid w:val="007559C2"/>
    <w:rsid w:val="00755A35"/>
    <w:rsid w:val="00755B20"/>
    <w:rsid w:val="00755BBD"/>
    <w:rsid w:val="00755BE9"/>
    <w:rsid w:val="00755CC8"/>
    <w:rsid w:val="00755CF6"/>
    <w:rsid w:val="00755EEA"/>
    <w:rsid w:val="00755F4C"/>
    <w:rsid w:val="00755FB2"/>
    <w:rsid w:val="00756007"/>
    <w:rsid w:val="00756080"/>
    <w:rsid w:val="0075609D"/>
    <w:rsid w:val="007560CD"/>
    <w:rsid w:val="0075612E"/>
    <w:rsid w:val="00756156"/>
    <w:rsid w:val="0075616B"/>
    <w:rsid w:val="0075616C"/>
    <w:rsid w:val="00756182"/>
    <w:rsid w:val="007561C4"/>
    <w:rsid w:val="007561D1"/>
    <w:rsid w:val="0075621F"/>
    <w:rsid w:val="00756259"/>
    <w:rsid w:val="00756263"/>
    <w:rsid w:val="0075632C"/>
    <w:rsid w:val="007563B0"/>
    <w:rsid w:val="007563EF"/>
    <w:rsid w:val="00756415"/>
    <w:rsid w:val="007564C5"/>
    <w:rsid w:val="007565D2"/>
    <w:rsid w:val="00756618"/>
    <w:rsid w:val="007566C9"/>
    <w:rsid w:val="007566DE"/>
    <w:rsid w:val="0075670E"/>
    <w:rsid w:val="00756760"/>
    <w:rsid w:val="007567E8"/>
    <w:rsid w:val="0075686E"/>
    <w:rsid w:val="00756914"/>
    <w:rsid w:val="0075696C"/>
    <w:rsid w:val="00756971"/>
    <w:rsid w:val="007569ED"/>
    <w:rsid w:val="00756A19"/>
    <w:rsid w:val="00756A7C"/>
    <w:rsid w:val="00756ABE"/>
    <w:rsid w:val="00756ADB"/>
    <w:rsid w:val="00756C23"/>
    <w:rsid w:val="00756C7D"/>
    <w:rsid w:val="00756C9E"/>
    <w:rsid w:val="00756D94"/>
    <w:rsid w:val="00756DED"/>
    <w:rsid w:val="00756E22"/>
    <w:rsid w:val="00756E40"/>
    <w:rsid w:val="00756F57"/>
    <w:rsid w:val="00756FB3"/>
    <w:rsid w:val="00756FBD"/>
    <w:rsid w:val="00756FBE"/>
    <w:rsid w:val="00756FE3"/>
    <w:rsid w:val="00756FFB"/>
    <w:rsid w:val="00757004"/>
    <w:rsid w:val="00757171"/>
    <w:rsid w:val="007571B2"/>
    <w:rsid w:val="00757212"/>
    <w:rsid w:val="00757243"/>
    <w:rsid w:val="00757297"/>
    <w:rsid w:val="007572BE"/>
    <w:rsid w:val="007572E6"/>
    <w:rsid w:val="0075731B"/>
    <w:rsid w:val="0075734A"/>
    <w:rsid w:val="007573CC"/>
    <w:rsid w:val="007573D4"/>
    <w:rsid w:val="00757450"/>
    <w:rsid w:val="0075751B"/>
    <w:rsid w:val="007575B9"/>
    <w:rsid w:val="0075764B"/>
    <w:rsid w:val="00757675"/>
    <w:rsid w:val="007576C4"/>
    <w:rsid w:val="0075780E"/>
    <w:rsid w:val="007579A7"/>
    <w:rsid w:val="007579CD"/>
    <w:rsid w:val="007579D0"/>
    <w:rsid w:val="00757A39"/>
    <w:rsid w:val="00757AAF"/>
    <w:rsid w:val="00757AD6"/>
    <w:rsid w:val="00757AEE"/>
    <w:rsid w:val="00757B36"/>
    <w:rsid w:val="00757B50"/>
    <w:rsid w:val="00757C20"/>
    <w:rsid w:val="00757CA9"/>
    <w:rsid w:val="00757CCC"/>
    <w:rsid w:val="00757E0D"/>
    <w:rsid w:val="00757E27"/>
    <w:rsid w:val="00757EBF"/>
    <w:rsid w:val="00757EE0"/>
    <w:rsid w:val="00757EF9"/>
    <w:rsid w:val="0076006F"/>
    <w:rsid w:val="007600E6"/>
    <w:rsid w:val="007600EE"/>
    <w:rsid w:val="007600FA"/>
    <w:rsid w:val="0076017F"/>
    <w:rsid w:val="007601DC"/>
    <w:rsid w:val="00760251"/>
    <w:rsid w:val="00760270"/>
    <w:rsid w:val="00760271"/>
    <w:rsid w:val="007602D3"/>
    <w:rsid w:val="00760305"/>
    <w:rsid w:val="007603B5"/>
    <w:rsid w:val="007603E2"/>
    <w:rsid w:val="00760480"/>
    <w:rsid w:val="007604E8"/>
    <w:rsid w:val="0076055F"/>
    <w:rsid w:val="007605F3"/>
    <w:rsid w:val="007606E1"/>
    <w:rsid w:val="00760779"/>
    <w:rsid w:val="007607EC"/>
    <w:rsid w:val="007608B7"/>
    <w:rsid w:val="007608B9"/>
    <w:rsid w:val="007609A1"/>
    <w:rsid w:val="00760ABD"/>
    <w:rsid w:val="00760AF4"/>
    <w:rsid w:val="00760B38"/>
    <w:rsid w:val="00760B9E"/>
    <w:rsid w:val="00760D09"/>
    <w:rsid w:val="00760D70"/>
    <w:rsid w:val="00760F3C"/>
    <w:rsid w:val="00760F7D"/>
    <w:rsid w:val="00760FB6"/>
    <w:rsid w:val="00760FCA"/>
    <w:rsid w:val="00760FD0"/>
    <w:rsid w:val="00761028"/>
    <w:rsid w:val="0076107D"/>
    <w:rsid w:val="007610BF"/>
    <w:rsid w:val="00761102"/>
    <w:rsid w:val="00761197"/>
    <w:rsid w:val="007611F1"/>
    <w:rsid w:val="00761242"/>
    <w:rsid w:val="00761289"/>
    <w:rsid w:val="0076128E"/>
    <w:rsid w:val="00761342"/>
    <w:rsid w:val="00761394"/>
    <w:rsid w:val="00761399"/>
    <w:rsid w:val="00761518"/>
    <w:rsid w:val="007615BA"/>
    <w:rsid w:val="00761626"/>
    <w:rsid w:val="007616F2"/>
    <w:rsid w:val="007617F6"/>
    <w:rsid w:val="00761803"/>
    <w:rsid w:val="00761814"/>
    <w:rsid w:val="00761880"/>
    <w:rsid w:val="007618B7"/>
    <w:rsid w:val="007618C2"/>
    <w:rsid w:val="00761917"/>
    <w:rsid w:val="0076192B"/>
    <w:rsid w:val="00761955"/>
    <w:rsid w:val="007619F8"/>
    <w:rsid w:val="00761A7D"/>
    <w:rsid w:val="00761AAE"/>
    <w:rsid w:val="00761AB8"/>
    <w:rsid w:val="00761AD3"/>
    <w:rsid w:val="00761B57"/>
    <w:rsid w:val="00761B58"/>
    <w:rsid w:val="00761BBE"/>
    <w:rsid w:val="00761C9D"/>
    <w:rsid w:val="00761D7F"/>
    <w:rsid w:val="00761D9B"/>
    <w:rsid w:val="00761DD3"/>
    <w:rsid w:val="00761E45"/>
    <w:rsid w:val="00761EBB"/>
    <w:rsid w:val="00761F0C"/>
    <w:rsid w:val="00761F9C"/>
    <w:rsid w:val="00761FD7"/>
    <w:rsid w:val="00762008"/>
    <w:rsid w:val="007620AE"/>
    <w:rsid w:val="00762175"/>
    <w:rsid w:val="00762176"/>
    <w:rsid w:val="00762225"/>
    <w:rsid w:val="00762323"/>
    <w:rsid w:val="0076232F"/>
    <w:rsid w:val="00762330"/>
    <w:rsid w:val="00762459"/>
    <w:rsid w:val="00762487"/>
    <w:rsid w:val="007624D9"/>
    <w:rsid w:val="007625CC"/>
    <w:rsid w:val="0076266B"/>
    <w:rsid w:val="0076267C"/>
    <w:rsid w:val="007626C3"/>
    <w:rsid w:val="0076278D"/>
    <w:rsid w:val="007627B5"/>
    <w:rsid w:val="007627E1"/>
    <w:rsid w:val="00762809"/>
    <w:rsid w:val="00762869"/>
    <w:rsid w:val="007628AE"/>
    <w:rsid w:val="007628DA"/>
    <w:rsid w:val="0076290F"/>
    <w:rsid w:val="00762963"/>
    <w:rsid w:val="007629AC"/>
    <w:rsid w:val="00762A19"/>
    <w:rsid w:val="00762A34"/>
    <w:rsid w:val="00762AFF"/>
    <w:rsid w:val="00762B63"/>
    <w:rsid w:val="00762B7A"/>
    <w:rsid w:val="00762B86"/>
    <w:rsid w:val="00762BA1"/>
    <w:rsid w:val="00762BC9"/>
    <w:rsid w:val="00762CC7"/>
    <w:rsid w:val="00762CDB"/>
    <w:rsid w:val="00762DB8"/>
    <w:rsid w:val="00762E60"/>
    <w:rsid w:val="00762F01"/>
    <w:rsid w:val="00762F78"/>
    <w:rsid w:val="00762F8D"/>
    <w:rsid w:val="00762FAE"/>
    <w:rsid w:val="00762FF9"/>
    <w:rsid w:val="00763045"/>
    <w:rsid w:val="00763087"/>
    <w:rsid w:val="00763158"/>
    <w:rsid w:val="0076317E"/>
    <w:rsid w:val="007631A7"/>
    <w:rsid w:val="007631D3"/>
    <w:rsid w:val="0076325A"/>
    <w:rsid w:val="0076327F"/>
    <w:rsid w:val="00763299"/>
    <w:rsid w:val="007632E5"/>
    <w:rsid w:val="00763300"/>
    <w:rsid w:val="00763359"/>
    <w:rsid w:val="0076344B"/>
    <w:rsid w:val="00763474"/>
    <w:rsid w:val="007634EB"/>
    <w:rsid w:val="00763539"/>
    <w:rsid w:val="00763542"/>
    <w:rsid w:val="00763565"/>
    <w:rsid w:val="0076357B"/>
    <w:rsid w:val="007635EC"/>
    <w:rsid w:val="00763635"/>
    <w:rsid w:val="00763693"/>
    <w:rsid w:val="007636ED"/>
    <w:rsid w:val="00763739"/>
    <w:rsid w:val="0076374E"/>
    <w:rsid w:val="007637A6"/>
    <w:rsid w:val="007637C8"/>
    <w:rsid w:val="007637D0"/>
    <w:rsid w:val="0076387C"/>
    <w:rsid w:val="0076388F"/>
    <w:rsid w:val="0076394A"/>
    <w:rsid w:val="00763A18"/>
    <w:rsid w:val="00763A4B"/>
    <w:rsid w:val="00763A96"/>
    <w:rsid w:val="00763B16"/>
    <w:rsid w:val="00763B58"/>
    <w:rsid w:val="00763C46"/>
    <w:rsid w:val="00763C7F"/>
    <w:rsid w:val="00763C8A"/>
    <w:rsid w:val="00763CD1"/>
    <w:rsid w:val="00763CDF"/>
    <w:rsid w:val="00763D30"/>
    <w:rsid w:val="00763D9F"/>
    <w:rsid w:val="00763DA0"/>
    <w:rsid w:val="00763DA4"/>
    <w:rsid w:val="00763EE2"/>
    <w:rsid w:val="00763F7D"/>
    <w:rsid w:val="00763FB2"/>
    <w:rsid w:val="007640C5"/>
    <w:rsid w:val="007640EC"/>
    <w:rsid w:val="00764135"/>
    <w:rsid w:val="0076423F"/>
    <w:rsid w:val="0076429B"/>
    <w:rsid w:val="007642B5"/>
    <w:rsid w:val="0076438E"/>
    <w:rsid w:val="00764417"/>
    <w:rsid w:val="0076443B"/>
    <w:rsid w:val="0076444D"/>
    <w:rsid w:val="00764464"/>
    <w:rsid w:val="0076448D"/>
    <w:rsid w:val="00764563"/>
    <w:rsid w:val="00764589"/>
    <w:rsid w:val="00764660"/>
    <w:rsid w:val="00764692"/>
    <w:rsid w:val="0076471A"/>
    <w:rsid w:val="007647D5"/>
    <w:rsid w:val="007647E7"/>
    <w:rsid w:val="0076492A"/>
    <w:rsid w:val="007649D9"/>
    <w:rsid w:val="007649E0"/>
    <w:rsid w:val="007649F4"/>
    <w:rsid w:val="00764A78"/>
    <w:rsid w:val="00764B63"/>
    <w:rsid w:val="00764C3E"/>
    <w:rsid w:val="00764CB5"/>
    <w:rsid w:val="00764CF4"/>
    <w:rsid w:val="00764D7B"/>
    <w:rsid w:val="00764D8C"/>
    <w:rsid w:val="00764DCA"/>
    <w:rsid w:val="00764E64"/>
    <w:rsid w:val="00764EB7"/>
    <w:rsid w:val="00764F19"/>
    <w:rsid w:val="00764FFF"/>
    <w:rsid w:val="00765005"/>
    <w:rsid w:val="0076503F"/>
    <w:rsid w:val="007650F9"/>
    <w:rsid w:val="00765100"/>
    <w:rsid w:val="00765118"/>
    <w:rsid w:val="0076520E"/>
    <w:rsid w:val="00765218"/>
    <w:rsid w:val="00765244"/>
    <w:rsid w:val="0076525C"/>
    <w:rsid w:val="0076525D"/>
    <w:rsid w:val="007652EA"/>
    <w:rsid w:val="00765349"/>
    <w:rsid w:val="00765461"/>
    <w:rsid w:val="007654B4"/>
    <w:rsid w:val="007654FF"/>
    <w:rsid w:val="0076550E"/>
    <w:rsid w:val="00765543"/>
    <w:rsid w:val="0076557D"/>
    <w:rsid w:val="00765669"/>
    <w:rsid w:val="007657D4"/>
    <w:rsid w:val="007657E4"/>
    <w:rsid w:val="00765822"/>
    <w:rsid w:val="00765853"/>
    <w:rsid w:val="00765874"/>
    <w:rsid w:val="007658A7"/>
    <w:rsid w:val="0076597C"/>
    <w:rsid w:val="00765A2C"/>
    <w:rsid w:val="00765AA6"/>
    <w:rsid w:val="00765AB9"/>
    <w:rsid w:val="00765B43"/>
    <w:rsid w:val="00765B82"/>
    <w:rsid w:val="00765BCA"/>
    <w:rsid w:val="00765C5D"/>
    <w:rsid w:val="00765C61"/>
    <w:rsid w:val="00765C69"/>
    <w:rsid w:val="00765D12"/>
    <w:rsid w:val="00765D13"/>
    <w:rsid w:val="00765D68"/>
    <w:rsid w:val="00765D6A"/>
    <w:rsid w:val="00765D76"/>
    <w:rsid w:val="00765D9B"/>
    <w:rsid w:val="00765ED2"/>
    <w:rsid w:val="00765EE5"/>
    <w:rsid w:val="00765EFA"/>
    <w:rsid w:val="00765F1F"/>
    <w:rsid w:val="00765F86"/>
    <w:rsid w:val="00765FB4"/>
    <w:rsid w:val="0076609D"/>
    <w:rsid w:val="0076611A"/>
    <w:rsid w:val="0076612E"/>
    <w:rsid w:val="00766184"/>
    <w:rsid w:val="007661AD"/>
    <w:rsid w:val="00766235"/>
    <w:rsid w:val="007662BA"/>
    <w:rsid w:val="007662D7"/>
    <w:rsid w:val="007662DF"/>
    <w:rsid w:val="00766444"/>
    <w:rsid w:val="00766469"/>
    <w:rsid w:val="007664B7"/>
    <w:rsid w:val="007665C2"/>
    <w:rsid w:val="007665F9"/>
    <w:rsid w:val="0076663D"/>
    <w:rsid w:val="0076664D"/>
    <w:rsid w:val="0076679C"/>
    <w:rsid w:val="0076684D"/>
    <w:rsid w:val="007668A1"/>
    <w:rsid w:val="00766962"/>
    <w:rsid w:val="00766966"/>
    <w:rsid w:val="0076696B"/>
    <w:rsid w:val="00766999"/>
    <w:rsid w:val="007669EC"/>
    <w:rsid w:val="00766A12"/>
    <w:rsid w:val="00766A43"/>
    <w:rsid w:val="00766A74"/>
    <w:rsid w:val="00766AB2"/>
    <w:rsid w:val="00766AF6"/>
    <w:rsid w:val="00766B38"/>
    <w:rsid w:val="00766B48"/>
    <w:rsid w:val="00766BF8"/>
    <w:rsid w:val="00766C33"/>
    <w:rsid w:val="00766D06"/>
    <w:rsid w:val="00766DED"/>
    <w:rsid w:val="00766E65"/>
    <w:rsid w:val="00766F09"/>
    <w:rsid w:val="00766F0E"/>
    <w:rsid w:val="00766F50"/>
    <w:rsid w:val="00766F8E"/>
    <w:rsid w:val="00766FC7"/>
    <w:rsid w:val="00766FF8"/>
    <w:rsid w:val="0076708F"/>
    <w:rsid w:val="0076709E"/>
    <w:rsid w:val="00767178"/>
    <w:rsid w:val="00767189"/>
    <w:rsid w:val="00767234"/>
    <w:rsid w:val="00767239"/>
    <w:rsid w:val="0076723C"/>
    <w:rsid w:val="007672EA"/>
    <w:rsid w:val="00767309"/>
    <w:rsid w:val="00767342"/>
    <w:rsid w:val="007673E4"/>
    <w:rsid w:val="007673F0"/>
    <w:rsid w:val="0076745A"/>
    <w:rsid w:val="007674B3"/>
    <w:rsid w:val="007674BD"/>
    <w:rsid w:val="007674E3"/>
    <w:rsid w:val="0076753B"/>
    <w:rsid w:val="00767567"/>
    <w:rsid w:val="00767570"/>
    <w:rsid w:val="00767588"/>
    <w:rsid w:val="007675AB"/>
    <w:rsid w:val="007675E7"/>
    <w:rsid w:val="00767645"/>
    <w:rsid w:val="00767672"/>
    <w:rsid w:val="00767747"/>
    <w:rsid w:val="0076778F"/>
    <w:rsid w:val="007677D7"/>
    <w:rsid w:val="0076782E"/>
    <w:rsid w:val="007678AC"/>
    <w:rsid w:val="007679A3"/>
    <w:rsid w:val="007679E0"/>
    <w:rsid w:val="00767AD5"/>
    <w:rsid w:val="00767AF7"/>
    <w:rsid w:val="00767B86"/>
    <w:rsid w:val="00767BBA"/>
    <w:rsid w:val="00767C5C"/>
    <w:rsid w:val="00767C8C"/>
    <w:rsid w:val="00767CA2"/>
    <w:rsid w:val="00767D59"/>
    <w:rsid w:val="00767D68"/>
    <w:rsid w:val="00767DAC"/>
    <w:rsid w:val="00767E74"/>
    <w:rsid w:val="00767F28"/>
    <w:rsid w:val="00767FAB"/>
    <w:rsid w:val="00770043"/>
    <w:rsid w:val="007700ED"/>
    <w:rsid w:val="0077013F"/>
    <w:rsid w:val="00770187"/>
    <w:rsid w:val="007701D6"/>
    <w:rsid w:val="0077020F"/>
    <w:rsid w:val="0077024B"/>
    <w:rsid w:val="007702FF"/>
    <w:rsid w:val="0077031A"/>
    <w:rsid w:val="00770350"/>
    <w:rsid w:val="00770364"/>
    <w:rsid w:val="0077047D"/>
    <w:rsid w:val="007704A5"/>
    <w:rsid w:val="007704F1"/>
    <w:rsid w:val="00770510"/>
    <w:rsid w:val="00770554"/>
    <w:rsid w:val="00770594"/>
    <w:rsid w:val="00770663"/>
    <w:rsid w:val="0077066A"/>
    <w:rsid w:val="007706BA"/>
    <w:rsid w:val="007706CF"/>
    <w:rsid w:val="0077071F"/>
    <w:rsid w:val="0077072C"/>
    <w:rsid w:val="00770740"/>
    <w:rsid w:val="0077087F"/>
    <w:rsid w:val="007708D6"/>
    <w:rsid w:val="00770972"/>
    <w:rsid w:val="00770981"/>
    <w:rsid w:val="00770996"/>
    <w:rsid w:val="007709D1"/>
    <w:rsid w:val="00770A4C"/>
    <w:rsid w:val="00770ACB"/>
    <w:rsid w:val="00770ACE"/>
    <w:rsid w:val="00770B05"/>
    <w:rsid w:val="00770BBA"/>
    <w:rsid w:val="00770BC9"/>
    <w:rsid w:val="00770C55"/>
    <w:rsid w:val="00770D8C"/>
    <w:rsid w:val="00770DAA"/>
    <w:rsid w:val="00770DEB"/>
    <w:rsid w:val="00770E3E"/>
    <w:rsid w:val="00770F36"/>
    <w:rsid w:val="00770F82"/>
    <w:rsid w:val="0077100B"/>
    <w:rsid w:val="007710EB"/>
    <w:rsid w:val="00771171"/>
    <w:rsid w:val="00771192"/>
    <w:rsid w:val="007711C0"/>
    <w:rsid w:val="007711E0"/>
    <w:rsid w:val="00771223"/>
    <w:rsid w:val="0077127F"/>
    <w:rsid w:val="007712D6"/>
    <w:rsid w:val="00771304"/>
    <w:rsid w:val="0077132E"/>
    <w:rsid w:val="00771338"/>
    <w:rsid w:val="00771343"/>
    <w:rsid w:val="0077155F"/>
    <w:rsid w:val="0077165A"/>
    <w:rsid w:val="00771668"/>
    <w:rsid w:val="00771683"/>
    <w:rsid w:val="00771707"/>
    <w:rsid w:val="00771750"/>
    <w:rsid w:val="007717B0"/>
    <w:rsid w:val="00771912"/>
    <w:rsid w:val="0077191C"/>
    <w:rsid w:val="0077194E"/>
    <w:rsid w:val="0077198E"/>
    <w:rsid w:val="007719FE"/>
    <w:rsid w:val="00771A29"/>
    <w:rsid w:val="00771A5A"/>
    <w:rsid w:val="00771AB5"/>
    <w:rsid w:val="00771AC8"/>
    <w:rsid w:val="00771AE2"/>
    <w:rsid w:val="00771B8A"/>
    <w:rsid w:val="00771BC3"/>
    <w:rsid w:val="00771DC4"/>
    <w:rsid w:val="00771DD8"/>
    <w:rsid w:val="00771DFC"/>
    <w:rsid w:val="00771EFB"/>
    <w:rsid w:val="00771F07"/>
    <w:rsid w:val="00771F50"/>
    <w:rsid w:val="00771F6A"/>
    <w:rsid w:val="00771FC9"/>
    <w:rsid w:val="00772071"/>
    <w:rsid w:val="007720D0"/>
    <w:rsid w:val="007720DA"/>
    <w:rsid w:val="00772135"/>
    <w:rsid w:val="007721AA"/>
    <w:rsid w:val="007722D2"/>
    <w:rsid w:val="00772337"/>
    <w:rsid w:val="00772338"/>
    <w:rsid w:val="00772351"/>
    <w:rsid w:val="00772353"/>
    <w:rsid w:val="007724E9"/>
    <w:rsid w:val="00772552"/>
    <w:rsid w:val="007725AB"/>
    <w:rsid w:val="0077271B"/>
    <w:rsid w:val="00772728"/>
    <w:rsid w:val="007727B4"/>
    <w:rsid w:val="00772805"/>
    <w:rsid w:val="0077283D"/>
    <w:rsid w:val="00772918"/>
    <w:rsid w:val="007729B1"/>
    <w:rsid w:val="00772A20"/>
    <w:rsid w:val="00772A50"/>
    <w:rsid w:val="00772A7D"/>
    <w:rsid w:val="00772A90"/>
    <w:rsid w:val="00772AD2"/>
    <w:rsid w:val="00772B04"/>
    <w:rsid w:val="00772B30"/>
    <w:rsid w:val="00772BAC"/>
    <w:rsid w:val="00772C3C"/>
    <w:rsid w:val="00772C44"/>
    <w:rsid w:val="00772C8A"/>
    <w:rsid w:val="00772C9E"/>
    <w:rsid w:val="00772D86"/>
    <w:rsid w:val="00772E21"/>
    <w:rsid w:val="00772E43"/>
    <w:rsid w:val="00772E73"/>
    <w:rsid w:val="00772E8C"/>
    <w:rsid w:val="00772EA1"/>
    <w:rsid w:val="00772EF8"/>
    <w:rsid w:val="00772F16"/>
    <w:rsid w:val="00772F2F"/>
    <w:rsid w:val="00772F70"/>
    <w:rsid w:val="00772FAF"/>
    <w:rsid w:val="00772FF7"/>
    <w:rsid w:val="007730A3"/>
    <w:rsid w:val="00773164"/>
    <w:rsid w:val="00773181"/>
    <w:rsid w:val="00773212"/>
    <w:rsid w:val="00773245"/>
    <w:rsid w:val="00773255"/>
    <w:rsid w:val="00773291"/>
    <w:rsid w:val="00773303"/>
    <w:rsid w:val="00773318"/>
    <w:rsid w:val="00773326"/>
    <w:rsid w:val="0077339E"/>
    <w:rsid w:val="007733E8"/>
    <w:rsid w:val="00773400"/>
    <w:rsid w:val="0077341C"/>
    <w:rsid w:val="00773438"/>
    <w:rsid w:val="0077378D"/>
    <w:rsid w:val="007737F3"/>
    <w:rsid w:val="007738C1"/>
    <w:rsid w:val="007738ED"/>
    <w:rsid w:val="00773985"/>
    <w:rsid w:val="007739CB"/>
    <w:rsid w:val="007739CF"/>
    <w:rsid w:val="007739D3"/>
    <w:rsid w:val="007739EF"/>
    <w:rsid w:val="00773A9B"/>
    <w:rsid w:val="00773A9E"/>
    <w:rsid w:val="00773BF1"/>
    <w:rsid w:val="00773C3F"/>
    <w:rsid w:val="00773E28"/>
    <w:rsid w:val="00773EB5"/>
    <w:rsid w:val="00773EC8"/>
    <w:rsid w:val="00773F9F"/>
    <w:rsid w:val="00773FAE"/>
    <w:rsid w:val="00773FF9"/>
    <w:rsid w:val="00773FFD"/>
    <w:rsid w:val="00774178"/>
    <w:rsid w:val="007741AB"/>
    <w:rsid w:val="007741CC"/>
    <w:rsid w:val="00774225"/>
    <w:rsid w:val="00774258"/>
    <w:rsid w:val="007742BB"/>
    <w:rsid w:val="007742F9"/>
    <w:rsid w:val="00774321"/>
    <w:rsid w:val="0077447A"/>
    <w:rsid w:val="007744DA"/>
    <w:rsid w:val="007744DB"/>
    <w:rsid w:val="00774536"/>
    <w:rsid w:val="00774577"/>
    <w:rsid w:val="0077462D"/>
    <w:rsid w:val="0077463C"/>
    <w:rsid w:val="00774648"/>
    <w:rsid w:val="0077465A"/>
    <w:rsid w:val="007746B3"/>
    <w:rsid w:val="00774704"/>
    <w:rsid w:val="0077472E"/>
    <w:rsid w:val="00774759"/>
    <w:rsid w:val="007747D2"/>
    <w:rsid w:val="00774876"/>
    <w:rsid w:val="007748D4"/>
    <w:rsid w:val="007749B3"/>
    <w:rsid w:val="007749FB"/>
    <w:rsid w:val="00774A1C"/>
    <w:rsid w:val="00774A20"/>
    <w:rsid w:val="00774A85"/>
    <w:rsid w:val="00774A88"/>
    <w:rsid w:val="00774AC5"/>
    <w:rsid w:val="00774C77"/>
    <w:rsid w:val="00774CD4"/>
    <w:rsid w:val="00774CEA"/>
    <w:rsid w:val="00774DB7"/>
    <w:rsid w:val="00774DDE"/>
    <w:rsid w:val="00774E8F"/>
    <w:rsid w:val="00774F5F"/>
    <w:rsid w:val="00774FD0"/>
    <w:rsid w:val="00775029"/>
    <w:rsid w:val="00775035"/>
    <w:rsid w:val="0077503E"/>
    <w:rsid w:val="007750D4"/>
    <w:rsid w:val="0077510C"/>
    <w:rsid w:val="00775188"/>
    <w:rsid w:val="00775194"/>
    <w:rsid w:val="007751B7"/>
    <w:rsid w:val="007751D5"/>
    <w:rsid w:val="007751E4"/>
    <w:rsid w:val="0077529C"/>
    <w:rsid w:val="007752AC"/>
    <w:rsid w:val="007752B8"/>
    <w:rsid w:val="007752D1"/>
    <w:rsid w:val="007752D9"/>
    <w:rsid w:val="0077530D"/>
    <w:rsid w:val="00775371"/>
    <w:rsid w:val="007753B6"/>
    <w:rsid w:val="00775480"/>
    <w:rsid w:val="00775485"/>
    <w:rsid w:val="00775491"/>
    <w:rsid w:val="007754CA"/>
    <w:rsid w:val="00775501"/>
    <w:rsid w:val="00775507"/>
    <w:rsid w:val="0077550D"/>
    <w:rsid w:val="00775658"/>
    <w:rsid w:val="0077565B"/>
    <w:rsid w:val="007756CF"/>
    <w:rsid w:val="007757D2"/>
    <w:rsid w:val="0077589B"/>
    <w:rsid w:val="007758B8"/>
    <w:rsid w:val="00775976"/>
    <w:rsid w:val="00775987"/>
    <w:rsid w:val="0077598A"/>
    <w:rsid w:val="007759A7"/>
    <w:rsid w:val="007759EC"/>
    <w:rsid w:val="007759ED"/>
    <w:rsid w:val="00775A3E"/>
    <w:rsid w:val="00775AE9"/>
    <w:rsid w:val="00775AFD"/>
    <w:rsid w:val="00775B7F"/>
    <w:rsid w:val="00775BB5"/>
    <w:rsid w:val="00775BC1"/>
    <w:rsid w:val="00775C54"/>
    <w:rsid w:val="00775C60"/>
    <w:rsid w:val="00775CDF"/>
    <w:rsid w:val="00775D0D"/>
    <w:rsid w:val="00775DA1"/>
    <w:rsid w:val="00775DAA"/>
    <w:rsid w:val="00775DBC"/>
    <w:rsid w:val="00775E14"/>
    <w:rsid w:val="00775E35"/>
    <w:rsid w:val="00775E54"/>
    <w:rsid w:val="00775EA4"/>
    <w:rsid w:val="00775EAD"/>
    <w:rsid w:val="00775F22"/>
    <w:rsid w:val="00775FA1"/>
    <w:rsid w:val="00775FC2"/>
    <w:rsid w:val="00775FCE"/>
    <w:rsid w:val="00776035"/>
    <w:rsid w:val="00776050"/>
    <w:rsid w:val="0077612D"/>
    <w:rsid w:val="00776178"/>
    <w:rsid w:val="007761E3"/>
    <w:rsid w:val="0077622F"/>
    <w:rsid w:val="0077630C"/>
    <w:rsid w:val="0077631B"/>
    <w:rsid w:val="0077637A"/>
    <w:rsid w:val="007763A2"/>
    <w:rsid w:val="007763C4"/>
    <w:rsid w:val="00776461"/>
    <w:rsid w:val="007764D6"/>
    <w:rsid w:val="00776501"/>
    <w:rsid w:val="00776542"/>
    <w:rsid w:val="0077654B"/>
    <w:rsid w:val="00776554"/>
    <w:rsid w:val="007765DA"/>
    <w:rsid w:val="0077660D"/>
    <w:rsid w:val="00776708"/>
    <w:rsid w:val="007767D4"/>
    <w:rsid w:val="007767F1"/>
    <w:rsid w:val="0077689C"/>
    <w:rsid w:val="007768C7"/>
    <w:rsid w:val="00776997"/>
    <w:rsid w:val="00776A0D"/>
    <w:rsid w:val="00776A49"/>
    <w:rsid w:val="00776AB5"/>
    <w:rsid w:val="00776AFD"/>
    <w:rsid w:val="00776B39"/>
    <w:rsid w:val="00776B52"/>
    <w:rsid w:val="00776BD6"/>
    <w:rsid w:val="00776BDB"/>
    <w:rsid w:val="00776BE8"/>
    <w:rsid w:val="00776C72"/>
    <w:rsid w:val="00776C8F"/>
    <w:rsid w:val="00776CBD"/>
    <w:rsid w:val="00776CDB"/>
    <w:rsid w:val="00776D2D"/>
    <w:rsid w:val="00776D51"/>
    <w:rsid w:val="00776DB9"/>
    <w:rsid w:val="00776DD7"/>
    <w:rsid w:val="00776DDC"/>
    <w:rsid w:val="00776DF2"/>
    <w:rsid w:val="00776EA3"/>
    <w:rsid w:val="00776F49"/>
    <w:rsid w:val="00776F4F"/>
    <w:rsid w:val="00776FB9"/>
    <w:rsid w:val="00776FC5"/>
    <w:rsid w:val="007770F3"/>
    <w:rsid w:val="007771C5"/>
    <w:rsid w:val="0077727E"/>
    <w:rsid w:val="007772B9"/>
    <w:rsid w:val="00777304"/>
    <w:rsid w:val="007773E0"/>
    <w:rsid w:val="007773E8"/>
    <w:rsid w:val="0077741B"/>
    <w:rsid w:val="007774BE"/>
    <w:rsid w:val="0077752F"/>
    <w:rsid w:val="00777584"/>
    <w:rsid w:val="00777613"/>
    <w:rsid w:val="00777651"/>
    <w:rsid w:val="00777678"/>
    <w:rsid w:val="007776B4"/>
    <w:rsid w:val="007776FB"/>
    <w:rsid w:val="00777784"/>
    <w:rsid w:val="007777CB"/>
    <w:rsid w:val="00777814"/>
    <w:rsid w:val="00777992"/>
    <w:rsid w:val="0077799E"/>
    <w:rsid w:val="00777A1D"/>
    <w:rsid w:val="00777A4F"/>
    <w:rsid w:val="00777AE6"/>
    <w:rsid w:val="00777BE0"/>
    <w:rsid w:val="00777CBE"/>
    <w:rsid w:val="00777CCB"/>
    <w:rsid w:val="00777D04"/>
    <w:rsid w:val="00777D46"/>
    <w:rsid w:val="00777D57"/>
    <w:rsid w:val="00777D59"/>
    <w:rsid w:val="00777E7B"/>
    <w:rsid w:val="00777EA8"/>
    <w:rsid w:val="00777EBB"/>
    <w:rsid w:val="00777F0A"/>
    <w:rsid w:val="00777F0D"/>
    <w:rsid w:val="00777F12"/>
    <w:rsid w:val="00777F36"/>
    <w:rsid w:val="00780042"/>
    <w:rsid w:val="00780054"/>
    <w:rsid w:val="0078007F"/>
    <w:rsid w:val="007801FD"/>
    <w:rsid w:val="00780236"/>
    <w:rsid w:val="00780264"/>
    <w:rsid w:val="007802BD"/>
    <w:rsid w:val="0078032C"/>
    <w:rsid w:val="00780335"/>
    <w:rsid w:val="0078035A"/>
    <w:rsid w:val="007803BB"/>
    <w:rsid w:val="007803D2"/>
    <w:rsid w:val="0078042C"/>
    <w:rsid w:val="00780430"/>
    <w:rsid w:val="00780433"/>
    <w:rsid w:val="007804C6"/>
    <w:rsid w:val="007804CB"/>
    <w:rsid w:val="0078059C"/>
    <w:rsid w:val="007805AF"/>
    <w:rsid w:val="007805E0"/>
    <w:rsid w:val="007805F8"/>
    <w:rsid w:val="007805FA"/>
    <w:rsid w:val="00780697"/>
    <w:rsid w:val="00780727"/>
    <w:rsid w:val="007807C1"/>
    <w:rsid w:val="00780881"/>
    <w:rsid w:val="007808B8"/>
    <w:rsid w:val="007809F2"/>
    <w:rsid w:val="00780A23"/>
    <w:rsid w:val="00780A4A"/>
    <w:rsid w:val="00780A96"/>
    <w:rsid w:val="00780CE3"/>
    <w:rsid w:val="00780D45"/>
    <w:rsid w:val="00780E54"/>
    <w:rsid w:val="00780E97"/>
    <w:rsid w:val="00780EA7"/>
    <w:rsid w:val="00780EE2"/>
    <w:rsid w:val="00780EFC"/>
    <w:rsid w:val="00780F26"/>
    <w:rsid w:val="00780F6B"/>
    <w:rsid w:val="00780F77"/>
    <w:rsid w:val="00780F9C"/>
    <w:rsid w:val="00780FAB"/>
    <w:rsid w:val="007810C9"/>
    <w:rsid w:val="007810CC"/>
    <w:rsid w:val="007810F4"/>
    <w:rsid w:val="00781190"/>
    <w:rsid w:val="007811DA"/>
    <w:rsid w:val="0078124B"/>
    <w:rsid w:val="0078126D"/>
    <w:rsid w:val="00781279"/>
    <w:rsid w:val="00781288"/>
    <w:rsid w:val="007813A1"/>
    <w:rsid w:val="007813A3"/>
    <w:rsid w:val="007813AB"/>
    <w:rsid w:val="007813B4"/>
    <w:rsid w:val="007813ED"/>
    <w:rsid w:val="00781437"/>
    <w:rsid w:val="0078147A"/>
    <w:rsid w:val="0078149C"/>
    <w:rsid w:val="0078149E"/>
    <w:rsid w:val="007814E8"/>
    <w:rsid w:val="00781632"/>
    <w:rsid w:val="00781671"/>
    <w:rsid w:val="00781684"/>
    <w:rsid w:val="007816E8"/>
    <w:rsid w:val="007816F1"/>
    <w:rsid w:val="00781716"/>
    <w:rsid w:val="00781815"/>
    <w:rsid w:val="00781849"/>
    <w:rsid w:val="0078185F"/>
    <w:rsid w:val="0078189C"/>
    <w:rsid w:val="00781963"/>
    <w:rsid w:val="007819D7"/>
    <w:rsid w:val="007819D9"/>
    <w:rsid w:val="007819F3"/>
    <w:rsid w:val="00781A19"/>
    <w:rsid w:val="00781A56"/>
    <w:rsid w:val="00781A61"/>
    <w:rsid w:val="00781A97"/>
    <w:rsid w:val="00781AA6"/>
    <w:rsid w:val="00781AB4"/>
    <w:rsid w:val="00781B0F"/>
    <w:rsid w:val="00781B1A"/>
    <w:rsid w:val="00781BA3"/>
    <w:rsid w:val="00781BD5"/>
    <w:rsid w:val="00781BE2"/>
    <w:rsid w:val="00781C3E"/>
    <w:rsid w:val="00781C6B"/>
    <w:rsid w:val="00781C9E"/>
    <w:rsid w:val="00781CA0"/>
    <w:rsid w:val="00781CF6"/>
    <w:rsid w:val="00781D68"/>
    <w:rsid w:val="00781DD5"/>
    <w:rsid w:val="00781DF3"/>
    <w:rsid w:val="00781DF4"/>
    <w:rsid w:val="00781E80"/>
    <w:rsid w:val="00781E92"/>
    <w:rsid w:val="00781E9A"/>
    <w:rsid w:val="00781EF6"/>
    <w:rsid w:val="00781F7B"/>
    <w:rsid w:val="00781F86"/>
    <w:rsid w:val="0078202C"/>
    <w:rsid w:val="00782073"/>
    <w:rsid w:val="007820C8"/>
    <w:rsid w:val="00782195"/>
    <w:rsid w:val="00782215"/>
    <w:rsid w:val="00782220"/>
    <w:rsid w:val="007822FB"/>
    <w:rsid w:val="00782317"/>
    <w:rsid w:val="0078235F"/>
    <w:rsid w:val="007823B7"/>
    <w:rsid w:val="0078240B"/>
    <w:rsid w:val="00782417"/>
    <w:rsid w:val="0078241A"/>
    <w:rsid w:val="0078244F"/>
    <w:rsid w:val="00782493"/>
    <w:rsid w:val="007824A9"/>
    <w:rsid w:val="007824D1"/>
    <w:rsid w:val="00782507"/>
    <w:rsid w:val="0078257B"/>
    <w:rsid w:val="007825A9"/>
    <w:rsid w:val="007825F9"/>
    <w:rsid w:val="00782605"/>
    <w:rsid w:val="00782646"/>
    <w:rsid w:val="0078264D"/>
    <w:rsid w:val="007826B6"/>
    <w:rsid w:val="007826FE"/>
    <w:rsid w:val="00782769"/>
    <w:rsid w:val="00782773"/>
    <w:rsid w:val="0078278A"/>
    <w:rsid w:val="00782857"/>
    <w:rsid w:val="007828E9"/>
    <w:rsid w:val="007828FF"/>
    <w:rsid w:val="00782937"/>
    <w:rsid w:val="00782A99"/>
    <w:rsid w:val="00782AC2"/>
    <w:rsid w:val="00782B26"/>
    <w:rsid w:val="00782BB9"/>
    <w:rsid w:val="00782BE6"/>
    <w:rsid w:val="00782C04"/>
    <w:rsid w:val="00782C81"/>
    <w:rsid w:val="00782D7F"/>
    <w:rsid w:val="00782E1F"/>
    <w:rsid w:val="00782E27"/>
    <w:rsid w:val="00782E95"/>
    <w:rsid w:val="00782E9F"/>
    <w:rsid w:val="00782ED2"/>
    <w:rsid w:val="00782F07"/>
    <w:rsid w:val="00783042"/>
    <w:rsid w:val="00783049"/>
    <w:rsid w:val="007830D0"/>
    <w:rsid w:val="00783107"/>
    <w:rsid w:val="00783157"/>
    <w:rsid w:val="007832B2"/>
    <w:rsid w:val="007832D0"/>
    <w:rsid w:val="00783358"/>
    <w:rsid w:val="007833C5"/>
    <w:rsid w:val="0078349D"/>
    <w:rsid w:val="007834DE"/>
    <w:rsid w:val="007834DF"/>
    <w:rsid w:val="007834E0"/>
    <w:rsid w:val="0078355B"/>
    <w:rsid w:val="007835AD"/>
    <w:rsid w:val="007835B1"/>
    <w:rsid w:val="007835C5"/>
    <w:rsid w:val="0078360A"/>
    <w:rsid w:val="00783623"/>
    <w:rsid w:val="00783654"/>
    <w:rsid w:val="007836A7"/>
    <w:rsid w:val="007836AF"/>
    <w:rsid w:val="007836D0"/>
    <w:rsid w:val="00783782"/>
    <w:rsid w:val="007837A1"/>
    <w:rsid w:val="007837AF"/>
    <w:rsid w:val="007837D0"/>
    <w:rsid w:val="007838E9"/>
    <w:rsid w:val="00783927"/>
    <w:rsid w:val="00783939"/>
    <w:rsid w:val="00783976"/>
    <w:rsid w:val="0078397F"/>
    <w:rsid w:val="00783A63"/>
    <w:rsid w:val="00783A98"/>
    <w:rsid w:val="00783B08"/>
    <w:rsid w:val="00783B1E"/>
    <w:rsid w:val="00783BA0"/>
    <w:rsid w:val="00783C08"/>
    <w:rsid w:val="00783C0E"/>
    <w:rsid w:val="00783C5D"/>
    <w:rsid w:val="00783CCD"/>
    <w:rsid w:val="00783D56"/>
    <w:rsid w:val="00783D75"/>
    <w:rsid w:val="00783D7A"/>
    <w:rsid w:val="00783E8E"/>
    <w:rsid w:val="00783ECE"/>
    <w:rsid w:val="00783FE1"/>
    <w:rsid w:val="00783FFD"/>
    <w:rsid w:val="00784190"/>
    <w:rsid w:val="0078427D"/>
    <w:rsid w:val="00784344"/>
    <w:rsid w:val="007843B4"/>
    <w:rsid w:val="007843C0"/>
    <w:rsid w:val="007843E6"/>
    <w:rsid w:val="0078448F"/>
    <w:rsid w:val="00784495"/>
    <w:rsid w:val="007844FE"/>
    <w:rsid w:val="0078453A"/>
    <w:rsid w:val="00784591"/>
    <w:rsid w:val="0078460F"/>
    <w:rsid w:val="00784624"/>
    <w:rsid w:val="00784647"/>
    <w:rsid w:val="0078466C"/>
    <w:rsid w:val="00784752"/>
    <w:rsid w:val="007847B3"/>
    <w:rsid w:val="00784880"/>
    <w:rsid w:val="00784992"/>
    <w:rsid w:val="007849D7"/>
    <w:rsid w:val="00784A40"/>
    <w:rsid w:val="00784A64"/>
    <w:rsid w:val="00784AD4"/>
    <w:rsid w:val="00784AED"/>
    <w:rsid w:val="00784B2F"/>
    <w:rsid w:val="00784B6D"/>
    <w:rsid w:val="00784B93"/>
    <w:rsid w:val="00784BA6"/>
    <w:rsid w:val="00784BE6"/>
    <w:rsid w:val="00784C00"/>
    <w:rsid w:val="00784C0A"/>
    <w:rsid w:val="00784C4E"/>
    <w:rsid w:val="00784CD9"/>
    <w:rsid w:val="00784CEA"/>
    <w:rsid w:val="00784D0E"/>
    <w:rsid w:val="00784D10"/>
    <w:rsid w:val="00784D8F"/>
    <w:rsid w:val="00784E11"/>
    <w:rsid w:val="00784E3F"/>
    <w:rsid w:val="00784EEF"/>
    <w:rsid w:val="00784FF2"/>
    <w:rsid w:val="00784FF7"/>
    <w:rsid w:val="00785051"/>
    <w:rsid w:val="0078518B"/>
    <w:rsid w:val="007851BB"/>
    <w:rsid w:val="007851C9"/>
    <w:rsid w:val="00785207"/>
    <w:rsid w:val="007852BE"/>
    <w:rsid w:val="007852CB"/>
    <w:rsid w:val="00785307"/>
    <w:rsid w:val="00785349"/>
    <w:rsid w:val="007853D5"/>
    <w:rsid w:val="0078546A"/>
    <w:rsid w:val="0078556A"/>
    <w:rsid w:val="00785572"/>
    <w:rsid w:val="007855CA"/>
    <w:rsid w:val="007855DD"/>
    <w:rsid w:val="00785675"/>
    <w:rsid w:val="007856EE"/>
    <w:rsid w:val="007857EB"/>
    <w:rsid w:val="00785807"/>
    <w:rsid w:val="00785886"/>
    <w:rsid w:val="007858A0"/>
    <w:rsid w:val="007858A4"/>
    <w:rsid w:val="0078590B"/>
    <w:rsid w:val="007859C1"/>
    <w:rsid w:val="007859F8"/>
    <w:rsid w:val="00785AE0"/>
    <w:rsid w:val="00785B94"/>
    <w:rsid w:val="00785B9E"/>
    <w:rsid w:val="00785BA4"/>
    <w:rsid w:val="00785BA7"/>
    <w:rsid w:val="00785BB4"/>
    <w:rsid w:val="00785BCE"/>
    <w:rsid w:val="00785BF7"/>
    <w:rsid w:val="00785C16"/>
    <w:rsid w:val="00785C34"/>
    <w:rsid w:val="00785C66"/>
    <w:rsid w:val="00785D09"/>
    <w:rsid w:val="00785D60"/>
    <w:rsid w:val="00785D70"/>
    <w:rsid w:val="00785DBC"/>
    <w:rsid w:val="00785DCC"/>
    <w:rsid w:val="00785E1D"/>
    <w:rsid w:val="00785E45"/>
    <w:rsid w:val="00785E9C"/>
    <w:rsid w:val="00785F21"/>
    <w:rsid w:val="00785F54"/>
    <w:rsid w:val="00785F57"/>
    <w:rsid w:val="00785FD8"/>
    <w:rsid w:val="007860A7"/>
    <w:rsid w:val="007860F4"/>
    <w:rsid w:val="00786124"/>
    <w:rsid w:val="00786127"/>
    <w:rsid w:val="0078615E"/>
    <w:rsid w:val="0078626A"/>
    <w:rsid w:val="007862FC"/>
    <w:rsid w:val="007863F1"/>
    <w:rsid w:val="007863F3"/>
    <w:rsid w:val="00786409"/>
    <w:rsid w:val="0078640B"/>
    <w:rsid w:val="00786411"/>
    <w:rsid w:val="00786432"/>
    <w:rsid w:val="00786447"/>
    <w:rsid w:val="00786459"/>
    <w:rsid w:val="007864B0"/>
    <w:rsid w:val="007864DF"/>
    <w:rsid w:val="007864F0"/>
    <w:rsid w:val="007865E5"/>
    <w:rsid w:val="0078660C"/>
    <w:rsid w:val="00786638"/>
    <w:rsid w:val="0078669E"/>
    <w:rsid w:val="007866BE"/>
    <w:rsid w:val="007866E6"/>
    <w:rsid w:val="0078672F"/>
    <w:rsid w:val="00786773"/>
    <w:rsid w:val="00786815"/>
    <w:rsid w:val="0078682B"/>
    <w:rsid w:val="0078683D"/>
    <w:rsid w:val="007868C3"/>
    <w:rsid w:val="007868F1"/>
    <w:rsid w:val="0078692F"/>
    <w:rsid w:val="0078699C"/>
    <w:rsid w:val="007869CD"/>
    <w:rsid w:val="007869EC"/>
    <w:rsid w:val="00786A73"/>
    <w:rsid w:val="00786A9E"/>
    <w:rsid w:val="00786B19"/>
    <w:rsid w:val="00786B3A"/>
    <w:rsid w:val="00786B6F"/>
    <w:rsid w:val="00786C1A"/>
    <w:rsid w:val="00786CD4"/>
    <w:rsid w:val="00786CE4"/>
    <w:rsid w:val="00786D3F"/>
    <w:rsid w:val="00786D98"/>
    <w:rsid w:val="00786DA4"/>
    <w:rsid w:val="00786E64"/>
    <w:rsid w:val="00786E6C"/>
    <w:rsid w:val="00786F90"/>
    <w:rsid w:val="00786FAF"/>
    <w:rsid w:val="00786FD9"/>
    <w:rsid w:val="00787042"/>
    <w:rsid w:val="00787099"/>
    <w:rsid w:val="0078709B"/>
    <w:rsid w:val="007870E4"/>
    <w:rsid w:val="0078712B"/>
    <w:rsid w:val="0078717F"/>
    <w:rsid w:val="00787251"/>
    <w:rsid w:val="00787254"/>
    <w:rsid w:val="00787291"/>
    <w:rsid w:val="00787294"/>
    <w:rsid w:val="007872B9"/>
    <w:rsid w:val="00787328"/>
    <w:rsid w:val="0078735B"/>
    <w:rsid w:val="0078737A"/>
    <w:rsid w:val="007874AA"/>
    <w:rsid w:val="0078752F"/>
    <w:rsid w:val="007875D0"/>
    <w:rsid w:val="00787603"/>
    <w:rsid w:val="0078761B"/>
    <w:rsid w:val="00787638"/>
    <w:rsid w:val="0078765C"/>
    <w:rsid w:val="007877F2"/>
    <w:rsid w:val="00787821"/>
    <w:rsid w:val="007878E0"/>
    <w:rsid w:val="00787906"/>
    <w:rsid w:val="0078797C"/>
    <w:rsid w:val="007879E5"/>
    <w:rsid w:val="00787A08"/>
    <w:rsid w:val="00787BCC"/>
    <w:rsid w:val="00787BEC"/>
    <w:rsid w:val="00787C16"/>
    <w:rsid w:val="00787C77"/>
    <w:rsid w:val="00787CA1"/>
    <w:rsid w:val="00787E0A"/>
    <w:rsid w:val="00787EB8"/>
    <w:rsid w:val="00787EEF"/>
    <w:rsid w:val="00787F21"/>
    <w:rsid w:val="00787F90"/>
    <w:rsid w:val="0079003C"/>
    <w:rsid w:val="007900B9"/>
    <w:rsid w:val="007900CB"/>
    <w:rsid w:val="00790108"/>
    <w:rsid w:val="00790150"/>
    <w:rsid w:val="007901E8"/>
    <w:rsid w:val="00790200"/>
    <w:rsid w:val="007903CD"/>
    <w:rsid w:val="007903F9"/>
    <w:rsid w:val="0079049E"/>
    <w:rsid w:val="00790578"/>
    <w:rsid w:val="007905A2"/>
    <w:rsid w:val="0079065B"/>
    <w:rsid w:val="00790788"/>
    <w:rsid w:val="007907AE"/>
    <w:rsid w:val="007907BF"/>
    <w:rsid w:val="007907D0"/>
    <w:rsid w:val="007907D7"/>
    <w:rsid w:val="007907EE"/>
    <w:rsid w:val="0079080D"/>
    <w:rsid w:val="00790831"/>
    <w:rsid w:val="0079084E"/>
    <w:rsid w:val="00790875"/>
    <w:rsid w:val="0079097E"/>
    <w:rsid w:val="00790A02"/>
    <w:rsid w:val="00790B1B"/>
    <w:rsid w:val="00790B7C"/>
    <w:rsid w:val="00790B87"/>
    <w:rsid w:val="00790BA6"/>
    <w:rsid w:val="00790C20"/>
    <w:rsid w:val="00790C45"/>
    <w:rsid w:val="00790C5E"/>
    <w:rsid w:val="00790C74"/>
    <w:rsid w:val="00790D61"/>
    <w:rsid w:val="00790D88"/>
    <w:rsid w:val="00790DAA"/>
    <w:rsid w:val="00790E01"/>
    <w:rsid w:val="00790E12"/>
    <w:rsid w:val="00790E4D"/>
    <w:rsid w:val="00790E60"/>
    <w:rsid w:val="00790E61"/>
    <w:rsid w:val="00790E8B"/>
    <w:rsid w:val="00790EA0"/>
    <w:rsid w:val="00790EAE"/>
    <w:rsid w:val="00790EE5"/>
    <w:rsid w:val="00790F5B"/>
    <w:rsid w:val="00790F5F"/>
    <w:rsid w:val="00790F97"/>
    <w:rsid w:val="0079104D"/>
    <w:rsid w:val="0079109E"/>
    <w:rsid w:val="007910EE"/>
    <w:rsid w:val="007910F8"/>
    <w:rsid w:val="0079113C"/>
    <w:rsid w:val="0079116E"/>
    <w:rsid w:val="00791247"/>
    <w:rsid w:val="00791258"/>
    <w:rsid w:val="007912DA"/>
    <w:rsid w:val="0079133F"/>
    <w:rsid w:val="0079134B"/>
    <w:rsid w:val="0079139D"/>
    <w:rsid w:val="007914FE"/>
    <w:rsid w:val="0079152A"/>
    <w:rsid w:val="00791541"/>
    <w:rsid w:val="00791579"/>
    <w:rsid w:val="00791634"/>
    <w:rsid w:val="007916A9"/>
    <w:rsid w:val="007917E9"/>
    <w:rsid w:val="00791836"/>
    <w:rsid w:val="007918C9"/>
    <w:rsid w:val="007919E1"/>
    <w:rsid w:val="00791A72"/>
    <w:rsid w:val="00791AE3"/>
    <w:rsid w:val="00791B74"/>
    <w:rsid w:val="00791BC6"/>
    <w:rsid w:val="00791C1D"/>
    <w:rsid w:val="00791C20"/>
    <w:rsid w:val="00791C22"/>
    <w:rsid w:val="00791CA8"/>
    <w:rsid w:val="00791CC2"/>
    <w:rsid w:val="00791D11"/>
    <w:rsid w:val="00791D1F"/>
    <w:rsid w:val="00791D2C"/>
    <w:rsid w:val="00791D77"/>
    <w:rsid w:val="00791E19"/>
    <w:rsid w:val="00791E4B"/>
    <w:rsid w:val="00791E53"/>
    <w:rsid w:val="00791E6E"/>
    <w:rsid w:val="00791EC9"/>
    <w:rsid w:val="00791F69"/>
    <w:rsid w:val="00791FB9"/>
    <w:rsid w:val="0079200F"/>
    <w:rsid w:val="00792057"/>
    <w:rsid w:val="00792084"/>
    <w:rsid w:val="0079218A"/>
    <w:rsid w:val="0079219F"/>
    <w:rsid w:val="0079225F"/>
    <w:rsid w:val="007922DD"/>
    <w:rsid w:val="0079230F"/>
    <w:rsid w:val="007923F2"/>
    <w:rsid w:val="0079243C"/>
    <w:rsid w:val="00792445"/>
    <w:rsid w:val="00792447"/>
    <w:rsid w:val="0079245C"/>
    <w:rsid w:val="007924EC"/>
    <w:rsid w:val="00792572"/>
    <w:rsid w:val="007925D9"/>
    <w:rsid w:val="00792641"/>
    <w:rsid w:val="00792683"/>
    <w:rsid w:val="0079271B"/>
    <w:rsid w:val="00792786"/>
    <w:rsid w:val="00792788"/>
    <w:rsid w:val="007927EC"/>
    <w:rsid w:val="007927F4"/>
    <w:rsid w:val="0079281C"/>
    <w:rsid w:val="00792872"/>
    <w:rsid w:val="007928A8"/>
    <w:rsid w:val="00792903"/>
    <w:rsid w:val="00792942"/>
    <w:rsid w:val="0079296B"/>
    <w:rsid w:val="00792A8D"/>
    <w:rsid w:val="00792ABF"/>
    <w:rsid w:val="00792AFB"/>
    <w:rsid w:val="00792BA5"/>
    <w:rsid w:val="00792BFE"/>
    <w:rsid w:val="00792C3F"/>
    <w:rsid w:val="00792C56"/>
    <w:rsid w:val="00792CF9"/>
    <w:rsid w:val="00792D57"/>
    <w:rsid w:val="00792D8A"/>
    <w:rsid w:val="00792DFD"/>
    <w:rsid w:val="00792E9C"/>
    <w:rsid w:val="00792EA9"/>
    <w:rsid w:val="00792EFE"/>
    <w:rsid w:val="00792F34"/>
    <w:rsid w:val="00792FC5"/>
    <w:rsid w:val="00793006"/>
    <w:rsid w:val="00793008"/>
    <w:rsid w:val="0079302B"/>
    <w:rsid w:val="0079305C"/>
    <w:rsid w:val="00793103"/>
    <w:rsid w:val="0079312C"/>
    <w:rsid w:val="007931D3"/>
    <w:rsid w:val="007931F3"/>
    <w:rsid w:val="007932B3"/>
    <w:rsid w:val="00793319"/>
    <w:rsid w:val="00793334"/>
    <w:rsid w:val="00793346"/>
    <w:rsid w:val="007933A4"/>
    <w:rsid w:val="00793447"/>
    <w:rsid w:val="007934A5"/>
    <w:rsid w:val="007934BD"/>
    <w:rsid w:val="007934EB"/>
    <w:rsid w:val="00793519"/>
    <w:rsid w:val="0079357D"/>
    <w:rsid w:val="007935B8"/>
    <w:rsid w:val="007935D0"/>
    <w:rsid w:val="00793610"/>
    <w:rsid w:val="00793627"/>
    <w:rsid w:val="00793635"/>
    <w:rsid w:val="00793680"/>
    <w:rsid w:val="0079371E"/>
    <w:rsid w:val="0079378C"/>
    <w:rsid w:val="007937CB"/>
    <w:rsid w:val="007938BF"/>
    <w:rsid w:val="007938D6"/>
    <w:rsid w:val="007938FA"/>
    <w:rsid w:val="00793A02"/>
    <w:rsid w:val="00793A0D"/>
    <w:rsid w:val="00793A61"/>
    <w:rsid w:val="00793A84"/>
    <w:rsid w:val="00793ABE"/>
    <w:rsid w:val="00793B06"/>
    <w:rsid w:val="00793BA0"/>
    <w:rsid w:val="00793C13"/>
    <w:rsid w:val="00793CDD"/>
    <w:rsid w:val="00793CF1"/>
    <w:rsid w:val="00793D6C"/>
    <w:rsid w:val="00793D85"/>
    <w:rsid w:val="00793DA4"/>
    <w:rsid w:val="00793DCC"/>
    <w:rsid w:val="00793E3B"/>
    <w:rsid w:val="00793FA5"/>
    <w:rsid w:val="00793FCC"/>
    <w:rsid w:val="00794079"/>
    <w:rsid w:val="0079408F"/>
    <w:rsid w:val="007940DF"/>
    <w:rsid w:val="00794170"/>
    <w:rsid w:val="007941AE"/>
    <w:rsid w:val="0079423F"/>
    <w:rsid w:val="007942B2"/>
    <w:rsid w:val="007942CF"/>
    <w:rsid w:val="00794379"/>
    <w:rsid w:val="0079439A"/>
    <w:rsid w:val="007943D7"/>
    <w:rsid w:val="007943EB"/>
    <w:rsid w:val="00794439"/>
    <w:rsid w:val="0079444C"/>
    <w:rsid w:val="00794494"/>
    <w:rsid w:val="007944D9"/>
    <w:rsid w:val="00794546"/>
    <w:rsid w:val="007945A5"/>
    <w:rsid w:val="00794634"/>
    <w:rsid w:val="0079464B"/>
    <w:rsid w:val="007946C1"/>
    <w:rsid w:val="007947B5"/>
    <w:rsid w:val="00794809"/>
    <w:rsid w:val="0079484D"/>
    <w:rsid w:val="00794850"/>
    <w:rsid w:val="007949B3"/>
    <w:rsid w:val="007949B6"/>
    <w:rsid w:val="00794A1F"/>
    <w:rsid w:val="00794A21"/>
    <w:rsid w:val="00794A4E"/>
    <w:rsid w:val="00794B20"/>
    <w:rsid w:val="00794B40"/>
    <w:rsid w:val="00794B93"/>
    <w:rsid w:val="00794BCB"/>
    <w:rsid w:val="00794C55"/>
    <w:rsid w:val="00794C6A"/>
    <w:rsid w:val="00794C7C"/>
    <w:rsid w:val="00794CA8"/>
    <w:rsid w:val="00794D0D"/>
    <w:rsid w:val="00794D66"/>
    <w:rsid w:val="00794DCD"/>
    <w:rsid w:val="00794DE6"/>
    <w:rsid w:val="00794E24"/>
    <w:rsid w:val="00794E31"/>
    <w:rsid w:val="00794EAB"/>
    <w:rsid w:val="00794EEF"/>
    <w:rsid w:val="00794F06"/>
    <w:rsid w:val="00794F22"/>
    <w:rsid w:val="00794FC1"/>
    <w:rsid w:val="00794FCF"/>
    <w:rsid w:val="00795093"/>
    <w:rsid w:val="007950D1"/>
    <w:rsid w:val="007950D9"/>
    <w:rsid w:val="007950F6"/>
    <w:rsid w:val="00795124"/>
    <w:rsid w:val="00795137"/>
    <w:rsid w:val="007951C0"/>
    <w:rsid w:val="00795204"/>
    <w:rsid w:val="007952BD"/>
    <w:rsid w:val="0079530A"/>
    <w:rsid w:val="0079530F"/>
    <w:rsid w:val="0079535E"/>
    <w:rsid w:val="00795370"/>
    <w:rsid w:val="007953FE"/>
    <w:rsid w:val="007954C9"/>
    <w:rsid w:val="007954CE"/>
    <w:rsid w:val="007954FE"/>
    <w:rsid w:val="00795540"/>
    <w:rsid w:val="0079554F"/>
    <w:rsid w:val="00795553"/>
    <w:rsid w:val="00795613"/>
    <w:rsid w:val="0079565C"/>
    <w:rsid w:val="0079580F"/>
    <w:rsid w:val="007958B8"/>
    <w:rsid w:val="00795903"/>
    <w:rsid w:val="0079590A"/>
    <w:rsid w:val="00795AAE"/>
    <w:rsid w:val="00795B20"/>
    <w:rsid w:val="00795BD5"/>
    <w:rsid w:val="00795C30"/>
    <w:rsid w:val="00795CBB"/>
    <w:rsid w:val="00795CEA"/>
    <w:rsid w:val="00795CEE"/>
    <w:rsid w:val="00795D83"/>
    <w:rsid w:val="00795E26"/>
    <w:rsid w:val="00795E31"/>
    <w:rsid w:val="00795E54"/>
    <w:rsid w:val="00795EA8"/>
    <w:rsid w:val="00795F12"/>
    <w:rsid w:val="00796043"/>
    <w:rsid w:val="007960F0"/>
    <w:rsid w:val="007960F4"/>
    <w:rsid w:val="007960F6"/>
    <w:rsid w:val="0079613E"/>
    <w:rsid w:val="007961BF"/>
    <w:rsid w:val="0079620D"/>
    <w:rsid w:val="007962BE"/>
    <w:rsid w:val="007962D4"/>
    <w:rsid w:val="00796301"/>
    <w:rsid w:val="00796367"/>
    <w:rsid w:val="00796402"/>
    <w:rsid w:val="0079641D"/>
    <w:rsid w:val="00796422"/>
    <w:rsid w:val="00796493"/>
    <w:rsid w:val="007964F2"/>
    <w:rsid w:val="00796538"/>
    <w:rsid w:val="007965E9"/>
    <w:rsid w:val="00796609"/>
    <w:rsid w:val="007966A7"/>
    <w:rsid w:val="0079673C"/>
    <w:rsid w:val="007967ED"/>
    <w:rsid w:val="00796844"/>
    <w:rsid w:val="007968A5"/>
    <w:rsid w:val="0079691C"/>
    <w:rsid w:val="0079694D"/>
    <w:rsid w:val="007969B1"/>
    <w:rsid w:val="00796A07"/>
    <w:rsid w:val="00796A46"/>
    <w:rsid w:val="00796B58"/>
    <w:rsid w:val="00796BE6"/>
    <w:rsid w:val="00796C5D"/>
    <w:rsid w:val="00796C66"/>
    <w:rsid w:val="00796C84"/>
    <w:rsid w:val="00796CC8"/>
    <w:rsid w:val="00796D59"/>
    <w:rsid w:val="00796DC5"/>
    <w:rsid w:val="00796E00"/>
    <w:rsid w:val="00796E04"/>
    <w:rsid w:val="00796E13"/>
    <w:rsid w:val="00796E26"/>
    <w:rsid w:val="00796E4A"/>
    <w:rsid w:val="00796FAB"/>
    <w:rsid w:val="00797038"/>
    <w:rsid w:val="00797075"/>
    <w:rsid w:val="00797089"/>
    <w:rsid w:val="00797138"/>
    <w:rsid w:val="007971B0"/>
    <w:rsid w:val="007971D8"/>
    <w:rsid w:val="007971DD"/>
    <w:rsid w:val="007971F1"/>
    <w:rsid w:val="00797207"/>
    <w:rsid w:val="0079720B"/>
    <w:rsid w:val="00797315"/>
    <w:rsid w:val="0079731B"/>
    <w:rsid w:val="007973C3"/>
    <w:rsid w:val="007973F5"/>
    <w:rsid w:val="00797480"/>
    <w:rsid w:val="007974EE"/>
    <w:rsid w:val="00797515"/>
    <w:rsid w:val="00797518"/>
    <w:rsid w:val="00797552"/>
    <w:rsid w:val="00797590"/>
    <w:rsid w:val="00797592"/>
    <w:rsid w:val="007975A6"/>
    <w:rsid w:val="007976BC"/>
    <w:rsid w:val="0079774E"/>
    <w:rsid w:val="00797795"/>
    <w:rsid w:val="007977E5"/>
    <w:rsid w:val="007978D0"/>
    <w:rsid w:val="00797909"/>
    <w:rsid w:val="0079792E"/>
    <w:rsid w:val="00797948"/>
    <w:rsid w:val="00797A2A"/>
    <w:rsid w:val="00797A6D"/>
    <w:rsid w:val="00797A76"/>
    <w:rsid w:val="00797AAC"/>
    <w:rsid w:val="00797ABC"/>
    <w:rsid w:val="00797AC0"/>
    <w:rsid w:val="00797B09"/>
    <w:rsid w:val="00797BB0"/>
    <w:rsid w:val="00797BF4"/>
    <w:rsid w:val="00797C11"/>
    <w:rsid w:val="00797C21"/>
    <w:rsid w:val="00797C80"/>
    <w:rsid w:val="00797C97"/>
    <w:rsid w:val="00797CCB"/>
    <w:rsid w:val="00797CD4"/>
    <w:rsid w:val="00797E7B"/>
    <w:rsid w:val="00797E8B"/>
    <w:rsid w:val="00797EF6"/>
    <w:rsid w:val="00797F15"/>
    <w:rsid w:val="00797F4F"/>
    <w:rsid w:val="007A002A"/>
    <w:rsid w:val="007A003F"/>
    <w:rsid w:val="007A005C"/>
    <w:rsid w:val="007A00E3"/>
    <w:rsid w:val="007A0115"/>
    <w:rsid w:val="007A0120"/>
    <w:rsid w:val="007A0138"/>
    <w:rsid w:val="007A0145"/>
    <w:rsid w:val="007A0188"/>
    <w:rsid w:val="007A0193"/>
    <w:rsid w:val="007A0261"/>
    <w:rsid w:val="007A0273"/>
    <w:rsid w:val="007A02B1"/>
    <w:rsid w:val="007A030B"/>
    <w:rsid w:val="007A03CF"/>
    <w:rsid w:val="007A03D1"/>
    <w:rsid w:val="007A046A"/>
    <w:rsid w:val="007A047A"/>
    <w:rsid w:val="007A0500"/>
    <w:rsid w:val="007A05EE"/>
    <w:rsid w:val="007A05FC"/>
    <w:rsid w:val="007A0628"/>
    <w:rsid w:val="007A0651"/>
    <w:rsid w:val="007A0697"/>
    <w:rsid w:val="007A0729"/>
    <w:rsid w:val="007A079A"/>
    <w:rsid w:val="007A079B"/>
    <w:rsid w:val="007A07F7"/>
    <w:rsid w:val="007A0891"/>
    <w:rsid w:val="007A08C2"/>
    <w:rsid w:val="007A0977"/>
    <w:rsid w:val="007A099C"/>
    <w:rsid w:val="007A09A9"/>
    <w:rsid w:val="007A0A8D"/>
    <w:rsid w:val="007A0AEF"/>
    <w:rsid w:val="007A0B42"/>
    <w:rsid w:val="007A0B9B"/>
    <w:rsid w:val="007A0BCA"/>
    <w:rsid w:val="007A0C5E"/>
    <w:rsid w:val="007A0C61"/>
    <w:rsid w:val="007A0D1C"/>
    <w:rsid w:val="007A0D5B"/>
    <w:rsid w:val="007A0D65"/>
    <w:rsid w:val="007A0DB3"/>
    <w:rsid w:val="007A0DED"/>
    <w:rsid w:val="007A0E1E"/>
    <w:rsid w:val="007A0E9A"/>
    <w:rsid w:val="007A0F70"/>
    <w:rsid w:val="007A0F90"/>
    <w:rsid w:val="007A102F"/>
    <w:rsid w:val="007A1056"/>
    <w:rsid w:val="007A1079"/>
    <w:rsid w:val="007A10CF"/>
    <w:rsid w:val="007A1102"/>
    <w:rsid w:val="007A1133"/>
    <w:rsid w:val="007A12A9"/>
    <w:rsid w:val="007A12E5"/>
    <w:rsid w:val="007A12F2"/>
    <w:rsid w:val="007A13F3"/>
    <w:rsid w:val="007A14E4"/>
    <w:rsid w:val="007A153C"/>
    <w:rsid w:val="007A1569"/>
    <w:rsid w:val="007A15AF"/>
    <w:rsid w:val="007A1676"/>
    <w:rsid w:val="007A1681"/>
    <w:rsid w:val="007A169F"/>
    <w:rsid w:val="007A1746"/>
    <w:rsid w:val="007A17E4"/>
    <w:rsid w:val="007A1863"/>
    <w:rsid w:val="007A188A"/>
    <w:rsid w:val="007A18DD"/>
    <w:rsid w:val="007A190F"/>
    <w:rsid w:val="007A1952"/>
    <w:rsid w:val="007A19A1"/>
    <w:rsid w:val="007A1A5A"/>
    <w:rsid w:val="007A1A6C"/>
    <w:rsid w:val="007A1B5C"/>
    <w:rsid w:val="007A1B5D"/>
    <w:rsid w:val="007A1B8B"/>
    <w:rsid w:val="007A1B94"/>
    <w:rsid w:val="007A1B9F"/>
    <w:rsid w:val="007A1BA0"/>
    <w:rsid w:val="007A1BA3"/>
    <w:rsid w:val="007A1BBF"/>
    <w:rsid w:val="007A1C12"/>
    <w:rsid w:val="007A1C13"/>
    <w:rsid w:val="007A1CAE"/>
    <w:rsid w:val="007A1CB5"/>
    <w:rsid w:val="007A1CCA"/>
    <w:rsid w:val="007A1CD4"/>
    <w:rsid w:val="007A1CEC"/>
    <w:rsid w:val="007A1D19"/>
    <w:rsid w:val="007A1DDA"/>
    <w:rsid w:val="007A1DEE"/>
    <w:rsid w:val="007A1E28"/>
    <w:rsid w:val="007A1E39"/>
    <w:rsid w:val="007A1E49"/>
    <w:rsid w:val="007A1E9C"/>
    <w:rsid w:val="007A1F02"/>
    <w:rsid w:val="007A1F20"/>
    <w:rsid w:val="007A1FE3"/>
    <w:rsid w:val="007A1FEB"/>
    <w:rsid w:val="007A2018"/>
    <w:rsid w:val="007A2077"/>
    <w:rsid w:val="007A2087"/>
    <w:rsid w:val="007A20E6"/>
    <w:rsid w:val="007A210C"/>
    <w:rsid w:val="007A2145"/>
    <w:rsid w:val="007A2184"/>
    <w:rsid w:val="007A21A6"/>
    <w:rsid w:val="007A21B3"/>
    <w:rsid w:val="007A2228"/>
    <w:rsid w:val="007A2262"/>
    <w:rsid w:val="007A227A"/>
    <w:rsid w:val="007A22A7"/>
    <w:rsid w:val="007A241E"/>
    <w:rsid w:val="007A24C9"/>
    <w:rsid w:val="007A24FE"/>
    <w:rsid w:val="007A2529"/>
    <w:rsid w:val="007A25A8"/>
    <w:rsid w:val="007A25CD"/>
    <w:rsid w:val="007A2618"/>
    <w:rsid w:val="007A26A0"/>
    <w:rsid w:val="007A26F7"/>
    <w:rsid w:val="007A272D"/>
    <w:rsid w:val="007A2778"/>
    <w:rsid w:val="007A2787"/>
    <w:rsid w:val="007A27A6"/>
    <w:rsid w:val="007A27B3"/>
    <w:rsid w:val="007A287C"/>
    <w:rsid w:val="007A2898"/>
    <w:rsid w:val="007A295E"/>
    <w:rsid w:val="007A29A0"/>
    <w:rsid w:val="007A29BE"/>
    <w:rsid w:val="007A29D3"/>
    <w:rsid w:val="007A2AF8"/>
    <w:rsid w:val="007A2B08"/>
    <w:rsid w:val="007A2B13"/>
    <w:rsid w:val="007A2B48"/>
    <w:rsid w:val="007A2BCA"/>
    <w:rsid w:val="007A2BD6"/>
    <w:rsid w:val="007A2BEF"/>
    <w:rsid w:val="007A2C13"/>
    <w:rsid w:val="007A2C57"/>
    <w:rsid w:val="007A2C5F"/>
    <w:rsid w:val="007A2CBE"/>
    <w:rsid w:val="007A2D1C"/>
    <w:rsid w:val="007A2D39"/>
    <w:rsid w:val="007A2D49"/>
    <w:rsid w:val="007A2D9B"/>
    <w:rsid w:val="007A2E6B"/>
    <w:rsid w:val="007A2EA7"/>
    <w:rsid w:val="007A2EAA"/>
    <w:rsid w:val="007A2EC7"/>
    <w:rsid w:val="007A2ED5"/>
    <w:rsid w:val="007A2F8A"/>
    <w:rsid w:val="007A2F95"/>
    <w:rsid w:val="007A2FD3"/>
    <w:rsid w:val="007A3027"/>
    <w:rsid w:val="007A30B2"/>
    <w:rsid w:val="007A3142"/>
    <w:rsid w:val="007A3161"/>
    <w:rsid w:val="007A316E"/>
    <w:rsid w:val="007A31C2"/>
    <w:rsid w:val="007A322A"/>
    <w:rsid w:val="007A322D"/>
    <w:rsid w:val="007A3270"/>
    <w:rsid w:val="007A331E"/>
    <w:rsid w:val="007A33F7"/>
    <w:rsid w:val="007A346B"/>
    <w:rsid w:val="007A34E6"/>
    <w:rsid w:val="007A3638"/>
    <w:rsid w:val="007A3688"/>
    <w:rsid w:val="007A36F7"/>
    <w:rsid w:val="007A372A"/>
    <w:rsid w:val="007A386A"/>
    <w:rsid w:val="007A3880"/>
    <w:rsid w:val="007A3884"/>
    <w:rsid w:val="007A39C3"/>
    <w:rsid w:val="007A3A9C"/>
    <w:rsid w:val="007A3AFC"/>
    <w:rsid w:val="007A3B06"/>
    <w:rsid w:val="007A3B30"/>
    <w:rsid w:val="007A3B98"/>
    <w:rsid w:val="007A3C0A"/>
    <w:rsid w:val="007A3C26"/>
    <w:rsid w:val="007A3C2D"/>
    <w:rsid w:val="007A3C49"/>
    <w:rsid w:val="007A3CA0"/>
    <w:rsid w:val="007A3D02"/>
    <w:rsid w:val="007A3D64"/>
    <w:rsid w:val="007A3DDE"/>
    <w:rsid w:val="007A3E79"/>
    <w:rsid w:val="007A3E9F"/>
    <w:rsid w:val="007A3EBA"/>
    <w:rsid w:val="007A3FD8"/>
    <w:rsid w:val="007A3FF7"/>
    <w:rsid w:val="007A40AE"/>
    <w:rsid w:val="007A40C7"/>
    <w:rsid w:val="007A40E1"/>
    <w:rsid w:val="007A4139"/>
    <w:rsid w:val="007A4168"/>
    <w:rsid w:val="007A419E"/>
    <w:rsid w:val="007A41BF"/>
    <w:rsid w:val="007A4211"/>
    <w:rsid w:val="007A4229"/>
    <w:rsid w:val="007A425E"/>
    <w:rsid w:val="007A42A5"/>
    <w:rsid w:val="007A4382"/>
    <w:rsid w:val="007A4433"/>
    <w:rsid w:val="007A44BE"/>
    <w:rsid w:val="007A44CE"/>
    <w:rsid w:val="007A44D5"/>
    <w:rsid w:val="007A44D8"/>
    <w:rsid w:val="007A4526"/>
    <w:rsid w:val="007A456A"/>
    <w:rsid w:val="007A45BF"/>
    <w:rsid w:val="007A45D6"/>
    <w:rsid w:val="007A45F9"/>
    <w:rsid w:val="007A46E7"/>
    <w:rsid w:val="007A478D"/>
    <w:rsid w:val="007A479E"/>
    <w:rsid w:val="007A4855"/>
    <w:rsid w:val="007A48F7"/>
    <w:rsid w:val="007A4929"/>
    <w:rsid w:val="007A4A09"/>
    <w:rsid w:val="007A4A20"/>
    <w:rsid w:val="007A4A4A"/>
    <w:rsid w:val="007A4AC5"/>
    <w:rsid w:val="007A4AF3"/>
    <w:rsid w:val="007A4B86"/>
    <w:rsid w:val="007A4CE2"/>
    <w:rsid w:val="007A4D26"/>
    <w:rsid w:val="007A4DBA"/>
    <w:rsid w:val="007A4F00"/>
    <w:rsid w:val="007A4F0E"/>
    <w:rsid w:val="007A4F8D"/>
    <w:rsid w:val="007A4FDA"/>
    <w:rsid w:val="007A5051"/>
    <w:rsid w:val="007A5091"/>
    <w:rsid w:val="007A5128"/>
    <w:rsid w:val="007A512B"/>
    <w:rsid w:val="007A515D"/>
    <w:rsid w:val="007A5162"/>
    <w:rsid w:val="007A52C8"/>
    <w:rsid w:val="007A53CD"/>
    <w:rsid w:val="007A543D"/>
    <w:rsid w:val="007A54FE"/>
    <w:rsid w:val="007A5555"/>
    <w:rsid w:val="007A566D"/>
    <w:rsid w:val="007A56A7"/>
    <w:rsid w:val="007A56B5"/>
    <w:rsid w:val="007A56D2"/>
    <w:rsid w:val="007A56D3"/>
    <w:rsid w:val="007A571A"/>
    <w:rsid w:val="007A5724"/>
    <w:rsid w:val="007A574D"/>
    <w:rsid w:val="007A57C6"/>
    <w:rsid w:val="007A57DB"/>
    <w:rsid w:val="007A5808"/>
    <w:rsid w:val="007A5855"/>
    <w:rsid w:val="007A58C3"/>
    <w:rsid w:val="007A5A7D"/>
    <w:rsid w:val="007A5A7F"/>
    <w:rsid w:val="007A5A95"/>
    <w:rsid w:val="007A5B61"/>
    <w:rsid w:val="007A5BB1"/>
    <w:rsid w:val="007A5D43"/>
    <w:rsid w:val="007A5D65"/>
    <w:rsid w:val="007A5DAB"/>
    <w:rsid w:val="007A5DF2"/>
    <w:rsid w:val="007A5E5F"/>
    <w:rsid w:val="007A5EAB"/>
    <w:rsid w:val="007A5F38"/>
    <w:rsid w:val="007A5F97"/>
    <w:rsid w:val="007A5FA7"/>
    <w:rsid w:val="007A5FB5"/>
    <w:rsid w:val="007A5FB7"/>
    <w:rsid w:val="007A5FDC"/>
    <w:rsid w:val="007A5FDD"/>
    <w:rsid w:val="007A6027"/>
    <w:rsid w:val="007A602F"/>
    <w:rsid w:val="007A603A"/>
    <w:rsid w:val="007A6208"/>
    <w:rsid w:val="007A620C"/>
    <w:rsid w:val="007A6222"/>
    <w:rsid w:val="007A6248"/>
    <w:rsid w:val="007A62A5"/>
    <w:rsid w:val="007A62F2"/>
    <w:rsid w:val="007A6342"/>
    <w:rsid w:val="007A63F2"/>
    <w:rsid w:val="007A641A"/>
    <w:rsid w:val="007A6422"/>
    <w:rsid w:val="007A6483"/>
    <w:rsid w:val="007A65A8"/>
    <w:rsid w:val="007A65F8"/>
    <w:rsid w:val="007A65FF"/>
    <w:rsid w:val="007A665C"/>
    <w:rsid w:val="007A668C"/>
    <w:rsid w:val="007A6732"/>
    <w:rsid w:val="007A673D"/>
    <w:rsid w:val="007A67C3"/>
    <w:rsid w:val="007A67EA"/>
    <w:rsid w:val="007A6809"/>
    <w:rsid w:val="007A680A"/>
    <w:rsid w:val="007A683C"/>
    <w:rsid w:val="007A685B"/>
    <w:rsid w:val="007A6876"/>
    <w:rsid w:val="007A68BB"/>
    <w:rsid w:val="007A68EE"/>
    <w:rsid w:val="007A693C"/>
    <w:rsid w:val="007A69FC"/>
    <w:rsid w:val="007A6A61"/>
    <w:rsid w:val="007A6A89"/>
    <w:rsid w:val="007A6AEB"/>
    <w:rsid w:val="007A6AF9"/>
    <w:rsid w:val="007A6B18"/>
    <w:rsid w:val="007A6B2B"/>
    <w:rsid w:val="007A6BA4"/>
    <w:rsid w:val="007A6BA6"/>
    <w:rsid w:val="007A6BDC"/>
    <w:rsid w:val="007A6BE3"/>
    <w:rsid w:val="007A6BEE"/>
    <w:rsid w:val="007A6C53"/>
    <w:rsid w:val="007A6CC2"/>
    <w:rsid w:val="007A6D29"/>
    <w:rsid w:val="007A6D4C"/>
    <w:rsid w:val="007A6E46"/>
    <w:rsid w:val="007A6E57"/>
    <w:rsid w:val="007A6EF4"/>
    <w:rsid w:val="007A6F09"/>
    <w:rsid w:val="007A6FDE"/>
    <w:rsid w:val="007A701E"/>
    <w:rsid w:val="007A70EB"/>
    <w:rsid w:val="007A70F1"/>
    <w:rsid w:val="007A7113"/>
    <w:rsid w:val="007A7120"/>
    <w:rsid w:val="007A7135"/>
    <w:rsid w:val="007A718B"/>
    <w:rsid w:val="007A721B"/>
    <w:rsid w:val="007A7265"/>
    <w:rsid w:val="007A7272"/>
    <w:rsid w:val="007A7321"/>
    <w:rsid w:val="007A7389"/>
    <w:rsid w:val="007A73DA"/>
    <w:rsid w:val="007A73DD"/>
    <w:rsid w:val="007A745E"/>
    <w:rsid w:val="007A748E"/>
    <w:rsid w:val="007A7498"/>
    <w:rsid w:val="007A74A2"/>
    <w:rsid w:val="007A74E8"/>
    <w:rsid w:val="007A7551"/>
    <w:rsid w:val="007A758A"/>
    <w:rsid w:val="007A75ED"/>
    <w:rsid w:val="007A7615"/>
    <w:rsid w:val="007A761E"/>
    <w:rsid w:val="007A765B"/>
    <w:rsid w:val="007A7679"/>
    <w:rsid w:val="007A76A8"/>
    <w:rsid w:val="007A76C1"/>
    <w:rsid w:val="007A76CB"/>
    <w:rsid w:val="007A76E6"/>
    <w:rsid w:val="007A775A"/>
    <w:rsid w:val="007A77F8"/>
    <w:rsid w:val="007A77FA"/>
    <w:rsid w:val="007A7848"/>
    <w:rsid w:val="007A7886"/>
    <w:rsid w:val="007A7931"/>
    <w:rsid w:val="007A7987"/>
    <w:rsid w:val="007A79B6"/>
    <w:rsid w:val="007A7A63"/>
    <w:rsid w:val="007A7A95"/>
    <w:rsid w:val="007A7B50"/>
    <w:rsid w:val="007A7B70"/>
    <w:rsid w:val="007A7BDE"/>
    <w:rsid w:val="007A7C6A"/>
    <w:rsid w:val="007A7C71"/>
    <w:rsid w:val="007A7C8A"/>
    <w:rsid w:val="007A7D32"/>
    <w:rsid w:val="007A7DAA"/>
    <w:rsid w:val="007A7E1C"/>
    <w:rsid w:val="007A7E37"/>
    <w:rsid w:val="007A7EB5"/>
    <w:rsid w:val="007A7F1B"/>
    <w:rsid w:val="007A7F99"/>
    <w:rsid w:val="007A7FB2"/>
    <w:rsid w:val="007A7FC2"/>
    <w:rsid w:val="007A7FC9"/>
    <w:rsid w:val="007B000E"/>
    <w:rsid w:val="007B0031"/>
    <w:rsid w:val="007B007B"/>
    <w:rsid w:val="007B00B0"/>
    <w:rsid w:val="007B00F3"/>
    <w:rsid w:val="007B0118"/>
    <w:rsid w:val="007B01D9"/>
    <w:rsid w:val="007B0244"/>
    <w:rsid w:val="007B032C"/>
    <w:rsid w:val="007B0344"/>
    <w:rsid w:val="007B03CE"/>
    <w:rsid w:val="007B0419"/>
    <w:rsid w:val="007B043A"/>
    <w:rsid w:val="007B04D6"/>
    <w:rsid w:val="007B0513"/>
    <w:rsid w:val="007B054A"/>
    <w:rsid w:val="007B05EB"/>
    <w:rsid w:val="007B05FC"/>
    <w:rsid w:val="007B0601"/>
    <w:rsid w:val="007B062A"/>
    <w:rsid w:val="007B0664"/>
    <w:rsid w:val="007B0685"/>
    <w:rsid w:val="007B06AE"/>
    <w:rsid w:val="007B074F"/>
    <w:rsid w:val="007B07E7"/>
    <w:rsid w:val="007B08A4"/>
    <w:rsid w:val="007B08BD"/>
    <w:rsid w:val="007B08C8"/>
    <w:rsid w:val="007B08CF"/>
    <w:rsid w:val="007B08DA"/>
    <w:rsid w:val="007B08E9"/>
    <w:rsid w:val="007B090A"/>
    <w:rsid w:val="007B09B1"/>
    <w:rsid w:val="007B0B5F"/>
    <w:rsid w:val="007B0CF3"/>
    <w:rsid w:val="007B0D4E"/>
    <w:rsid w:val="007B0D9B"/>
    <w:rsid w:val="007B0EEF"/>
    <w:rsid w:val="007B0F1D"/>
    <w:rsid w:val="007B0F40"/>
    <w:rsid w:val="007B0FA4"/>
    <w:rsid w:val="007B0FC9"/>
    <w:rsid w:val="007B0FCB"/>
    <w:rsid w:val="007B0FF4"/>
    <w:rsid w:val="007B102A"/>
    <w:rsid w:val="007B1092"/>
    <w:rsid w:val="007B1105"/>
    <w:rsid w:val="007B1175"/>
    <w:rsid w:val="007B117B"/>
    <w:rsid w:val="007B11E2"/>
    <w:rsid w:val="007B1227"/>
    <w:rsid w:val="007B123C"/>
    <w:rsid w:val="007B1263"/>
    <w:rsid w:val="007B12AE"/>
    <w:rsid w:val="007B12BD"/>
    <w:rsid w:val="007B12FD"/>
    <w:rsid w:val="007B1382"/>
    <w:rsid w:val="007B138A"/>
    <w:rsid w:val="007B13B7"/>
    <w:rsid w:val="007B1439"/>
    <w:rsid w:val="007B1486"/>
    <w:rsid w:val="007B1496"/>
    <w:rsid w:val="007B155E"/>
    <w:rsid w:val="007B1591"/>
    <w:rsid w:val="007B1592"/>
    <w:rsid w:val="007B15A1"/>
    <w:rsid w:val="007B15AE"/>
    <w:rsid w:val="007B15CD"/>
    <w:rsid w:val="007B1671"/>
    <w:rsid w:val="007B1685"/>
    <w:rsid w:val="007B16E9"/>
    <w:rsid w:val="007B17E8"/>
    <w:rsid w:val="007B17EA"/>
    <w:rsid w:val="007B181B"/>
    <w:rsid w:val="007B1849"/>
    <w:rsid w:val="007B1861"/>
    <w:rsid w:val="007B1901"/>
    <w:rsid w:val="007B1943"/>
    <w:rsid w:val="007B196C"/>
    <w:rsid w:val="007B1A1E"/>
    <w:rsid w:val="007B1A5E"/>
    <w:rsid w:val="007B1A61"/>
    <w:rsid w:val="007B1B4C"/>
    <w:rsid w:val="007B1B6F"/>
    <w:rsid w:val="007B1C72"/>
    <w:rsid w:val="007B1D05"/>
    <w:rsid w:val="007B1D32"/>
    <w:rsid w:val="007B1D64"/>
    <w:rsid w:val="007B1E2F"/>
    <w:rsid w:val="007B1E63"/>
    <w:rsid w:val="007B1E83"/>
    <w:rsid w:val="007B1E94"/>
    <w:rsid w:val="007B1F0E"/>
    <w:rsid w:val="007B1FEB"/>
    <w:rsid w:val="007B1FF9"/>
    <w:rsid w:val="007B202B"/>
    <w:rsid w:val="007B209B"/>
    <w:rsid w:val="007B20F1"/>
    <w:rsid w:val="007B212A"/>
    <w:rsid w:val="007B212B"/>
    <w:rsid w:val="007B213F"/>
    <w:rsid w:val="007B217B"/>
    <w:rsid w:val="007B21B4"/>
    <w:rsid w:val="007B220A"/>
    <w:rsid w:val="007B237D"/>
    <w:rsid w:val="007B2392"/>
    <w:rsid w:val="007B23A8"/>
    <w:rsid w:val="007B2442"/>
    <w:rsid w:val="007B248A"/>
    <w:rsid w:val="007B24FE"/>
    <w:rsid w:val="007B264D"/>
    <w:rsid w:val="007B265B"/>
    <w:rsid w:val="007B2677"/>
    <w:rsid w:val="007B2708"/>
    <w:rsid w:val="007B2746"/>
    <w:rsid w:val="007B27BB"/>
    <w:rsid w:val="007B28B6"/>
    <w:rsid w:val="007B28D4"/>
    <w:rsid w:val="007B290A"/>
    <w:rsid w:val="007B296A"/>
    <w:rsid w:val="007B298C"/>
    <w:rsid w:val="007B29C8"/>
    <w:rsid w:val="007B2A72"/>
    <w:rsid w:val="007B2A93"/>
    <w:rsid w:val="007B2A98"/>
    <w:rsid w:val="007B2B24"/>
    <w:rsid w:val="007B2B5E"/>
    <w:rsid w:val="007B2B99"/>
    <w:rsid w:val="007B2BC5"/>
    <w:rsid w:val="007B2BE9"/>
    <w:rsid w:val="007B2C32"/>
    <w:rsid w:val="007B2C90"/>
    <w:rsid w:val="007B2CA9"/>
    <w:rsid w:val="007B2CC3"/>
    <w:rsid w:val="007B2D26"/>
    <w:rsid w:val="007B2DCC"/>
    <w:rsid w:val="007B2DE8"/>
    <w:rsid w:val="007B2E3E"/>
    <w:rsid w:val="007B2E69"/>
    <w:rsid w:val="007B2E9F"/>
    <w:rsid w:val="007B2F04"/>
    <w:rsid w:val="007B3002"/>
    <w:rsid w:val="007B30C2"/>
    <w:rsid w:val="007B30EB"/>
    <w:rsid w:val="007B3262"/>
    <w:rsid w:val="007B32D1"/>
    <w:rsid w:val="007B32F5"/>
    <w:rsid w:val="007B3331"/>
    <w:rsid w:val="007B334E"/>
    <w:rsid w:val="007B3399"/>
    <w:rsid w:val="007B33F0"/>
    <w:rsid w:val="007B3413"/>
    <w:rsid w:val="007B3425"/>
    <w:rsid w:val="007B34A9"/>
    <w:rsid w:val="007B3555"/>
    <w:rsid w:val="007B35E6"/>
    <w:rsid w:val="007B35EE"/>
    <w:rsid w:val="007B3791"/>
    <w:rsid w:val="007B37BE"/>
    <w:rsid w:val="007B3893"/>
    <w:rsid w:val="007B39C1"/>
    <w:rsid w:val="007B39D5"/>
    <w:rsid w:val="007B3A6E"/>
    <w:rsid w:val="007B3AC8"/>
    <w:rsid w:val="007B3B07"/>
    <w:rsid w:val="007B3BED"/>
    <w:rsid w:val="007B3C57"/>
    <w:rsid w:val="007B3C72"/>
    <w:rsid w:val="007B3C80"/>
    <w:rsid w:val="007B3C8B"/>
    <w:rsid w:val="007B3C94"/>
    <w:rsid w:val="007B3CFA"/>
    <w:rsid w:val="007B3DBB"/>
    <w:rsid w:val="007B3E59"/>
    <w:rsid w:val="007B3EF9"/>
    <w:rsid w:val="007B3F01"/>
    <w:rsid w:val="007B3F27"/>
    <w:rsid w:val="007B3F76"/>
    <w:rsid w:val="007B3F7F"/>
    <w:rsid w:val="007B3FBB"/>
    <w:rsid w:val="007B3FCF"/>
    <w:rsid w:val="007B3FF2"/>
    <w:rsid w:val="007B407D"/>
    <w:rsid w:val="007B40E3"/>
    <w:rsid w:val="007B40E9"/>
    <w:rsid w:val="007B4328"/>
    <w:rsid w:val="007B4338"/>
    <w:rsid w:val="007B435C"/>
    <w:rsid w:val="007B4457"/>
    <w:rsid w:val="007B44AA"/>
    <w:rsid w:val="007B45AA"/>
    <w:rsid w:val="007B45C5"/>
    <w:rsid w:val="007B462A"/>
    <w:rsid w:val="007B4636"/>
    <w:rsid w:val="007B4646"/>
    <w:rsid w:val="007B4648"/>
    <w:rsid w:val="007B4658"/>
    <w:rsid w:val="007B4715"/>
    <w:rsid w:val="007B476B"/>
    <w:rsid w:val="007B48E4"/>
    <w:rsid w:val="007B48EF"/>
    <w:rsid w:val="007B4913"/>
    <w:rsid w:val="007B499E"/>
    <w:rsid w:val="007B49B2"/>
    <w:rsid w:val="007B49B5"/>
    <w:rsid w:val="007B49B7"/>
    <w:rsid w:val="007B4AAA"/>
    <w:rsid w:val="007B4ABC"/>
    <w:rsid w:val="007B4B06"/>
    <w:rsid w:val="007B4B8B"/>
    <w:rsid w:val="007B4BD0"/>
    <w:rsid w:val="007B4BD7"/>
    <w:rsid w:val="007B4C3D"/>
    <w:rsid w:val="007B4C54"/>
    <w:rsid w:val="007B4C59"/>
    <w:rsid w:val="007B4D07"/>
    <w:rsid w:val="007B4D5D"/>
    <w:rsid w:val="007B4DCE"/>
    <w:rsid w:val="007B4DDA"/>
    <w:rsid w:val="007B4DEB"/>
    <w:rsid w:val="007B4DFE"/>
    <w:rsid w:val="007B4E0E"/>
    <w:rsid w:val="007B4E2C"/>
    <w:rsid w:val="007B4E57"/>
    <w:rsid w:val="007B4E84"/>
    <w:rsid w:val="007B4EC4"/>
    <w:rsid w:val="007B504B"/>
    <w:rsid w:val="007B508A"/>
    <w:rsid w:val="007B50DD"/>
    <w:rsid w:val="007B50DE"/>
    <w:rsid w:val="007B50F0"/>
    <w:rsid w:val="007B5104"/>
    <w:rsid w:val="007B5165"/>
    <w:rsid w:val="007B51B9"/>
    <w:rsid w:val="007B522C"/>
    <w:rsid w:val="007B522D"/>
    <w:rsid w:val="007B523E"/>
    <w:rsid w:val="007B52EF"/>
    <w:rsid w:val="007B5384"/>
    <w:rsid w:val="007B5470"/>
    <w:rsid w:val="007B547E"/>
    <w:rsid w:val="007B54D2"/>
    <w:rsid w:val="007B5539"/>
    <w:rsid w:val="007B55A9"/>
    <w:rsid w:val="007B5621"/>
    <w:rsid w:val="007B5642"/>
    <w:rsid w:val="007B56E9"/>
    <w:rsid w:val="007B5738"/>
    <w:rsid w:val="007B5768"/>
    <w:rsid w:val="007B57AC"/>
    <w:rsid w:val="007B57C3"/>
    <w:rsid w:val="007B57CA"/>
    <w:rsid w:val="007B57F3"/>
    <w:rsid w:val="007B5984"/>
    <w:rsid w:val="007B5A95"/>
    <w:rsid w:val="007B5ABE"/>
    <w:rsid w:val="007B5B27"/>
    <w:rsid w:val="007B5B5D"/>
    <w:rsid w:val="007B5C64"/>
    <w:rsid w:val="007B5C72"/>
    <w:rsid w:val="007B5C78"/>
    <w:rsid w:val="007B5CA4"/>
    <w:rsid w:val="007B5D1D"/>
    <w:rsid w:val="007B5D20"/>
    <w:rsid w:val="007B5D59"/>
    <w:rsid w:val="007B5E22"/>
    <w:rsid w:val="007B5E2E"/>
    <w:rsid w:val="007B5E36"/>
    <w:rsid w:val="007B5E47"/>
    <w:rsid w:val="007B5E63"/>
    <w:rsid w:val="007B5E70"/>
    <w:rsid w:val="007B5EDF"/>
    <w:rsid w:val="007B5F38"/>
    <w:rsid w:val="007B5F94"/>
    <w:rsid w:val="007B5FB7"/>
    <w:rsid w:val="007B5FF4"/>
    <w:rsid w:val="007B6003"/>
    <w:rsid w:val="007B6099"/>
    <w:rsid w:val="007B6138"/>
    <w:rsid w:val="007B6146"/>
    <w:rsid w:val="007B61D8"/>
    <w:rsid w:val="007B623A"/>
    <w:rsid w:val="007B6244"/>
    <w:rsid w:val="007B6280"/>
    <w:rsid w:val="007B62A2"/>
    <w:rsid w:val="007B62DE"/>
    <w:rsid w:val="007B62E7"/>
    <w:rsid w:val="007B6308"/>
    <w:rsid w:val="007B637F"/>
    <w:rsid w:val="007B63AE"/>
    <w:rsid w:val="007B63B8"/>
    <w:rsid w:val="007B63BD"/>
    <w:rsid w:val="007B63E2"/>
    <w:rsid w:val="007B6478"/>
    <w:rsid w:val="007B64C2"/>
    <w:rsid w:val="007B64D1"/>
    <w:rsid w:val="007B6545"/>
    <w:rsid w:val="007B65F6"/>
    <w:rsid w:val="007B6621"/>
    <w:rsid w:val="007B6655"/>
    <w:rsid w:val="007B66AA"/>
    <w:rsid w:val="007B66E9"/>
    <w:rsid w:val="007B6700"/>
    <w:rsid w:val="007B678C"/>
    <w:rsid w:val="007B67D9"/>
    <w:rsid w:val="007B680D"/>
    <w:rsid w:val="007B6814"/>
    <w:rsid w:val="007B686B"/>
    <w:rsid w:val="007B6955"/>
    <w:rsid w:val="007B6963"/>
    <w:rsid w:val="007B6980"/>
    <w:rsid w:val="007B6997"/>
    <w:rsid w:val="007B6A3D"/>
    <w:rsid w:val="007B6AED"/>
    <w:rsid w:val="007B6B6A"/>
    <w:rsid w:val="007B6B7C"/>
    <w:rsid w:val="007B6B9D"/>
    <w:rsid w:val="007B6BD4"/>
    <w:rsid w:val="007B6BF7"/>
    <w:rsid w:val="007B6C67"/>
    <w:rsid w:val="007B6D64"/>
    <w:rsid w:val="007B6D97"/>
    <w:rsid w:val="007B6DDD"/>
    <w:rsid w:val="007B6E4E"/>
    <w:rsid w:val="007B6EE7"/>
    <w:rsid w:val="007B6EF2"/>
    <w:rsid w:val="007B7015"/>
    <w:rsid w:val="007B7083"/>
    <w:rsid w:val="007B7093"/>
    <w:rsid w:val="007B70BA"/>
    <w:rsid w:val="007B70BE"/>
    <w:rsid w:val="007B70C4"/>
    <w:rsid w:val="007B7183"/>
    <w:rsid w:val="007B718A"/>
    <w:rsid w:val="007B722D"/>
    <w:rsid w:val="007B725B"/>
    <w:rsid w:val="007B734F"/>
    <w:rsid w:val="007B73F1"/>
    <w:rsid w:val="007B7429"/>
    <w:rsid w:val="007B74A7"/>
    <w:rsid w:val="007B74BE"/>
    <w:rsid w:val="007B74E2"/>
    <w:rsid w:val="007B74F0"/>
    <w:rsid w:val="007B750B"/>
    <w:rsid w:val="007B7557"/>
    <w:rsid w:val="007B7565"/>
    <w:rsid w:val="007B7590"/>
    <w:rsid w:val="007B75DC"/>
    <w:rsid w:val="007B763F"/>
    <w:rsid w:val="007B7672"/>
    <w:rsid w:val="007B76AB"/>
    <w:rsid w:val="007B76F0"/>
    <w:rsid w:val="007B7928"/>
    <w:rsid w:val="007B7976"/>
    <w:rsid w:val="007B7982"/>
    <w:rsid w:val="007B79CB"/>
    <w:rsid w:val="007B7A8E"/>
    <w:rsid w:val="007B7A90"/>
    <w:rsid w:val="007B7A97"/>
    <w:rsid w:val="007B7AD6"/>
    <w:rsid w:val="007B7AF2"/>
    <w:rsid w:val="007B7B3B"/>
    <w:rsid w:val="007B7B52"/>
    <w:rsid w:val="007B7B7D"/>
    <w:rsid w:val="007B7D1C"/>
    <w:rsid w:val="007B7D21"/>
    <w:rsid w:val="007B7D76"/>
    <w:rsid w:val="007B7DB8"/>
    <w:rsid w:val="007B7E0D"/>
    <w:rsid w:val="007B7E76"/>
    <w:rsid w:val="007B7EA2"/>
    <w:rsid w:val="007B7ED1"/>
    <w:rsid w:val="007B7F43"/>
    <w:rsid w:val="007B7F9B"/>
    <w:rsid w:val="007C0020"/>
    <w:rsid w:val="007C005A"/>
    <w:rsid w:val="007C0094"/>
    <w:rsid w:val="007C00D7"/>
    <w:rsid w:val="007C010C"/>
    <w:rsid w:val="007C0126"/>
    <w:rsid w:val="007C0157"/>
    <w:rsid w:val="007C0190"/>
    <w:rsid w:val="007C01EE"/>
    <w:rsid w:val="007C0221"/>
    <w:rsid w:val="007C028C"/>
    <w:rsid w:val="007C028F"/>
    <w:rsid w:val="007C02C5"/>
    <w:rsid w:val="007C02D4"/>
    <w:rsid w:val="007C02E6"/>
    <w:rsid w:val="007C033A"/>
    <w:rsid w:val="007C039F"/>
    <w:rsid w:val="007C03A7"/>
    <w:rsid w:val="007C03B0"/>
    <w:rsid w:val="007C03F7"/>
    <w:rsid w:val="007C0432"/>
    <w:rsid w:val="007C046F"/>
    <w:rsid w:val="007C047B"/>
    <w:rsid w:val="007C04A9"/>
    <w:rsid w:val="007C0536"/>
    <w:rsid w:val="007C05BF"/>
    <w:rsid w:val="007C05C1"/>
    <w:rsid w:val="007C0632"/>
    <w:rsid w:val="007C0657"/>
    <w:rsid w:val="007C06B7"/>
    <w:rsid w:val="007C06E5"/>
    <w:rsid w:val="007C0737"/>
    <w:rsid w:val="007C0821"/>
    <w:rsid w:val="007C0830"/>
    <w:rsid w:val="007C0835"/>
    <w:rsid w:val="007C0838"/>
    <w:rsid w:val="007C0900"/>
    <w:rsid w:val="007C092E"/>
    <w:rsid w:val="007C0993"/>
    <w:rsid w:val="007C0A22"/>
    <w:rsid w:val="007C0A80"/>
    <w:rsid w:val="007C0B19"/>
    <w:rsid w:val="007C0BCF"/>
    <w:rsid w:val="007C0C36"/>
    <w:rsid w:val="007C0C71"/>
    <w:rsid w:val="007C0D01"/>
    <w:rsid w:val="007C0DD7"/>
    <w:rsid w:val="007C0E2E"/>
    <w:rsid w:val="007C0E5A"/>
    <w:rsid w:val="007C0E60"/>
    <w:rsid w:val="007C0FB4"/>
    <w:rsid w:val="007C0FB8"/>
    <w:rsid w:val="007C0FF8"/>
    <w:rsid w:val="007C1012"/>
    <w:rsid w:val="007C1038"/>
    <w:rsid w:val="007C1095"/>
    <w:rsid w:val="007C10D0"/>
    <w:rsid w:val="007C10DB"/>
    <w:rsid w:val="007C119A"/>
    <w:rsid w:val="007C1229"/>
    <w:rsid w:val="007C124A"/>
    <w:rsid w:val="007C12BC"/>
    <w:rsid w:val="007C1339"/>
    <w:rsid w:val="007C1393"/>
    <w:rsid w:val="007C13DE"/>
    <w:rsid w:val="007C14F6"/>
    <w:rsid w:val="007C1578"/>
    <w:rsid w:val="007C15B9"/>
    <w:rsid w:val="007C15F6"/>
    <w:rsid w:val="007C1600"/>
    <w:rsid w:val="007C1615"/>
    <w:rsid w:val="007C1634"/>
    <w:rsid w:val="007C1735"/>
    <w:rsid w:val="007C174F"/>
    <w:rsid w:val="007C180C"/>
    <w:rsid w:val="007C189B"/>
    <w:rsid w:val="007C18E3"/>
    <w:rsid w:val="007C1904"/>
    <w:rsid w:val="007C195E"/>
    <w:rsid w:val="007C19C2"/>
    <w:rsid w:val="007C19DA"/>
    <w:rsid w:val="007C1A13"/>
    <w:rsid w:val="007C1AB0"/>
    <w:rsid w:val="007C1B82"/>
    <w:rsid w:val="007C1B9F"/>
    <w:rsid w:val="007C1BEC"/>
    <w:rsid w:val="007C1C0E"/>
    <w:rsid w:val="007C1C26"/>
    <w:rsid w:val="007C1D10"/>
    <w:rsid w:val="007C1D4F"/>
    <w:rsid w:val="007C1D5B"/>
    <w:rsid w:val="007C1DC7"/>
    <w:rsid w:val="007C1DD3"/>
    <w:rsid w:val="007C1E53"/>
    <w:rsid w:val="007C1EB5"/>
    <w:rsid w:val="007C1ED9"/>
    <w:rsid w:val="007C1F73"/>
    <w:rsid w:val="007C1FF3"/>
    <w:rsid w:val="007C1FFA"/>
    <w:rsid w:val="007C202C"/>
    <w:rsid w:val="007C2056"/>
    <w:rsid w:val="007C20D6"/>
    <w:rsid w:val="007C215D"/>
    <w:rsid w:val="007C21B5"/>
    <w:rsid w:val="007C21BD"/>
    <w:rsid w:val="007C2267"/>
    <w:rsid w:val="007C22C6"/>
    <w:rsid w:val="007C22D8"/>
    <w:rsid w:val="007C2368"/>
    <w:rsid w:val="007C2387"/>
    <w:rsid w:val="007C24AF"/>
    <w:rsid w:val="007C2659"/>
    <w:rsid w:val="007C2733"/>
    <w:rsid w:val="007C273D"/>
    <w:rsid w:val="007C275A"/>
    <w:rsid w:val="007C277D"/>
    <w:rsid w:val="007C2795"/>
    <w:rsid w:val="007C28D0"/>
    <w:rsid w:val="007C28E5"/>
    <w:rsid w:val="007C2919"/>
    <w:rsid w:val="007C297A"/>
    <w:rsid w:val="007C2B1F"/>
    <w:rsid w:val="007C2B21"/>
    <w:rsid w:val="007C2B29"/>
    <w:rsid w:val="007C2BFB"/>
    <w:rsid w:val="007C2CED"/>
    <w:rsid w:val="007C2D9C"/>
    <w:rsid w:val="007C2DCF"/>
    <w:rsid w:val="007C2DDF"/>
    <w:rsid w:val="007C2E2C"/>
    <w:rsid w:val="007C2E58"/>
    <w:rsid w:val="007C2FE2"/>
    <w:rsid w:val="007C3058"/>
    <w:rsid w:val="007C3068"/>
    <w:rsid w:val="007C30B4"/>
    <w:rsid w:val="007C30C4"/>
    <w:rsid w:val="007C312C"/>
    <w:rsid w:val="007C32AC"/>
    <w:rsid w:val="007C32C1"/>
    <w:rsid w:val="007C32DC"/>
    <w:rsid w:val="007C32EC"/>
    <w:rsid w:val="007C32FE"/>
    <w:rsid w:val="007C334B"/>
    <w:rsid w:val="007C338B"/>
    <w:rsid w:val="007C339C"/>
    <w:rsid w:val="007C33DE"/>
    <w:rsid w:val="007C340C"/>
    <w:rsid w:val="007C343D"/>
    <w:rsid w:val="007C34AC"/>
    <w:rsid w:val="007C34BF"/>
    <w:rsid w:val="007C3526"/>
    <w:rsid w:val="007C3596"/>
    <w:rsid w:val="007C35B9"/>
    <w:rsid w:val="007C3608"/>
    <w:rsid w:val="007C3611"/>
    <w:rsid w:val="007C3625"/>
    <w:rsid w:val="007C363E"/>
    <w:rsid w:val="007C3649"/>
    <w:rsid w:val="007C365E"/>
    <w:rsid w:val="007C36AF"/>
    <w:rsid w:val="007C3721"/>
    <w:rsid w:val="007C3734"/>
    <w:rsid w:val="007C3765"/>
    <w:rsid w:val="007C37FC"/>
    <w:rsid w:val="007C386A"/>
    <w:rsid w:val="007C38FE"/>
    <w:rsid w:val="007C395C"/>
    <w:rsid w:val="007C3979"/>
    <w:rsid w:val="007C39C4"/>
    <w:rsid w:val="007C3B55"/>
    <w:rsid w:val="007C3BBE"/>
    <w:rsid w:val="007C3C0C"/>
    <w:rsid w:val="007C3C4A"/>
    <w:rsid w:val="007C3CA9"/>
    <w:rsid w:val="007C3CFC"/>
    <w:rsid w:val="007C3D09"/>
    <w:rsid w:val="007C3D11"/>
    <w:rsid w:val="007C3D83"/>
    <w:rsid w:val="007C3DCD"/>
    <w:rsid w:val="007C3E2A"/>
    <w:rsid w:val="007C3E90"/>
    <w:rsid w:val="007C3EF7"/>
    <w:rsid w:val="007C3F3C"/>
    <w:rsid w:val="007C3FDE"/>
    <w:rsid w:val="007C4023"/>
    <w:rsid w:val="007C40D3"/>
    <w:rsid w:val="007C414D"/>
    <w:rsid w:val="007C41E5"/>
    <w:rsid w:val="007C4246"/>
    <w:rsid w:val="007C424A"/>
    <w:rsid w:val="007C427E"/>
    <w:rsid w:val="007C42E7"/>
    <w:rsid w:val="007C433A"/>
    <w:rsid w:val="007C439D"/>
    <w:rsid w:val="007C43C1"/>
    <w:rsid w:val="007C43DB"/>
    <w:rsid w:val="007C43FB"/>
    <w:rsid w:val="007C4406"/>
    <w:rsid w:val="007C4497"/>
    <w:rsid w:val="007C44B5"/>
    <w:rsid w:val="007C44B9"/>
    <w:rsid w:val="007C44CF"/>
    <w:rsid w:val="007C45E4"/>
    <w:rsid w:val="007C45FC"/>
    <w:rsid w:val="007C462D"/>
    <w:rsid w:val="007C468F"/>
    <w:rsid w:val="007C46D0"/>
    <w:rsid w:val="007C4761"/>
    <w:rsid w:val="007C47B9"/>
    <w:rsid w:val="007C47BF"/>
    <w:rsid w:val="007C4835"/>
    <w:rsid w:val="007C488B"/>
    <w:rsid w:val="007C4899"/>
    <w:rsid w:val="007C4930"/>
    <w:rsid w:val="007C496F"/>
    <w:rsid w:val="007C4989"/>
    <w:rsid w:val="007C49C2"/>
    <w:rsid w:val="007C4A7A"/>
    <w:rsid w:val="007C4AD2"/>
    <w:rsid w:val="007C4B46"/>
    <w:rsid w:val="007C4B47"/>
    <w:rsid w:val="007C4B5F"/>
    <w:rsid w:val="007C4BC9"/>
    <w:rsid w:val="007C4BCF"/>
    <w:rsid w:val="007C4C2F"/>
    <w:rsid w:val="007C4C4D"/>
    <w:rsid w:val="007C4C5B"/>
    <w:rsid w:val="007C4C75"/>
    <w:rsid w:val="007C4C8B"/>
    <w:rsid w:val="007C4DB6"/>
    <w:rsid w:val="007C4E25"/>
    <w:rsid w:val="007C4E98"/>
    <w:rsid w:val="007C4EE3"/>
    <w:rsid w:val="007C4FD3"/>
    <w:rsid w:val="007C4FE7"/>
    <w:rsid w:val="007C4FF6"/>
    <w:rsid w:val="007C5080"/>
    <w:rsid w:val="007C50E7"/>
    <w:rsid w:val="007C50F2"/>
    <w:rsid w:val="007C511F"/>
    <w:rsid w:val="007C5164"/>
    <w:rsid w:val="007C5183"/>
    <w:rsid w:val="007C519A"/>
    <w:rsid w:val="007C51FF"/>
    <w:rsid w:val="007C5229"/>
    <w:rsid w:val="007C52A1"/>
    <w:rsid w:val="007C52C6"/>
    <w:rsid w:val="007C52DD"/>
    <w:rsid w:val="007C52E4"/>
    <w:rsid w:val="007C533F"/>
    <w:rsid w:val="007C5342"/>
    <w:rsid w:val="007C5378"/>
    <w:rsid w:val="007C537A"/>
    <w:rsid w:val="007C5393"/>
    <w:rsid w:val="007C53DE"/>
    <w:rsid w:val="007C53E2"/>
    <w:rsid w:val="007C53ED"/>
    <w:rsid w:val="007C557A"/>
    <w:rsid w:val="007C560F"/>
    <w:rsid w:val="007C5613"/>
    <w:rsid w:val="007C56B2"/>
    <w:rsid w:val="007C56EF"/>
    <w:rsid w:val="007C56F5"/>
    <w:rsid w:val="007C5706"/>
    <w:rsid w:val="007C574D"/>
    <w:rsid w:val="007C57A5"/>
    <w:rsid w:val="007C57CE"/>
    <w:rsid w:val="007C57EF"/>
    <w:rsid w:val="007C5847"/>
    <w:rsid w:val="007C584B"/>
    <w:rsid w:val="007C58BA"/>
    <w:rsid w:val="007C5906"/>
    <w:rsid w:val="007C5907"/>
    <w:rsid w:val="007C5933"/>
    <w:rsid w:val="007C5950"/>
    <w:rsid w:val="007C596A"/>
    <w:rsid w:val="007C59A7"/>
    <w:rsid w:val="007C5AB2"/>
    <w:rsid w:val="007C5AC6"/>
    <w:rsid w:val="007C5B15"/>
    <w:rsid w:val="007C5B91"/>
    <w:rsid w:val="007C5D45"/>
    <w:rsid w:val="007C5D64"/>
    <w:rsid w:val="007C5DB1"/>
    <w:rsid w:val="007C5E2B"/>
    <w:rsid w:val="007C5E72"/>
    <w:rsid w:val="007C5EF1"/>
    <w:rsid w:val="007C6021"/>
    <w:rsid w:val="007C6025"/>
    <w:rsid w:val="007C6132"/>
    <w:rsid w:val="007C6193"/>
    <w:rsid w:val="007C61CB"/>
    <w:rsid w:val="007C6212"/>
    <w:rsid w:val="007C6244"/>
    <w:rsid w:val="007C62C3"/>
    <w:rsid w:val="007C62D0"/>
    <w:rsid w:val="007C62F8"/>
    <w:rsid w:val="007C636E"/>
    <w:rsid w:val="007C6389"/>
    <w:rsid w:val="007C638C"/>
    <w:rsid w:val="007C63A4"/>
    <w:rsid w:val="007C63EE"/>
    <w:rsid w:val="007C6418"/>
    <w:rsid w:val="007C644E"/>
    <w:rsid w:val="007C647E"/>
    <w:rsid w:val="007C64F6"/>
    <w:rsid w:val="007C651D"/>
    <w:rsid w:val="007C66BB"/>
    <w:rsid w:val="007C66EA"/>
    <w:rsid w:val="007C6727"/>
    <w:rsid w:val="007C678B"/>
    <w:rsid w:val="007C67C6"/>
    <w:rsid w:val="007C6809"/>
    <w:rsid w:val="007C6943"/>
    <w:rsid w:val="007C69B9"/>
    <w:rsid w:val="007C69D4"/>
    <w:rsid w:val="007C69E3"/>
    <w:rsid w:val="007C6A4F"/>
    <w:rsid w:val="007C6AB9"/>
    <w:rsid w:val="007C6ABC"/>
    <w:rsid w:val="007C6AC7"/>
    <w:rsid w:val="007C6AE5"/>
    <w:rsid w:val="007C6B1E"/>
    <w:rsid w:val="007C6B2C"/>
    <w:rsid w:val="007C6B64"/>
    <w:rsid w:val="007C6B85"/>
    <w:rsid w:val="007C6BF9"/>
    <w:rsid w:val="007C6BFC"/>
    <w:rsid w:val="007C6C8B"/>
    <w:rsid w:val="007C6D32"/>
    <w:rsid w:val="007C6D39"/>
    <w:rsid w:val="007C6E50"/>
    <w:rsid w:val="007C6F84"/>
    <w:rsid w:val="007C6F9C"/>
    <w:rsid w:val="007C700A"/>
    <w:rsid w:val="007C7046"/>
    <w:rsid w:val="007C704A"/>
    <w:rsid w:val="007C70BD"/>
    <w:rsid w:val="007C70CB"/>
    <w:rsid w:val="007C70D1"/>
    <w:rsid w:val="007C70E1"/>
    <w:rsid w:val="007C711A"/>
    <w:rsid w:val="007C7242"/>
    <w:rsid w:val="007C7286"/>
    <w:rsid w:val="007C72B2"/>
    <w:rsid w:val="007C72E3"/>
    <w:rsid w:val="007C740C"/>
    <w:rsid w:val="007C74F4"/>
    <w:rsid w:val="007C7565"/>
    <w:rsid w:val="007C7578"/>
    <w:rsid w:val="007C7585"/>
    <w:rsid w:val="007C75A3"/>
    <w:rsid w:val="007C7625"/>
    <w:rsid w:val="007C7676"/>
    <w:rsid w:val="007C77A6"/>
    <w:rsid w:val="007C77B6"/>
    <w:rsid w:val="007C77BC"/>
    <w:rsid w:val="007C77BE"/>
    <w:rsid w:val="007C7808"/>
    <w:rsid w:val="007C7886"/>
    <w:rsid w:val="007C78FF"/>
    <w:rsid w:val="007C7966"/>
    <w:rsid w:val="007C79F6"/>
    <w:rsid w:val="007C7A57"/>
    <w:rsid w:val="007C7ABD"/>
    <w:rsid w:val="007C7AD0"/>
    <w:rsid w:val="007C7AEE"/>
    <w:rsid w:val="007C7BD8"/>
    <w:rsid w:val="007C7C5C"/>
    <w:rsid w:val="007C7C8B"/>
    <w:rsid w:val="007C7E23"/>
    <w:rsid w:val="007C7EFF"/>
    <w:rsid w:val="007C7F83"/>
    <w:rsid w:val="007D0094"/>
    <w:rsid w:val="007D00F6"/>
    <w:rsid w:val="007D0110"/>
    <w:rsid w:val="007D0187"/>
    <w:rsid w:val="007D01AA"/>
    <w:rsid w:val="007D0275"/>
    <w:rsid w:val="007D0287"/>
    <w:rsid w:val="007D02CA"/>
    <w:rsid w:val="007D0343"/>
    <w:rsid w:val="007D03A8"/>
    <w:rsid w:val="007D03E5"/>
    <w:rsid w:val="007D03E9"/>
    <w:rsid w:val="007D0462"/>
    <w:rsid w:val="007D0525"/>
    <w:rsid w:val="007D054F"/>
    <w:rsid w:val="007D0554"/>
    <w:rsid w:val="007D059C"/>
    <w:rsid w:val="007D063B"/>
    <w:rsid w:val="007D0685"/>
    <w:rsid w:val="007D068F"/>
    <w:rsid w:val="007D06BD"/>
    <w:rsid w:val="007D074B"/>
    <w:rsid w:val="007D078E"/>
    <w:rsid w:val="007D07FC"/>
    <w:rsid w:val="007D0804"/>
    <w:rsid w:val="007D0882"/>
    <w:rsid w:val="007D088C"/>
    <w:rsid w:val="007D0931"/>
    <w:rsid w:val="007D0A53"/>
    <w:rsid w:val="007D0AB8"/>
    <w:rsid w:val="007D0ACB"/>
    <w:rsid w:val="007D0BA5"/>
    <w:rsid w:val="007D0BE2"/>
    <w:rsid w:val="007D0BFB"/>
    <w:rsid w:val="007D0C8F"/>
    <w:rsid w:val="007D0CBC"/>
    <w:rsid w:val="007D0CE0"/>
    <w:rsid w:val="007D0D36"/>
    <w:rsid w:val="007D0D3B"/>
    <w:rsid w:val="007D0D3F"/>
    <w:rsid w:val="007D0D82"/>
    <w:rsid w:val="007D0D84"/>
    <w:rsid w:val="007D0D86"/>
    <w:rsid w:val="007D0DCB"/>
    <w:rsid w:val="007D0DE7"/>
    <w:rsid w:val="007D0E34"/>
    <w:rsid w:val="007D0E50"/>
    <w:rsid w:val="007D0F05"/>
    <w:rsid w:val="007D0F64"/>
    <w:rsid w:val="007D0F68"/>
    <w:rsid w:val="007D0F69"/>
    <w:rsid w:val="007D0FC5"/>
    <w:rsid w:val="007D0FDA"/>
    <w:rsid w:val="007D0FE4"/>
    <w:rsid w:val="007D1039"/>
    <w:rsid w:val="007D1044"/>
    <w:rsid w:val="007D10DC"/>
    <w:rsid w:val="007D1128"/>
    <w:rsid w:val="007D1158"/>
    <w:rsid w:val="007D118C"/>
    <w:rsid w:val="007D11C3"/>
    <w:rsid w:val="007D1221"/>
    <w:rsid w:val="007D131B"/>
    <w:rsid w:val="007D135E"/>
    <w:rsid w:val="007D1369"/>
    <w:rsid w:val="007D13ED"/>
    <w:rsid w:val="007D13EE"/>
    <w:rsid w:val="007D140D"/>
    <w:rsid w:val="007D143B"/>
    <w:rsid w:val="007D1470"/>
    <w:rsid w:val="007D14DB"/>
    <w:rsid w:val="007D1514"/>
    <w:rsid w:val="007D156B"/>
    <w:rsid w:val="007D1580"/>
    <w:rsid w:val="007D15F0"/>
    <w:rsid w:val="007D15F9"/>
    <w:rsid w:val="007D16B7"/>
    <w:rsid w:val="007D16CE"/>
    <w:rsid w:val="007D1727"/>
    <w:rsid w:val="007D177E"/>
    <w:rsid w:val="007D1793"/>
    <w:rsid w:val="007D17AC"/>
    <w:rsid w:val="007D1859"/>
    <w:rsid w:val="007D1913"/>
    <w:rsid w:val="007D191F"/>
    <w:rsid w:val="007D192B"/>
    <w:rsid w:val="007D19B0"/>
    <w:rsid w:val="007D19CB"/>
    <w:rsid w:val="007D19D2"/>
    <w:rsid w:val="007D19E5"/>
    <w:rsid w:val="007D1A14"/>
    <w:rsid w:val="007D1A21"/>
    <w:rsid w:val="007D1A41"/>
    <w:rsid w:val="007D1A92"/>
    <w:rsid w:val="007D1ADC"/>
    <w:rsid w:val="007D1B3A"/>
    <w:rsid w:val="007D1C17"/>
    <w:rsid w:val="007D1C1D"/>
    <w:rsid w:val="007D1C7C"/>
    <w:rsid w:val="007D1CCA"/>
    <w:rsid w:val="007D1CE7"/>
    <w:rsid w:val="007D1CF3"/>
    <w:rsid w:val="007D1D75"/>
    <w:rsid w:val="007D1D8D"/>
    <w:rsid w:val="007D1DCD"/>
    <w:rsid w:val="007D1DF4"/>
    <w:rsid w:val="007D1E09"/>
    <w:rsid w:val="007D1E70"/>
    <w:rsid w:val="007D1E7C"/>
    <w:rsid w:val="007D1F19"/>
    <w:rsid w:val="007D1F2E"/>
    <w:rsid w:val="007D1F58"/>
    <w:rsid w:val="007D1FCC"/>
    <w:rsid w:val="007D20EB"/>
    <w:rsid w:val="007D20F6"/>
    <w:rsid w:val="007D21E2"/>
    <w:rsid w:val="007D22B4"/>
    <w:rsid w:val="007D22EC"/>
    <w:rsid w:val="007D23A1"/>
    <w:rsid w:val="007D23CE"/>
    <w:rsid w:val="007D23FA"/>
    <w:rsid w:val="007D2428"/>
    <w:rsid w:val="007D2458"/>
    <w:rsid w:val="007D2480"/>
    <w:rsid w:val="007D24A1"/>
    <w:rsid w:val="007D250C"/>
    <w:rsid w:val="007D257C"/>
    <w:rsid w:val="007D25E3"/>
    <w:rsid w:val="007D261F"/>
    <w:rsid w:val="007D2710"/>
    <w:rsid w:val="007D271F"/>
    <w:rsid w:val="007D2744"/>
    <w:rsid w:val="007D2750"/>
    <w:rsid w:val="007D2769"/>
    <w:rsid w:val="007D2777"/>
    <w:rsid w:val="007D2785"/>
    <w:rsid w:val="007D284C"/>
    <w:rsid w:val="007D2893"/>
    <w:rsid w:val="007D2927"/>
    <w:rsid w:val="007D29AA"/>
    <w:rsid w:val="007D2A05"/>
    <w:rsid w:val="007D2BAE"/>
    <w:rsid w:val="007D2C5F"/>
    <w:rsid w:val="007D2C6C"/>
    <w:rsid w:val="007D2CE2"/>
    <w:rsid w:val="007D2D08"/>
    <w:rsid w:val="007D2D1C"/>
    <w:rsid w:val="007D2D70"/>
    <w:rsid w:val="007D2DB2"/>
    <w:rsid w:val="007D2DDE"/>
    <w:rsid w:val="007D2E31"/>
    <w:rsid w:val="007D2E4C"/>
    <w:rsid w:val="007D2E7A"/>
    <w:rsid w:val="007D2E8A"/>
    <w:rsid w:val="007D2F03"/>
    <w:rsid w:val="007D2F0E"/>
    <w:rsid w:val="007D2F3A"/>
    <w:rsid w:val="007D2FC6"/>
    <w:rsid w:val="007D2FD8"/>
    <w:rsid w:val="007D300D"/>
    <w:rsid w:val="007D30DB"/>
    <w:rsid w:val="007D30F3"/>
    <w:rsid w:val="007D312B"/>
    <w:rsid w:val="007D3184"/>
    <w:rsid w:val="007D31A0"/>
    <w:rsid w:val="007D31FD"/>
    <w:rsid w:val="007D3267"/>
    <w:rsid w:val="007D3286"/>
    <w:rsid w:val="007D329D"/>
    <w:rsid w:val="007D32BB"/>
    <w:rsid w:val="007D33C1"/>
    <w:rsid w:val="007D33D6"/>
    <w:rsid w:val="007D33FF"/>
    <w:rsid w:val="007D340B"/>
    <w:rsid w:val="007D3426"/>
    <w:rsid w:val="007D3432"/>
    <w:rsid w:val="007D3449"/>
    <w:rsid w:val="007D346E"/>
    <w:rsid w:val="007D349D"/>
    <w:rsid w:val="007D34AC"/>
    <w:rsid w:val="007D352F"/>
    <w:rsid w:val="007D356D"/>
    <w:rsid w:val="007D363D"/>
    <w:rsid w:val="007D37B9"/>
    <w:rsid w:val="007D37F9"/>
    <w:rsid w:val="007D382C"/>
    <w:rsid w:val="007D38FF"/>
    <w:rsid w:val="007D3A5C"/>
    <w:rsid w:val="007D3A78"/>
    <w:rsid w:val="007D3A96"/>
    <w:rsid w:val="007D3AC9"/>
    <w:rsid w:val="007D3B0E"/>
    <w:rsid w:val="007D3B30"/>
    <w:rsid w:val="007D3B58"/>
    <w:rsid w:val="007D3C05"/>
    <w:rsid w:val="007D3C0C"/>
    <w:rsid w:val="007D3CE7"/>
    <w:rsid w:val="007D3D96"/>
    <w:rsid w:val="007D3DD7"/>
    <w:rsid w:val="007D3E03"/>
    <w:rsid w:val="007D3E0B"/>
    <w:rsid w:val="007D3E50"/>
    <w:rsid w:val="007D3EE6"/>
    <w:rsid w:val="007D3EEF"/>
    <w:rsid w:val="007D3F59"/>
    <w:rsid w:val="007D3F6E"/>
    <w:rsid w:val="007D3FA6"/>
    <w:rsid w:val="007D404C"/>
    <w:rsid w:val="007D409D"/>
    <w:rsid w:val="007D40C7"/>
    <w:rsid w:val="007D4139"/>
    <w:rsid w:val="007D413F"/>
    <w:rsid w:val="007D4185"/>
    <w:rsid w:val="007D420F"/>
    <w:rsid w:val="007D4294"/>
    <w:rsid w:val="007D4379"/>
    <w:rsid w:val="007D43A4"/>
    <w:rsid w:val="007D43B5"/>
    <w:rsid w:val="007D43BD"/>
    <w:rsid w:val="007D43CF"/>
    <w:rsid w:val="007D43F1"/>
    <w:rsid w:val="007D447C"/>
    <w:rsid w:val="007D45A7"/>
    <w:rsid w:val="007D4633"/>
    <w:rsid w:val="007D46F8"/>
    <w:rsid w:val="007D4700"/>
    <w:rsid w:val="007D477E"/>
    <w:rsid w:val="007D478A"/>
    <w:rsid w:val="007D479E"/>
    <w:rsid w:val="007D4807"/>
    <w:rsid w:val="007D4817"/>
    <w:rsid w:val="007D4855"/>
    <w:rsid w:val="007D4877"/>
    <w:rsid w:val="007D488F"/>
    <w:rsid w:val="007D48D7"/>
    <w:rsid w:val="007D4A3D"/>
    <w:rsid w:val="007D4A97"/>
    <w:rsid w:val="007D4ADA"/>
    <w:rsid w:val="007D4AEF"/>
    <w:rsid w:val="007D4B0E"/>
    <w:rsid w:val="007D4C1F"/>
    <w:rsid w:val="007D4C28"/>
    <w:rsid w:val="007D4CBD"/>
    <w:rsid w:val="007D4D47"/>
    <w:rsid w:val="007D4D75"/>
    <w:rsid w:val="007D4DD5"/>
    <w:rsid w:val="007D4E41"/>
    <w:rsid w:val="007D4EBF"/>
    <w:rsid w:val="007D4EE9"/>
    <w:rsid w:val="007D4F26"/>
    <w:rsid w:val="007D4F33"/>
    <w:rsid w:val="007D4F47"/>
    <w:rsid w:val="007D4F53"/>
    <w:rsid w:val="007D4FCC"/>
    <w:rsid w:val="007D503D"/>
    <w:rsid w:val="007D506C"/>
    <w:rsid w:val="007D50A8"/>
    <w:rsid w:val="007D5123"/>
    <w:rsid w:val="007D514F"/>
    <w:rsid w:val="007D5152"/>
    <w:rsid w:val="007D52A3"/>
    <w:rsid w:val="007D52AE"/>
    <w:rsid w:val="007D52E9"/>
    <w:rsid w:val="007D532D"/>
    <w:rsid w:val="007D53AA"/>
    <w:rsid w:val="007D53CE"/>
    <w:rsid w:val="007D53F0"/>
    <w:rsid w:val="007D5418"/>
    <w:rsid w:val="007D54AF"/>
    <w:rsid w:val="007D54FF"/>
    <w:rsid w:val="007D563E"/>
    <w:rsid w:val="007D5661"/>
    <w:rsid w:val="007D56A2"/>
    <w:rsid w:val="007D5702"/>
    <w:rsid w:val="007D577F"/>
    <w:rsid w:val="007D57C2"/>
    <w:rsid w:val="007D5809"/>
    <w:rsid w:val="007D589D"/>
    <w:rsid w:val="007D58F3"/>
    <w:rsid w:val="007D5920"/>
    <w:rsid w:val="007D592B"/>
    <w:rsid w:val="007D5937"/>
    <w:rsid w:val="007D59DB"/>
    <w:rsid w:val="007D59E1"/>
    <w:rsid w:val="007D59ED"/>
    <w:rsid w:val="007D5A68"/>
    <w:rsid w:val="007D5A75"/>
    <w:rsid w:val="007D5AA6"/>
    <w:rsid w:val="007D5B7A"/>
    <w:rsid w:val="007D5B97"/>
    <w:rsid w:val="007D5D15"/>
    <w:rsid w:val="007D5D4C"/>
    <w:rsid w:val="007D5D80"/>
    <w:rsid w:val="007D5D87"/>
    <w:rsid w:val="007D5DA9"/>
    <w:rsid w:val="007D5DC7"/>
    <w:rsid w:val="007D5DFC"/>
    <w:rsid w:val="007D5EDE"/>
    <w:rsid w:val="007D5EEC"/>
    <w:rsid w:val="007D5EFF"/>
    <w:rsid w:val="007D5F4B"/>
    <w:rsid w:val="007D5F82"/>
    <w:rsid w:val="007D5FB6"/>
    <w:rsid w:val="007D5FEE"/>
    <w:rsid w:val="007D6016"/>
    <w:rsid w:val="007D606D"/>
    <w:rsid w:val="007D60B6"/>
    <w:rsid w:val="007D60BF"/>
    <w:rsid w:val="007D6204"/>
    <w:rsid w:val="007D6219"/>
    <w:rsid w:val="007D62AB"/>
    <w:rsid w:val="007D62B9"/>
    <w:rsid w:val="007D62C4"/>
    <w:rsid w:val="007D62D0"/>
    <w:rsid w:val="007D62D4"/>
    <w:rsid w:val="007D632A"/>
    <w:rsid w:val="007D6345"/>
    <w:rsid w:val="007D634B"/>
    <w:rsid w:val="007D635A"/>
    <w:rsid w:val="007D6360"/>
    <w:rsid w:val="007D6379"/>
    <w:rsid w:val="007D63E8"/>
    <w:rsid w:val="007D645C"/>
    <w:rsid w:val="007D6469"/>
    <w:rsid w:val="007D64AA"/>
    <w:rsid w:val="007D651A"/>
    <w:rsid w:val="007D65FD"/>
    <w:rsid w:val="007D6655"/>
    <w:rsid w:val="007D676D"/>
    <w:rsid w:val="007D6772"/>
    <w:rsid w:val="007D67BB"/>
    <w:rsid w:val="007D67D9"/>
    <w:rsid w:val="007D685E"/>
    <w:rsid w:val="007D68A1"/>
    <w:rsid w:val="007D68B6"/>
    <w:rsid w:val="007D68C5"/>
    <w:rsid w:val="007D6977"/>
    <w:rsid w:val="007D697C"/>
    <w:rsid w:val="007D69BD"/>
    <w:rsid w:val="007D69DE"/>
    <w:rsid w:val="007D69EF"/>
    <w:rsid w:val="007D6A7D"/>
    <w:rsid w:val="007D6BA7"/>
    <w:rsid w:val="007D6BEF"/>
    <w:rsid w:val="007D6BF8"/>
    <w:rsid w:val="007D6C24"/>
    <w:rsid w:val="007D6C2C"/>
    <w:rsid w:val="007D6C81"/>
    <w:rsid w:val="007D6C88"/>
    <w:rsid w:val="007D6C8B"/>
    <w:rsid w:val="007D6CD1"/>
    <w:rsid w:val="007D6D06"/>
    <w:rsid w:val="007D6D1F"/>
    <w:rsid w:val="007D6DD8"/>
    <w:rsid w:val="007D6E1D"/>
    <w:rsid w:val="007D6E55"/>
    <w:rsid w:val="007D6EE2"/>
    <w:rsid w:val="007D6F5E"/>
    <w:rsid w:val="007D6F74"/>
    <w:rsid w:val="007D6FCC"/>
    <w:rsid w:val="007D708C"/>
    <w:rsid w:val="007D70C6"/>
    <w:rsid w:val="007D71DF"/>
    <w:rsid w:val="007D7230"/>
    <w:rsid w:val="007D723C"/>
    <w:rsid w:val="007D7274"/>
    <w:rsid w:val="007D72DE"/>
    <w:rsid w:val="007D7349"/>
    <w:rsid w:val="007D7369"/>
    <w:rsid w:val="007D742C"/>
    <w:rsid w:val="007D74A3"/>
    <w:rsid w:val="007D7531"/>
    <w:rsid w:val="007D7566"/>
    <w:rsid w:val="007D757D"/>
    <w:rsid w:val="007D7590"/>
    <w:rsid w:val="007D75E7"/>
    <w:rsid w:val="007D7681"/>
    <w:rsid w:val="007D774C"/>
    <w:rsid w:val="007D77AA"/>
    <w:rsid w:val="007D77D5"/>
    <w:rsid w:val="007D77FB"/>
    <w:rsid w:val="007D7825"/>
    <w:rsid w:val="007D7879"/>
    <w:rsid w:val="007D7880"/>
    <w:rsid w:val="007D78CF"/>
    <w:rsid w:val="007D7940"/>
    <w:rsid w:val="007D7990"/>
    <w:rsid w:val="007D79F0"/>
    <w:rsid w:val="007D7A51"/>
    <w:rsid w:val="007D7A91"/>
    <w:rsid w:val="007D7AF0"/>
    <w:rsid w:val="007D7B42"/>
    <w:rsid w:val="007D7C53"/>
    <w:rsid w:val="007D7C9E"/>
    <w:rsid w:val="007D7CAB"/>
    <w:rsid w:val="007D7CD9"/>
    <w:rsid w:val="007D7CDB"/>
    <w:rsid w:val="007D7D06"/>
    <w:rsid w:val="007D7D0F"/>
    <w:rsid w:val="007D7D32"/>
    <w:rsid w:val="007D7D54"/>
    <w:rsid w:val="007D7F0A"/>
    <w:rsid w:val="007D7F58"/>
    <w:rsid w:val="007D7FD6"/>
    <w:rsid w:val="007D7FF3"/>
    <w:rsid w:val="007E0126"/>
    <w:rsid w:val="007E0152"/>
    <w:rsid w:val="007E01D8"/>
    <w:rsid w:val="007E01F4"/>
    <w:rsid w:val="007E01F5"/>
    <w:rsid w:val="007E01FD"/>
    <w:rsid w:val="007E020A"/>
    <w:rsid w:val="007E028E"/>
    <w:rsid w:val="007E029D"/>
    <w:rsid w:val="007E02C9"/>
    <w:rsid w:val="007E036D"/>
    <w:rsid w:val="007E036F"/>
    <w:rsid w:val="007E043A"/>
    <w:rsid w:val="007E047E"/>
    <w:rsid w:val="007E04A5"/>
    <w:rsid w:val="007E04C9"/>
    <w:rsid w:val="007E052B"/>
    <w:rsid w:val="007E0590"/>
    <w:rsid w:val="007E05A7"/>
    <w:rsid w:val="007E05F6"/>
    <w:rsid w:val="007E0618"/>
    <w:rsid w:val="007E063F"/>
    <w:rsid w:val="007E06C0"/>
    <w:rsid w:val="007E0729"/>
    <w:rsid w:val="007E07C5"/>
    <w:rsid w:val="007E07F5"/>
    <w:rsid w:val="007E07FC"/>
    <w:rsid w:val="007E0861"/>
    <w:rsid w:val="007E092F"/>
    <w:rsid w:val="007E0930"/>
    <w:rsid w:val="007E09C4"/>
    <w:rsid w:val="007E09F4"/>
    <w:rsid w:val="007E0A28"/>
    <w:rsid w:val="007E0B1F"/>
    <w:rsid w:val="007E0B8A"/>
    <w:rsid w:val="007E0BCF"/>
    <w:rsid w:val="007E0BF3"/>
    <w:rsid w:val="007E0CA5"/>
    <w:rsid w:val="007E0D77"/>
    <w:rsid w:val="007E0D83"/>
    <w:rsid w:val="007E0DB0"/>
    <w:rsid w:val="007E0E71"/>
    <w:rsid w:val="007E0EA4"/>
    <w:rsid w:val="007E0EE1"/>
    <w:rsid w:val="007E0EFC"/>
    <w:rsid w:val="007E0F25"/>
    <w:rsid w:val="007E1006"/>
    <w:rsid w:val="007E110F"/>
    <w:rsid w:val="007E1122"/>
    <w:rsid w:val="007E1136"/>
    <w:rsid w:val="007E1166"/>
    <w:rsid w:val="007E11A2"/>
    <w:rsid w:val="007E1353"/>
    <w:rsid w:val="007E1376"/>
    <w:rsid w:val="007E140C"/>
    <w:rsid w:val="007E144B"/>
    <w:rsid w:val="007E14AE"/>
    <w:rsid w:val="007E14FC"/>
    <w:rsid w:val="007E15E9"/>
    <w:rsid w:val="007E1603"/>
    <w:rsid w:val="007E1663"/>
    <w:rsid w:val="007E1687"/>
    <w:rsid w:val="007E1760"/>
    <w:rsid w:val="007E1770"/>
    <w:rsid w:val="007E1799"/>
    <w:rsid w:val="007E17AD"/>
    <w:rsid w:val="007E181E"/>
    <w:rsid w:val="007E1868"/>
    <w:rsid w:val="007E1872"/>
    <w:rsid w:val="007E18A4"/>
    <w:rsid w:val="007E1953"/>
    <w:rsid w:val="007E1960"/>
    <w:rsid w:val="007E1987"/>
    <w:rsid w:val="007E19D0"/>
    <w:rsid w:val="007E19DC"/>
    <w:rsid w:val="007E19EA"/>
    <w:rsid w:val="007E1A3A"/>
    <w:rsid w:val="007E1AAA"/>
    <w:rsid w:val="007E1AB6"/>
    <w:rsid w:val="007E1B7C"/>
    <w:rsid w:val="007E1CDF"/>
    <w:rsid w:val="007E1D0F"/>
    <w:rsid w:val="007E1D5F"/>
    <w:rsid w:val="007E1D80"/>
    <w:rsid w:val="007E1E1B"/>
    <w:rsid w:val="007E1F99"/>
    <w:rsid w:val="007E203A"/>
    <w:rsid w:val="007E2082"/>
    <w:rsid w:val="007E2086"/>
    <w:rsid w:val="007E21E4"/>
    <w:rsid w:val="007E2243"/>
    <w:rsid w:val="007E227F"/>
    <w:rsid w:val="007E230E"/>
    <w:rsid w:val="007E235D"/>
    <w:rsid w:val="007E23C9"/>
    <w:rsid w:val="007E24BC"/>
    <w:rsid w:val="007E2555"/>
    <w:rsid w:val="007E2612"/>
    <w:rsid w:val="007E264A"/>
    <w:rsid w:val="007E26A6"/>
    <w:rsid w:val="007E26C4"/>
    <w:rsid w:val="007E26E7"/>
    <w:rsid w:val="007E26EB"/>
    <w:rsid w:val="007E275E"/>
    <w:rsid w:val="007E27BA"/>
    <w:rsid w:val="007E27F0"/>
    <w:rsid w:val="007E291A"/>
    <w:rsid w:val="007E2939"/>
    <w:rsid w:val="007E2959"/>
    <w:rsid w:val="007E29B6"/>
    <w:rsid w:val="007E29EF"/>
    <w:rsid w:val="007E29F7"/>
    <w:rsid w:val="007E2BE8"/>
    <w:rsid w:val="007E2BEB"/>
    <w:rsid w:val="007E2BF7"/>
    <w:rsid w:val="007E2C08"/>
    <w:rsid w:val="007E2CED"/>
    <w:rsid w:val="007E2E1A"/>
    <w:rsid w:val="007E2E96"/>
    <w:rsid w:val="007E2EDD"/>
    <w:rsid w:val="007E2EE9"/>
    <w:rsid w:val="007E2F43"/>
    <w:rsid w:val="007E2F4F"/>
    <w:rsid w:val="007E2F7F"/>
    <w:rsid w:val="007E2FE3"/>
    <w:rsid w:val="007E30D1"/>
    <w:rsid w:val="007E3122"/>
    <w:rsid w:val="007E31A6"/>
    <w:rsid w:val="007E31A8"/>
    <w:rsid w:val="007E31B0"/>
    <w:rsid w:val="007E3272"/>
    <w:rsid w:val="007E3291"/>
    <w:rsid w:val="007E3293"/>
    <w:rsid w:val="007E32B0"/>
    <w:rsid w:val="007E3327"/>
    <w:rsid w:val="007E33CD"/>
    <w:rsid w:val="007E33E4"/>
    <w:rsid w:val="007E33F1"/>
    <w:rsid w:val="007E348F"/>
    <w:rsid w:val="007E34B3"/>
    <w:rsid w:val="007E351A"/>
    <w:rsid w:val="007E352E"/>
    <w:rsid w:val="007E3536"/>
    <w:rsid w:val="007E3581"/>
    <w:rsid w:val="007E368A"/>
    <w:rsid w:val="007E374C"/>
    <w:rsid w:val="007E3790"/>
    <w:rsid w:val="007E3791"/>
    <w:rsid w:val="007E37C0"/>
    <w:rsid w:val="007E3884"/>
    <w:rsid w:val="007E38D9"/>
    <w:rsid w:val="007E38EA"/>
    <w:rsid w:val="007E39DD"/>
    <w:rsid w:val="007E3A0C"/>
    <w:rsid w:val="007E3A14"/>
    <w:rsid w:val="007E3A5E"/>
    <w:rsid w:val="007E3ABB"/>
    <w:rsid w:val="007E3B75"/>
    <w:rsid w:val="007E3C26"/>
    <w:rsid w:val="007E3CB5"/>
    <w:rsid w:val="007E3D99"/>
    <w:rsid w:val="007E3DF3"/>
    <w:rsid w:val="007E3E11"/>
    <w:rsid w:val="007E3E1C"/>
    <w:rsid w:val="007E3E3D"/>
    <w:rsid w:val="007E3E3F"/>
    <w:rsid w:val="007E3E81"/>
    <w:rsid w:val="007E3E84"/>
    <w:rsid w:val="007E3E88"/>
    <w:rsid w:val="007E3E92"/>
    <w:rsid w:val="007E3F09"/>
    <w:rsid w:val="007E3F59"/>
    <w:rsid w:val="007E3FE4"/>
    <w:rsid w:val="007E415B"/>
    <w:rsid w:val="007E41A3"/>
    <w:rsid w:val="007E41C5"/>
    <w:rsid w:val="007E425E"/>
    <w:rsid w:val="007E42C4"/>
    <w:rsid w:val="007E42C9"/>
    <w:rsid w:val="007E4444"/>
    <w:rsid w:val="007E4450"/>
    <w:rsid w:val="007E4467"/>
    <w:rsid w:val="007E44AB"/>
    <w:rsid w:val="007E4592"/>
    <w:rsid w:val="007E45C9"/>
    <w:rsid w:val="007E45D6"/>
    <w:rsid w:val="007E463C"/>
    <w:rsid w:val="007E46CA"/>
    <w:rsid w:val="007E4710"/>
    <w:rsid w:val="007E47AF"/>
    <w:rsid w:val="007E47DA"/>
    <w:rsid w:val="007E4811"/>
    <w:rsid w:val="007E4834"/>
    <w:rsid w:val="007E484F"/>
    <w:rsid w:val="007E4857"/>
    <w:rsid w:val="007E48DE"/>
    <w:rsid w:val="007E48E8"/>
    <w:rsid w:val="007E4960"/>
    <w:rsid w:val="007E49A9"/>
    <w:rsid w:val="007E49C0"/>
    <w:rsid w:val="007E49C6"/>
    <w:rsid w:val="007E4AAA"/>
    <w:rsid w:val="007E4B42"/>
    <w:rsid w:val="007E4B4D"/>
    <w:rsid w:val="007E4B5A"/>
    <w:rsid w:val="007E4E1B"/>
    <w:rsid w:val="007E4E40"/>
    <w:rsid w:val="007E4E4E"/>
    <w:rsid w:val="007E4FAE"/>
    <w:rsid w:val="007E5051"/>
    <w:rsid w:val="007E5058"/>
    <w:rsid w:val="007E50BD"/>
    <w:rsid w:val="007E50D1"/>
    <w:rsid w:val="007E513B"/>
    <w:rsid w:val="007E5199"/>
    <w:rsid w:val="007E51BC"/>
    <w:rsid w:val="007E51CD"/>
    <w:rsid w:val="007E5271"/>
    <w:rsid w:val="007E527D"/>
    <w:rsid w:val="007E52B6"/>
    <w:rsid w:val="007E52CD"/>
    <w:rsid w:val="007E52F0"/>
    <w:rsid w:val="007E5353"/>
    <w:rsid w:val="007E5358"/>
    <w:rsid w:val="007E5377"/>
    <w:rsid w:val="007E53BD"/>
    <w:rsid w:val="007E53EB"/>
    <w:rsid w:val="007E5419"/>
    <w:rsid w:val="007E5422"/>
    <w:rsid w:val="007E5477"/>
    <w:rsid w:val="007E54B7"/>
    <w:rsid w:val="007E5551"/>
    <w:rsid w:val="007E55C8"/>
    <w:rsid w:val="007E5614"/>
    <w:rsid w:val="007E578C"/>
    <w:rsid w:val="007E57C2"/>
    <w:rsid w:val="007E58F7"/>
    <w:rsid w:val="007E590B"/>
    <w:rsid w:val="007E5925"/>
    <w:rsid w:val="007E592D"/>
    <w:rsid w:val="007E598F"/>
    <w:rsid w:val="007E59FB"/>
    <w:rsid w:val="007E59FC"/>
    <w:rsid w:val="007E5A33"/>
    <w:rsid w:val="007E5A5B"/>
    <w:rsid w:val="007E5AEC"/>
    <w:rsid w:val="007E5B27"/>
    <w:rsid w:val="007E5B2C"/>
    <w:rsid w:val="007E5B78"/>
    <w:rsid w:val="007E5B7C"/>
    <w:rsid w:val="007E5BEF"/>
    <w:rsid w:val="007E5C6F"/>
    <w:rsid w:val="007E5CB4"/>
    <w:rsid w:val="007E5D19"/>
    <w:rsid w:val="007E5DDC"/>
    <w:rsid w:val="007E5DE0"/>
    <w:rsid w:val="007E5DF0"/>
    <w:rsid w:val="007E5E27"/>
    <w:rsid w:val="007E5EF5"/>
    <w:rsid w:val="007E5FF2"/>
    <w:rsid w:val="007E5FFC"/>
    <w:rsid w:val="007E6007"/>
    <w:rsid w:val="007E600A"/>
    <w:rsid w:val="007E6086"/>
    <w:rsid w:val="007E60C9"/>
    <w:rsid w:val="007E60E2"/>
    <w:rsid w:val="007E614B"/>
    <w:rsid w:val="007E61D0"/>
    <w:rsid w:val="007E624A"/>
    <w:rsid w:val="007E6271"/>
    <w:rsid w:val="007E637D"/>
    <w:rsid w:val="007E6396"/>
    <w:rsid w:val="007E6456"/>
    <w:rsid w:val="007E6493"/>
    <w:rsid w:val="007E64BE"/>
    <w:rsid w:val="007E64F1"/>
    <w:rsid w:val="007E650D"/>
    <w:rsid w:val="007E650F"/>
    <w:rsid w:val="007E666A"/>
    <w:rsid w:val="007E666E"/>
    <w:rsid w:val="007E66D6"/>
    <w:rsid w:val="007E66E3"/>
    <w:rsid w:val="007E66EC"/>
    <w:rsid w:val="007E67C7"/>
    <w:rsid w:val="007E67CD"/>
    <w:rsid w:val="007E690E"/>
    <w:rsid w:val="007E6938"/>
    <w:rsid w:val="007E6982"/>
    <w:rsid w:val="007E6983"/>
    <w:rsid w:val="007E69A7"/>
    <w:rsid w:val="007E69FC"/>
    <w:rsid w:val="007E6C85"/>
    <w:rsid w:val="007E6D44"/>
    <w:rsid w:val="007E6D80"/>
    <w:rsid w:val="007E6DA5"/>
    <w:rsid w:val="007E6DAA"/>
    <w:rsid w:val="007E6DBF"/>
    <w:rsid w:val="007E6E0C"/>
    <w:rsid w:val="007E6F90"/>
    <w:rsid w:val="007E6F95"/>
    <w:rsid w:val="007E6FE5"/>
    <w:rsid w:val="007E708B"/>
    <w:rsid w:val="007E70EA"/>
    <w:rsid w:val="007E7131"/>
    <w:rsid w:val="007E733E"/>
    <w:rsid w:val="007E736F"/>
    <w:rsid w:val="007E7392"/>
    <w:rsid w:val="007E73B1"/>
    <w:rsid w:val="007E73E6"/>
    <w:rsid w:val="007E7483"/>
    <w:rsid w:val="007E74B6"/>
    <w:rsid w:val="007E756A"/>
    <w:rsid w:val="007E757F"/>
    <w:rsid w:val="007E75BB"/>
    <w:rsid w:val="007E7665"/>
    <w:rsid w:val="007E769F"/>
    <w:rsid w:val="007E76BC"/>
    <w:rsid w:val="007E770B"/>
    <w:rsid w:val="007E77D1"/>
    <w:rsid w:val="007E7822"/>
    <w:rsid w:val="007E786C"/>
    <w:rsid w:val="007E7897"/>
    <w:rsid w:val="007E78C2"/>
    <w:rsid w:val="007E791A"/>
    <w:rsid w:val="007E791C"/>
    <w:rsid w:val="007E7A77"/>
    <w:rsid w:val="007E7B0A"/>
    <w:rsid w:val="007E7B3A"/>
    <w:rsid w:val="007E7B72"/>
    <w:rsid w:val="007E7B8A"/>
    <w:rsid w:val="007E7BB4"/>
    <w:rsid w:val="007E7BB7"/>
    <w:rsid w:val="007E7C4A"/>
    <w:rsid w:val="007E7C7B"/>
    <w:rsid w:val="007E7C87"/>
    <w:rsid w:val="007E7CCF"/>
    <w:rsid w:val="007E7D01"/>
    <w:rsid w:val="007E7D17"/>
    <w:rsid w:val="007E7D36"/>
    <w:rsid w:val="007E7D96"/>
    <w:rsid w:val="007E7D98"/>
    <w:rsid w:val="007E7DE0"/>
    <w:rsid w:val="007E7EFC"/>
    <w:rsid w:val="007E7F61"/>
    <w:rsid w:val="007F00B4"/>
    <w:rsid w:val="007F00E2"/>
    <w:rsid w:val="007F0163"/>
    <w:rsid w:val="007F0204"/>
    <w:rsid w:val="007F0207"/>
    <w:rsid w:val="007F023A"/>
    <w:rsid w:val="007F0286"/>
    <w:rsid w:val="007F0360"/>
    <w:rsid w:val="007F037E"/>
    <w:rsid w:val="007F03A7"/>
    <w:rsid w:val="007F047F"/>
    <w:rsid w:val="007F04D2"/>
    <w:rsid w:val="007F0518"/>
    <w:rsid w:val="007F0546"/>
    <w:rsid w:val="007F0554"/>
    <w:rsid w:val="007F0596"/>
    <w:rsid w:val="007F05B1"/>
    <w:rsid w:val="007F0763"/>
    <w:rsid w:val="007F076C"/>
    <w:rsid w:val="007F07BE"/>
    <w:rsid w:val="007F080E"/>
    <w:rsid w:val="007F0830"/>
    <w:rsid w:val="007F0870"/>
    <w:rsid w:val="007F087D"/>
    <w:rsid w:val="007F087F"/>
    <w:rsid w:val="007F08E9"/>
    <w:rsid w:val="007F08ED"/>
    <w:rsid w:val="007F0914"/>
    <w:rsid w:val="007F0940"/>
    <w:rsid w:val="007F09B9"/>
    <w:rsid w:val="007F09EE"/>
    <w:rsid w:val="007F0A42"/>
    <w:rsid w:val="007F0A72"/>
    <w:rsid w:val="007F0A9B"/>
    <w:rsid w:val="007F0B03"/>
    <w:rsid w:val="007F0B04"/>
    <w:rsid w:val="007F0B2B"/>
    <w:rsid w:val="007F0B89"/>
    <w:rsid w:val="007F0B90"/>
    <w:rsid w:val="007F0B93"/>
    <w:rsid w:val="007F0B98"/>
    <w:rsid w:val="007F0C05"/>
    <w:rsid w:val="007F0CA6"/>
    <w:rsid w:val="007F0CDD"/>
    <w:rsid w:val="007F0CFB"/>
    <w:rsid w:val="007F0D04"/>
    <w:rsid w:val="007F0D0B"/>
    <w:rsid w:val="007F0D2B"/>
    <w:rsid w:val="007F0D62"/>
    <w:rsid w:val="007F0DA5"/>
    <w:rsid w:val="007F0F66"/>
    <w:rsid w:val="007F101F"/>
    <w:rsid w:val="007F1028"/>
    <w:rsid w:val="007F105E"/>
    <w:rsid w:val="007F1117"/>
    <w:rsid w:val="007F113C"/>
    <w:rsid w:val="007F11E3"/>
    <w:rsid w:val="007F129B"/>
    <w:rsid w:val="007F12C6"/>
    <w:rsid w:val="007F12F3"/>
    <w:rsid w:val="007F1411"/>
    <w:rsid w:val="007F1467"/>
    <w:rsid w:val="007F1491"/>
    <w:rsid w:val="007F14AE"/>
    <w:rsid w:val="007F1502"/>
    <w:rsid w:val="007F15A6"/>
    <w:rsid w:val="007F15FE"/>
    <w:rsid w:val="007F161C"/>
    <w:rsid w:val="007F16C7"/>
    <w:rsid w:val="007F16FA"/>
    <w:rsid w:val="007F171D"/>
    <w:rsid w:val="007F17BA"/>
    <w:rsid w:val="007F1802"/>
    <w:rsid w:val="007F1820"/>
    <w:rsid w:val="007F1834"/>
    <w:rsid w:val="007F190D"/>
    <w:rsid w:val="007F194C"/>
    <w:rsid w:val="007F1B51"/>
    <w:rsid w:val="007F1C1A"/>
    <w:rsid w:val="007F1C24"/>
    <w:rsid w:val="007F1C53"/>
    <w:rsid w:val="007F1C92"/>
    <w:rsid w:val="007F1CF1"/>
    <w:rsid w:val="007F1D0F"/>
    <w:rsid w:val="007F1D97"/>
    <w:rsid w:val="007F1DFE"/>
    <w:rsid w:val="007F1E56"/>
    <w:rsid w:val="007F1E65"/>
    <w:rsid w:val="007F1EAA"/>
    <w:rsid w:val="007F1FBB"/>
    <w:rsid w:val="007F200D"/>
    <w:rsid w:val="007F2050"/>
    <w:rsid w:val="007F2053"/>
    <w:rsid w:val="007F2092"/>
    <w:rsid w:val="007F2094"/>
    <w:rsid w:val="007F20E2"/>
    <w:rsid w:val="007F2179"/>
    <w:rsid w:val="007F21D3"/>
    <w:rsid w:val="007F21EF"/>
    <w:rsid w:val="007F2281"/>
    <w:rsid w:val="007F228A"/>
    <w:rsid w:val="007F22EB"/>
    <w:rsid w:val="007F22F5"/>
    <w:rsid w:val="007F2401"/>
    <w:rsid w:val="007F2419"/>
    <w:rsid w:val="007F2523"/>
    <w:rsid w:val="007F259E"/>
    <w:rsid w:val="007F2712"/>
    <w:rsid w:val="007F279E"/>
    <w:rsid w:val="007F27C2"/>
    <w:rsid w:val="007F27DA"/>
    <w:rsid w:val="007F28B4"/>
    <w:rsid w:val="007F293F"/>
    <w:rsid w:val="007F2AEA"/>
    <w:rsid w:val="007F2B46"/>
    <w:rsid w:val="007F2BB2"/>
    <w:rsid w:val="007F2C33"/>
    <w:rsid w:val="007F2C60"/>
    <w:rsid w:val="007F2C70"/>
    <w:rsid w:val="007F2CB5"/>
    <w:rsid w:val="007F2CF4"/>
    <w:rsid w:val="007F2D3E"/>
    <w:rsid w:val="007F2E25"/>
    <w:rsid w:val="007F2E71"/>
    <w:rsid w:val="007F2E84"/>
    <w:rsid w:val="007F2EBC"/>
    <w:rsid w:val="007F2EE7"/>
    <w:rsid w:val="007F2F5B"/>
    <w:rsid w:val="007F2FB3"/>
    <w:rsid w:val="007F2FFF"/>
    <w:rsid w:val="007F310E"/>
    <w:rsid w:val="007F311E"/>
    <w:rsid w:val="007F31DF"/>
    <w:rsid w:val="007F326A"/>
    <w:rsid w:val="007F3288"/>
    <w:rsid w:val="007F32B4"/>
    <w:rsid w:val="007F333D"/>
    <w:rsid w:val="007F33A2"/>
    <w:rsid w:val="007F33BE"/>
    <w:rsid w:val="007F33DE"/>
    <w:rsid w:val="007F3466"/>
    <w:rsid w:val="007F34A2"/>
    <w:rsid w:val="007F3513"/>
    <w:rsid w:val="007F3588"/>
    <w:rsid w:val="007F35CC"/>
    <w:rsid w:val="007F360F"/>
    <w:rsid w:val="007F361B"/>
    <w:rsid w:val="007F3621"/>
    <w:rsid w:val="007F3633"/>
    <w:rsid w:val="007F363D"/>
    <w:rsid w:val="007F3672"/>
    <w:rsid w:val="007F36B4"/>
    <w:rsid w:val="007F376C"/>
    <w:rsid w:val="007F37E3"/>
    <w:rsid w:val="007F3875"/>
    <w:rsid w:val="007F3876"/>
    <w:rsid w:val="007F38D7"/>
    <w:rsid w:val="007F39E4"/>
    <w:rsid w:val="007F3A37"/>
    <w:rsid w:val="007F3AC9"/>
    <w:rsid w:val="007F3AE3"/>
    <w:rsid w:val="007F3D88"/>
    <w:rsid w:val="007F3D96"/>
    <w:rsid w:val="007F3DA9"/>
    <w:rsid w:val="007F3DB8"/>
    <w:rsid w:val="007F3DC9"/>
    <w:rsid w:val="007F3DCD"/>
    <w:rsid w:val="007F3E1F"/>
    <w:rsid w:val="007F3E67"/>
    <w:rsid w:val="007F3F04"/>
    <w:rsid w:val="007F3F5A"/>
    <w:rsid w:val="007F3FE4"/>
    <w:rsid w:val="007F4076"/>
    <w:rsid w:val="007F4134"/>
    <w:rsid w:val="007F4164"/>
    <w:rsid w:val="007F423A"/>
    <w:rsid w:val="007F42B7"/>
    <w:rsid w:val="007F42F1"/>
    <w:rsid w:val="007F4348"/>
    <w:rsid w:val="007F4368"/>
    <w:rsid w:val="007F4419"/>
    <w:rsid w:val="007F44A9"/>
    <w:rsid w:val="007F4553"/>
    <w:rsid w:val="007F4599"/>
    <w:rsid w:val="007F45A9"/>
    <w:rsid w:val="007F45DB"/>
    <w:rsid w:val="007F4675"/>
    <w:rsid w:val="007F4687"/>
    <w:rsid w:val="007F46E7"/>
    <w:rsid w:val="007F477E"/>
    <w:rsid w:val="007F4798"/>
    <w:rsid w:val="007F47C1"/>
    <w:rsid w:val="007F47CB"/>
    <w:rsid w:val="007F47D8"/>
    <w:rsid w:val="007F4801"/>
    <w:rsid w:val="007F4802"/>
    <w:rsid w:val="007F4811"/>
    <w:rsid w:val="007F4885"/>
    <w:rsid w:val="007F48AD"/>
    <w:rsid w:val="007F48B0"/>
    <w:rsid w:val="007F48C3"/>
    <w:rsid w:val="007F4911"/>
    <w:rsid w:val="007F493B"/>
    <w:rsid w:val="007F4948"/>
    <w:rsid w:val="007F499F"/>
    <w:rsid w:val="007F49D0"/>
    <w:rsid w:val="007F49F5"/>
    <w:rsid w:val="007F4B0A"/>
    <w:rsid w:val="007F4B32"/>
    <w:rsid w:val="007F4B99"/>
    <w:rsid w:val="007F4C62"/>
    <w:rsid w:val="007F4C77"/>
    <w:rsid w:val="007F4CB8"/>
    <w:rsid w:val="007F4CF2"/>
    <w:rsid w:val="007F4D33"/>
    <w:rsid w:val="007F4D3A"/>
    <w:rsid w:val="007F4E05"/>
    <w:rsid w:val="007F4E1D"/>
    <w:rsid w:val="007F4E86"/>
    <w:rsid w:val="007F4EF6"/>
    <w:rsid w:val="007F4F17"/>
    <w:rsid w:val="007F4F87"/>
    <w:rsid w:val="007F4FA6"/>
    <w:rsid w:val="007F4FBD"/>
    <w:rsid w:val="007F5011"/>
    <w:rsid w:val="007F5018"/>
    <w:rsid w:val="007F5049"/>
    <w:rsid w:val="007F5172"/>
    <w:rsid w:val="007F51A1"/>
    <w:rsid w:val="007F51E7"/>
    <w:rsid w:val="007F5264"/>
    <w:rsid w:val="007F52AB"/>
    <w:rsid w:val="007F52FA"/>
    <w:rsid w:val="007F5358"/>
    <w:rsid w:val="007F5387"/>
    <w:rsid w:val="007F5389"/>
    <w:rsid w:val="007F540F"/>
    <w:rsid w:val="007F5473"/>
    <w:rsid w:val="007F54BC"/>
    <w:rsid w:val="007F54DA"/>
    <w:rsid w:val="007F552B"/>
    <w:rsid w:val="007F5530"/>
    <w:rsid w:val="007F55C9"/>
    <w:rsid w:val="007F5608"/>
    <w:rsid w:val="007F5664"/>
    <w:rsid w:val="007F56D6"/>
    <w:rsid w:val="007F5750"/>
    <w:rsid w:val="007F57B4"/>
    <w:rsid w:val="007F5840"/>
    <w:rsid w:val="007F58BC"/>
    <w:rsid w:val="007F58D3"/>
    <w:rsid w:val="007F594E"/>
    <w:rsid w:val="007F596D"/>
    <w:rsid w:val="007F59A5"/>
    <w:rsid w:val="007F59D4"/>
    <w:rsid w:val="007F59E9"/>
    <w:rsid w:val="007F59FF"/>
    <w:rsid w:val="007F5AD0"/>
    <w:rsid w:val="007F5AEF"/>
    <w:rsid w:val="007F5B3B"/>
    <w:rsid w:val="007F5B3F"/>
    <w:rsid w:val="007F5B62"/>
    <w:rsid w:val="007F5C36"/>
    <w:rsid w:val="007F5C5C"/>
    <w:rsid w:val="007F5CD0"/>
    <w:rsid w:val="007F5D03"/>
    <w:rsid w:val="007F5D5C"/>
    <w:rsid w:val="007F5D89"/>
    <w:rsid w:val="007F5DA3"/>
    <w:rsid w:val="007F5E6D"/>
    <w:rsid w:val="007F5EC1"/>
    <w:rsid w:val="007F5ED0"/>
    <w:rsid w:val="007F5F56"/>
    <w:rsid w:val="007F5FD8"/>
    <w:rsid w:val="007F60AB"/>
    <w:rsid w:val="007F610D"/>
    <w:rsid w:val="007F613B"/>
    <w:rsid w:val="007F613D"/>
    <w:rsid w:val="007F6165"/>
    <w:rsid w:val="007F6178"/>
    <w:rsid w:val="007F61B7"/>
    <w:rsid w:val="007F6213"/>
    <w:rsid w:val="007F621E"/>
    <w:rsid w:val="007F6262"/>
    <w:rsid w:val="007F62A3"/>
    <w:rsid w:val="007F62FC"/>
    <w:rsid w:val="007F6343"/>
    <w:rsid w:val="007F6392"/>
    <w:rsid w:val="007F642D"/>
    <w:rsid w:val="007F645E"/>
    <w:rsid w:val="007F646D"/>
    <w:rsid w:val="007F64AB"/>
    <w:rsid w:val="007F64B6"/>
    <w:rsid w:val="007F64B8"/>
    <w:rsid w:val="007F64BB"/>
    <w:rsid w:val="007F6573"/>
    <w:rsid w:val="007F65D6"/>
    <w:rsid w:val="007F6609"/>
    <w:rsid w:val="007F667D"/>
    <w:rsid w:val="007F6683"/>
    <w:rsid w:val="007F6688"/>
    <w:rsid w:val="007F6707"/>
    <w:rsid w:val="007F6730"/>
    <w:rsid w:val="007F673B"/>
    <w:rsid w:val="007F67D8"/>
    <w:rsid w:val="007F682A"/>
    <w:rsid w:val="007F6891"/>
    <w:rsid w:val="007F6898"/>
    <w:rsid w:val="007F6A23"/>
    <w:rsid w:val="007F6A4B"/>
    <w:rsid w:val="007F6A85"/>
    <w:rsid w:val="007F6AC5"/>
    <w:rsid w:val="007F6B37"/>
    <w:rsid w:val="007F6B43"/>
    <w:rsid w:val="007F6B52"/>
    <w:rsid w:val="007F6B69"/>
    <w:rsid w:val="007F6B97"/>
    <w:rsid w:val="007F6C75"/>
    <w:rsid w:val="007F6CC1"/>
    <w:rsid w:val="007F6CD8"/>
    <w:rsid w:val="007F6D32"/>
    <w:rsid w:val="007F6DD4"/>
    <w:rsid w:val="007F6E7B"/>
    <w:rsid w:val="007F6E96"/>
    <w:rsid w:val="007F6F05"/>
    <w:rsid w:val="007F700E"/>
    <w:rsid w:val="007F70DF"/>
    <w:rsid w:val="007F70F8"/>
    <w:rsid w:val="007F7168"/>
    <w:rsid w:val="007F7177"/>
    <w:rsid w:val="007F7187"/>
    <w:rsid w:val="007F72C1"/>
    <w:rsid w:val="007F72C9"/>
    <w:rsid w:val="007F7308"/>
    <w:rsid w:val="007F730B"/>
    <w:rsid w:val="007F73BC"/>
    <w:rsid w:val="007F747A"/>
    <w:rsid w:val="007F7498"/>
    <w:rsid w:val="007F74BF"/>
    <w:rsid w:val="007F74D2"/>
    <w:rsid w:val="007F7549"/>
    <w:rsid w:val="007F764F"/>
    <w:rsid w:val="007F767E"/>
    <w:rsid w:val="007F76BF"/>
    <w:rsid w:val="007F7752"/>
    <w:rsid w:val="007F77A5"/>
    <w:rsid w:val="007F77AB"/>
    <w:rsid w:val="007F7802"/>
    <w:rsid w:val="007F789A"/>
    <w:rsid w:val="007F791A"/>
    <w:rsid w:val="007F795E"/>
    <w:rsid w:val="007F799C"/>
    <w:rsid w:val="007F79BE"/>
    <w:rsid w:val="007F7A61"/>
    <w:rsid w:val="007F7AFD"/>
    <w:rsid w:val="007F7C59"/>
    <w:rsid w:val="007F7C96"/>
    <w:rsid w:val="007F7CD8"/>
    <w:rsid w:val="007F7CEF"/>
    <w:rsid w:val="007F7CF6"/>
    <w:rsid w:val="007F7CFE"/>
    <w:rsid w:val="007F7D26"/>
    <w:rsid w:val="007F7D41"/>
    <w:rsid w:val="007F7E35"/>
    <w:rsid w:val="007F7E95"/>
    <w:rsid w:val="007F7F28"/>
    <w:rsid w:val="00800034"/>
    <w:rsid w:val="008000A3"/>
    <w:rsid w:val="008001F4"/>
    <w:rsid w:val="00800230"/>
    <w:rsid w:val="0080033D"/>
    <w:rsid w:val="0080033F"/>
    <w:rsid w:val="008003BF"/>
    <w:rsid w:val="008003FD"/>
    <w:rsid w:val="00800446"/>
    <w:rsid w:val="00800460"/>
    <w:rsid w:val="008004F1"/>
    <w:rsid w:val="00800535"/>
    <w:rsid w:val="00800577"/>
    <w:rsid w:val="008005D8"/>
    <w:rsid w:val="0080061E"/>
    <w:rsid w:val="008007D8"/>
    <w:rsid w:val="00800817"/>
    <w:rsid w:val="008008E8"/>
    <w:rsid w:val="0080097E"/>
    <w:rsid w:val="008009AA"/>
    <w:rsid w:val="00800ADA"/>
    <w:rsid w:val="00800B2F"/>
    <w:rsid w:val="00800B6A"/>
    <w:rsid w:val="00800B89"/>
    <w:rsid w:val="00800C1E"/>
    <w:rsid w:val="00800C23"/>
    <w:rsid w:val="00800C28"/>
    <w:rsid w:val="00800D13"/>
    <w:rsid w:val="00800D45"/>
    <w:rsid w:val="00800EA1"/>
    <w:rsid w:val="00800EB4"/>
    <w:rsid w:val="00800F33"/>
    <w:rsid w:val="00800F55"/>
    <w:rsid w:val="00800F73"/>
    <w:rsid w:val="00801000"/>
    <w:rsid w:val="00801033"/>
    <w:rsid w:val="008010E4"/>
    <w:rsid w:val="00801124"/>
    <w:rsid w:val="008011E8"/>
    <w:rsid w:val="0080122D"/>
    <w:rsid w:val="0080134B"/>
    <w:rsid w:val="00801450"/>
    <w:rsid w:val="0080158A"/>
    <w:rsid w:val="0080168C"/>
    <w:rsid w:val="00801697"/>
    <w:rsid w:val="008016C5"/>
    <w:rsid w:val="008016E5"/>
    <w:rsid w:val="00801700"/>
    <w:rsid w:val="0080176C"/>
    <w:rsid w:val="00801808"/>
    <w:rsid w:val="00801881"/>
    <w:rsid w:val="008018E6"/>
    <w:rsid w:val="0080192E"/>
    <w:rsid w:val="0080197E"/>
    <w:rsid w:val="008019BE"/>
    <w:rsid w:val="008019DB"/>
    <w:rsid w:val="00801A08"/>
    <w:rsid w:val="00801AFC"/>
    <w:rsid w:val="00801C32"/>
    <w:rsid w:val="00801C39"/>
    <w:rsid w:val="00801CD4"/>
    <w:rsid w:val="00801CF8"/>
    <w:rsid w:val="00801D61"/>
    <w:rsid w:val="00801E52"/>
    <w:rsid w:val="00801E7D"/>
    <w:rsid w:val="00801EB2"/>
    <w:rsid w:val="00801EBC"/>
    <w:rsid w:val="00801EEC"/>
    <w:rsid w:val="00801F3C"/>
    <w:rsid w:val="00801FB1"/>
    <w:rsid w:val="00802065"/>
    <w:rsid w:val="00802078"/>
    <w:rsid w:val="008020AE"/>
    <w:rsid w:val="008020BC"/>
    <w:rsid w:val="008020D3"/>
    <w:rsid w:val="00802136"/>
    <w:rsid w:val="0080214C"/>
    <w:rsid w:val="00802178"/>
    <w:rsid w:val="008021A6"/>
    <w:rsid w:val="00802230"/>
    <w:rsid w:val="008022A4"/>
    <w:rsid w:val="008022DF"/>
    <w:rsid w:val="008022E2"/>
    <w:rsid w:val="008022F4"/>
    <w:rsid w:val="00802344"/>
    <w:rsid w:val="0080235A"/>
    <w:rsid w:val="00802378"/>
    <w:rsid w:val="008023DB"/>
    <w:rsid w:val="00802429"/>
    <w:rsid w:val="00802480"/>
    <w:rsid w:val="00802527"/>
    <w:rsid w:val="00802534"/>
    <w:rsid w:val="008025CE"/>
    <w:rsid w:val="0080261A"/>
    <w:rsid w:val="0080268F"/>
    <w:rsid w:val="00802749"/>
    <w:rsid w:val="0080279A"/>
    <w:rsid w:val="00802866"/>
    <w:rsid w:val="0080289F"/>
    <w:rsid w:val="008028D1"/>
    <w:rsid w:val="00802901"/>
    <w:rsid w:val="00802909"/>
    <w:rsid w:val="0080293E"/>
    <w:rsid w:val="0080299E"/>
    <w:rsid w:val="00802A65"/>
    <w:rsid w:val="00802BB2"/>
    <w:rsid w:val="00802C48"/>
    <w:rsid w:val="00802C68"/>
    <w:rsid w:val="00802C76"/>
    <w:rsid w:val="00802CEF"/>
    <w:rsid w:val="00802DE2"/>
    <w:rsid w:val="00802E47"/>
    <w:rsid w:val="00802EFB"/>
    <w:rsid w:val="00802F2C"/>
    <w:rsid w:val="008030B9"/>
    <w:rsid w:val="008030C4"/>
    <w:rsid w:val="008030D7"/>
    <w:rsid w:val="008030E0"/>
    <w:rsid w:val="0080311C"/>
    <w:rsid w:val="00803140"/>
    <w:rsid w:val="008031A9"/>
    <w:rsid w:val="0080322C"/>
    <w:rsid w:val="0080322F"/>
    <w:rsid w:val="008032E8"/>
    <w:rsid w:val="00803319"/>
    <w:rsid w:val="00803360"/>
    <w:rsid w:val="008033CC"/>
    <w:rsid w:val="0080341E"/>
    <w:rsid w:val="00803423"/>
    <w:rsid w:val="0080349A"/>
    <w:rsid w:val="008034B6"/>
    <w:rsid w:val="0080357C"/>
    <w:rsid w:val="00803599"/>
    <w:rsid w:val="008035DF"/>
    <w:rsid w:val="008035F2"/>
    <w:rsid w:val="00803620"/>
    <w:rsid w:val="00803652"/>
    <w:rsid w:val="0080366B"/>
    <w:rsid w:val="008036F7"/>
    <w:rsid w:val="0080370B"/>
    <w:rsid w:val="00803743"/>
    <w:rsid w:val="0080379E"/>
    <w:rsid w:val="00803907"/>
    <w:rsid w:val="00803991"/>
    <w:rsid w:val="00803A06"/>
    <w:rsid w:val="00803A0A"/>
    <w:rsid w:val="00803A16"/>
    <w:rsid w:val="00803A9B"/>
    <w:rsid w:val="00803AA3"/>
    <w:rsid w:val="00803BB3"/>
    <w:rsid w:val="00803C0D"/>
    <w:rsid w:val="00803C32"/>
    <w:rsid w:val="00803C37"/>
    <w:rsid w:val="00803CAC"/>
    <w:rsid w:val="00803CE8"/>
    <w:rsid w:val="00803CF0"/>
    <w:rsid w:val="00803D64"/>
    <w:rsid w:val="00803D73"/>
    <w:rsid w:val="00803F26"/>
    <w:rsid w:val="00803F99"/>
    <w:rsid w:val="00803FD2"/>
    <w:rsid w:val="008040BE"/>
    <w:rsid w:val="0080411F"/>
    <w:rsid w:val="0080412D"/>
    <w:rsid w:val="00804130"/>
    <w:rsid w:val="00804160"/>
    <w:rsid w:val="00804177"/>
    <w:rsid w:val="0080425E"/>
    <w:rsid w:val="008042B2"/>
    <w:rsid w:val="008042E0"/>
    <w:rsid w:val="008042ED"/>
    <w:rsid w:val="0080434A"/>
    <w:rsid w:val="008043DD"/>
    <w:rsid w:val="008044E5"/>
    <w:rsid w:val="00804503"/>
    <w:rsid w:val="00804583"/>
    <w:rsid w:val="008045D1"/>
    <w:rsid w:val="00804663"/>
    <w:rsid w:val="0080468D"/>
    <w:rsid w:val="0080469D"/>
    <w:rsid w:val="00804781"/>
    <w:rsid w:val="00804828"/>
    <w:rsid w:val="00804875"/>
    <w:rsid w:val="0080489D"/>
    <w:rsid w:val="008048C8"/>
    <w:rsid w:val="008048CE"/>
    <w:rsid w:val="0080494D"/>
    <w:rsid w:val="00804993"/>
    <w:rsid w:val="008049BA"/>
    <w:rsid w:val="008049C8"/>
    <w:rsid w:val="00804ABC"/>
    <w:rsid w:val="00804AE7"/>
    <w:rsid w:val="00804AFF"/>
    <w:rsid w:val="00804BDE"/>
    <w:rsid w:val="00804BE6"/>
    <w:rsid w:val="00804CF4"/>
    <w:rsid w:val="00804D32"/>
    <w:rsid w:val="00804D33"/>
    <w:rsid w:val="00804D3D"/>
    <w:rsid w:val="00804D43"/>
    <w:rsid w:val="00804D78"/>
    <w:rsid w:val="00804E2E"/>
    <w:rsid w:val="00804E6B"/>
    <w:rsid w:val="00804ECC"/>
    <w:rsid w:val="00804F21"/>
    <w:rsid w:val="00804F76"/>
    <w:rsid w:val="00805082"/>
    <w:rsid w:val="008050E4"/>
    <w:rsid w:val="0080523C"/>
    <w:rsid w:val="008052C8"/>
    <w:rsid w:val="008052DE"/>
    <w:rsid w:val="00805328"/>
    <w:rsid w:val="00805365"/>
    <w:rsid w:val="008053B9"/>
    <w:rsid w:val="008053CF"/>
    <w:rsid w:val="00805465"/>
    <w:rsid w:val="008054A1"/>
    <w:rsid w:val="008054DF"/>
    <w:rsid w:val="008054E8"/>
    <w:rsid w:val="008055B5"/>
    <w:rsid w:val="00805629"/>
    <w:rsid w:val="00805641"/>
    <w:rsid w:val="0080565C"/>
    <w:rsid w:val="00805773"/>
    <w:rsid w:val="0080579C"/>
    <w:rsid w:val="008057A3"/>
    <w:rsid w:val="008057AB"/>
    <w:rsid w:val="008057AC"/>
    <w:rsid w:val="008057C9"/>
    <w:rsid w:val="008057DA"/>
    <w:rsid w:val="00805831"/>
    <w:rsid w:val="00805888"/>
    <w:rsid w:val="008058C5"/>
    <w:rsid w:val="008058C8"/>
    <w:rsid w:val="00805910"/>
    <w:rsid w:val="00805959"/>
    <w:rsid w:val="0080598E"/>
    <w:rsid w:val="008059CC"/>
    <w:rsid w:val="008059FB"/>
    <w:rsid w:val="00805AB2"/>
    <w:rsid w:val="00805AEB"/>
    <w:rsid w:val="00805AFE"/>
    <w:rsid w:val="00805B01"/>
    <w:rsid w:val="00805B31"/>
    <w:rsid w:val="00805B8B"/>
    <w:rsid w:val="00805B91"/>
    <w:rsid w:val="00805BED"/>
    <w:rsid w:val="00805C60"/>
    <w:rsid w:val="00805C9A"/>
    <w:rsid w:val="00805D50"/>
    <w:rsid w:val="00805DA3"/>
    <w:rsid w:val="00805DE1"/>
    <w:rsid w:val="00805E1E"/>
    <w:rsid w:val="00805EE9"/>
    <w:rsid w:val="00805F0B"/>
    <w:rsid w:val="00805F8A"/>
    <w:rsid w:val="00805FDB"/>
    <w:rsid w:val="00806018"/>
    <w:rsid w:val="00806025"/>
    <w:rsid w:val="00806049"/>
    <w:rsid w:val="0080607F"/>
    <w:rsid w:val="008060FF"/>
    <w:rsid w:val="00806107"/>
    <w:rsid w:val="0080615D"/>
    <w:rsid w:val="008061B4"/>
    <w:rsid w:val="00806213"/>
    <w:rsid w:val="0080623E"/>
    <w:rsid w:val="0080625D"/>
    <w:rsid w:val="0080629A"/>
    <w:rsid w:val="008062B5"/>
    <w:rsid w:val="00806310"/>
    <w:rsid w:val="00806351"/>
    <w:rsid w:val="00806484"/>
    <w:rsid w:val="008064C3"/>
    <w:rsid w:val="008065FF"/>
    <w:rsid w:val="0080665D"/>
    <w:rsid w:val="0080671E"/>
    <w:rsid w:val="00806729"/>
    <w:rsid w:val="0080676F"/>
    <w:rsid w:val="0080679E"/>
    <w:rsid w:val="008067B3"/>
    <w:rsid w:val="008067E0"/>
    <w:rsid w:val="0080683E"/>
    <w:rsid w:val="008068D0"/>
    <w:rsid w:val="0080693C"/>
    <w:rsid w:val="00806981"/>
    <w:rsid w:val="00806A19"/>
    <w:rsid w:val="00806A93"/>
    <w:rsid w:val="00806B0E"/>
    <w:rsid w:val="00806B3D"/>
    <w:rsid w:val="00806BA3"/>
    <w:rsid w:val="00806BF6"/>
    <w:rsid w:val="00806CA7"/>
    <w:rsid w:val="00806CAF"/>
    <w:rsid w:val="00806D1B"/>
    <w:rsid w:val="00806D31"/>
    <w:rsid w:val="00806D44"/>
    <w:rsid w:val="00806DFA"/>
    <w:rsid w:val="00806E21"/>
    <w:rsid w:val="00806ED1"/>
    <w:rsid w:val="00806EDF"/>
    <w:rsid w:val="00806F9E"/>
    <w:rsid w:val="00806FB0"/>
    <w:rsid w:val="00806FD0"/>
    <w:rsid w:val="00806FE2"/>
    <w:rsid w:val="008070DA"/>
    <w:rsid w:val="0080712E"/>
    <w:rsid w:val="00807199"/>
    <w:rsid w:val="008071A8"/>
    <w:rsid w:val="008071C7"/>
    <w:rsid w:val="0080720A"/>
    <w:rsid w:val="00807252"/>
    <w:rsid w:val="008072AE"/>
    <w:rsid w:val="008072BF"/>
    <w:rsid w:val="008073B6"/>
    <w:rsid w:val="00807474"/>
    <w:rsid w:val="00807489"/>
    <w:rsid w:val="008074B0"/>
    <w:rsid w:val="0080756C"/>
    <w:rsid w:val="00807687"/>
    <w:rsid w:val="008076D7"/>
    <w:rsid w:val="008076F1"/>
    <w:rsid w:val="00807753"/>
    <w:rsid w:val="00807768"/>
    <w:rsid w:val="0080776E"/>
    <w:rsid w:val="008077DE"/>
    <w:rsid w:val="00807966"/>
    <w:rsid w:val="008079BD"/>
    <w:rsid w:val="008079F9"/>
    <w:rsid w:val="00807A55"/>
    <w:rsid w:val="00807A65"/>
    <w:rsid w:val="00807AB8"/>
    <w:rsid w:val="00807B8E"/>
    <w:rsid w:val="00807BD4"/>
    <w:rsid w:val="00807C0B"/>
    <w:rsid w:val="00807C0D"/>
    <w:rsid w:val="00807C58"/>
    <w:rsid w:val="00807CAC"/>
    <w:rsid w:val="00807CAE"/>
    <w:rsid w:val="00807CF2"/>
    <w:rsid w:val="00807D05"/>
    <w:rsid w:val="00807D84"/>
    <w:rsid w:val="00807DEE"/>
    <w:rsid w:val="00807E11"/>
    <w:rsid w:val="00807E3C"/>
    <w:rsid w:val="00807E67"/>
    <w:rsid w:val="00807E8D"/>
    <w:rsid w:val="00807F08"/>
    <w:rsid w:val="00807F98"/>
    <w:rsid w:val="00807FBD"/>
    <w:rsid w:val="00807FED"/>
    <w:rsid w:val="0081006A"/>
    <w:rsid w:val="00810075"/>
    <w:rsid w:val="0081007F"/>
    <w:rsid w:val="008100FD"/>
    <w:rsid w:val="00810132"/>
    <w:rsid w:val="008102D8"/>
    <w:rsid w:val="008102F1"/>
    <w:rsid w:val="00810390"/>
    <w:rsid w:val="008103D0"/>
    <w:rsid w:val="00810419"/>
    <w:rsid w:val="00810452"/>
    <w:rsid w:val="008104EF"/>
    <w:rsid w:val="008104FA"/>
    <w:rsid w:val="008105E6"/>
    <w:rsid w:val="00810608"/>
    <w:rsid w:val="00810619"/>
    <w:rsid w:val="008106AF"/>
    <w:rsid w:val="008106B5"/>
    <w:rsid w:val="008106BD"/>
    <w:rsid w:val="008106F1"/>
    <w:rsid w:val="0081072B"/>
    <w:rsid w:val="008107B7"/>
    <w:rsid w:val="008107E4"/>
    <w:rsid w:val="0081085A"/>
    <w:rsid w:val="008108A8"/>
    <w:rsid w:val="008109BD"/>
    <w:rsid w:val="00810A28"/>
    <w:rsid w:val="00810A5E"/>
    <w:rsid w:val="00810A65"/>
    <w:rsid w:val="00810AB6"/>
    <w:rsid w:val="00810B82"/>
    <w:rsid w:val="00810BC5"/>
    <w:rsid w:val="00810C1F"/>
    <w:rsid w:val="00810C6F"/>
    <w:rsid w:val="00810CBC"/>
    <w:rsid w:val="00810D00"/>
    <w:rsid w:val="00810D3C"/>
    <w:rsid w:val="00810E03"/>
    <w:rsid w:val="00810E2D"/>
    <w:rsid w:val="00810E79"/>
    <w:rsid w:val="00810EB7"/>
    <w:rsid w:val="00810EDF"/>
    <w:rsid w:val="00810F02"/>
    <w:rsid w:val="00810F5A"/>
    <w:rsid w:val="00810FA0"/>
    <w:rsid w:val="00810FED"/>
    <w:rsid w:val="00811091"/>
    <w:rsid w:val="008110A7"/>
    <w:rsid w:val="008110CA"/>
    <w:rsid w:val="00811104"/>
    <w:rsid w:val="008111D2"/>
    <w:rsid w:val="00811252"/>
    <w:rsid w:val="00811285"/>
    <w:rsid w:val="008112E5"/>
    <w:rsid w:val="00811300"/>
    <w:rsid w:val="0081130E"/>
    <w:rsid w:val="00811425"/>
    <w:rsid w:val="0081147C"/>
    <w:rsid w:val="00811568"/>
    <w:rsid w:val="0081166D"/>
    <w:rsid w:val="008116A4"/>
    <w:rsid w:val="00811754"/>
    <w:rsid w:val="008117F0"/>
    <w:rsid w:val="00811849"/>
    <w:rsid w:val="008118B4"/>
    <w:rsid w:val="008118BC"/>
    <w:rsid w:val="00811911"/>
    <w:rsid w:val="00811943"/>
    <w:rsid w:val="0081195F"/>
    <w:rsid w:val="0081199F"/>
    <w:rsid w:val="00811A2A"/>
    <w:rsid w:val="00811A35"/>
    <w:rsid w:val="00811B80"/>
    <w:rsid w:val="00811BB1"/>
    <w:rsid w:val="00811C38"/>
    <w:rsid w:val="00811C5D"/>
    <w:rsid w:val="00811D45"/>
    <w:rsid w:val="00811DAC"/>
    <w:rsid w:val="00811EAC"/>
    <w:rsid w:val="00811F15"/>
    <w:rsid w:val="0081200C"/>
    <w:rsid w:val="008120AA"/>
    <w:rsid w:val="008120AD"/>
    <w:rsid w:val="008120E2"/>
    <w:rsid w:val="008120EA"/>
    <w:rsid w:val="00812113"/>
    <w:rsid w:val="0081214A"/>
    <w:rsid w:val="008121EE"/>
    <w:rsid w:val="0081223D"/>
    <w:rsid w:val="00812283"/>
    <w:rsid w:val="00812295"/>
    <w:rsid w:val="00812359"/>
    <w:rsid w:val="008123B0"/>
    <w:rsid w:val="008123CA"/>
    <w:rsid w:val="008124A2"/>
    <w:rsid w:val="00812504"/>
    <w:rsid w:val="0081262A"/>
    <w:rsid w:val="00812669"/>
    <w:rsid w:val="008126E0"/>
    <w:rsid w:val="00812709"/>
    <w:rsid w:val="00812725"/>
    <w:rsid w:val="0081276E"/>
    <w:rsid w:val="00812770"/>
    <w:rsid w:val="00812781"/>
    <w:rsid w:val="0081278F"/>
    <w:rsid w:val="008127A0"/>
    <w:rsid w:val="008127D3"/>
    <w:rsid w:val="008128A8"/>
    <w:rsid w:val="00812901"/>
    <w:rsid w:val="0081290C"/>
    <w:rsid w:val="00812936"/>
    <w:rsid w:val="00812A45"/>
    <w:rsid w:val="00812A89"/>
    <w:rsid w:val="00812A9B"/>
    <w:rsid w:val="00812AF1"/>
    <w:rsid w:val="00812B09"/>
    <w:rsid w:val="00812B2C"/>
    <w:rsid w:val="00812B7A"/>
    <w:rsid w:val="00812B7B"/>
    <w:rsid w:val="00812B8E"/>
    <w:rsid w:val="00812B92"/>
    <w:rsid w:val="00812BF8"/>
    <w:rsid w:val="00812C05"/>
    <w:rsid w:val="00812C3D"/>
    <w:rsid w:val="00812C93"/>
    <w:rsid w:val="00812CA0"/>
    <w:rsid w:val="00812D23"/>
    <w:rsid w:val="00812D3A"/>
    <w:rsid w:val="00812D97"/>
    <w:rsid w:val="00812DAD"/>
    <w:rsid w:val="00812DEE"/>
    <w:rsid w:val="00812E5C"/>
    <w:rsid w:val="00812F54"/>
    <w:rsid w:val="00812F73"/>
    <w:rsid w:val="00812FA7"/>
    <w:rsid w:val="00812FCD"/>
    <w:rsid w:val="00812FF6"/>
    <w:rsid w:val="0081307D"/>
    <w:rsid w:val="008130CD"/>
    <w:rsid w:val="008130EF"/>
    <w:rsid w:val="008130FB"/>
    <w:rsid w:val="00813128"/>
    <w:rsid w:val="00813198"/>
    <w:rsid w:val="0081320A"/>
    <w:rsid w:val="00813290"/>
    <w:rsid w:val="00813291"/>
    <w:rsid w:val="008132DF"/>
    <w:rsid w:val="008132F4"/>
    <w:rsid w:val="00813319"/>
    <w:rsid w:val="00813411"/>
    <w:rsid w:val="0081344C"/>
    <w:rsid w:val="00813464"/>
    <w:rsid w:val="00813597"/>
    <w:rsid w:val="00813712"/>
    <w:rsid w:val="00813761"/>
    <w:rsid w:val="008137DC"/>
    <w:rsid w:val="00813819"/>
    <w:rsid w:val="008138A5"/>
    <w:rsid w:val="008138EE"/>
    <w:rsid w:val="00813904"/>
    <w:rsid w:val="00813963"/>
    <w:rsid w:val="0081396B"/>
    <w:rsid w:val="00813A2F"/>
    <w:rsid w:val="00813A52"/>
    <w:rsid w:val="00813A8D"/>
    <w:rsid w:val="00813AAA"/>
    <w:rsid w:val="00813B07"/>
    <w:rsid w:val="00813B36"/>
    <w:rsid w:val="00813B7B"/>
    <w:rsid w:val="00813B7C"/>
    <w:rsid w:val="00813BB1"/>
    <w:rsid w:val="00813BDF"/>
    <w:rsid w:val="00813C1E"/>
    <w:rsid w:val="00813C28"/>
    <w:rsid w:val="00813C34"/>
    <w:rsid w:val="00813C83"/>
    <w:rsid w:val="00813C86"/>
    <w:rsid w:val="00813CAF"/>
    <w:rsid w:val="00813DE7"/>
    <w:rsid w:val="00813EDD"/>
    <w:rsid w:val="00813F07"/>
    <w:rsid w:val="00813F3B"/>
    <w:rsid w:val="00813FE3"/>
    <w:rsid w:val="0081401F"/>
    <w:rsid w:val="008140B2"/>
    <w:rsid w:val="00814308"/>
    <w:rsid w:val="0081431B"/>
    <w:rsid w:val="00814328"/>
    <w:rsid w:val="00814347"/>
    <w:rsid w:val="00814433"/>
    <w:rsid w:val="008144EB"/>
    <w:rsid w:val="00814622"/>
    <w:rsid w:val="008146FB"/>
    <w:rsid w:val="00814791"/>
    <w:rsid w:val="008147A9"/>
    <w:rsid w:val="00814871"/>
    <w:rsid w:val="008148C0"/>
    <w:rsid w:val="00814916"/>
    <w:rsid w:val="008149D1"/>
    <w:rsid w:val="00814A1A"/>
    <w:rsid w:val="00814AB6"/>
    <w:rsid w:val="00814AF0"/>
    <w:rsid w:val="00814B0A"/>
    <w:rsid w:val="00814B6D"/>
    <w:rsid w:val="00814BA7"/>
    <w:rsid w:val="00814BFD"/>
    <w:rsid w:val="00814C25"/>
    <w:rsid w:val="00814C45"/>
    <w:rsid w:val="00814C61"/>
    <w:rsid w:val="00814C70"/>
    <w:rsid w:val="00814C88"/>
    <w:rsid w:val="00814CDA"/>
    <w:rsid w:val="00814D91"/>
    <w:rsid w:val="00814D9E"/>
    <w:rsid w:val="00814DD8"/>
    <w:rsid w:val="00814ED0"/>
    <w:rsid w:val="00814EFF"/>
    <w:rsid w:val="00814F2C"/>
    <w:rsid w:val="00814F65"/>
    <w:rsid w:val="00814FE2"/>
    <w:rsid w:val="00815014"/>
    <w:rsid w:val="0081510B"/>
    <w:rsid w:val="00815115"/>
    <w:rsid w:val="008151C2"/>
    <w:rsid w:val="008151CC"/>
    <w:rsid w:val="008152EE"/>
    <w:rsid w:val="00815304"/>
    <w:rsid w:val="0081535B"/>
    <w:rsid w:val="00815389"/>
    <w:rsid w:val="0081542C"/>
    <w:rsid w:val="0081544C"/>
    <w:rsid w:val="008154C6"/>
    <w:rsid w:val="00815535"/>
    <w:rsid w:val="00815651"/>
    <w:rsid w:val="0081571A"/>
    <w:rsid w:val="00815728"/>
    <w:rsid w:val="00815739"/>
    <w:rsid w:val="00815776"/>
    <w:rsid w:val="008157C8"/>
    <w:rsid w:val="008157EA"/>
    <w:rsid w:val="00815874"/>
    <w:rsid w:val="00815887"/>
    <w:rsid w:val="00815900"/>
    <w:rsid w:val="0081590D"/>
    <w:rsid w:val="00815C08"/>
    <w:rsid w:val="00815C18"/>
    <w:rsid w:val="00815C4B"/>
    <w:rsid w:val="00815C81"/>
    <w:rsid w:val="00815CDF"/>
    <w:rsid w:val="00815D15"/>
    <w:rsid w:val="00815D9C"/>
    <w:rsid w:val="00815DAC"/>
    <w:rsid w:val="00815DBF"/>
    <w:rsid w:val="00815DD1"/>
    <w:rsid w:val="00815DF4"/>
    <w:rsid w:val="00815E88"/>
    <w:rsid w:val="00815EA8"/>
    <w:rsid w:val="00815ECB"/>
    <w:rsid w:val="00815F19"/>
    <w:rsid w:val="00815F1B"/>
    <w:rsid w:val="00815F5A"/>
    <w:rsid w:val="00816064"/>
    <w:rsid w:val="00816073"/>
    <w:rsid w:val="0081609C"/>
    <w:rsid w:val="0081611A"/>
    <w:rsid w:val="00816193"/>
    <w:rsid w:val="008161A7"/>
    <w:rsid w:val="008161DD"/>
    <w:rsid w:val="00816205"/>
    <w:rsid w:val="0081626A"/>
    <w:rsid w:val="00816275"/>
    <w:rsid w:val="0081632C"/>
    <w:rsid w:val="00816359"/>
    <w:rsid w:val="00816373"/>
    <w:rsid w:val="00816398"/>
    <w:rsid w:val="00816399"/>
    <w:rsid w:val="008163AC"/>
    <w:rsid w:val="00816421"/>
    <w:rsid w:val="00816425"/>
    <w:rsid w:val="008164E3"/>
    <w:rsid w:val="008165A0"/>
    <w:rsid w:val="008165AF"/>
    <w:rsid w:val="008165F0"/>
    <w:rsid w:val="008165FB"/>
    <w:rsid w:val="0081662E"/>
    <w:rsid w:val="0081663C"/>
    <w:rsid w:val="008166BA"/>
    <w:rsid w:val="0081675F"/>
    <w:rsid w:val="00816782"/>
    <w:rsid w:val="00816815"/>
    <w:rsid w:val="00816867"/>
    <w:rsid w:val="008168D9"/>
    <w:rsid w:val="0081691A"/>
    <w:rsid w:val="0081695F"/>
    <w:rsid w:val="008169E7"/>
    <w:rsid w:val="00816A50"/>
    <w:rsid w:val="00816A71"/>
    <w:rsid w:val="00816AB6"/>
    <w:rsid w:val="00816B10"/>
    <w:rsid w:val="00816B17"/>
    <w:rsid w:val="00816B19"/>
    <w:rsid w:val="00816B2C"/>
    <w:rsid w:val="00816B31"/>
    <w:rsid w:val="00816B52"/>
    <w:rsid w:val="00816B74"/>
    <w:rsid w:val="00816BCA"/>
    <w:rsid w:val="00816BE5"/>
    <w:rsid w:val="00816E3B"/>
    <w:rsid w:val="00816E60"/>
    <w:rsid w:val="00816EB0"/>
    <w:rsid w:val="00816F67"/>
    <w:rsid w:val="00816FC6"/>
    <w:rsid w:val="00816FE6"/>
    <w:rsid w:val="0081702E"/>
    <w:rsid w:val="00817042"/>
    <w:rsid w:val="008170EE"/>
    <w:rsid w:val="008170F1"/>
    <w:rsid w:val="00817120"/>
    <w:rsid w:val="0081719F"/>
    <w:rsid w:val="008171FA"/>
    <w:rsid w:val="0081721D"/>
    <w:rsid w:val="00817227"/>
    <w:rsid w:val="00817283"/>
    <w:rsid w:val="00817369"/>
    <w:rsid w:val="0081737F"/>
    <w:rsid w:val="008173A7"/>
    <w:rsid w:val="00817476"/>
    <w:rsid w:val="0081749F"/>
    <w:rsid w:val="008174F5"/>
    <w:rsid w:val="00817502"/>
    <w:rsid w:val="00817597"/>
    <w:rsid w:val="008175BD"/>
    <w:rsid w:val="00817657"/>
    <w:rsid w:val="00817674"/>
    <w:rsid w:val="008177BA"/>
    <w:rsid w:val="008177FF"/>
    <w:rsid w:val="00817826"/>
    <w:rsid w:val="008178B4"/>
    <w:rsid w:val="00817972"/>
    <w:rsid w:val="008179BC"/>
    <w:rsid w:val="008179C7"/>
    <w:rsid w:val="008179D9"/>
    <w:rsid w:val="008179F4"/>
    <w:rsid w:val="00817A8C"/>
    <w:rsid w:val="00817B96"/>
    <w:rsid w:val="00817BF7"/>
    <w:rsid w:val="00817C81"/>
    <w:rsid w:val="00817C9E"/>
    <w:rsid w:val="00817CCF"/>
    <w:rsid w:val="00817CF4"/>
    <w:rsid w:val="00817D8F"/>
    <w:rsid w:val="00817E27"/>
    <w:rsid w:val="00817E35"/>
    <w:rsid w:val="00817E67"/>
    <w:rsid w:val="00817EEA"/>
    <w:rsid w:val="00817F56"/>
    <w:rsid w:val="00817FE0"/>
    <w:rsid w:val="00817FE1"/>
    <w:rsid w:val="00820048"/>
    <w:rsid w:val="00820066"/>
    <w:rsid w:val="008200A2"/>
    <w:rsid w:val="008200C0"/>
    <w:rsid w:val="0082010B"/>
    <w:rsid w:val="0082015D"/>
    <w:rsid w:val="008201A3"/>
    <w:rsid w:val="00820222"/>
    <w:rsid w:val="0082022B"/>
    <w:rsid w:val="0082022C"/>
    <w:rsid w:val="00820235"/>
    <w:rsid w:val="00820320"/>
    <w:rsid w:val="0082036B"/>
    <w:rsid w:val="00820408"/>
    <w:rsid w:val="0082055B"/>
    <w:rsid w:val="008205DB"/>
    <w:rsid w:val="0082060A"/>
    <w:rsid w:val="0082061E"/>
    <w:rsid w:val="0082074C"/>
    <w:rsid w:val="00820895"/>
    <w:rsid w:val="00820932"/>
    <w:rsid w:val="0082093C"/>
    <w:rsid w:val="0082096F"/>
    <w:rsid w:val="008209A8"/>
    <w:rsid w:val="008209D8"/>
    <w:rsid w:val="00820A97"/>
    <w:rsid w:val="00820C35"/>
    <w:rsid w:val="00820CF2"/>
    <w:rsid w:val="00820D24"/>
    <w:rsid w:val="00820DFD"/>
    <w:rsid w:val="00820E1E"/>
    <w:rsid w:val="00820EF0"/>
    <w:rsid w:val="00820EFE"/>
    <w:rsid w:val="00820F80"/>
    <w:rsid w:val="00821027"/>
    <w:rsid w:val="0082102F"/>
    <w:rsid w:val="00821113"/>
    <w:rsid w:val="00821126"/>
    <w:rsid w:val="008211E2"/>
    <w:rsid w:val="008212A8"/>
    <w:rsid w:val="00821305"/>
    <w:rsid w:val="0082132E"/>
    <w:rsid w:val="008213E9"/>
    <w:rsid w:val="00821407"/>
    <w:rsid w:val="00821417"/>
    <w:rsid w:val="00821431"/>
    <w:rsid w:val="00821434"/>
    <w:rsid w:val="0082145D"/>
    <w:rsid w:val="00821472"/>
    <w:rsid w:val="008214B1"/>
    <w:rsid w:val="008214CE"/>
    <w:rsid w:val="00821535"/>
    <w:rsid w:val="00821546"/>
    <w:rsid w:val="00821569"/>
    <w:rsid w:val="008215E7"/>
    <w:rsid w:val="00821620"/>
    <w:rsid w:val="008216A6"/>
    <w:rsid w:val="0082179F"/>
    <w:rsid w:val="008218B8"/>
    <w:rsid w:val="008218D4"/>
    <w:rsid w:val="008218E4"/>
    <w:rsid w:val="00821A8B"/>
    <w:rsid w:val="00821B13"/>
    <w:rsid w:val="00821B42"/>
    <w:rsid w:val="00821B8B"/>
    <w:rsid w:val="00821BA7"/>
    <w:rsid w:val="00821BC7"/>
    <w:rsid w:val="00821BCF"/>
    <w:rsid w:val="00821C59"/>
    <w:rsid w:val="00821C5D"/>
    <w:rsid w:val="00821CCE"/>
    <w:rsid w:val="00821CD9"/>
    <w:rsid w:val="00821DBF"/>
    <w:rsid w:val="00821DCC"/>
    <w:rsid w:val="00821DEC"/>
    <w:rsid w:val="00821E66"/>
    <w:rsid w:val="00821E84"/>
    <w:rsid w:val="00821F38"/>
    <w:rsid w:val="00821F49"/>
    <w:rsid w:val="00821FB0"/>
    <w:rsid w:val="00821FE5"/>
    <w:rsid w:val="00822067"/>
    <w:rsid w:val="00822087"/>
    <w:rsid w:val="0082209A"/>
    <w:rsid w:val="008220E4"/>
    <w:rsid w:val="0082211F"/>
    <w:rsid w:val="0082213B"/>
    <w:rsid w:val="00822189"/>
    <w:rsid w:val="008221FE"/>
    <w:rsid w:val="0082224A"/>
    <w:rsid w:val="0082225D"/>
    <w:rsid w:val="008222F6"/>
    <w:rsid w:val="008222F8"/>
    <w:rsid w:val="00822359"/>
    <w:rsid w:val="00822388"/>
    <w:rsid w:val="0082238D"/>
    <w:rsid w:val="00822393"/>
    <w:rsid w:val="0082239F"/>
    <w:rsid w:val="00822489"/>
    <w:rsid w:val="00822513"/>
    <w:rsid w:val="0082256C"/>
    <w:rsid w:val="00822676"/>
    <w:rsid w:val="00822776"/>
    <w:rsid w:val="008227B3"/>
    <w:rsid w:val="00822896"/>
    <w:rsid w:val="00822954"/>
    <w:rsid w:val="008229A1"/>
    <w:rsid w:val="00822A10"/>
    <w:rsid w:val="00822A12"/>
    <w:rsid w:val="00822A5A"/>
    <w:rsid w:val="00822A6D"/>
    <w:rsid w:val="00822A8B"/>
    <w:rsid w:val="00822B44"/>
    <w:rsid w:val="00822BE6"/>
    <w:rsid w:val="00822C3B"/>
    <w:rsid w:val="00822CBD"/>
    <w:rsid w:val="00822D6A"/>
    <w:rsid w:val="00822D75"/>
    <w:rsid w:val="00822D82"/>
    <w:rsid w:val="00822E08"/>
    <w:rsid w:val="00822E5C"/>
    <w:rsid w:val="00822E5F"/>
    <w:rsid w:val="00822E7E"/>
    <w:rsid w:val="00822EAA"/>
    <w:rsid w:val="00822F01"/>
    <w:rsid w:val="00822F23"/>
    <w:rsid w:val="00822F48"/>
    <w:rsid w:val="00822F57"/>
    <w:rsid w:val="00823006"/>
    <w:rsid w:val="0082305D"/>
    <w:rsid w:val="0082317D"/>
    <w:rsid w:val="0082319D"/>
    <w:rsid w:val="008231B7"/>
    <w:rsid w:val="008231BD"/>
    <w:rsid w:val="008231F7"/>
    <w:rsid w:val="00823273"/>
    <w:rsid w:val="0082333D"/>
    <w:rsid w:val="008233E0"/>
    <w:rsid w:val="00823473"/>
    <w:rsid w:val="0082348F"/>
    <w:rsid w:val="008234B5"/>
    <w:rsid w:val="0082351D"/>
    <w:rsid w:val="008235B0"/>
    <w:rsid w:val="008235B9"/>
    <w:rsid w:val="0082361F"/>
    <w:rsid w:val="00823658"/>
    <w:rsid w:val="008236E1"/>
    <w:rsid w:val="00823789"/>
    <w:rsid w:val="008237B8"/>
    <w:rsid w:val="008237D0"/>
    <w:rsid w:val="00823849"/>
    <w:rsid w:val="008238B2"/>
    <w:rsid w:val="008238CD"/>
    <w:rsid w:val="00823901"/>
    <w:rsid w:val="008239A9"/>
    <w:rsid w:val="00823A40"/>
    <w:rsid w:val="00823B65"/>
    <w:rsid w:val="00823BB9"/>
    <w:rsid w:val="00823BE9"/>
    <w:rsid w:val="00823BFD"/>
    <w:rsid w:val="00823CD0"/>
    <w:rsid w:val="00823CF9"/>
    <w:rsid w:val="00823D0F"/>
    <w:rsid w:val="00823D29"/>
    <w:rsid w:val="00823D42"/>
    <w:rsid w:val="00823DAF"/>
    <w:rsid w:val="00823DD8"/>
    <w:rsid w:val="00823E93"/>
    <w:rsid w:val="00823EA7"/>
    <w:rsid w:val="00823F10"/>
    <w:rsid w:val="00823F3E"/>
    <w:rsid w:val="008240C5"/>
    <w:rsid w:val="00824128"/>
    <w:rsid w:val="00824156"/>
    <w:rsid w:val="00824192"/>
    <w:rsid w:val="00824244"/>
    <w:rsid w:val="008242C2"/>
    <w:rsid w:val="00824349"/>
    <w:rsid w:val="00824367"/>
    <w:rsid w:val="00824420"/>
    <w:rsid w:val="0082445C"/>
    <w:rsid w:val="00824466"/>
    <w:rsid w:val="00824568"/>
    <w:rsid w:val="00824584"/>
    <w:rsid w:val="008245C5"/>
    <w:rsid w:val="0082476A"/>
    <w:rsid w:val="0082476F"/>
    <w:rsid w:val="008247BD"/>
    <w:rsid w:val="0082481D"/>
    <w:rsid w:val="00824852"/>
    <w:rsid w:val="008248EC"/>
    <w:rsid w:val="008248F6"/>
    <w:rsid w:val="00824973"/>
    <w:rsid w:val="0082497F"/>
    <w:rsid w:val="008249EB"/>
    <w:rsid w:val="00824A72"/>
    <w:rsid w:val="00824A73"/>
    <w:rsid w:val="00824A7B"/>
    <w:rsid w:val="00824AC1"/>
    <w:rsid w:val="00824B57"/>
    <w:rsid w:val="00824BF6"/>
    <w:rsid w:val="00824C96"/>
    <w:rsid w:val="00824D16"/>
    <w:rsid w:val="00824D4E"/>
    <w:rsid w:val="00824D8E"/>
    <w:rsid w:val="00824E2F"/>
    <w:rsid w:val="00824EFE"/>
    <w:rsid w:val="00824EFF"/>
    <w:rsid w:val="00824F99"/>
    <w:rsid w:val="00824FA8"/>
    <w:rsid w:val="00825020"/>
    <w:rsid w:val="0082506C"/>
    <w:rsid w:val="00825110"/>
    <w:rsid w:val="0082516F"/>
    <w:rsid w:val="00825180"/>
    <w:rsid w:val="00825237"/>
    <w:rsid w:val="008252BC"/>
    <w:rsid w:val="0082539B"/>
    <w:rsid w:val="008253CB"/>
    <w:rsid w:val="008253F1"/>
    <w:rsid w:val="0082541D"/>
    <w:rsid w:val="008254BE"/>
    <w:rsid w:val="008254DC"/>
    <w:rsid w:val="00825599"/>
    <w:rsid w:val="0082562A"/>
    <w:rsid w:val="0082562C"/>
    <w:rsid w:val="008256B9"/>
    <w:rsid w:val="008256C5"/>
    <w:rsid w:val="00825745"/>
    <w:rsid w:val="0082574F"/>
    <w:rsid w:val="0082583A"/>
    <w:rsid w:val="00825856"/>
    <w:rsid w:val="008258C1"/>
    <w:rsid w:val="008258D1"/>
    <w:rsid w:val="008258E4"/>
    <w:rsid w:val="008259C5"/>
    <w:rsid w:val="008259D5"/>
    <w:rsid w:val="008259FE"/>
    <w:rsid w:val="00825A28"/>
    <w:rsid w:val="00825A8E"/>
    <w:rsid w:val="00825AAE"/>
    <w:rsid w:val="00825AD0"/>
    <w:rsid w:val="00825AED"/>
    <w:rsid w:val="00825B15"/>
    <w:rsid w:val="00825B1B"/>
    <w:rsid w:val="00825BBB"/>
    <w:rsid w:val="00825BC1"/>
    <w:rsid w:val="00825BEA"/>
    <w:rsid w:val="00825C41"/>
    <w:rsid w:val="00825CA9"/>
    <w:rsid w:val="00825CC6"/>
    <w:rsid w:val="00825D39"/>
    <w:rsid w:val="00825D44"/>
    <w:rsid w:val="00825D7B"/>
    <w:rsid w:val="00825DB5"/>
    <w:rsid w:val="00825E6E"/>
    <w:rsid w:val="00825F2D"/>
    <w:rsid w:val="00825F7F"/>
    <w:rsid w:val="00825F80"/>
    <w:rsid w:val="00825FB5"/>
    <w:rsid w:val="00825FEA"/>
    <w:rsid w:val="008260DF"/>
    <w:rsid w:val="008261B4"/>
    <w:rsid w:val="00826208"/>
    <w:rsid w:val="00826297"/>
    <w:rsid w:val="008262C9"/>
    <w:rsid w:val="00826377"/>
    <w:rsid w:val="008263ED"/>
    <w:rsid w:val="0082643A"/>
    <w:rsid w:val="0082645D"/>
    <w:rsid w:val="0082649E"/>
    <w:rsid w:val="00826502"/>
    <w:rsid w:val="00826543"/>
    <w:rsid w:val="008265D4"/>
    <w:rsid w:val="0082663D"/>
    <w:rsid w:val="00826671"/>
    <w:rsid w:val="00826676"/>
    <w:rsid w:val="0082667B"/>
    <w:rsid w:val="008266F8"/>
    <w:rsid w:val="008267B0"/>
    <w:rsid w:val="00826815"/>
    <w:rsid w:val="00826872"/>
    <w:rsid w:val="00826878"/>
    <w:rsid w:val="00826904"/>
    <w:rsid w:val="008269F9"/>
    <w:rsid w:val="00826A03"/>
    <w:rsid w:val="00826A7D"/>
    <w:rsid w:val="00826B19"/>
    <w:rsid w:val="00826B75"/>
    <w:rsid w:val="00826BB7"/>
    <w:rsid w:val="00826CE7"/>
    <w:rsid w:val="00826CFD"/>
    <w:rsid w:val="00826D38"/>
    <w:rsid w:val="00826D41"/>
    <w:rsid w:val="00826DE7"/>
    <w:rsid w:val="00826E2D"/>
    <w:rsid w:val="00826EC9"/>
    <w:rsid w:val="00826FAB"/>
    <w:rsid w:val="008270CA"/>
    <w:rsid w:val="008270EC"/>
    <w:rsid w:val="00827183"/>
    <w:rsid w:val="0082718C"/>
    <w:rsid w:val="008271A9"/>
    <w:rsid w:val="008271E4"/>
    <w:rsid w:val="00827211"/>
    <w:rsid w:val="0082721F"/>
    <w:rsid w:val="00827279"/>
    <w:rsid w:val="0082729C"/>
    <w:rsid w:val="008272D7"/>
    <w:rsid w:val="00827335"/>
    <w:rsid w:val="0082745C"/>
    <w:rsid w:val="0082747F"/>
    <w:rsid w:val="008274BF"/>
    <w:rsid w:val="00827559"/>
    <w:rsid w:val="00827577"/>
    <w:rsid w:val="00827578"/>
    <w:rsid w:val="0082757C"/>
    <w:rsid w:val="0082758E"/>
    <w:rsid w:val="00827597"/>
    <w:rsid w:val="008275B6"/>
    <w:rsid w:val="008275C4"/>
    <w:rsid w:val="008275E8"/>
    <w:rsid w:val="00827676"/>
    <w:rsid w:val="00827695"/>
    <w:rsid w:val="008276CF"/>
    <w:rsid w:val="008276F0"/>
    <w:rsid w:val="00827714"/>
    <w:rsid w:val="00827742"/>
    <w:rsid w:val="00827787"/>
    <w:rsid w:val="00827846"/>
    <w:rsid w:val="008278B6"/>
    <w:rsid w:val="008278D2"/>
    <w:rsid w:val="00827950"/>
    <w:rsid w:val="008279AD"/>
    <w:rsid w:val="00827A1D"/>
    <w:rsid w:val="00827AEC"/>
    <w:rsid w:val="00827B37"/>
    <w:rsid w:val="00827C00"/>
    <w:rsid w:val="00827C31"/>
    <w:rsid w:val="00827C5F"/>
    <w:rsid w:val="00827C7D"/>
    <w:rsid w:val="00827D1A"/>
    <w:rsid w:val="00827D39"/>
    <w:rsid w:val="00827D63"/>
    <w:rsid w:val="00827E06"/>
    <w:rsid w:val="00827EA4"/>
    <w:rsid w:val="00827EF7"/>
    <w:rsid w:val="00827FAC"/>
    <w:rsid w:val="00827FB7"/>
    <w:rsid w:val="0083005C"/>
    <w:rsid w:val="00830064"/>
    <w:rsid w:val="008300DE"/>
    <w:rsid w:val="008300FF"/>
    <w:rsid w:val="00830183"/>
    <w:rsid w:val="00830193"/>
    <w:rsid w:val="008301C0"/>
    <w:rsid w:val="008301D4"/>
    <w:rsid w:val="00830343"/>
    <w:rsid w:val="008303F1"/>
    <w:rsid w:val="0083040F"/>
    <w:rsid w:val="0083047A"/>
    <w:rsid w:val="0083054B"/>
    <w:rsid w:val="0083054E"/>
    <w:rsid w:val="008305AE"/>
    <w:rsid w:val="008305D4"/>
    <w:rsid w:val="00830648"/>
    <w:rsid w:val="00830664"/>
    <w:rsid w:val="00830673"/>
    <w:rsid w:val="008306E5"/>
    <w:rsid w:val="00830716"/>
    <w:rsid w:val="0083077D"/>
    <w:rsid w:val="008307A1"/>
    <w:rsid w:val="008307AB"/>
    <w:rsid w:val="00830837"/>
    <w:rsid w:val="00830863"/>
    <w:rsid w:val="0083087F"/>
    <w:rsid w:val="0083090C"/>
    <w:rsid w:val="00830975"/>
    <w:rsid w:val="008309C4"/>
    <w:rsid w:val="008309E9"/>
    <w:rsid w:val="008309F4"/>
    <w:rsid w:val="00830A1A"/>
    <w:rsid w:val="00830A54"/>
    <w:rsid w:val="00830A66"/>
    <w:rsid w:val="00830A87"/>
    <w:rsid w:val="00830B2A"/>
    <w:rsid w:val="00830BA0"/>
    <w:rsid w:val="00830BC8"/>
    <w:rsid w:val="00830C54"/>
    <w:rsid w:val="00830C6D"/>
    <w:rsid w:val="00830D1B"/>
    <w:rsid w:val="00830DA1"/>
    <w:rsid w:val="00830DAF"/>
    <w:rsid w:val="00830E06"/>
    <w:rsid w:val="00830E42"/>
    <w:rsid w:val="00830E97"/>
    <w:rsid w:val="00830EB9"/>
    <w:rsid w:val="00830EDC"/>
    <w:rsid w:val="00830EE5"/>
    <w:rsid w:val="00830F00"/>
    <w:rsid w:val="00830F8A"/>
    <w:rsid w:val="00831002"/>
    <w:rsid w:val="00831036"/>
    <w:rsid w:val="008310D1"/>
    <w:rsid w:val="0083110D"/>
    <w:rsid w:val="00831135"/>
    <w:rsid w:val="00831141"/>
    <w:rsid w:val="00831160"/>
    <w:rsid w:val="008311B8"/>
    <w:rsid w:val="008312B3"/>
    <w:rsid w:val="00831365"/>
    <w:rsid w:val="008313B6"/>
    <w:rsid w:val="00831414"/>
    <w:rsid w:val="00831436"/>
    <w:rsid w:val="00831450"/>
    <w:rsid w:val="00831461"/>
    <w:rsid w:val="008314C1"/>
    <w:rsid w:val="0083159E"/>
    <w:rsid w:val="008315A1"/>
    <w:rsid w:val="008315AC"/>
    <w:rsid w:val="008315B0"/>
    <w:rsid w:val="00831600"/>
    <w:rsid w:val="00831648"/>
    <w:rsid w:val="00831692"/>
    <w:rsid w:val="0083169F"/>
    <w:rsid w:val="008316AF"/>
    <w:rsid w:val="008316C4"/>
    <w:rsid w:val="00831752"/>
    <w:rsid w:val="0083175B"/>
    <w:rsid w:val="00831763"/>
    <w:rsid w:val="008317B8"/>
    <w:rsid w:val="008317D4"/>
    <w:rsid w:val="00831805"/>
    <w:rsid w:val="008318AA"/>
    <w:rsid w:val="008318E1"/>
    <w:rsid w:val="00831969"/>
    <w:rsid w:val="008319C7"/>
    <w:rsid w:val="008319DF"/>
    <w:rsid w:val="00831ABA"/>
    <w:rsid w:val="00831AE7"/>
    <w:rsid w:val="00831AFE"/>
    <w:rsid w:val="00831CEC"/>
    <w:rsid w:val="00831D0D"/>
    <w:rsid w:val="00831D77"/>
    <w:rsid w:val="00831D96"/>
    <w:rsid w:val="00831DA9"/>
    <w:rsid w:val="00831DE7"/>
    <w:rsid w:val="00831E4A"/>
    <w:rsid w:val="00831E4B"/>
    <w:rsid w:val="00831EB6"/>
    <w:rsid w:val="00831EC6"/>
    <w:rsid w:val="00831EDB"/>
    <w:rsid w:val="00831EE5"/>
    <w:rsid w:val="00831F57"/>
    <w:rsid w:val="00831F93"/>
    <w:rsid w:val="00831FE3"/>
    <w:rsid w:val="00832003"/>
    <w:rsid w:val="00832012"/>
    <w:rsid w:val="00832013"/>
    <w:rsid w:val="0083201A"/>
    <w:rsid w:val="0083203A"/>
    <w:rsid w:val="0083204B"/>
    <w:rsid w:val="0083207D"/>
    <w:rsid w:val="0083209C"/>
    <w:rsid w:val="008320D2"/>
    <w:rsid w:val="0083212A"/>
    <w:rsid w:val="0083220F"/>
    <w:rsid w:val="00832339"/>
    <w:rsid w:val="00832392"/>
    <w:rsid w:val="0083242C"/>
    <w:rsid w:val="008324E4"/>
    <w:rsid w:val="00832544"/>
    <w:rsid w:val="00832547"/>
    <w:rsid w:val="00832625"/>
    <w:rsid w:val="00832674"/>
    <w:rsid w:val="00832689"/>
    <w:rsid w:val="008327D0"/>
    <w:rsid w:val="00832802"/>
    <w:rsid w:val="00832851"/>
    <w:rsid w:val="00832862"/>
    <w:rsid w:val="00832891"/>
    <w:rsid w:val="008328D0"/>
    <w:rsid w:val="008328F6"/>
    <w:rsid w:val="00832929"/>
    <w:rsid w:val="0083294E"/>
    <w:rsid w:val="0083295C"/>
    <w:rsid w:val="00832A0B"/>
    <w:rsid w:val="00832A40"/>
    <w:rsid w:val="00832A4A"/>
    <w:rsid w:val="00832A9D"/>
    <w:rsid w:val="00832AB6"/>
    <w:rsid w:val="00832AD5"/>
    <w:rsid w:val="00832B59"/>
    <w:rsid w:val="00832CA2"/>
    <w:rsid w:val="00832DBD"/>
    <w:rsid w:val="00832E7D"/>
    <w:rsid w:val="00832F04"/>
    <w:rsid w:val="00832F11"/>
    <w:rsid w:val="00832F7D"/>
    <w:rsid w:val="00832FE7"/>
    <w:rsid w:val="00833017"/>
    <w:rsid w:val="0083301C"/>
    <w:rsid w:val="00833046"/>
    <w:rsid w:val="0083304E"/>
    <w:rsid w:val="008330D8"/>
    <w:rsid w:val="0083313F"/>
    <w:rsid w:val="00833191"/>
    <w:rsid w:val="00833274"/>
    <w:rsid w:val="0083327A"/>
    <w:rsid w:val="008332C4"/>
    <w:rsid w:val="008332D4"/>
    <w:rsid w:val="008332D6"/>
    <w:rsid w:val="008332FA"/>
    <w:rsid w:val="00833305"/>
    <w:rsid w:val="0083335A"/>
    <w:rsid w:val="0083339F"/>
    <w:rsid w:val="008333DD"/>
    <w:rsid w:val="008333EB"/>
    <w:rsid w:val="008333F1"/>
    <w:rsid w:val="008333FA"/>
    <w:rsid w:val="00833443"/>
    <w:rsid w:val="008334B3"/>
    <w:rsid w:val="008334CB"/>
    <w:rsid w:val="00833504"/>
    <w:rsid w:val="008335B7"/>
    <w:rsid w:val="0083360F"/>
    <w:rsid w:val="00833632"/>
    <w:rsid w:val="0083364A"/>
    <w:rsid w:val="008336A7"/>
    <w:rsid w:val="008337FA"/>
    <w:rsid w:val="00833824"/>
    <w:rsid w:val="00833844"/>
    <w:rsid w:val="00833889"/>
    <w:rsid w:val="0083389C"/>
    <w:rsid w:val="008338AE"/>
    <w:rsid w:val="0083392C"/>
    <w:rsid w:val="00833995"/>
    <w:rsid w:val="008339D9"/>
    <w:rsid w:val="00833A04"/>
    <w:rsid w:val="00833A3A"/>
    <w:rsid w:val="00833B83"/>
    <w:rsid w:val="00833B8E"/>
    <w:rsid w:val="00833BBD"/>
    <w:rsid w:val="00833C27"/>
    <w:rsid w:val="00833C4F"/>
    <w:rsid w:val="00833C9D"/>
    <w:rsid w:val="00833CA9"/>
    <w:rsid w:val="00833CCF"/>
    <w:rsid w:val="00833CE6"/>
    <w:rsid w:val="00833D82"/>
    <w:rsid w:val="00833DB1"/>
    <w:rsid w:val="00833DF8"/>
    <w:rsid w:val="00833E12"/>
    <w:rsid w:val="00833EFD"/>
    <w:rsid w:val="00833F13"/>
    <w:rsid w:val="00833F40"/>
    <w:rsid w:val="00833F9A"/>
    <w:rsid w:val="00833FDE"/>
    <w:rsid w:val="0083404C"/>
    <w:rsid w:val="0083406B"/>
    <w:rsid w:val="00834077"/>
    <w:rsid w:val="008340CA"/>
    <w:rsid w:val="0083412F"/>
    <w:rsid w:val="0083421D"/>
    <w:rsid w:val="00834243"/>
    <w:rsid w:val="00834272"/>
    <w:rsid w:val="008342DD"/>
    <w:rsid w:val="0083432F"/>
    <w:rsid w:val="0083433C"/>
    <w:rsid w:val="00834368"/>
    <w:rsid w:val="008343D6"/>
    <w:rsid w:val="008343E9"/>
    <w:rsid w:val="00834431"/>
    <w:rsid w:val="00834439"/>
    <w:rsid w:val="00834483"/>
    <w:rsid w:val="00834509"/>
    <w:rsid w:val="00834521"/>
    <w:rsid w:val="00834526"/>
    <w:rsid w:val="00834570"/>
    <w:rsid w:val="00834575"/>
    <w:rsid w:val="00834587"/>
    <w:rsid w:val="008345C3"/>
    <w:rsid w:val="008345F4"/>
    <w:rsid w:val="0083464E"/>
    <w:rsid w:val="00834688"/>
    <w:rsid w:val="008346A1"/>
    <w:rsid w:val="008346C3"/>
    <w:rsid w:val="008346F5"/>
    <w:rsid w:val="00834758"/>
    <w:rsid w:val="008347D0"/>
    <w:rsid w:val="00834817"/>
    <w:rsid w:val="00834823"/>
    <w:rsid w:val="0083487B"/>
    <w:rsid w:val="008348B3"/>
    <w:rsid w:val="00834902"/>
    <w:rsid w:val="0083498F"/>
    <w:rsid w:val="00834A63"/>
    <w:rsid w:val="00834A6C"/>
    <w:rsid w:val="00834B46"/>
    <w:rsid w:val="00834BCA"/>
    <w:rsid w:val="00834BE8"/>
    <w:rsid w:val="00834C38"/>
    <w:rsid w:val="00834C7E"/>
    <w:rsid w:val="00834D2E"/>
    <w:rsid w:val="00834DB4"/>
    <w:rsid w:val="00834DE6"/>
    <w:rsid w:val="00834E22"/>
    <w:rsid w:val="00834E83"/>
    <w:rsid w:val="00834E8B"/>
    <w:rsid w:val="00834F02"/>
    <w:rsid w:val="00834F07"/>
    <w:rsid w:val="00834F0D"/>
    <w:rsid w:val="00834F35"/>
    <w:rsid w:val="00834FB1"/>
    <w:rsid w:val="00834FCE"/>
    <w:rsid w:val="00835012"/>
    <w:rsid w:val="008350B6"/>
    <w:rsid w:val="008350C2"/>
    <w:rsid w:val="008350DF"/>
    <w:rsid w:val="008351C5"/>
    <w:rsid w:val="008351D6"/>
    <w:rsid w:val="00835211"/>
    <w:rsid w:val="0083522D"/>
    <w:rsid w:val="00835245"/>
    <w:rsid w:val="0083529E"/>
    <w:rsid w:val="00835377"/>
    <w:rsid w:val="008353C3"/>
    <w:rsid w:val="0083548B"/>
    <w:rsid w:val="00835505"/>
    <w:rsid w:val="00835557"/>
    <w:rsid w:val="0083556F"/>
    <w:rsid w:val="00835614"/>
    <w:rsid w:val="008356F8"/>
    <w:rsid w:val="00835759"/>
    <w:rsid w:val="00835796"/>
    <w:rsid w:val="00835803"/>
    <w:rsid w:val="00835838"/>
    <w:rsid w:val="0083587D"/>
    <w:rsid w:val="008358E0"/>
    <w:rsid w:val="00835926"/>
    <w:rsid w:val="00835A14"/>
    <w:rsid w:val="00835A61"/>
    <w:rsid w:val="00835A8F"/>
    <w:rsid w:val="00835AC4"/>
    <w:rsid w:val="00835AFB"/>
    <w:rsid w:val="00835B45"/>
    <w:rsid w:val="00835B4E"/>
    <w:rsid w:val="00835B6B"/>
    <w:rsid w:val="00835BD4"/>
    <w:rsid w:val="00835C20"/>
    <w:rsid w:val="00835C27"/>
    <w:rsid w:val="00835C28"/>
    <w:rsid w:val="00835C4C"/>
    <w:rsid w:val="00835C5C"/>
    <w:rsid w:val="00835C78"/>
    <w:rsid w:val="00835CC2"/>
    <w:rsid w:val="00835D84"/>
    <w:rsid w:val="00835E49"/>
    <w:rsid w:val="00835EE6"/>
    <w:rsid w:val="00835F00"/>
    <w:rsid w:val="00835F0B"/>
    <w:rsid w:val="00835F8F"/>
    <w:rsid w:val="00835FAF"/>
    <w:rsid w:val="00836033"/>
    <w:rsid w:val="0083606A"/>
    <w:rsid w:val="008360BE"/>
    <w:rsid w:val="008360FD"/>
    <w:rsid w:val="008361EB"/>
    <w:rsid w:val="008362D2"/>
    <w:rsid w:val="008362DA"/>
    <w:rsid w:val="008363EC"/>
    <w:rsid w:val="008364CC"/>
    <w:rsid w:val="008364FB"/>
    <w:rsid w:val="00836530"/>
    <w:rsid w:val="008365C8"/>
    <w:rsid w:val="00836603"/>
    <w:rsid w:val="00836673"/>
    <w:rsid w:val="00836681"/>
    <w:rsid w:val="008366D3"/>
    <w:rsid w:val="008366DE"/>
    <w:rsid w:val="008366F8"/>
    <w:rsid w:val="0083674B"/>
    <w:rsid w:val="0083679B"/>
    <w:rsid w:val="008367D0"/>
    <w:rsid w:val="0083683C"/>
    <w:rsid w:val="00836867"/>
    <w:rsid w:val="008368D0"/>
    <w:rsid w:val="008368DD"/>
    <w:rsid w:val="008368FE"/>
    <w:rsid w:val="00836900"/>
    <w:rsid w:val="00836A08"/>
    <w:rsid w:val="00836A4B"/>
    <w:rsid w:val="00836A55"/>
    <w:rsid w:val="00836A71"/>
    <w:rsid w:val="00836B59"/>
    <w:rsid w:val="00836B61"/>
    <w:rsid w:val="00836C0D"/>
    <w:rsid w:val="00836C5C"/>
    <w:rsid w:val="00836D5D"/>
    <w:rsid w:val="00836DC8"/>
    <w:rsid w:val="00836DF6"/>
    <w:rsid w:val="00836E80"/>
    <w:rsid w:val="00836E9D"/>
    <w:rsid w:val="00836ED8"/>
    <w:rsid w:val="00837007"/>
    <w:rsid w:val="008370AF"/>
    <w:rsid w:val="008370C8"/>
    <w:rsid w:val="008370F5"/>
    <w:rsid w:val="008370F7"/>
    <w:rsid w:val="00837120"/>
    <w:rsid w:val="00837182"/>
    <w:rsid w:val="008371A4"/>
    <w:rsid w:val="008371AC"/>
    <w:rsid w:val="008371BF"/>
    <w:rsid w:val="008371ED"/>
    <w:rsid w:val="008371F0"/>
    <w:rsid w:val="0083724B"/>
    <w:rsid w:val="0083727C"/>
    <w:rsid w:val="0083730B"/>
    <w:rsid w:val="008373BA"/>
    <w:rsid w:val="0083740A"/>
    <w:rsid w:val="008374A1"/>
    <w:rsid w:val="008374C4"/>
    <w:rsid w:val="008374DE"/>
    <w:rsid w:val="0083755B"/>
    <w:rsid w:val="00837668"/>
    <w:rsid w:val="008376A1"/>
    <w:rsid w:val="0083772A"/>
    <w:rsid w:val="00837768"/>
    <w:rsid w:val="008377FA"/>
    <w:rsid w:val="00837A53"/>
    <w:rsid w:val="00837A7A"/>
    <w:rsid w:val="00837AA3"/>
    <w:rsid w:val="00837C11"/>
    <w:rsid w:val="00837CCE"/>
    <w:rsid w:val="00837CD3"/>
    <w:rsid w:val="00837D12"/>
    <w:rsid w:val="00837E42"/>
    <w:rsid w:val="00837E49"/>
    <w:rsid w:val="00837EAB"/>
    <w:rsid w:val="00837F12"/>
    <w:rsid w:val="00837F36"/>
    <w:rsid w:val="00837F58"/>
    <w:rsid w:val="00837F88"/>
    <w:rsid w:val="00840015"/>
    <w:rsid w:val="0084009F"/>
    <w:rsid w:val="008400E1"/>
    <w:rsid w:val="008400E9"/>
    <w:rsid w:val="00840123"/>
    <w:rsid w:val="00840177"/>
    <w:rsid w:val="00840199"/>
    <w:rsid w:val="008401C7"/>
    <w:rsid w:val="008401F1"/>
    <w:rsid w:val="0084027F"/>
    <w:rsid w:val="008402C2"/>
    <w:rsid w:val="0084031D"/>
    <w:rsid w:val="00840349"/>
    <w:rsid w:val="0084036C"/>
    <w:rsid w:val="008403E6"/>
    <w:rsid w:val="00840400"/>
    <w:rsid w:val="0084043E"/>
    <w:rsid w:val="0084045A"/>
    <w:rsid w:val="0084045E"/>
    <w:rsid w:val="008404A5"/>
    <w:rsid w:val="00840580"/>
    <w:rsid w:val="00840637"/>
    <w:rsid w:val="0084064E"/>
    <w:rsid w:val="0084068A"/>
    <w:rsid w:val="008406A7"/>
    <w:rsid w:val="008407A4"/>
    <w:rsid w:val="00840824"/>
    <w:rsid w:val="00840825"/>
    <w:rsid w:val="00840830"/>
    <w:rsid w:val="008408AD"/>
    <w:rsid w:val="008408C1"/>
    <w:rsid w:val="008408DE"/>
    <w:rsid w:val="008408F2"/>
    <w:rsid w:val="008408FC"/>
    <w:rsid w:val="0084098A"/>
    <w:rsid w:val="008409DA"/>
    <w:rsid w:val="008409FA"/>
    <w:rsid w:val="00840A06"/>
    <w:rsid w:val="00840A66"/>
    <w:rsid w:val="00840AEA"/>
    <w:rsid w:val="00840AFE"/>
    <w:rsid w:val="00840BAA"/>
    <w:rsid w:val="00840C0E"/>
    <w:rsid w:val="00840C18"/>
    <w:rsid w:val="00840C1A"/>
    <w:rsid w:val="00840C39"/>
    <w:rsid w:val="00840C46"/>
    <w:rsid w:val="00840CD0"/>
    <w:rsid w:val="00840D49"/>
    <w:rsid w:val="00840DB4"/>
    <w:rsid w:val="00840DDD"/>
    <w:rsid w:val="00840DDE"/>
    <w:rsid w:val="00840DE2"/>
    <w:rsid w:val="00840E0A"/>
    <w:rsid w:val="00840E16"/>
    <w:rsid w:val="00840E85"/>
    <w:rsid w:val="00840EDA"/>
    <w:rsid w:val="00840F16"/>
    <w:rsid w:val="00840FB1"/>
    <w:rsid w:val="00840FBD"/>
    <w:rsid w:val="0084100C"/>
    <w:rsid w:val="0084101F"/>
    <w:rsid w:val="00841025"/>
    <w:rsid w:val="0084105A"/>
    <w:rsid w:val="00841115"/>
    <w:rsid w:val="008411CD"/>
    <w:rsid w:val="008412DB"/>
    <w:rsid w:val="0084136D"/>
    <w:rsid w:val="008413A0"/>
    <w:rsid w:val="00841498"/>
    <w:rsid w:val="008414AF"/>
    <w:rsid w:val="008414D5"/>
    <w:rsid w:val="008414F5"/>
    <w:rsid w:val="00841628"/>
    <w:rsid w:val="0084164C"/>
    <w:rsid w:val="008416AF"/>
    <w:rsid w:val="008416B2"/>
    <w:rsid w:val="008416BC"/>
    <w:rsid w:val="008416C8"/>
    <w:rsid w:val="008416F5"/>
    <w:rsid w:val="0084176F"/>
    <w:rsid w:val="008417D1"/>
    <w:rsid w:val="00841823"/>
    <w:rsid w:val="008419FA"/>
    <w:rsid w:val="00841A5D"/>
    <w:rsid w:val="00841A7F"/>
    <w:rsid w:val="00841A86"/>
    <w:rsid w:val="00841AAC"/>
    <w:rsid w:val="00841B67"/>
    <w:rsid w:val="00841C71"/>
    <w:rsid w:val="00841CCF"/>
    <w:rsid w:val="00841DA4"/>
    <w:rsid w:val="00841E83"/>
    <w:rsid w:val="00841E85"/>
    <w:rsid w:val="00841E8D"/>
    <w:rsid w:val="00841ED7"/>
    <w:rsid w:val="00841EE8"/>
    <w:rsid w:val="00841EFF"/>
    <w:rsid w:val="00841F04"/>
    <w:rsid w:val="00841F08"/>
    <w:rsid w:val="00841FC9"/>
    <w:rsid w:val="00841FEA"/>
    <w:rsid w:val="0084201C"/>
    <w:rsid w:val="00842029"/>
    <w:rsid w:val="0084202A"/>
    <w:rsid w:val="00842033"/>
    <w:rsid w:val="0084209B"/>
    <w:rsid w:val="008420B3"/>
    <w:rsid w:val="0084215F"/>
    <w:rsid w:val="0084216D"/>
    <w:rsid w:val="00842189"/>
    <w:rsid w:val="0084222C"/>
    <w:rsid w:val="0084223C"/>
    <w:rsid w:val="008422FA"/>
    <w:rsid w:val="00842341"/>
    <w:rsid w:val="00842356"/>
    <w:rsid w:val="00842357"/>
    <w:rsid w:val="008423FC"/>
    <w:rsid w:val="008423FE"/>
    <w:rsid w:val="00842436"/>
    <w:rsid w:val="0084258D"/>
    <w:rsid w:val="0084259E"/>
    <w:rsid w:val="00842614"/>
    <w:rsid w:val="008427DE"/>
    <w:rsid w:val="00842826"/>
    <w:rsid w:val="0084283C"/>
    <w:rsid w:val="0084283E"/>
    <w:rsid w:val="0084289F"/>
    <w:rsid w:val="00842940"/>
    <w:rsid w:val="00842945"/>
    <w:rsid w:val="00842A3F"/>
    <w:rsid w:val="00842A5F"/>
    <w:rsid w:val="00842A61"/>
    <w:rsid w:val="00842B52"/>
    <w:rsid w:val="00842B86"/>
    <w:rsid w:val="00842C78"/>
    <w:rsid w:val="00842D02"/>
    <w:rsid w:val="00842D5C"/>
    <w:rsid w:val="00842DA6"/>
    <w:rsid w:val="00842DE5"/>
    <w:rsid w:val="00842E72"/>
    <w:rsid w:val="00842EC4"/>
    <w:rsid w:val="00842EF0"/>
    <w:rsid w:val="00842F00"/>
    <w:rsid w:val="00842F38"/>
    <w:rsid w:val="00842F58"/>
    <w:rsid w:val="00842FA6"/>
    <w:rsid w:val="0084308D"/>
    <w:rsid w:val="00843106"/>
    <w:rsid w:val="00843111"/>
    <w:rsid w:val="00843116"/>
    <w:rsid w:val="008431C0"/>
    <w:rsid w:val="008431D0"/>
    <w:rsid w:val="00843216"/>
    <w:rsid w:val="0084327E"/>
    <w:rsid w:val="008432A4"/>
    <w:rsid w:val="0084331F"/>
    <w:rsid w:val="00843323"/>
    <w:rsid w:val="0084333D"/>
    <w:rsid w:val="00843352"/>
    <w:rsid w:val="0084335C"/>
    <w:rsid w:val="008433E5"/>
    <w:rsid w:val="0084341A"/>
    <w:rsid w:val="00843439"/>
    <w:rsid w:val="0084346E"/>
    <w:rsid w:val="008434D7"/>
    <w:rsid w:val="008434DF"/>
    <w:rsid w:val="0084353F"/>
    <w:rsid w:val="0084354A"/>
    <w:rsid w:val="008436A3"/>
    <w:rsid w:val="0084373F"/>
    <w:rsid w:val="00843753"/>
    <w:rsid w:val="0084376A"/>
    <w:rsid w:val="0084377E"/>
    <w:rsid w:val="00843839"/>
    <w:rsid w:val="008438BA"/>
    <w:rsid w:val="008438E8"/>
    <w:rsid w:val="0084391A"/>
    <w:rsid w:val="0084399D"/>
    <w:rsid w:val="00843A7C"/>
    <w:rsid w:val="00843AC8"/>
    <w:rsid w:val="00843B4B"/>
    <w:rsid w:val="00843B64"/>
    <w:rsid w:val="00843BE9"/>
    <w:rsid w:val="00843C15"/>
    <w:rsid w:val="00843C53"/>
    <w:rsid w:val="00843D0F"/>
    <w:rsid w:val="00843D30"/>
    <w:rsid w:val="00843D81"/>
    <w:rsid w:val="00843DA2"/>
    <w:rsid w:val="00843E26"/>
    <w:rsid w:val="00843E28"/>
    <w:rsid w:val="00843E73"/>
    <w:rsid w:val="00843F30"/>
    <w:rsid w:val="00843F38"/>
    <w:rsid w:val="00843F39"/>
    <w:rsid w:val="00843F63"/>
    <w:rsid w:val="00843F87"/>
    <w:rsid w:val="00843FB9"/>
    <w:rsid w:val="00843FC7"/>
    <w:rsid w:val="008440A2"/>
    <w:rsid w:val="008440E4"/>
    <w:rsid w:val="008441C7"/>
    <w:rsid w:val="00844207"/>
    <w:rsid w:val="00844254"/>
    <w:rsid w:val="00844348"/>
    <w:rsid w:val="0084437E"/>
    <w:rsid w:val="008443A4"/>
    <w:rsid w:val="008443F6"/>
    <w:rsid w:val="0084447B"/>
    <w:rsid w:val="0084467D"/>
    <w:rsid w:val="008446D1"/>
    <w:rsid w:val="008446ED"/>
    <w:rsid w:val="00844747"/>
    <w:rsid w:val="0084475D"/>
    <w:rsid w:val="0084477E"/>
    <w:rsid w:val="0084487C"/>
    <w:rsid w:val="0084489E"/>
    <w:rsid w:val="008448A3"/>
    <w:rsid w:val="008448B8"/>
    <w:rsid w:val="008448BE"/>
    <w:rsid w:val="008448EB"/>
    <w:rsid w:val="0084491E"/>
    <w:rsid w:val="0084496B"/>
    <w:rsid w:val="0084497E"/>
    <w:rsid w:val="00844A14"/>
    <w:rsid w:val="00844A95"/>
    <w:rsid w:val="00844AF4"/>
    <w:rsid w:val="00844B50"/>
    <w:rsid w:val="00844BD2"/>
    <w:rsid w:val="00844BDE"/>
    <w:rsid w:val="00844C97"/>
    <w:rsid w:val="00844CCB"/>
    <w:rsid w:val="00844CD3"/>
    <w:rsid w:val="00844CF2"/>
    <w:rsid w:val="00844CFC"/>
    <w:rsid w:val="00844D64"/>
    <w:rsid w:val="00844DBD"/>
    <w:rsid w:val="00844E14"/>
    <w:rsid w:val="00844E2E"/>
    <w:rsid w:val="00844E68"/>
    <w:rsid w:val="00844ED0"/>
    <w:rsid w:val="00844EED"/>
    <w:rsid w:val="00845029"/>
    <w:rsid w:val="00845089"/>
    <w:rsid w:val="008450A8"/>
    <w:rsid w:val="0084517E"/>
    <w:rsid w:val="008451EF"/>
    <w:rsid w:val="00845223"/>
    <w:rsid w:val="00845238"/>
    <w:rsid w:val="00845247"/>
    <w:rsid w:val="00845256"/>
    <w:rsid w:val="00845352"/>
    <w:rsid w:val="00845367"/>
    <w:rsid w:val="00845373"/>
    <w:rsid w:val="008453E3"/>
    <w:rsid w:val="008453F9"/>
    <w:rsid w:val="008453FE"/>
    <w:rsid w:val="00845465"/>
    <w:rsid w:val="0084547C"/>
    <w:rsid w:val="00845482"/>
    <w:rsid w:val="0084557C"/>
    <w:rsid w:val="0084559F"/>
    <w:rsid w:val="00845605"/>
    <w:rsid w:val="0084560D"/>
    <w:rsid w:val="00845629"/>
    <w:rsid w:val="00845701"/>
    <w:rsid w:val="00845714"/>
    <w:rsid w:val="0084575E"/>
    <w:rsid w:val="008457BF"/>
    <w:rsid w:val="00845902"/>
    <w:rsid w:val="00845958"/>
    <w:rsid w:val="00845968"/>
    <w:rsid w:val="008459FA"/>
    <w:rsid w:val="00845A25"/>
    <w:rsid w:val="00845A35"/>
    <w:rsid w:val="00845A7D"/>
    <w:rsid w:val="00845A97"/>
    <w:rsid w:val="00845AA1"/>
    <w:rsid w:val="00845AC9"/>
    <w:rsid w:val="00845B2F"/>
    <w:rsid w:val="00845BBF"/>
    <w:rsid w:val="00845C32"/>
    <w:rsid w:val="00845C46"/>
    <w:rsid w:val="00845CEC"/>
    <w:rsid w:val="00845D26"/>
    <w:rsid w:val="00845D65"/>
    <w:rsid w:val="00845D72"/>
    <w:rsid w:val="00845E77"/>
    <w:rsid w:val="00845EE0"/>
    <w:rsid w:val="00845EF2"/>
    <w:rsid w:val="00845EF9"/>
    <w:rsid w:val="00845F38"/>
    <w:rsid w:val="00845F96"/>
    <w:rsid w:val="00845FCF"/>
    <w:rsid w:val="00846042"/>
    <w:rsid w:val="00846085"/>
    <w:rsid w:val="008460F7"/>
    <w:rsid w:val="00846287"/>
    <w:rsid w:val="008462FE"/>
    <w:rsid w:val="00846357"/>
    <w:rsid w:val="00846367"/>
    <w:rsid w:val="0084637C"/>
    <w:rsid w:val="00846384"/>
    <w:rsid w:val="0084639D"/>
    <w:rsid w:val="008463AA"/>
    <w:rsid w:val="008463B8"/>
    <w:rsid w:val="008463D5"/>
    <w:rsid w:val="00846415"/>
    <w:rsid w:val="00846439"/>
    <w:rsid w:val="00846448"/>
    <w:rsid w:val="00846491"/>
    <w:rsid w:val="008464A1"/>
    <w:rsid w:val="008464E1"/>
    <w:rsid w:val="00846561"/>
    <w:rsid w:val="00846595"/>
    <w:rsid w:val="008465EB"/>
    <w:rsid w:val="0084662C"/>
    <w:rsid w:val="0084663A"/>
    <w:rsid w:val="00846679"/>
    <w:rsid w:val="008466AB"/>
    <w:rsid w:val="008466C7"/>
    <w:rsid w:val="008466CC"/>
    <w:rsid w:val="0084674D"/>
    <w:rsid w:val="00846768"/>
    <w:rsid w:val="00846816"/>
    <w:rsid w:val="00846821"/>
    <w:rsid w:val="00846896"/>
    <w:rsid w:val="0084690C"/>
    <w:rsid w:val="00846911"/>
    <w:rsid w:val="008469AC"/>
    <w:rsid w:val="008469CD"/>
    <w:rsid w:val="00846AC6"/>
    <w:rsid w:val="00846AE0"/>
    <w:rsid w:val="00846B11"/>
    <w:rsid w:val="00846CF5"/>
    <w:rsid w:val="00846DF8"/>
    <w:rsid w:val="00846E40"/>
    <w:rsid w:val="00846E76"/>
    <w:rsid w:val="00846EA7"/>
    <w:rsid w:val="00846EBB"/>
    <w:rsid w:val="00846F4D"/>
    <w:rsid w:val="00846F9A"/>
    <w:rsid w:val="0084709F"/>
    <w:rsid w:val="008470AB"/>
    <w:rsid w:val="008470FC"/>
    <w:rsid w:val="0084711F"/>
    <w:rsid w:val="00847146"/>
    <w:rsid w:val="008471A3"/>
    <w:rsid w:val="008471FB"/>
    <w:rsid w:val="00847205"/>
    <w:rsid w:val="00847247"/>
    <w:rsid w:val="00847250"/>
    <w:rsid w:val="008472CB"/>
    <w:rsid w:val="008472EB"/>
    <w:rsid w:val="00847352"/>
    <w:rsid w:val="0084739A"/>
    <w:rsid w:val="00847461"/>
    <w:rsid w:val="00847464"/>
    <w:rsid w:val="00847477"/>
    <w:rsid w:val="0084751F"/>
    <w:rsid w:val="00847599"/>
    <w:rsid w:val="008475D8"/>
    <w:rsid w:val="00847620"/>
    <w:rsid w:val="00847630"/>
    <w:rsid w:val="0084767A"/>
    <w:rsid w:val="0084768C"/>
    <w:rsid w:val="008476B2"/>
    <w:rsid w:val="008476B3"/>
    <w:rsid w:val="008476BA"/>
    <w:rsid w:val="008476E6"/>
    <w:rsid w:val="008477D1"/>
    <w:rsid w:val="00847851"/>
    <w:rsid w:val="0084796E"/>
    <w:rsid w:val="00847A25"/>
    <w:rsid w:val="00847A45"/>
    <w:rsid w:val="00847A9D"/>
    <w:rsid w:val="00847AFC"/>
    <w:rsid w:val="00847B00"/>
    <w:rsid w:val="00847B7F"/>
    <w:rsid w:val="00847B81"/>
    <w:rsid w:val="00847BE9"/>
    <w:rsid w:val="00847C28"/>
    <w:rsid w:val="00847C3E"/>
    <w:rsid w:val="00847C43"/>
    <w:rsid w:val="00847C86"/>
    <w:rsid w:val="00847C9C"/>
    <w:rsid w:val="00847CA7"/>
    <w:rsid w:val="00847CC5"/>
    <w:rsid w:val="00847D80"/>
    <w:rsid w:val="00847DF7"/>
    <w:rsid w:val="00847E57"/>
    <w:rsid w:val="00847E96"/>
    <w:rsid w:val="00847F27"/>
    <w:rsid w:val="00847F46"/>
    <w:rsid w:val="00847F60"/>
    <w:rsid w:val="00847F8E"/>
    <w:rsid w:val="00847FCF"/>
    <w:rsid w:val="00850051"/>
    <w:rsid w:val="008500F9"/>
    <w:rsid w:val="00850103"/>
    <w:rsid w:val="008501C7"/>
    <w:rsid w:val="00850213"/>
    <w:rsid w:val="008502C8"/>
    <w:rsid w:val="008502DE"/>
    <w:rsid w:val="008502F9"/>
    <w:rsid w:val="00850303"/>
    <w:rsid w:val="00850336"/>
    <w:rsid w:val="00850363"/>
    <w:rsid w:val="0085043F"/>
    <w:rsid w:val="0085048C"/>
    <w:rsid w:val="008504B1"/>
    <w:rsid w:val="0085050D"/>
    <w:rsid w:val="00850535"/>
    <w:rsid w:val="00850537"/>
    <w:rsid w:val="0085056A"/>
    <w:rsid w:val="0085058B"/>
    <w:rsid w:val="00850602"/>
    <w:rsid w:val="0085064B"/>
    <w:rsid w:val="0085068D"/>
    <w:rsid w:val="00850710"/>
    <w:rsid w:val="0085071B"/>
    <w:rsid w:val="008507B0"/>
    <w:rsid w:val="008507D1"/>
    <w:rsid w:val="00850814"/>
    <w:rsid w:val="00850831"/>
    <w:rsid w:val="008508B3"/>
    <w:rsid w:val="008508C2"/>
    <w:rsid w:val="008508C6"/>
    <w:rsid w:val="00850935"/>
    <w:rsid w:val="0085094D"/>
    <w:rsid w:val="00850958"/>
    <w:rsid w:val="00850A09"/>
    <w:rsid w:val="00850A70"/>
    <w:rsid w:val="00850AD7"/>
    <w:rsid w:val="00850B42"/>
    <w:rsid w:val="00850BBB"/>
    <w:rsid w:val="00850C11"/>
    <w:rsid w:val="00850C33"/>
    <w:rsid w:val="00850D35"/>
    <w:rsid w:val="00850DF5"/>
    <w:rsid w:val="00850DFD"/>
    <w:rsid w:val="00850E39"/>
    <w:rsid w:val="00850EDE"/>
    <w:rsid w:val="00850EF8"/>
    <w:rsid w:val="00850F39"/>
    <w:rsid w:val="00850F44"/>
    <w:rsid w:val="00850F57"/>
    <w:rsid w:val="00850F9C"/>
    <w:rsid w:val="008510A8"/>
    <w:rsid w:val="008510C5"/>
    <w:rsid w:val="008510EC"/>
    <w:rsid w:val="00851105"/>
    <w:rsid w:val="00851144"/>
    <w:rsid w:val="00851148"/>
    <w:rsid w:val="008511A7"/>
    <w:rsid w:val="008511B6"/>
    <w:rsid w:val="00851269"/>
    <w:rsid w:val="0085126B"/>
    <w:rsid w:val="00851343"/>
    <w:rsid w:val="008513EF"/>
    <w:rsid w:val="0085140F"/>
    <w:rsid w:val="00851492"/>
    <w:rsid w:val="008515C0"/>
    <w:rsid w:val="008515CF"/>
    <w:rsid w:val="00851634"/>
    <w:rsid w:val="008517D9"/>
    <w:rsid w:val="00851805"/>
    <w:rsid w:val="0085184D"/>
    <w:rsid w:val="008518F1"/>
    <w:rsid w:val="0085190C"/>
    <w:rsid w:val="00851927"/>
    <w:rsid w:val="0085192E"/>
    <w:rsid w:val="0085194F"/>
    <w:rsid w:val="008519AD"/>
    <w:rsid w:val="008519DC"/>
    <w:rsid w:val="008519F9"/>
    <w:rsid w:val="00851A2F"/>
    <w:rsid w:val="00851A4F"/>
    <w:rsid w:val="00851A55"/>
    <w:rsid w:val="00851AF1"/>
    <w:rsid w:val="00851B16"/>
    <w:rsid w:val="00851B68"/>
    <w:rsid w:val="00851C7A"/>
    <w:rsid w:val="00851CC0"/>
    <w:rsid w:val="00851CC5"/>
    <w:rsid w:val="00851D17"/>
    <w:rsid w:val="00851DC4"/>
    <w:rsid w:val="00851E17"/>
    <w:rsid w:val="00851EDC"/>
    <w:rsid w:val="00851F0A"/>
    <w:rsid w:val="00851F26"/>
    <w:rsid w:val="00852049"/>
    <w:rsid w:val="008520C0"/>
    <w:rsid w:val="008520D6"/>
    <w:rsid w:val="0085213A"/>
    <w:rsid w:val="008521CE"/>
    <w:rsid w:val="008521E2"/>
    <w:rsid w:val="008521E4"/>
    <w:rsid w:val="00852219"/>
    <w:rsid w:val="00852271"/>
    <w:rsid w:val="00852309"/>
    <w:rsid w:val="00852367"/>
    <w:rsid w:val="00852382"/>
    <w:rsid w:val="008523BF"/>
    <w:rsid w:val="008523CC"/>
    <w:rsid w:val="008524F5"/>
    <w:rsid w:val="008525A7"/>
    <w:rsid w:val="008525C2"/>
    <w:rsid w:val="008525ED"/>
    <w:rsid w:val="0085265F"/>
    <w:rsid w:val="0085266A"/>
    <w:rsid w:val="008526B9"/>
    <w:rsid w:val="008526F4"/>
    <w:rsid w:val="00852755"/>
    <w:rsid w:val="008527DF"/>
    <w:rsid w:val="008527E4"/>
    <w:rsid w:val="00852807"/>
    <w:rsid w:val="00852859"/>
    <w:rsid w:val="008528BB"/>
    <w:rsid w:val="00852909"/>
    <w:rsid w:val="00852928"/>
    <w:rsid w:val="00852956"/>
    <w:rsid w:val="008529A9"/>
    <w:rsid w:val="00852A08"/>
    <w:rsid w:val="00852A52"/>
    <w:rsid w:val="00852A6C"/>
    <w:rsid w:val="00852AA0"/>
    <w:rsid w:val="00852B08"/>
    <w:rsid w:val="00852B38"/>
    <w:rsid w:val="00852B5C"/>
    <w:rsid w:val="00852C0D"/>
    <w:rsid w:val="00852C71"/>
    <w:rsid w:val="00852C75"/>
    <w:rsid w:val="00852C98"/>
    <w:rsid w:val="00852C9F"/>
    <w:rsid w:val="00852CCE"/>
    <w:rsid w:val="00852CD9"/>
    <w:rsid w:val="00852CF0"/>
    <w:rsid w:val="00852D50"/>
    <w:rsid w:val="00852D91"/>
    <w:rsid w:val="00852E38"/>
    <w:rsid w:val="00852E65"/>
    <w:rsid w:val="00852EC3"/>
    <w:rsid w:val="00852F1A"/>
    <w:rsid w:val="00852FA0"/>
    <w:rsid w:val="00852FBE"/>
    <w:rsid w:val="0085303D"/>
    <w:rsid w:val="00853082"/>
    <w:rsid w:val="0085309D"/>
    <w:rsid w:val="008530B2"/>
    <w:rsid w:val="008530F3"/>
    <w:rsid w:val="00853139"/>
    <w:rsid w:val="0085315E"/>
    <w:rsid w:val="0085316A"/>
    <w:rsid w:val="008531AA"/>
    <w:rsid w:val="00853206"/>
    <w:rsid w:val="00853266"/>
    <w:rsid w:val="008532A8"/>
    <w:rsid w:val="00853380"/>
    <w:rsid w:val="0085338D"/>
    <w:rsid w:val="008533FD"/>
    <w:rsid w:val="008534A2"/>
    <w:rsid w:val="008534B1"/>
    <w:rsid w:val="008534C2"/>
    <w:rsid w:val="008534CD"/>
    <w:rsid w:val="00853598"/>
    <w:rsid w:val="0085359C"/>
    <w:rsid w:val="008535F8"/>
    <w:rsid w:val="00853609"/>
    <w:rsid w:val="00853634"/>
    <w:rsid w:val="00853665"/>
    <w:rsid w:val="008536D7"/>
    <w:rsid w:val="008536EC"/>
    <w:rsid w:val="0085374C"/>
    <w:rsid w:val="008537D2"/>
    <w:rsid w:val="00853918"/>
    <w:rsid w:val="00853945"/>
    <w:rsid w:val="00853A55"/>
    <w:rsid w:val="00853A76"/>
    <w:rsid w:val="00853AB8"/>
    <w:rsid w:val="00853AC9"/>
    <w:rsid w:val="00853AD1"/>
    <w:rsid w:val="00853B53"/>
    <w:rsid w:val="00853BA0"/>
    <w:rsid w:val="00853D40"/>
    <w:rsid w:val="00853DC1"/>
    <w:rsid w:val="00853E16"/>
    <w:rsid w:val="00853E63"/>
    <w:rsid w:val="00853F29"/>
    <w:rsid w:val="00853FA3"/>
    <w:rsid w:val="00853FA4"/>
    <w:rsid w:val="00853FC6"/>
    <w:rsid w:val="00853FCC"/>
    <w:rsid w:val="00853FE7"/>
    <w:rsid w:val="00854048"/>
    <w:rsid w:val="0085404E"/>
    <w:rsid w:val="00854061"/>
    <w:rsid w:val="008541DC"/>
    <w:rsid w:val="008541E7"/>
    <w:rsid w:val="0085424E"/>
    <w:rsid w:val="0085425C"/>
    <w:rsid w:val="008542BE"/>
    <w:rsid w:val="008542DA"/>
    <w:rsid w:val="008542F7"/>
    <w:rsid w:val="008543B8"/>
    <w:rsid w:val="008544D2"/>
    <w:rsid w:val="00854600"/>
    <w:rsid w:val="0085464F"/>
    <w:rsid w:val="00854656"/>
    <w:rsid w:val="00854693"/>
    <w:rsid w:val="008547E5"/>
    <w:rsid w:val="008548AE"/>
    <w:rsid w:val="008548C9"/>
    <w:rsid w:val="008548F2"/>
    <w:rsid w:val="00854967"/>
    <w:rsid w:val="00854A3D"/>
    <w:rsid w:val="00854A6A"/>
    <w:rsid w:val="00854AA2"/>
    <w:rsid w:val="00854ABA"/>
    <w:rsid w:val="00854AFE"/>
    <w:rsid w:val="00854B58"/>
    <w:rsid w:val="00854BD5"/>
    <w:rsid w:val="00854C7D"/>
    <w:rsid w:val="00854C89"/>
    <w:rsid w:val="00854C9A"/>
    <w:rsid w:val="00854D4C"/>
    <w:rsid w:val="00854D53"/>
    <w:rsid w:val="00854D87"/>
    <w:rsid w:val="00854DDE"/>
    <w:rsid w:val="00854E0C"/>
    <w:rsid w:val="00854E5C"/>
    <w:rsid w:val="00854EB3"/>
    <w:rsid w:val="00854EF0"/>
    <w:rsid w:val="00854F57"/>
    <w:rsid w:val="00854FF2"/>
    <w:rsid w:val="00854FF8"/>
    <w:rsid w:val="008550C3"/>
    <w:rsid w:val="00855141"/>
    <w:rsid w:val="00855199"/>
    <w:rsid w:val="008551B8"/>
    <w:rsid w:val="0085523B"/>
    <w:rsid w:val="008552C6"/>
    <w:rsid w:val="0085533F"/>
    <w:rsid w:val="00855348"/>
    <w:rsid w:val="008553B6"/>
    <w:rsid w:val="0085542B"/>
    <w:rsid w:val="00855490"/>
    <w:rsid w:val="0085549D"/>
    <w:rsid w:val="008554E3"/>
    <w:rsid w:val="0085562F"/>
    <w:rsid w:val="00855668"/>
    <w:rsid w:val="008558EB"/>
    <w:rsid w:val="008558EF"/>
    <w:rsid w:val="0085590C"/>
    <w:rsid w:val="0085591E"/>
    <w:rsid w:val="008559B3"/>
    <w:rsid w:val="00855AC7"/>
    <w:rsid w:val="00855B01"/>
    <w:rsid w:val="00855B21"/>
    <w:rsid w:val="00855B35"/>
    <w:rsid w:val="00855B62"/>
    <w:rsid w:val="00855BA1"/>
    <w:rsid w:val="00855C04"/>
    <w:rsid w:val="00855C0C"/>
    <w:rsid w:val="00855C22"/>
    <w:rsid w:val="00855C3F"/>
    <w:rsid w:val="00855CB5"/>
    <w:rsid w:val="00855D36"/>
    <w:rsid w:val="00855D39"/>
    <w:rsid w:val="00855D4F"/>
    <w:rsid w:val="00855DA6"/>
    <w:rsid w:val="00855DC5"/>
    <w:rsid w:val="00855E5A"/>
    <w:rsid w:val="00855E63"/>
    <w:rsid w:val="00855E9F"/>
    <w:rsid w:val="00855F13"/>
    <w:rsid w:val="00855F4D"/>
    <w:rsid w:val="00855F86"/>
    <w:rsid w:val="00855FE5"/>
    <w:rsid w:val="00856010"/>
    <w:rsid w:val="008560EE"/>
    <w:rsid w:val="00856127"/>
    <w:rsid w:val="00856174"/>
    <w:rsid w:val="008561C2"/>
    <w:rsid w:val="008561FF"/>
    <w:rsid w:val="00856258"/>
    <w:rsid w:val="00856289"/>
    <w:rsid w:val="00856461"/>
    <w:rsid w:val="008564A1"/>
    <w:rsid w:val="008564F8"/>
    <w:rsid w:val="00856537"/>
    <w:rsid w:val="0085654C"/>
    <w:rsid w:val="008565BA"/>
    <w:rsid w:val="008565E8"/>
    <w:rsid w:val="00856631"/>
    <w:rsid w:val="008566D1"/>
    <w:rsid w:val="00856723"/>
    <w:rsid w:val="008567A5"/>
    <w:rsid w:val="008567F1"/>
    <w:rsid w:val="0085680F"/>
    <w:rsid w:val="0085681A"/>
    <w:rsid w:val="008568D3"/>
    <w:rsid w:val="0085690B"/>
    <w:rsid w:val="0085697D"/>
    <w:rsid w:val="0085697E"/>
    <w:rsid w:val="0085698E"/>
    <w:rsid w:val="00856A3F"/>
    <w:rsid w:val="00856A44"/>
    <w:rsid w:val="00856A51"/>
    <w:rsid w:val="00856A55"/>
    <w:rsid w:val="00856ABD"/>
    <w:rsid w:val="00856BEE"/>
    <w:rsid w:val="00856C6E"/>
    <w:rsid w:val="00856CF8"/>
    <w:rsid w:val="00856D28"/>
    <w:rsid w:val="00856D7E"/>
    <w:rsid w:val="00856E40"/>
    <w:rsid w:val="00856E9D"/>
    <w:rsid w:val="00856EF4"/>
    <w:rsid w:val="00856F5F"/>
    <w:rsid w:val="00856F61"/>
    <w:rsid w:val="00856FE5"/>
    <w:rsid w:val="0085700E"/>
    <w:rsid w:val="0085701C"/>
    <w:rsid w:val="00857193"/>
    <w:rsid w:val="00857225"/>
    <w:rsid w:val="00857232"/>
    <w:rsid w:val="0085726D"/>
    <w:rsid w:val="0085728B"/>
    <w:rsid w:val="00857322"/>
    <w:rsid w:val="008573A8"/>
    <w:rsid w:val="008573CB"/>
    <w:rsid w:val="008573E8"/>
    <w:rsid w:val="0085759F"/>
    <w:rsid w:val="00857625"/>
    <w:rsid w:val="00857669"/>
    <w:rsid w:val="008576D3"/>
    <w:rsid w:val="0085774A"/>
    <w:rsid w:val="0085778C"/>
    <w:rsid w:val="00857846"/>
    <w:rsid w:val="00857854"/>
    <w:rsid w:val="00857856"/>
    <w:rsid w:val="008578A0"/>
    <w:rsid w:val="008578CA"/>
    <w:rsid w:val="00857949"/>
    <w:rsid w:val="00857969"/>
    <w:rsid w:val="00857A12"/>
    <w:rsid w:val="00857AE1"/>
    <w:rsid w:val="00857B59"/>
    <w:rsid w:val="00857B5E"/>
    <w:rsid w:val="00857B97"/>
    <w:rsid w:val="00857C17"/>
    <w:rsid w:val="00857CAA"/>
    <w:rsid w:val="00857DDE"/>
    <w:rsid w:val="00857E1E"/>
    <w:rsid w:val="00857E3A"/>
    <w:rsid w:val="00857EA7"/>
    <w:rsid w:val="00857F00"/>
    <w:rsid w:val="00857F1B"/>
    <w:rsid w:val="00857F64"/>
    <w:rsid w:val="00857FB6"/>
    <w:rsid w:val="00860019"/>
    <w:rsid w:val="0086005B"/>
    <w:rsid w:val="008600F9"/>
    <w:rsid w:val="0086017A"/>
    <w:rsid w:val="008601CE"/>
    <w:rsid w:val="0086020A"/>
    <w:rsid w:val="00860259"/>
    <w:rsid w:val="00860261"/>
    <w:rsid w:val="0086027B"/>
    <w:rsid w:val="008602B4"/>
    <w:rsid w:val="008602C0"/>
    <w:rsid w:val="008603A4"/>
    <w:rsid w:val="008603B7"/>
    <w:rsid w:val="008603D9"/>
    <w:rsid w:val="00860447"/>
    <w:rsid w:val="008604B6"/>
    <w:rsid w:val="008605C7"/>
    <w:rsid w:val="00860625"/>
    <w:rsid w:val="00860631"/>
    <w:rsid w:val="0086066E"/>
    <w:rsid w:val="008606D0"/>
    <w:rsid w:val="0086071C"/>
    <w:rsid w:val="00860728"/>
    <w:rsid w:val="008608B5"/>
    <w:rsid w:val="0086094A"/>
    <w:rsid w:val="0086098F"/>
    <w:rsid w:val="00860990"/>
    <w:rsid w:val="00860A0B"/>
    <w:rsid w:val="00860A0E"/>
    <w:rsid w:val="00860A5C"/>
    <w:rsid w:val="00860A8B"/>
    <w:rsid w:val="00860B42"/>
    <w:rsid w:val="00860B78"/>
    <w:rsid w:val="00860B88"/>
    <w:rsid w:val="00860BC1"/>
    <w:rsid w:val="00860CD2"/>
    <w:rsid w:val="00860D42"/>
    <w:rsid w:val="00860D49"/>
    <w:rsid w:val="00860DDF"/>
    <w:rsid w:val="00860DE1"/>
    <w:rsid w:val="00860E0B"/>
    <w:rsid w:val="00860E5D"/>
    <w:rsid w:val="00860E98"/>
    <w:rsid w:val="00860EBC"/>
    <w:rsid w:val="00860EFE"/>
    <w:rsid w:val="00860F36"/>
    <w:rsid w:val="00860F98"/>
    <w:rsid w:val="00861029"/>
    <w:rsid w:val="00861186"/>
    <w:rsid w:val="008611D7"/>
    <w:rsid w:val="0086120B"/>
    <w:rsid w:val="00861263"/>
    <w:rsid w:val="00861278"/>
    <w:rsid w:val="00861279"/>
    <w:rsid w:val="00861296"/>
    <w:rsid w:val="008612B1"/>
    <w:rsid w:val="008612E8"/>
    <w:rsid w:val="008612EC"/>
    <w:rsid w:val="00861400"/>
    <w:rsid w:val="0086143A"/>
    <w:rsid w:val="00861471"/>
    <w:rsid w:val="0086151A"/>
    <w:rsid w:val="00861559"/>
    <w:rsid w:val="00861581"/>
    <w:rsid w:val="00861681"/>
    <w:rsid w:val="00861741"/>
    <w:rsid w:val="0086179D"/>
    <w:rsid w:val="008617D1"/>
    <w:rsid w:val="008618C4"/>
    <w:rsid w:val="0086190A"/>
    <w:rsid w:val="00861980"/>
    <w:rsid w:val="008619B2"/>
    <w:rsid w:val="00861A2C"/>
    <w:rsid w:val="00861A33"/>
    <w:rsid w:val="00861B4D"/>
    <w:rsid w:val="00861C1A"/>
    <w:rsid w:val="00861CB0"/>
    <w:rsid w:val="00861D11"/>
    <w:rsid w:val="00861D64"/>
    <w:rsid w:val="00861DEE"/>
    <w:rsid w:val="00861E5B"/>
    <w:rsid w:val="00861E72"/>
    <w:rsid w:val="00862089"/>
    <w:rsid w:val="008620B7"/>
    <w:rsid w:val="0086210A"/>
    <w:rsid w:val="0086210C"/>
    <w:rsid w:val="0086214A"/>
    <w:rsid w:val="00862236"/>
    <w:rsid w:val="00862288"/>
    <w:rsid w:val="008622BF"/>
    <w:rsid w:val="008622CB"/>
    <w:rsid w:val="008622D2"/>
    <w:rsid w:val="0086235B"/>
    <w:rsid w:val="00862364"/>
    <w:rsid w:val="0086239D"/>
    <w:rsid w:val="00862600"/>
    <w:rsid w:val="00862663"/>
    <w:rsid w:val="00862717"/>
    <w:rsid w:val="00862825"/>
    <w:rsid w:val="00862839"/>
    <w:rsid w:val="008629CE"/>
    <w:rsid w:val="008629F0"/>
    <w:rsid w:val="00862ADF"/>
    <w:rsid w:val="00862AE0"/>
    <w:rsid w:val="00862AF1"/>
    <w:rsid w:val="00862B09"/>
    <w:rsid w:val="00862B83"/>
    <w:rsid w:val="00862BC8"/>
    <w:rsid w:val="00862BD4"/>
    <w:rsid w:val="00862BE2"/>
    <w:rsid w:val="00862BE5"/>
    <w:rsid w:val="00862BFC"/>
    <w:rsid w:val="00862CB7"/>
    <w:rsid w:val="00862D24"/>
    <w:rsid w:val="00862D3A"/>
    <w:rsid w:val="00862DA9"/>
    <w:rsid w:val="00862DC1"/>
    <w:rsid w:val="00862E11"/>
    <w:rsid w:val="00862EC5"/>
    <w:rsid w:val="00862EE5"/>
    <w:rsid w:val="00862EF7"/>
    <w:rsid w:val="00862F36"/>
    <w:rsid w:val="00862F5B"/>
    <w:rsid w:val="00862FF0"/>
    <w:rsid w:val="00863041"/>
    <w:rsid w:val="00863058"/>
    <w:rsid w:val="008630AF"/>
    <w:rsid w:val="00863199"/>
    <w:rsid w:val="008631A9"/>
    <w:rsid w:val="008631CA"/>
    <w:rsid w:val="0086323F"/>
    <w:rsid w:val="00863245"/>
    <w:rsid w:val="00863284"/>
    <w:rsid w:val="008632A1"/>
    <w:rsid w:val="00863346"/>
    <w:rsid w:val="00863369"/>
    <w:rsid w:val="00863390"/>
    <w:rsid w:val="00863525"/>
    <w:rsid w:val="00863541"/>
    <w:rsid w:val="00863560"/>
    <w:rsid w:val="00863577"/>
    <w:rsid w:val="0086363C"/>
    <w:rsid w:val="00863648"/>
    <w:rsid w:val="0086366F"/>
    <w:rsid w:val="00863712"/>
    <w:rsid w:val="0086376F"/>
    <w:rsid w:val="00863779"/>
    <w:rsid w:val="008637C8"/>
    <w:rsid w:val="008637DB"/>
    <w:rsid w:val="0086385D"/>
    <w:rsid w:val="00863869"/>
    <w:rsid w:val="00863872"/>
    <w:rsid w:val="0086389A"/>
    <w:rsid w:val="008638A1"/>
    <w:rsid w:val="00863906"/>
    <w:rsid w:val="00863908"/>
    <w:rsid w:val="0086391B"/>
    <w:rsid w:val="008639D4"/>
    <w:rsid w:val="008639DA"/>
    <w:rsid w:val="00863A0C"/>
    <w:rsid w:val="00863AA8"/>
    <w:rsid w:val="00863B00"/>
    <w:rsid w:val="00863B1E"/>
    <w:rsid w:val="00863B9E"/>
    <w:rsid w:val="00863BE1"/>
    <w:rsid w:val="00863BE9"/>
    <w:rsid w:val="00863C45"/>
    <w:rsid w:val="00863C5A"/>
    <w:rsid w:val="00863C7F"/>
    <w:rsid w:val="00863CA3"/>
    <w:rsid w:val="00863D07"/>
    <w:rsid w:val="00863D5A"/>
    <w:rsid w:val="00863D7D"/>
    <w:rsid w:val="00863D7F"/>
    <w:rsid w:val="00863DE4"/>
    <w:rsid w:val="00863EAB"/>
    <w:rsid w:val="00863F06"/>
    <w:rsid w:val="00863F40"/>
    <w:rsid w:val="00863F4F"/>
    <w:rsid w:val="00863F94"/>
    <w:rsid w:val="00863F95"/>
    <w:rsid w:val="00863F98"/>
    <w:rsid w:val="00863FC1"/>
    <w:rsid w:val="0086400B"/>
    <w:rsid w:val="0086400E"/>
    <w:rsid w:val="00864053"/>
    <w:rsid w:val="0086406D"/>
    <w:rsid w:val="008640B0"/>
    <w:rsid w:val="008640C4"/>
    <w:rsid w:val="008640CA"/>
    <w:rsid w:val="008640CE"/>
    <w:rsid w:val="008640DA"/>
    <w:rsid w:val="00864130"/>
    <w:rsid w:val="00864158"/>
    <w:rsid w:val="00864180"/>
    <w:rsid w:val="0086419F"/>
    <w:rsid w:val="008641C9"/>
    <w:rsid w:val="008641F1"/>
    <w:rsid w:val="008642CF"/>
    <w:rsid w:val="008642DF"/>
    <w:rsid w:val="00864365"/>
    <w:rsid w:val="008643CC"/>
    <w:rsid w:val="0086448F"/>
    <w:rsid w:val="008644A8"/>
    <w:rsid w:val="00864502"/>
    <w:rsid w:val="00864548"/>
    <w:rsid w:val="0086465E"/>
    <w:rsid w:val="00864663"/>
    <w:rsid w:val="0086468D"/>
    <w:rsid w:val="008646F5"/>
    <w:rsid w:val="0086476C"/>
    <w:rsid w:val="00864871"/>
    <w:rsid w:val="0086497F"/>
    <w:rsid w:val="00864A0A"/>
    <w:rsid w:val="00864A21"/>
    <w:rsid w:val="00864A5F"/>
    <w:rsid w:val="00864AFA"/>
    <w:rsid w:val="00864B05"/>
    <w:rsid w:val="00864B22"/>
    <w:rsid w:val="00864B7E"/>
    <w:rsid w:val="00864B86"/>
    <w:rsid w:val="00864B96"/>
    <w:rsid w:val="00864C1E"/>
    <w:rsid w:val="00864CA9"/>
    <w:rsid w:val="00864CB0"/>
    <w:rsid w:val="00864CF8"/>
    <w:rsid w:val="00864DF4"/>
    <w:rsid w:val="00864E4E"/>
    <w:rsid w:val="00864E8C"/>
    <w:rsid w:val="00864E8E"/>
    <w:rsid w:val="00864EB1"/>
    <w:rsid w:val="00864EEC"/>
    <w:rsid w:val="00864F09"/>
    <w:rsid w:val="00864FD2"/>
    <w:rsid w:val="00865019"/>
    <w:rsid w:val="0086509A"/>
    <w:rsid w:val="008650C5"/>
    <w:rsid w:val="00865111"/>
    <w:rsid w:val="0086512B"/>
    <w:rsid w:val="00865167"/>
    <w:rsid w:val="0086518B"/>
    <w:rsid w:val="008651DA"/>
    <w:rsid w:val="00865248"/>
    <w:rsid w:val="00865254"/>
    <w:rsid w:val="0086526A"/>
    <w:rsid w:val="00865286"/>
    <w:rsid w:val="00865287"/>
    <w:rsid w:val="008652AE"/>
    <w:rsid w:val="00865384"/>
    <w:rsid w:val="00865429"/>
    <w:rsid w:val="0086549D"/>
    <w:rsid w:val="008655AE"/>
    <w:rsid w:val="008655E0"/>
    <w:rsid w:val="008655EC"/>
    <w:rsid w:val="00865622"/>
    <w:rsid w:val="0086562F"/>
    <w:rsid w:val="0086580F"/>
    <w:rsid w:val="008658D6"/>
    <w:rsid w:val="008659D8"/>
    <w:rsid w:val="00865A39"/>
    <w:rsid w:val="00865A80"/>
    <w:rsid w:val="00865C26"/>
    <w:rsid w:val="00865C33"/>
    <w:rsid w:val="00865CA0"/>
    <w:rsid w:val="00865D05"/>
    <w:rsid w:val="00865DAB"/>
    <w:rsid w:val="00865DB9"/>
    <w:rsid w:val="00865E2D"/>
    <w:rsid w:val="00865E5E"/>
    <w:rsid w:val="00865F05"/>
    <w:rsid w:val="00865FD5"/>
    <w:rsid w:val="00866030"/>
    <w:rsid w:val="0086610D"/>
    <w:rsid w:val="00866134"/>
    <w:rsid w:val="00866145"/>
    <w:rsid w:val="008661E2"/>
    <w:rsid w:val="00866208"/>
    <w:rsid w:val="00866240"/>
    <w:rsid w:val="0086627B"/>
    <w:rsid w:val="008662CD"/>
    <w:rsid w:val="00866406"/>
    <w:rsid w:val="008664B5"/>
    <w:rsid w:val="008664D9"/>
    <w:rsid w:val="008664FC"/>
    <w:rsid w:val="00866548"/>
    <w:rsid w:val="008665EB"/>
    <w:rsid w:val="00866665"/>
    <w:rsid w:val="00866759"/>
    <w:rsid w:val="008667B2"/>
    <w:rsid w:val="00866801"/>
    <w:rsid w:val="00866902"/>
    <w:rsid w:val="0086693C"/>
    <w:rsid w:val="00866948"/>
    <w:rsid w:val="008669D4"/>
    <w:rsid w:val="00866A20"/>
    <w:rsid w:val="00866A51"/>
    <w:rsid w:val="00866ABB"/>
    <w:rsid w:val="00866C39"/>
    <w:rsid w:val="00866C52"/>
    <w:rsid w:val="00866C74"/>
    <w:rsid w:val="00866CC4"/>
    <w:rsid w:val="00866D4D"/>
    <w:rsid w:val="00866DE2"/>
    <w:rsid w:val="00866DEF"/>
    <w:rsid w:val="00866E08"/>
    <w:rsid w:val="00866E97"/>
    <w:rsid w:val="00866F02"/>
    <w:rsid w:val="00866F59"/>
    <w:rsid w:val="00866FBA"/>
    <w:rsid w:val="00866FFC"/>
    <w:rsid w:val="00867043"/>
    <w:rsid w:val="008670C3"/>
    <w:rsid w:val="008670D5"/>
    <w:rsid w:val="008670EE"/>
    <w:rsid w:val="0086712C"/>
    <w:rsid w:val="00867133"/>
    <w:rsid w:val="00867154"/>
    <w:rsid w:val="00867161"/>
    <w:rsid w:val="0086716D"/>
    <w:rsid w:val="00867238"/>
    <w:rsid w:val="008672B0"/>
    <w:rsid w:val="0086736F"/>
    <w:rsid w:val="0086737E"/>
    <w:rsid w:val="00867439"/>
    <w:rsid w:val="008674CD"/>
    <w:rsid w:val="008674DB"/>
    <w:rsid w:val="0086752D"/>
    <w:rsid w:val="0086753A"/>
    <w:rsid w:val="00867687"/>
    <w:rsid w:val="0086769D"/>
    <w:rsid w:val="008676BA"/>
    <w:rsid w:val="008676C2"/>
    <w:rsid w:val="008676D7"/>
    <w:rsid w:val="008676F2"/>
    <w:rsid w:val="00867728"/>
    <w:rsid w:val="00867743"/>
    <w:rsid w:val="008677AB"/>
    <w:rsid w:val="008677CC"/>
    <w:rsid w:val="0086786D"/>
    <w:rsid w:val="00867881"/>
    <w:rsid w:val="00867934"/>
    <w:rsid w:val="00867936"/>
    <w:rsid w:val="00867988"/>
    <w:rsid w:val="008679A1"/>
    <w:rsid w:val="00867A6A"/>
    <w:rsid w:val="00867A7F"/>
    <w:rsid w:val="00867AD7"/>
    <w:rsid w:val="00867B86"/>
    <w:rsid w:val="00867C35"/>
    <w:rsid w:val="00867CB5"/>
    <w:rsid w:val="00867CD9"/>
    <w:rsid w:val="00867CFF"/>
    <w:rsid w:val="00867D2B"/>
    <w:rsid w:val="00867DF0"/>
    <w:rsid w:val="00867E10"/>
    <w:rsid w:val="00867E6D"/>
    <w:rsid w:val="00867E82"/>
    <w:rsid w:val="00867E96"/>
    <w:rsid w:val="00867EDA"/>
    <w:rsid w:val="00867F2A"/>
    <w:rsid w:val="00867F35"/>
    <w:rsid w:val="00867F60"/>
    <w:rsid w:val="00867F79"/>
    <w:rsid w:val="00867F96"/>
    <w:rsid w:val="0087005C"/>
    <w:rsid w:val="00870075"/>
    <w:rsid w:val="00870076"/>
    <w:rsid w:val="00870108"/>
    <w:rsid w:val="00870141"/>
    <w:rsid w:val="00870197"/>
    <w:rsid w:val="008701A1"/>
    <w:rsid w:val="0087026E"/>
    <w:rsid w:val="008702A5"/>
    <w:rsid w:val="00870366"/>
    <w:rsid w:val="008703A4"/>
    <w:rsid w:val="008703D3"/>
    <w:rsid w:val="008703F5"/>
    <w:rsid w:val="00870477"/>
    <w:rsid w:val="008704D2"/>
    <w:rsid w:val="008705B3"/>
    <w:rsid w:val="00870612"/>
    <w:rsid w:val="00870632"/>
    <w:rsid w:val="0087064C"/>
    <w:rsid w:val="0087066A"/>
    <w:rsid w:val="008706A2"/>
    <w:rsid w:val="0087070B"/>
    <w:rsid w:val="0087076D"/>
    <w:rsid w:val="00870805"/>
    <w:rsid w:val="00870807"/>
    <w:rsid w:val="008708AD"/>
    <w:rsid w:val="00870A05"/>
    <w:rsid w:val="00870A79"/>
    <w:rsid w:val="00870BAA"/>
    <w:rsid w:val="00870BFA"/>
    <w:rsid w:val="00870C5F"/>
    <w:rsid w:val="00870C8E"/>
    <w:rsid w:val="00870C91"/>
    <w:rsid w:val="00870CC3"/>
    <w:rsid w:val="00870CF0"/>
    <w:rsid w:val="00870D3B"/>
    <w:rsid w:val="00870DC0"/>
    <w:rsid w:val="00870DDA"/>
    <w:rsid w:val="00870E08"/>
    <w:rsid w:val="00870E3B"/>
    <w:rsid w:val="00870F67"/>
    <w:rsid w:val="0087107A"/>
    <w:rsid w:val="008710C6"/>
    <w:rsid w:val="008710FA"/>
    <w:rsid w:val="00871169"/>
    <w:rsid w:val="00871210"/>
    <w:rsid w:val="0087121A"/>
    <w:rsid w:val="0087126B"/>
    <w:rsid w:val="0087130D"/>
    <w:rsid w:val="00871322"/>
    <w:rsid w:val="00871370"/>
    <w:rsid w:val="0087138F"/>
    <w:rsid w:val="0087139B"/>
    <w:rsid w:val="008713D8"/>
    <w:rsid w:val="008713F3"/>
    <w:rsid w:val="008714B3"/>
    <w:rsid w:val="00871541"/>
    <w:rsid w:val="008715AA"/>
    <w:rsid w:val="008715D9"/>
    <w:rsid w:val="00871697"/>
    <w:rsid w:val="008716D0"/>
    <w:rsid w:val="00871730"/>
    <w:rsid w:val="00871781"/>
    <w:rsid w:val="00871790"/>
    <w:rsid w:val="0087179E"/>
    <w:rsid w:val="008717D9"/>
    <w:rsid w:val="008717F8"/>
    <w:rsid w:val="008718B7"/>
    <w:rsid w:val="00871925"/>
    <w:rsid w:val="008719C7"/>
    <w:rsid w:val="008719F0"/>
    <w:rsid w:val="008719FE"/>
    <w:rsid w:val="00871A47"/>
    <w:rsid w:val="00871A58"/>
    <w:rsid w:val="00871A71"/>
    <w:rsid w:val="00871B2A"/>
    <w:rsid w:val="00871B59"/>
    <w:rsid w:val="00871CB5"/>
    <w:rsid w:val="00871D05"/>
    <w:rsid w:val="00871D84"/>
    <w:rsid w:val="00871DC1"/>
    <w:rsid w:val="00871DE7"/>
    <w:rsid w:val="00871E32"/>
    <w:rsid w:val="00871EB9"/>
    <w:rsid w:val="00871F70"/>
    <w:rsid w:val="00871F7E"/>
    <w:rsid w:val="00871F89"/>
    <w:rsid w:val="00871F97"/>
    <w:rsid w:val="00871FA7"/>
    <w:rsid w:val="00871FD9"/>
    <w:rsid w:val="00871FEB"/>
    <w:rsid w:val="0087201A"/>
    <w:rsid w:val="00872032"/>
    <w:rsid w:val="00872086"/>
    <w:rsid w:val="008720B0"/>
    <w:rsid w:val="008720D7"/>
    <w:rsid w:val="00872186"/>
    <w:rsid w:val="00872238"/>
    <w:rsid w:val="008722A1"/>
    <w:rsid w:val="008722C9"/>
    <w:rsid w:val="00872337"/>
    <w:rsid w:val="00872340"/>
    <w:rsid w:val="00872429"/>
    <w:rsid w:val="00872485"/>
    <w:rsid w:val="00872489"/>
    <w:rsid w:val="0087248D"/>
    <w:rsid w:val="008724B1"/>
    <w:rsid w:val="008724F1"/>
    <w:rsid w:val="00872568"/>
    <w:rsid w:val="0087258F"/>
    <w:rsid w:val="0087259C"/>
    <w:rsid w:val="008725F6"/>
    <w:rsid w:val="00872676"/>
    <w:rsid w:val="008726F4"/>
    <w:rsid w:val="00872712"/>
    <w:rsid w:val="008727E6"/>
    <w:rsid w:val="0087281F"/>
    <w:rsid w:val="00872895"/>
    <w:rsid w:val="008728A5"/>
    <w:rsid w:val="00872995"/>
    <w:rsid w:val="00872A01"/>
    <w:rsid w:val="00872A02"/>
    <w:rsid w:val="00872A5C"/>
    <w:rsid w:val="00872A74"/>
    <w:rsid w:val="00872A7C"/>
    <w:rsid w:val="00872AE0"/>
    <w:rsid w:val="00872AEB"/>
    <w:rsid w:val="00872C38"/>
    <w:rsid w:val="00872CA5"/>
    <w:rsid w:val="00872CB5"/>
    <w:rsid w:val="00872CC7"/>
    <w:rsid w:val="00872DE0"/>
    <w:rsid w:val="00872E0E"/>
    <w:rsid w:val="00872E58"/>
    <w:rsid w:val="00872E7F"/>
    <w:rsid w:val="00872ED3"/>
    <w:rsid w:val="00872F9D"/>
    <w:rsid w:val="00872FD0"/>
    <w:rsid w:val="00872FE6"/>
    <w:rsid w:val="00872FEE"/>
    <w:rsid w:val="00873075"/>
    <w:rsid w:val="00873110"/>
    <w:rsid w:val="0087314D"/>
    <w:rsid w:val="00873198"/>
    <w:rsid w:val="008731E2"/>
    <w:rsid w:val="0087321F"/>
    <w:rsid w:val="00873291"/>
    <w:rsid w:val="00873315"/>
    <w:rsid w:val="00873375"/>
    <w:rsid w:val="00873388"/>
    <w:rsid w:val="0087338A"/>
    <w:rsid w:val="008733A1"/>
    <w:rsid w:val="008734DB"/>
    <w:rsid w:val="00873502"/>
    <w:rsid w:val="0087356D"/>
    <w:rsid w:val="008735A0"/>
    <w:rsid w:val="008735C8"/>
    <w:rsid w:val="0087363A"/>
    <w:rsid w:val="00873664"/>
    <w:rsid w:val="008736D6"/>
    <w:rsid w:val="008736E7"/>
    <w:rsid w:val="0087380D"/>
    <w:rsid w:val="0087380E"/>
    <w:rsid w:val="008738BF"/>
    <w:rsid w:val="00873901"/>
    <w:rsid w:val="0087390C"/>
    <w:rsid w:val="0087391E"/>
    <w:rsid w:val="00873947"/>
    <w:rsid w:val="008739D1"/>
    <w:rsid w:val="00873A9D"/>
    <w:rsid w:val="00873B0B"/>
    <w:rsid w:val="00873B0E"/>
    <w:rsid w:val="00873B5B"/>
    <w:rsid w:val="00873B64"/>
    <w:rsid w:val="00873B82"/>
    <w:rsid w:val="00873C32"/>
    <w:rsid w:val="00873C80"/>
    <w:rsid w:val="00873C85"/>
    <w:rsid w:val="00873C98"/>
    <w:rsid w:val="00873D06"/>
    <w:rsid w:val="00873DC1"/>
    <w:rsid w:val="00873DEC"/>
    <w:rsid w:val="00873E41"/>
    <w:rsid w:val="00873E51"/>
    <w:rsid w:val="00873E75"/>
    <w:rsid w:val="00873FDF"/>
    <w:rsid w:val="00873FFB"/>
    <w:rsid w:val="0087407F"/>
    <w:rsid w:val="00874107"/>
    <w:rsid w:val="00874220"/>
    <w:rsid w:val="00874238"/>
    <w:rsid w:val="008742AE"/>
    <w:rsid w:val="008742E6"/>
    <w:rsid w:val="0087438B"/>
    <w:rsid w:val="008743DC"/>
    <w:rsid w:val="008743EA"/>
    <w:rsid w:val="008743F0"/>
    <w:rsid w:val="00874442"/>
    <w:rsid w:val="0087445E"/>
    <w:rsid w:val="0087447A"/>
    <w:rsid w:val="00874578"/>
    <w:rsid w:val="008745DB"/>
    <w:rsid w:val="0087461A"/>
    <w:rsid w:val="0087461D"/>
    <w:rsid w:val="00874632"/>
    <w:rsid w:val="00874712"/>
    <w:rsid w:val="0087483B"/>
    <w:rsid w:val="0087484F"/>
    <w:rsid w:val="008748ED"/>
    <w:rsid w:val="0087497B"/>
    <w:rsid w:val="00874995"/>
    <w:rsid w:val="00874AB7"/>
    <w:rsid w:val="00874BC4"/>
    <w:rsid w:val="00874E27"/>
    <w:rsid w:val="00874E58"/>
    <w:rsid w:val="00874F33"/>
    <w:rsid w:val="00874F3D"/>
    <w:rsid w:val="0087505C"/>
    <w:rsid w:val="00875126"/>
    <w:rsid w:val="0087516B"/>
    <w:rsid w:val="0087517B"/>
    <w:rsid w:val="00875206"/>
    <w:rsid w:val="0087523A"/>
    <w:rsid w:val="0087525A"/>
    <w:rsid w:val="008752F7"/>
    <w:rsid w:val="0087530D"/>
    <w:rsid w:val="00875374"/>
    <w:rsid w:val="008753D5"/>
    <w:rsid w:val="00875404"/>
    <w:rsid w:val="00875450"/>
    <w:rsid w:val="0087546C"/>
    <w:rsid w:val="0087551C"/>
    <w:rsid w:val="0087552A"/>
    <w:rsid w:val="00875558"/>
    <w:rsid w:val="008755B7"/>
    <w:rsid w:val="008755CB"/>
    <w:rsid w:val="0087568A"/>
    <w:rsid w:val="008756B1"/>
    <w:rsid w:val="00875712"/>
    <w:rsid w:val="00875797"/>
    <w:rsid w:val="00875969"/>
    <w:rsid w:val="008759F9"/>
    <w:rsid w:val="00875A32"/>
    <w:rsid w:val="00875A4F"/>
    <w:rsid w:val="00875B6E"/>
    <w:rsid w:val="00875B8A"/>
    <w:rsid w:val="00875BBA"/>
    <w:rsid w:val="00875C48"/>
    <w:rsid w:val="00875C99"/>
    <w:rsid w:val="00875CA7"/>
    <w:rsid w:val="00875D25"/>
    <w:rsid w:val="00875D64"/>
    <w:rsid w:val="00875D88"/>
    <w:rsid w:val="00875DB0"/>
    <w:rsid w:val="00875DFE"/>
    <w:rsid w:val="00875E48"/>
    <w:rsid w:val="00875F53"/>
    <w:rsid w:val="00875F64"/>
    <w:rsid w:val="00875F75"/>
    <w:rsid w:val="00875F76"/>
    <w:rsid w:val="00875F9F"/>
    <w:rsid w:val="008760BE"/>
    <w:rsid w:val="008760D0"/>
    <w:rsid w:val="00876115"/>
    <w:rsid w:val="0087623D"/>
    <w:rsid w:val="0087626B"/>
    <w:rsid w:val="0087626F"/>
    <w:rsid w:val="008762AD"/>
    <w:rsid w:val="00876306"/>
    <w:rsid w:val="00876369"/>
    <w:rsid w:val="0087637E"/>
    <w:rsid w:val="0087638F"/>
    <w:rsid w:val="00876415"/>
    <w:rsid w:val="0087643C"/>
    <w:rsid w:val="00876453"/>
    <w:rsid w:val="008764A2"/>
    <w:rsid w:val="008764F0"/>
    <w:rsid w:val="00876593"/>
    <w:rsid w:val="0087659B"/>
    <w:rsid w:val="008765CC"/>
    <w:rsid w:val="008765D6"/>
    <w:rsid w:val="0087669A"/>
    <w:rsid w:val="008767F2"/>
    <w:rsid w:val="00876814"/>
    <w:rsid w:val="00876868"/>
    <w:rsid w:val="0087689A"/>
    <w:rsid w:val="00876971"/>
    <w:rsid w:val="00876AC9"/>
    <w:rsid w:val="00876B7A"/>
    <w:rsid w:val="00876B96"/>
    <w:rsid w:val="00876C41"/>
    <w:rsid w:val="00876CC2"/>
    <w:rsid w:val="00876D84"/>
    <w:rsid w:val="00876E22"/>
    <w:rsid w:val="00876E3D"/>
    <w:rsid w:val="00876EAF"/>
    <w:rsid w:val="00876EEA"/>
    <w:rsid w:val="00876F2D"/>
    <w:rsid w:val="00876F54"/>
    <w:rsid w:val="00876F5F"/>
    <w:rsid w:val="00876F8E"/>
    <w:rsid w:val="00876FFD"/>
    <w:rsid w:val="0087702B"/>
    <w:rsid w:val="00877045"/>
    <w:rsid w:val="0087704F"/>
    <w:rsid w:val="008770A1"/>
    <w:rsid w:val="008770A4"/>
    <w:rsid w:val="008770F6"/>
    <w:rsid w:val="00877105"/>
    <w:rsid w:val="00877110"/>
    <w:rsid w:val="00877111"/>
    <w:rsid w:val="0087716B"/>
    <w:rsid w:val="00877186"/>
    <w:rsid w:val="008771B0"/>
    <w:rsid w:val="00877230"/>
    <w:rsid w:val="00877351"/>
    <w:rsid w:val="008773C4"/>
    <w:rsid w:val="008773F3"/>
    <w:rsid w:val="00877478"/>
    <w:rsid w:val="008774A7"/>
    <w:rsid w:val="00877534"/>
    <w:rsid w:val="00877551"/>
    <w:rsid w:val="008775F6"/>
    <w:rsid w:val="00877604"/>
    <w:rsid w:val="00877669"/>
    <w:rsid w:val="008776BD"/>
    <w:rsid w:val="0087774A"/>
    <w:rsid w:val="008777D2"/>
    <w:rsid w:val="008777F9"/>
    <w:rsid w:val="0087787E"/>
    <w:rsid w:val="0087793E"/>
    <w:rsid w:val="00877972"/>
    <w:rsid w:val="00877A75"/>
    <w:rsid w:val="00877A7C"/>
    <w:rsid w:val="00877A87"/>
    <w:rsid w:val="00877A9B"/>
    <w:rsid w:val="00877AD9"/>
    <w:rsid w:val="00877B17"/>
    <w:rsid w:val="00877B90"/>
    <w:rsid w:val="00877B93"/>
    <w:rsid w:val="00877BAC"/>
    <w:rsid w:val="00877C78"/>
    <w:rsid w:val="00877C94"/>
    <w:rsid w:val="00877CB1"/>
    <w:rsid w:val="00877CB2"/>
    <w:rsid w:val="00877CC3"/>
    <w:rsid w:val="00877CDE"/>
    <w:rsid w:val="00877D59"/>
    <w:rsid w:val="00877D87"/>
    <w:rsid w:val="00877D94"/>
    <w:rsid w:val="00877DB8"/>
    <w:rsid w:val="00877DFC"/>
    <w:rsid w:val="00877E43"/>
    <w:rsid w:val="00877E59"/>
    <w:rsid w:val="00877EB2"/>
    <w:rsid w:val="00877EC0"/>
    <w:rsid w:val="00877FCF"/>
    <w:rsid w:val="00877FFE"/>
    <w:rsid w:val="00880057"/>
    <w:rsid w:val="0088005C"/>
    <w:rsid w:val="008800F2"/>
    <w:rsid w:val="00880104"/>
    <w:rsid w:val="0088014E"/>
    <w:rsid w:val="00880210"/>
    <w:rsid w:val="0088029A"/>
    <w:rsid w:val="00880430"/>
    <w:rsid w:val="00880455"/>
    <w:rsid w:val="008804D9"/>
    <w:rsid w:val="008804DD"/>
    <w:rsid w:val="0088051E"/>
    <w:rsid w:val="00880520"/>
    <w:rsid w:val="00880529"/>
    <w:rsid w:val="00880609"/>
    <w:rsid w:val="00880618"/>
    <w:rsid w:val="00880644"/>
    <w:rsid w:val="00880648"/>
    <w:rsid w:val="00880657"/>
    <w:rsid w:val="008806A7"/>
    <w:rsid w:val="00880767"/>
    <w:rsid w:val="008807DC"/>
    <w:rsid w:val="00880868"/>
    <w:rsid w:val="008808E8"/>
    <w:rsid w:val="0088093C"/>
    <w:rsid w:val="008809D8"/>
    <w:rsid w:val="008809DF"/>
    <w:rsid w:val="00880A00"/>
    <w:rsid w:val="00880A88"/>
    <w:rsid w:val="00880A9C"/>
    <w:rsid w:val="00880AAB"/>
    <w:rsid w:val="00880B3C"/>
    <w:rsid w:val="00880B41"/>
    <w:rsid w:val="00880B54"/>
    <w:rsid w:val="00880B5F"/>
    <w:rsid w:val="00880B92"/>
    <w:rsid w:val="00880C53"/>
    <w:rsid w:val="00880C81"/>
    <w:rsid w:val="00880CA6"/>
    <w:rsid w:val="00880CDE"/>
    <w:rsid w:val="00880D58"/>
    <w:rsid w:val="00880DAE"/>
    <w:rsid w:val="00880DC6"/>
    <w:rsid w:val="00880E24"/>
    <w:rsid w:val="00880E2B"/>
    <w:rsid w:val="00880E41"/>
    <w:rsid w:val="00880EA3"/>
    <w:rsid w:val="00880EFB"/>
    <w:rsid w:val="00880F0C"/>
    <w:rsid w:val="00880F98"/>
    <w:rsid w:val="00880FF1"/>
    <w:rsid w:val="00881029"/>
    <w:rsid w:val="008810A6"/>
    <w:rsid w:val="008810E0"/>
    <w:rsid w:val="0088112E"/>
    <w:rsid w:val="0088115D"/>
    <w:rsid w:val="00881170"/>
    <w:rsid w:val="00881260"/>
    <w:rsid w:val="008812E0"/>
    <w:rsid w:val="008812E8"/>
    <w:rsid w:val="008812FD"/>
    <w:rsid w:val="0088139D"/>
    <w:rsid w:val="0088140D"/>
    <w:rsid w:val="00881450"/>
    <w:rsid w:val="00881462"/>
    <w:rsid w:val="008814AE"/>
    <w:rsid w:val="008814CD"/>
    <w:rsid w:val="008814F4"/>
    <w:rsid w:val="0088151D"/>
    <w:rsid w:val="0088155F"/>
    <w:rsid w:val="008815D7"/>
    <w:rsid w:val="00881666"/>
    <w:rsid w:val="00881701"/>
    <w:rsid w:val="00881734"/>
    <w:rsid w:val="0088178E"/>
    <w:rsid w:val="008817C8"/>
    <w:rsid w:val="008817EC"/>
    <w:rsid w:val="00881835"/>
    <w:rsid w:val="00881897"/>
    <w:rsid w:val="00881899"/>
    <w:rsid w:val="00881959"/>
    <w:rsid w:val="008819CC"/>
    <w:rsid w:val="008819EF"/>
    <w:rsid w:val="00881A34"/>
    <w:rsid w:val="00881A37"/>
    <w:rsid w:val="00881A48"/>
    <w:rsid w:val="00881A53"/>
    <w:rsid w:val="00881B17"/>
    <w:rsid w:val="00881B3F"/>
    <w:rsid w:val="00881BC5"/>
    <w:rsid w:val="00881C5B"/>
    <w:rsid w:val="00881CB3"/>
    <w:rsid w:val="00881CCD"/>
    <w:rsid w:val="00881DCA"/>
    <w:rsid w:val="00881ED5"/>
    <w:rsid w:val="00881EFB"/>
    <w:rsid w:val="00881EFD"/>
    <w:rsid w:val="00881F41"/>
    <w:rsid w:val="00881F53"/>
    <w:rsid w:val="00881F62"/>
    <w:rsid w:val="00881F8D"/>
    <w:rsid w:val="00881F9A"/>
    <w:rsid w:val="00882031"/>
    <w:rsid w:val="0088208D"/>
    <w:rsid w:val="008820E9"/>
    <w:rsid w:val="00882111"/>
    <w:rsid w:val="00882136"/>
    <w:rsid w:val="00882181"/>
    <w:rsid w:val="008821C7"/>
    <w:rsid w:val="0088221A"/>
    <w:rsid w:val="00882283"/>
    <w:rsid w:val="008822FF"/>
    <w:rsid w:val="00882322"/>
    <w:rsid w:val="008823B5"/>
    <w:rsid w:val="008823C7"/>
    <w:rsid w:val="008823DB"/>
    <w:rsid w:val="008823E8"/>
    <w:rsid w:val="0088241E"/>
    <w:rsid w:val="0088242C"/>
    <w:rsid w:val="0088246A"/>
    <w:rsid w:val="0088248F"/>
    <w:rsid w:val="008824EB"/>
    <w:rsid w:val="00882522"/>
    <w:rsid w:val="00882543"/>
    <w:rsid w:val="0088254C"/>
    <w:rsid w:val="0088263E"/>
    <w:rsid w:val="0088264E"/>
    <w:rsid w:val="0088267F"/>
    <w:rsid w:val="0088270E"/>
    <w:rsid w:val="0088275F"/>
    <w:rsid w:val="00882768"/>
    <w:rsid w:val="008827AF"/>
    <w:rsid w:val="00882832"/>
    <w:rsid w:val="00882963"/>
    <w:rsid w:val="00882A11"/>
    <w:rsid w:val="00882A9E"/>
    <w:rsid w:val="00882AE5"/>
    <w:rsid w:val="00882B35"/>
    <w:rsid w:val="00882B46"/>
    <w:rsid w:val="00882B69"/>
    <w:rsid w:val="00882BC1"/>
    <w:rsid w:val="00882BDC"/>
    <w:rsid w:val="00882C13"/>
    <w:rsid w:val="00882CAF"/>
    <w:rsid w:val="00882CC4"/>
    <w:rsid w:val="00882CFF"/>
    <w:rsid w:val="00882D15"/>
    <w:rsid w:val="00882E68"/>
    <w:rsid w:val="00882E86"/>
    <w:rsid w:val="00882EA0"/>
    <w:rsid w:val="00882EAB"/>
    <w:rsid w:val="00882F11"/>
    <w:rsid w:val="00882FA3"/>
    <w:rsid w:val="00882FFB"/>
    <w:rsid w:val="00883093"/>
    <w:rsid w:val="008831AE"/>
    <w:rsid w:val="0088343F"/>
    <w:rsid w:val="00883491"/>
    <w:rsid w:val="00883525"/>
    <w:rsid w:val="008835E7"/>
    <w:rsid w:val="00883631"/>
    <w:rsid w:val="00883684"/>
    <w:rsid w:val="00883690"/>
    <w:rsid w:val="00883713"/>
    <w:rsid w:val="00883736"/>
    <w:rsid w:val="00883774"/>
    <w:rsid w:val="008837C3"/>
    <w:rsid w:val="008837D1"/>
    <w:rsid w:val="0088388F"/>
    <w:rsid w:val="008838C7"/>
    <w:rsid w:val="0088390B"/>
    <w:rsid w:val="0088394B"/>
    <w:rsid w:val="0088396C"/>
    <w:rsid w:val="008839A9"/>
    <w:rsid w:val="008839CD"/>
    <w:rsid w:val="00883A0A"/>
    <w:rsid w:val="00883A2E"/>
    <w:rsid w:val="00883A78"/>
    <w:rsid w:val="00883A8E"/>
    <w:rsid w:val="00883ADE"/>
    <w:rsid w:val="00883BF8"/>
    <w:rsid w:val="00883C6A"/>
    <w:rsid w:val="00883CB2"/>
    <w:rsid w:val="00883CBC"/>
    <w:rsid w:val="00883D2C"/>
    <w:rsid w:val="00883D84"/>
    <w:rsid w:val="00883D9F"/>
    <w:rsid w:val="00883DE9"/>
    <w:rsid w:val="00883E16"/>
    <w:rsid w:val="00883EF2"/>
    <w:rsid w:val="00883F2A"/>
    <w:rsid w:val="00883F3B"/>
    <w:rsid w:val="00883F58"/>
    <w:rsid w:val="00883FCC"/>
    <w:rsid w:val="00883FDB"/>
    <w:rsid w:val="00884060"/>
    <w:rsid w:val="008840C6"/>
    <w:rsid w:val="00884111"/>
    <w:rsid w:val="0088414A"/>
    <w:rsid w:val="008841F4"/>
    <w:rsid w:val="00884226"/>
    <w:rsid w:val="00884270"/>
    <w:rsid w:val="00884297"/>
    <w:rsid w:val="0088437C"/>
    <w:rsid w:val="008843DD"/>
    <w:rsid w:val="008843F9"/>
    <w:rsid w:val="00884423"/>
    <w:rsid w:val="00884459"/>
    <w:rsid w:val="008844AC"/>
    <w:rsid w:val="008844B7"/>
    <w:rsid w:val="00884500"/>
    <w:rsid w:val="008845D9"/>
    <w:rsid w:val="0088469C"/>
    <w:rsid w:val="00884728"/>
    <w:rsid w:val="00884738"/>
    <w:rsid w:val="00884743"/>
    <w:rsid w:val="00884787"/>
    <w:rsid w:val="008847A3"/>
    <w:rsid w:val="008847B9"/>
    <w:rsid w:val="008847BD"/>
    <w:rsid w:val="008847D7"/>
    <w:rsid w:val="008848AB"/>
    <w:rsid w:val="00884909"/>
    <w:rsid w:val="0088492D"/>
    <w:rsid w:val="008849A3"/>
    <w:rsid w:val="008849C2"/>
    <w:rsid w:val="008849F8"/>
    <w:rsid w:val="00884A58"/>
    <w:rsid w:val="00884AB2"/>
    <w:rsid w:val="00884B21"/>
    <w:rsid w:val="00884B57"/>
    <w:rsid w:val="00884CD1"/>
    <w:rsid w:val="00884D3D"/>
    <w:rsid w:val="00884D5C"/>
    <w:rsid w:val="00884D7E"/>
    <w:rsid w:val="00884D8A"/>
    <w:rsid w:val="00884E81"/>
    <w:rsid w:val="00884E8C"/>
    <w:rsid w:val="00884ECD"/>
    <w:rsid w:val="00884F5C"/>
    <w:rsid w:val="00884F9A"/>
    <w:rsid w:val="0088508D"/>
    <w:rsid w:val="00885098"/>
    <w:rsid w:val="00885120"/>
    <w:rsid w:val="00885228"/>
    <w:rsid w:val="00885248"/>
    <w:rsid w:val="0088525B"/>
    <w:rsid w:val="008852EC"/>
    <w:rsid w:val="00885335"/>
    <w:rsid w:val="0088533B"/>
    <w:rsid w:val="00885382"/>
    <w:rsid w:val="00885425"/>
    <w:rsid w:val="00885435"/>
    <w:rsid w:val="00885462"/>
    <w:rsid w:val="00885464"/>
    <w:rsid w:val="008854C6"/>
    <w:rsid w:val="00885527"/>
    <w:rsid w:val="00885559"/>
    <w:rsid w:val="00885584"/>
    <w:rsid w:val="008855F9"/>
    <w:rsid w:val="0088560C"/>
    <w:rsid w:val="00885691"/>
    <w:rsid w:val="008856DB"/>
    <w:rsid w:val="008856F1"/>
    <w:rsid w:val="00885705"/>
    <w:rsid w:val="008857C8"/>
    <w:rsid w:val="00885846"/>
    <w:rsid w:val="0088584B"/>
    <w:rsid w:val="00885884"/>
    <w:rsid w:val="008858F8"/>
    <w:rsid w:val="008859A3"/>
    <w:rsid w:val="008859FF"/>
    <w:rsid w:val="00885A0A"/>
    <w:rsid w:val="00885A73"/>
    <w:rsid w:val="00885A78"/>
    <w:rsid w:val="00885A97"/>
    <w:rsid w:val="00885AC9"/>
    <w:rsid w:val="00885B12"/>
    <w:rsid w:val="00885B43"/>
    <w:rsid w:val="00885B90"/>
    <w:rsid w:val="00885C35"/>
    <w:rsid w:val="00885C59"/>
    <w:rsid w:val="00885D0A"/>
    <w:rsid w:val="00885D2D"/>
    <w:rsid w:val="00885D61"/>
    <w:rsid w:val="00885DC4"/>
    <w:rsid w:val="00885DE4"/>
    <w:rsid w:val="00885EBD"/>
    <w:rsid w:val="00885FBF"/>
    <w:rsid w:val="00886016"/>
    <w:rsid w:val="00886107"/>
    <w:rsid w:val="0088615D"/>
    <w:rsid w:val="0088620E"/>
    <w:rsid w:val="00886263"/>
    <w:rsid w:val="00886278"/>
    <w:rsid w:val="008862F3"/>
    <w:rsid w:val="008862F8"/>
    <w:rsid w:val="00886326"/>
    <w:rsid w:val="008863EB"/>
    <w:rsid w:val="008864DF"/>
    <w:rsid w:val="008864EB"/>
    <w:rsid w:val="00886549"/>
    <w:rsid w:val="00886554"/>
    <w:rsid w:val="00886575"/>
    <w:rsid w:val="00886597"/>
    <w:rsid w:val="008865F5"/>
    <w:rsid w:val="008865FB"/>
    <w:rsid w:val="00886609"/>
    <w:rsid w:val="0088668C"/>
    <w:rsid w:val="0088675A"/>
    <w:rsid w:val="0088676A"/>
    <w:rsid w:val="008867CA"/>
    <w:rsid w:val="0088682A"/>
    <w:rsid w:val="00886885"/>
    <w:rsid w:val="00886899"/>
    <w:rsid w:val="008868AB"/>
    <w:rsid w:val="008868CB"/>
    <w:rsid w:val="008868E8"/>
    <w:rsid w:val="00886912"/>
    <w:rsid w:val="00886A7B"/>
    <w:rsid w:val="00886AF9"/>
    <w:rsid w:val="00886B0C"/>
    <w:rsid w:val="00886B4F"/>
    <w:rsid w:val="00886B66"/>
    <w:rsid w:val="00886B7C"/>
    <w:rsid w:val="00886C5F"/>
    <w:rsid w:val="00886D2B"/>
    <w:rsid w:val="00886D51"/>
    <w:rsid w:val="00886D6B"/>
    <w:rsid w:val="00886D6D"/>
    <w:rsid w:val="00886D8F"/>
    <w:rsid w:val="00886DBE"/>
    <w:rsid w:val="00886E6A"/>
    <w:rsid w:val="00886E89"/>
    <w:rsid w:val="00886F26"/>
    <w:rsid w:val="00886F35"/>
    <w:rsid w:val="00886FA4"/>
    <w:rsid w:val="00887053"/>
    <w:rsid w:val="008870C4"/>
    <w:rsid w:val="008870F2"/>
    <w:rsid w:val="00887118"/>
    <w:rsid w:val="00887184"/>
    <w:rsid w:val="008871C0"/>
    <w:rsid w:val="00887250"/>
    <w:rsid w:val="0088735D"/>
    <w:rsid w:val="0088736A"/>
    <w:rsid w:val="008873FD"/>
    <w:rsid w:val="0088740A"/>
    <w:rsid w:val="00887507"/>
    <w:rsid w:val="00887579"/>
    <w:rsid w:val="008875C1"/>
    <w:rsid w:val="008875CF"/>
    <w:rsid w:val="008876AF"/>
    <w:rsid w:val="00887759"/>
    <w:rsid w:val="0088775A"/>
    <w:rsid w:val="0088776C"/>
    <w:rsid w:val="008877D4"/>
    <w:rsid w:val="00887865"/>
    <w:rsid w:val="00887887"/>
    <w:rsid w:val="008878F8"/>
    <w:rsid w:val="00887924"/>
    <w:rsid w:val="00887970"/>
    <w:rsid w:val="008879CF"/>
    <w:rsid w:val="008879D7"/>
    <w:rsid w:val="00887A05"/>
    <w:rsid w:val="00887A36"/>
    <w:rsid w:val="00887AC7"/>
    <w:rsid w:val="00887B0F"/>
    <w:rsid w:val="00887C34"/>
    <w:rsid w:val="00887C55"/>
    <w:rsid w:val="00887CCC"/>
    <w:rsid w:val="00887D72"/>
    <w:rsid w:val="00887E0B"/>
    <w:rsid w:val="00887E12"/>
    <w:rsid w:val="00887E2C"/>
    <w:rsid w:val="00887EE9"/>
    <w:rsid w:val="00887F15"/>
    <w:rsid w:val="00887F7A"/>
    <w:rsid w:val="00887F7F"/>
    <w:rsid w:val="00887FC0"/>
    <w:rsid w:val="00887FE7"/>
    <w:rsid w:val="00890097"/>
    <w:rsid w:val="008900ED"/>
    <w:rsid w:val="00890106"/>
    <w:rsid w:val="008901D2"/>
    <w:rsid w:val="008901DA"/>
    <w:rsid w:val="00890295"/>
    <w:rsid w:val="008902B9"/>
    <w:rsid w:val="008902D1"/>
    <w:rsid w:val="0089031F"/>
    <w:rsid w:val="0089039B"/>
    <w:rsid w:val="008903EF"/>
    <w:rsid w:val="008904BC"/>
    <w:rsid w:val="008904C4"/>
    <w:rsid w:val="008904CF"/>
    <w:rsid w:val="0089051C"/>
    <w:rsid w:val="00890535"/>
    <w:rsid w:val="008905AF"/>
    <w:rsid w:val="008906BE"/>
    <w:rsid w:val="0089074F"/>
    <w:rsid w:val="0089079B"/>
    <w:rsid w:val="0089081E"/>
    <w:rsid w:val="008908B3"/>
    <w:rsid w:val="00890912"/>
    <w:rsid w:val="00890947"/>
    <w:rsid w:val="0089094E"/>
    <w:rsid w:val="00890A11"/>
    <w:rsid w:val="00890A3D"/>
    <w:rsid w:val="00890A64"/>
    <w:rsid w:val="00890A95"/>
    <w:rsid w:val="00890B12"/>
    <w:rsid w:val="00890BB8"/>
    <w:rsid w:val="00890C1A"/>
    <w:rsid w:val="00890C38"/>
    <w:rsid w:val="00890D0C"/>
    <w:rsid w:val="00890D65"/>
    <w:rsid w:val="00890D7F"/>
    <w:rsid w:val="00890D98"/>
    <w:rsid w:val="00890D9B"/>
    <w:rsid w:val="00890DCA"/>
    <w:rsid w:val="00890DE7"/>
    <w:rsid w:val="00890E0F"/>
    <w:rsid w:val="00890E29"/>
    <w:rsid w:val="00890E4E"/>
    <w:rsid w:val="00890ECA"/>
    <w:rsid w:val="00890F08"/>
    <w:rsid w:val="00890F19"/>
    <w:rsid w:val="00890F3A"/>
    <w:rsid w:val="00890FB1"/>
    <w:rsid w:val="00890FD1"/>
    <w:rsid w:val="00890FFD"/>
    <w:rsid w:val="00891129"/>
    <w:rsid w:val="008911B4"/>
    <w:rsid w:val="00891223"/>
    <w:rsid w:val="00891237"/>
    <w:rsid w:val="00891347"/>
    <w:rsid w:val="00891359"/>
    <w:rsid w:val="00891370"/>
    <w:rsid w:val="00891392"/>
    <w:rsid w:val="008913F9"/>
    <w:rsid w:val="0089143C"/>
    <w:rsid w:val="008914CF"/>
    <w:rsid w:val="008914EB"/>
    <w:rsid w:val="00891549"/>
    <w:rsid w:val="00891559"/>
    <w:rsid w:val="008915E5"/>
    <w:rsid w:val="008916AD"/>
    <w:rsid w:val="008916C3"/>
    <w:rsid w:val="0089173A"/>
    <w:rsid w:val="008917D8"/>
    <w:rsid w:val="008917E6"/>
    <w:rsid w:val="00891803"/>
    <w:rsid w:val="008918D9"/>
    <w:rsid w:val="008918FC"/>
    <w:rsid w:val="00891908"/>
    <w:rsid w:val="0089191D"/>
    <w:rsid w:val="0089195B"/>
    <w:rsid w:val="008919A7"/>
    <w:rsid w:val="00891A61"/>
    <w:rsid w:val="00891A6F"/>
    <w:rsid w:val="00891AAD"/>
    <w:rsid w:val="00891B34"/>
    <w:rsid w:val="00891B83"/>
    <w:rsid w:val="00891BD4"/>
    <w:rsid w:val="00891C1B"/>
    <w:rsid w:val="00891C34"/>
    <w:rsid w:val="00891C50"/>
    <w:rsid w:val="00891CAF"/>
    <w:rsid w:val="00891D25"/>
    <w:rsid w:val="00891D2F"/>
    <w:rsid w:val="00891D9D"/>
    <w:rsid w:val="00891F1A"/>
    <w:rsid w:val="00891F5B"/>
    <w:rsid w:val="00891F6F"/>
    <w:rsid w:val="00891F73"/>
    <w:rsid w:val="00891F7C"/>
    <w:rsid w:val="00891F9D"/>
    <w:rsid w:val="00891FC8"/>
    <w:rsid w:val="00892003"/>
    <w:rsid w:val="0089200E"/>
    <w:rsid w:val="00892075"/>
    <w:rsid w:val="008920AF"/>
    <w:rsid w:val="0089218C"/>
    <w:rsid w:val="008921C2"/>
    <w:rsid w:val="0089228C"/>
    <w:rsid w:val="008922E7"/>
    <w:rsid w:val="00892324"/>
    <w:rsid w:val="00892356"/>
    <w:rsid w:val="008923E4"/>
    <w:rsid w:val="00892424"/>
    <w:rsid w:val="0089244D"/>
    <w:rsid w:val="008924BE"/>
    <w:rsid w:val="008925E2"/>
    <w:rsid w:val="0089260C"/>
    <w:rsid w:val="00892677"/>
    <w:rsid w:val="0089272B"/>
    <w:rsid w:val="0089273D"/>
    <w:rsid w:val="0089274F"/>
    <w:rsid w:val="00892759"/>
    <w:rsid w:val="008927A1"/>
    <w:rsid w:val="008927A4"/>
    <w:rsid w:val="008927FD"/>
    <w:rsid w:val="00892810"/>
    <w:rsid w:val="00892843"/>
    <w:rsid w:val="00892877"/>
    <w:rsid w:val="0089291A"/>
    <w:rsid w:val="00892963"/>
    <w:rsid w:val="00892968"/>
    <w:rsid w:val="008929BA"/>
    <w:rsid w:val="00892A14"/>
    <w:rsid w:val="00892A1E"/>
    <w:rsid w:val="00892A9B"/>
    <w:rsid w:val="00892AEB"/>
    <w:rsid w:val="00892AEC"/>
    <w:rsid w:val="00892B56"/>
    <w:rsid w:val="00892B66"/>
    <w:rsid w:val="00892BCC"/>
    <w:rsid w:val="00892C10"/>
    <w:rsid w:val="00892C66"/>
    <w:rsid w:val="00892D24"/>
    <w:rsid w:val="00892D77"/>
    <w:rsid w:val="00892D9D"/>
    <w:rsid w:val="00892DBD"/>
    <w:rsid w:val="00892E41"/>
    <w:rsid w:val="00892F24"/>
    <w:rsid w:val="00892FB8"/>
    <w:rsid w:val="00892FF5"/>
    <w:rsid w:val="00892FFD"/>
    <w:rsid w:val="0089303A"/>
    <w:rsid w:val="0089305F"/>
    <w:rsid w:val="00893118"/>
    <w:rsid w:val="00893169"/>
    <w:rsid w:val="00893171"/>
    <w:rsid w:val="0089319D"/>
    <w:rsid w:val="008931B2"/>
    <w:rsid w:val="008931BE"/>
    <w:rsid w:val="00893273"/>
    <w:rsid w:val="00893310"/>
    <w:rsid w:val="00893334"/>
    <w:rsid w:val="00893357"/>
    <w:rsid w:val="00893359"/>
    <w:rsid w:val="00893373"/>
    <w:rsid w:val="00893426"/>
    <w:rsid w:val="00893447"/>
    <w:rsid w:val="0089344C"/>
    <w:rsid w:val="0089348E"/>
    <w:rsid w:val="008934AE"/>
    <w:rsid w:val="00893526"/>
    <w:rsid w:val="008935CA"/>
    <w:rsid w:val="0089361B"/>
    <w:rsid w:val="008936C1"/>
    <w:rsid w:val="008936EF"/>
    <w:rsid w:val="00893706"/>
    <w:rsid w:val="00893727"/>
    <w:rsid w:val="008937A2"/>
    <w:rsid w:val="008937CE"/>
    <w:rsid w:val="008937F6"/>
    <w:rsid w:val="0089381F"/>
    <w:rsid w:val="008938B1"/>
    <w:rsid w:val="00893A63"/>
    <w:rsid w:val="00893A92"/>
    <w:rsid w:val="00893AAA"/>
    <w:rsid w:val="00893B0E"/>
    <w:rsid w:val="00893B73"/>
    <w:rsid w:val="00893BB2"/>
    <w:rsid w:val="00893BF5"/>
    <w:rsid w:val="00893C44"/>
    <w:rsid w:val="00893CD3"/>
    <w:rsid w:val="00893CD9"/>
    <w:rsid w:val="00893D17"/>
    <w:rsid w:val="00893D4C"/>
    <w:rsid w:val="00893D53"/>
    <w:rsid w:val="00893D70"/>
    <w:rsid w:val="00893DA9"/>
    <w:rsid w:val="00893DB0"/>
    <w:rsid w:val="00893DCC"/>
    <w:rsid w:val="00893E27"/>
    <w:rsid w:val="00893E5F"/>
    <w:rsid w:val="00893EFC"/>
    <w:rsid w:val="00893F38"/>
    <w:rsid w:val="00893F93"/>
    <w:rsid w:val="00893F9D"/>
    <w:rsid w:val="00893FDD"/>
    <w:rsid w:val="00893FF5"/>
    <w:rsid w:val="0089403C"/>
    <w:rsid w:val="00894076"/>
    <w:rsid w:val="008940BC"/>
    <w:rsid w:val="008940EA"/>
    <w:rsid w:val="00894157"/>
    <w:rsid w:val="0089418E"/>
    <w:rsid w:val="00894193"/>
    <w:rsid w:val="00894266"/>
    <w:rsid w:val="00894277"/>
    <w:rsid w:val="0089432C"/>
    <w:rsid w:val="00894344"/>
    <w:rsid w:val="00894383"/>
    <w:rsid w:val="0089442D"/>
    <w:rsid w:val="00894474"/>
    <w:rsid w:val="00894487"/>
    <w:rsid w:val="008944A0"/>
    <w:rsid w:val="00894522"/>
    <w:rsid w:val="00894587"/>
    <w:rsid w:val="0089458B"/>
    <w:rsid w:val="008945E1"/>
    <w:rsid w:val="008945F1"/>
    <w:rsid w:val="008946F3"/>
    <w:rsid w:val="00894761"/>
    <w:rsid w:val="0089492D"/>
    <w:rsid w:val="00894943"/>
    <w:rsid w:val="00894961"/>
    <w:rsid w:val="008949E2"/>
    <w:rsid w:val="008949EA"/>
    <w:rsid w:val="00894A86"/>
    <w:rsid w:val="00894ACC"/>
    <w:rsid w:val="00894AEE"/>
    <w:rsid w:val="00894BA6"/>
    <w:rsid w:val="00894C17"/>
    <w:rsid w:val="00894CB5"/>
    <w:rsid w:val="00894E72"/>
    <w:rsid w:val="00894E9D"/>
    <w:rsid w:val="00894EB5"/>
    <w:rsid w:val="00894ED1"/>
    <w:rsid w:val="00894EEF"/>
    <w:rsid w:val="00894F1D"/>
    <w:rsid w:val="00894F99"/>
    <w:rsid w:val="00894FAC"/>
    <w:rsid w:val="00894FED"/>
    <w:rsid w:val="00895016"/>
    <w:rsid w:val="00895029"/>
    <w:rsid w:val="00895039"/>
    <w:rsid w:val="008950A0"/>
    <w:rsid w:val="008950D4"/>
    <w:rsid w:val="00895106"/>
    <w:rsid w:val="0089515C"/>
    <w:rsid w:val="008951C4"/>
    <w:rsid w:val="00895204"/>
    <w:rsid w:val="008952AF"/>
    <w:rsid w:val="00895304"/>
    <w:rsid w:val="00895343"/>
    <w:rsid w:val="00895351"/>
    <w:rsid w:val="00895398"/>
    <w:rsid w:val="008953AD"/>
    <w:rsid w:val="008953B5"/>
    <w:rsid w:val="00895402"/>
    <w:rsid w:val="008954CA"/>
    <w:rsid w:val="008954E4"/>
    <w:rsid w:val="008955B1"/>
    <w:rsid w:val="008955CE"/>
    <w:rsid w:val="008955E2"/>
    <w:rsid w:val="008955EC"/>
    <w:rsid w:val="008955EE"/>
    <w:rsid w:val="008955FF"/>
    <w:rsid w:val="00895636"/>
    <w:rsid w:val="00895652"/>
    <w:rsid w:val="008956AB"/>
    <w:rsid w:val="00895723"/>
    <w:rsid w:val="00895843"/>
    <w:rsid w:val="00895940"/>
    <w:rsid w:val="008959C0"/>
    <w:rsid w:val="00895A0A"/>
    <w:rsid w:val="00895AA1"/>
    <w:rsid w:val="00895AFE"/>
    <w:rsid w:val="00895B74"/>
    <w:rsid w:val="00895B7C"/>
    <w:rsid w:val="00895BEA"/>
    <w:rsid w:val="00895C05"/>
    <w:rsid w:val="00895C51"/>
    <w:rsid w:val="00895CD2"/>
    <w:rsid w:val="00895D0C"/>
    <w:rsid w:val="00895E0F"/>
    <w:rsid w:val="00895E1B"/>
    <w:rsid w:val="00895EC1"/>
    <w:rsid w:val="00895F5D"/>
    <w:rsid w:val="00895F6A"/>
    <w:rsid w:val="00896034"/>
    <w:rsid w:val="0089606B"/>
    <w:rsid w:val="008960E9"/>
    <w:rsid w:val="00896108"/>
    <w:rsid w:val="00896145"/>
    <w:rsid w:val="00896181"/>
    <w:rsid w:val="0089619E"/>
    <w:rsid w:val="008962D1"/>
    <w:rsid w:val="00896316"/>
    <w:rsid w:val="008963AB"/>
    <w:rsid w:val="008963CB"/>
    <w:rsid w:val="008963D7"/>
    <w:rsid w:val="00896479"/>
    <w:rsid w:val="0089648B"/>
    <w:rsid w:val="008964B1"/>
    <w:rsid w:val="008964C7"/>
    <w:rsid w:val="008964D9"/>
    <w:rsid w:val="0089659E"/>
    <w:rsid w:val="0089661F"/>
    <w:rsid w:val="0089669B"/>
    <w:rsid w:val="008966C2"/>
    <w:rsid w:val="008967C5"/>
    <w:rsid w:val="008968B4"/>
    <w:rsid w:val="008968E4"/>
    <w:rsid w:val="008968FD"/>
    <w:rsid w:val="00896A8F"/>
    <w:rsid w:val="00896B61"/>
    <w:rsid w:val="00896BC7"/>
    <w:rsid w:val="00896D00"/>
    <w:rsid w:val="00896D44"/>
    <w:rsid w:val="00896D4D"/>
    <w:rsid w:val="00896DB8"/>
    <w:rsid w:val="00896E5B"/>
    <w:rsid w:val="00896E74"/>
    <w:rsid w:val="00896ED0"/>
    <w:rsid w:val="00896EE6"/>
    <w:rsid w:val="00896EEA"/>
    <w:rsid w:val="00896EEF"/>
    <w:rsid w:val="00896F1B"/>
    <w:rsid w:val="00896F37"/>
    <w:rsid w:val="00896FA2"/>
    <w:rsid w:val="00896FA7"/>
    <w:rsid w:val="00896FB1"/>
    <w:rsid w:val="00896FF5"/>
    <w:rsid w:val="0089700D"/>
    <w:rsid w:val="008970B1"/>
    <w:rsid w:val="00897155"/>
    <w:rsid w:val="00897173"/>
    <w:rsid w:val="00897248"/>
    <w:rsid w:val="008972A2"/>
    <w:rsid w:val="008972FF"/>
    <w:rsid w:val="00897337"/>
    <w:rsid w:val="008973DC"/>
    <w:rsid w:val="008973E5"/>
    <w:rsid w:val="0089743E"/>
    <w:rsid w:val="0089744A"/>
    <w:rsid w:val="00897466"/>
    <w:rsid w:val="008974FD"/>
    <w:rsid w:val="008975C1"/>
    <w:rsid w:val="008975D6"/>
    <w:rsid w:val="0089761D"/>
    <w:rsid w:val="00897652"/>
    <w:rsid w:val="008976A5"/>
    <w:rsid w:val="008977EB"/>
    <w:rsid w:val="008978AA"/>
    <w:rsid w:val="0089790B"/>
    <w:rsid w:val="0089793C"/>
    <w:rsid w:val="00897971"/>
    <w:rsid w:val="00897A1B"/>
    <w:rsid w:val="00897A42"/>
    <w:rsid w:val="00897A75"/>
    <w:rsid w:val="00897BC9"/>
    <w:rsid w:val="00897BD9"/>
    <w:rsid w:val="00897CD3"/>
    <w:rsid w:val="00897D31"/>
    <w:rsid w:val="00897E2D"/>
    <w:rsid w:val="00897E42"/>
    <w:rsid w:val="00897E4D"/>
    <w:rsid w:val="00897E76"/>
    <w:rsid w:val="00897EA4"/>
    <w:rsid w:val="00897F1A"/>
    <w:rsid w:val="00897F25"/>
    <w:rsid w:val="00897F46"/>
    <w:rsid w:val="00897F61"/>
    <w:rsid w:val="00897F9F"/>
    <w:rsid w:val="00897FBA"/>
    <w:rsid w:val="008A009E"/>
    <w:rsid w:val="008A00A7"/>
    <w:rsid w:val="008A00C0"/>
    <w:rsid w:val="008A0192"/>
    <w:rsid w:val="008A01E4"/>
    <w:rsid w:val="008A02D5"/>
    <w:rsid w:val="008A033C"/>
    <w:rsid w:val="008A034C"/>
    <w:rsid w:val="008A0372"/>
    <w:rsid w:val="008A0396"/>
    <w:rsid w:val="008A03B7"/>
    <w:rsid w:val="008A03CB"/>
    <w:rsid w:val="008A03F4"/>
    <w:rsid w:val="008A0441"/>
    <w:rsid w:val="008A045E"/>
    <w:rsid w:val="008A0472"/>
    <w:rsid w:val="008A04EA"/>
    <w:rsid w:val="008A056C"/>
    <w:rsid w:val="008A057E"/>
    <w:rsid w:val="008A05C1"/>
    <w:rsid w:val="008A05C5"/>
    <w:rsid w:val="008A05E9"/>
    <w:rsid w:val="008A05EC"/>
    <w:rsid w:val="008A05FC"/>
    <w:rsid w:val="008A0620"/>
    <w:rsid w:val="008A06B3"/>
    <w:rsid w:val="008A06F8"/>
    <w:rsid w:val="008A076D"/>
    <w:rsid w:val="008A0788"/>
    <w:rsid w:val="008A078D"/>
    <w:rsid w:val="008A0797"/>
    <w:rsid w:val="008A082E"/>
    <w:rsid w:val="008A0844"/>
    <w:rsid w:val="008A0845"/>
    <w:rsid w:val="008A0881"/>
    <w:rsid w:val="008A0910"/>
    <w:rsid w:val="008A093C"/>
    <w:rsid w:val="008A0A04"/>
    <w:rsid w:val="008A0A64"/>
    <w:rsid w:val="008A0AC3"/>
    <w:rsid w:val="008A0AC4"/>
    <w:rsid w:val="008A0AD1"/>
    <w:rsid w:val="008A0B1F"/>
    <w:rsid w:val="008A0BFD"/>
    <w:rsid w:val="008A0C24"/>
    <w:rsid w:val="008A0CAA"/>
    <w:rsid w:val="008A0CC0"/>
    <w:rsid w:val="008A0D20"/>
    <w:rsid w:val="008A0D45"/>
    <w:rsid w:val="008A0D5F"/>
    <w:rsid w:val="008A0D67"/>
    <w:rsid w:val="008A0E00"/>
    <w:rsid w:val="008A0E29"/>
    <w:rsid w:val="008A0E5B"/>
    <w:rsid w:val="008A0EF4"/>
    <w:rsid w:val="008A0F26"/>
    <w:rsid w:val="008A0F2A"/>
    <w:rsid w:val="008A0F37"/>
    <w:rsid w:val="008A0F7F"/>
    <w:rsid w:val="008A0FB0"/>
    <w:rsid w:val="008A102C"/>
    <w:rsid w:val="008A1037"/>
    <w:rsid w:val="008A10A8"/>
    <w:rsid w:val="008A1106"/>
    <w:rsid w:val="008A114D"/>
    <w:rsid w:val="008A116C"/>
    <w:rsid w:val="008A117B"/>
    <w:rsid w:val="008A11AE"/>
    <w:rsid w:val="008A126E"/>
    <w:rsid w:val="008A12C3"/>
    <w:rsid w:val="008A1383"/>
    <w:rsid w:val="008A1387"/>
    <w:rsid w:val="008A13FE"/>
    <w:rsid w:val="008A1445"/>
    <w:rsid w:val="008A14CA"/>
    <w:rsid w:val="008A160C"/>
    <w:rsid w:val="008A173A"/>
    <w:rsid w:val="008A1813"/>
    <w:rsid w:val="008A1831"/>
    <w:rsid w:val="008A1973"/>
    <w:rsid w:val="008A19BC"/>
    <w:rsid w:val="008A1A12"/>
    <w:rsid w:val="008A1A4B"/>
    <w:rsid w:val="008A1A70"/>
    <w:rsid w:val="008A1B7F"/>
    <w:rsid w:val="008A1BD2"/>
    <w:rsid w:val="008A1D4C"/>
    <w:rsid w:val="008A1D50"/>
    <w:rsid w:val="008A1D84"/>
    <w:rsid w:val="008A1D92"/>
    <w:rsid w:val="008A1E01"/>
    <w:rsid w:val="008A1E93"/>
    <w:rsid w:val="008A1F59"/>
    <w:rsid w:val="008A1F80"/>
    <w:rsid w:val="008A205F"/>
    <w:rsid w:val="008A20B2"/>
    <w:rsid w:val="008A2187"/>
    <w:rsid w:val="008A21A0"/>
    <w:rsid w:val="008A21CB"/>
    <w:rsid w:val="008A222D"/>
    <w:rsid w:val="008A22A9"/>
    <w:rsid w:val="008A23AD"/>
    <w:rsid w:val="008A247C"/>
    <w:rsid w:val="008A2480"/>
    <w:rsid w:val="008A24A9"/>
    <w:rsid w:val="008A24BE"/>
    <w:rsid w:val="008A25A0"/>
    <w:rsid w:val="008A25E8"/>
    <w:rsid w:val="008A26DB"/>
    <w:rsid w:val="008A2700"/>
    <w:rsid w:val="008A2722"/>
    <w:rsid w:val="008A2839"/>
    <w:rsid w:val="008A2858"/>
    <w:rsid w:val="008A2879"/>
    <w:rsid w:val="008A28AD"/>
    <w:rsid w:val="008A2A02"/>
    <w:rsid w:val="008A2A18"/>
    <w:rsid w:val="008A2A37"/>
    <w:rsid w:val="008A2B1F"/>
    <w:rsid w:val="008A2B51"/>
    <w:rsid w:val="008A2C96"/>
    <w:rsid w:val="008A2CA9"/>
    <w:rsid w:val="008A2CFE"/>
    <w:rsid w:val="008A2CFF"/>
    <w:rsid w:val="008A2D1D"/>
    <w:rsid w:val="008A2D67"/>
    <w:rsid w:val="008A2D6C"/>
    <w:rsid w:val="008A2E00"/>
    <w:rsid w:val="008A2ED0"/>
    <w:rsid w:val="008A2ED8"/>
    <w:rsid w:val="008A2F2D"/>
    <w:rsid w:val="008A2F3A"/>
    <w:rsid w:val="008A2FA1"/>
    <w:rsid w:val="008A2FC5"/>
    <w:rsid w:val="008A301C"/>
    <w:rsid w:val="008A301F"/>
    <w:rsid w:val="008A3023"/>
    <w:rsid w:val="008A30B5"/>
    <w:rsid w:val="008A30E0"/>
    <w:rsid w:val="008A30F9"/>
    <w:rsid w:val="008A312B"/>
    <w:rsid w:val="008A31B2"/>
    <w:rsid w:val="008A31DC"/>
    <w:rsid w:val="008A326F"/>
    <w:rsid w:val="008A3296"/>
    <w:rsid w:val="008A32D2"/>
    <w:rsid w:val="008A33A9"/>
    <w:rsid w:val="008A33BC"/>
    <w:rsid w:val="008A343F"/>
    <w:rsid w:val="008A344D"/>
    <w:rsid w:val="008A34FA"/>
    <w:rsid w:val="008A3509"/>
    <w:rsid w:val="008A351E"/>
    <w:rsid w:val="008A3577"/>
    <w:rsid w:val="008A35B3"/>
    <w:rsid w:val="008A3654"/>
    <w:rsid w:val="008A3687"/>
    <w:rsid w:val="008A36C8"/>
    <w:rsid w:val="008A36FF"/>
    <w:rsid w:val="008A3723"/>
    <w:rsid w:val="008A3765"/>
    <w:rsid w:val="008A37AE"/>
    <w:rsid w:val="008A37DF"/>
    <w:rsid w:val="008A37FA"/>
    <w:rsid w:val="008A38C3"/>
    <w:rsid w:val="008A38E1"/>
    <w:rsid w:val="008A38ED"/>
    <w:rsid w:val="008A38F1"/>
    <w:rsid w:val="008A3944"/>
    <w:rsid w:val="008A3974"/>
    <w:rsid w:val="008A39B9"/>
    <w:rsid w:val="008A3A9E"/>
    <w:rsid w:val="008A3ABE"/>
    <w:rsid w:val="008A3AC8"/>
    <w:rsid w:val="008A3B0E"/>
    <w:rsid w:val="008A3BA5"/>
    <w:rsid w:val="008A3BBB"/>
    <w:rsid w:val="008A3C88"/>
    <w:rsid w:val="008A3C8D"/>
    <w:rsid w:val="008A3CE0"/>
    <w:rsid w:val="008A3CF4"/>
    <w:rsid w:val="008A3D16"/>
    <w:rsid w:val="008A3D38"/>
    <w:rsid w:val="008A3D3B"/>
    <w:rsid w:val="008A3D55"/>
    <w:rsid w:val="008A3D72"/>
    <w:rsid w:val="008A3DF6"/>
    <w:rsid w:val="008A3E8A"/>
    <w:rsid w:val="008A3EB3"/>
    <w:rsid w:val="008A3F25"/>
    <w:rsid w:val="008A404D"/>
    <w:rsid w:val="008A4077"/>
    <w:rsid w:val="008A409C"/>
    <w:rsid w:val="008A40C0"/>
    <w:rsid w:val="008A4107"/>
    <w:rsid w:val="008A416A"/>
    <w:rsid w:val="008A4195"/>
    <w:rsid w:val="008A41CE"/>
    <w:rsid w:val="008A4228"/>
    <w:rsid w:val="008A42A6"/>
    <w:rsid w:val="008A42DF"/>
    <w:rsid w:val="008A432A"/>
    <w:rsid w:val="008A4368"/>
    <w:rsid w:val="008A4386"/>
    <w:rsid w:val="008A4421"/>
    <w:rsid w:val="008A44B6"/>
    <w:rsid w:val="008A4561"/>
    <w:rsid w:val="008A4563"/>
    <w:rsid w:val="008A4596"/>
    <w:rsid w:val="008A45DA"/>
    <w:rsid w:val="008A4637"/>
    <w:rsid w:val="008A4642"/>
    <w:rsid w:val="008A4705"/>
    <w:rsid w:val="008A477D"/>
    <w:rsid w:val="008A478C"/>
    <w:rsid w:val="008A47E3"/>
    <w:rsid w:val="008A4860"/>
    <w:rsid w:val="008A488C"/>
    <w:rsid w:val="008A48A7"/>
    <w:rsid w:val="008A4930"/>
    <w:rsid w:val="008A4983"/>
    <w:rsid w:val="008A4A52"/>
    <w:rsid w:val="008A4A7D"/>
    <w:rsid w:val="008A4AEB"/>
    <w:rsid w:val="008A4C24"/>
    <w:rsid w:val="008A4C2B"/>
    <w:rsid w:val="008A4CB6"/>
    <w:rsid w:val="008A4CB7"/>
    <w:rsid w:val="008A4E22"/>
    <w:rsid w:val="008A4E53"/>
    <w:rsid w:val="008A4E5B"/>
    <w:rsid w:val="008A4E63"/>
    <w:rsid w:val="008A4EB3"/>
    <w:rsid w:val="008A4F39"/>
    <w:rsid w:val="008A4F4A"/>
    <w:rsid w:val="008A4F8A"/>
    <w:rsid w:val="008A4FFC"/>
    <w:rsid w:val="008A5055"/>
    <w:rsid w:val="008A507C"/>
    <w:rsid w:val="008A507E"/>
    <w:rsid w:val="008A50B2"/>
    <w:rsid w:val="008A512B"/>
    <w:rsid w:val="008A524C"/>
    <w:rsid w:val="008A52E3"/>
    <w:rsid w:val="008A52E5"/>
    <w:rsid w:val="008A53DA"/>
    <w:rsid w:val="008A542D"/>
    <w:rsid w:val="008A547E"/>
    <w:rsid w:val="008A549F"/>
    <w:rsid w:val="008A5522"/>
    <w:rsid w:val="008A558F"/>
    <w:rsid w:val="008A559E"/>
    <w:rsid w:val="008A55EB"/>
    <w:rsid w:val="008A563E"/>
    <w:rsid w:val="008A564B"/>
    <w:rsid w:val="008A5677"/>
    <w:rsid w:val="008A56A3"/>
    <w:rsid w:val="008A5757"/>
    <w:rsid w:val="008A57A8"/>
    <w:rsid w:val="008A5837"/>
    <w:rsid w:val="008A589D"/>
    <w:rsid w:val="008A58A8"/>
    <w:rsid w:val="008A58FD"/>
    <w:rsid w:val="008A5933"/>
    <w:rsid w:val="008A59DD"/>
    <w:rsid w:val="008A59E5"/>
    <w:rsid w:val="008A5AFD"/>
    <w:rsid w:val="008A5B21"/>
    <w:rsid w:val="008A5B81"/>
    <w:rsid w:val="008A5B9A"/>
    <w:rsid w:val="008A5C40"/>
    <w:rsid w:val="008A5D61"/>
    <w:rsid w:val="008A5E22"/>
    <w:rsid w:val="008A5E42"/>
    <w:rsid w:val="008A5F0E"/>
    <w:rsid w:val="008A5F77"/>
    <w:rsid w:val="008A5F9F"/>
    <w:rsid w:val="008A5FA4"/>
    <w:rsid w:val="008A5FAC"/>
    <w:rsid w:val="008A5FB3"/>
    <w:rsid w:val="008A5FEE"/>
    <w:rsid w:val="008A5FFD"/>
    <w:rsid w:val="008A6075"/>
    <w:rsid w:val="008A60BC"/>
    <w:rsid w:val="008A61AF"/>
    <w:rsid w:val="008A6214"/>
    <w:rsid w:val="008A6250"/>
    <w:rsid w:val="008A6293"/>
    <w:rsid w:val="008A62AD"/>
    <w:rsid w:val="008A62EE"/>
    <w:rsid w:val="008A62F4"/>
    <w:rsid w:val="008A631F"/>
    <w:rsid w:val="008A6412"/>
    <w:rsid w:val="008A64CF"/>
    <w:rsid w:val="008A64EE"/>
    <w:rsid w:val="008A651C"/>
    <w:rsid w:val="008A6539"/>
    <w:rsid w:val="008A6547"/>
    <w:rsid w:val="008A65B0"/>
    <w:rsid w:val="008A661C"/>
    <w:rsid w:val="008A6680"/>
    <w:rsid w:val="008A6708"/>
    <w:rsid w:val="008A6729"/>
    <w:rsid w:val="008A67A2"/>
    <w:rsid w:val="008A6828"/>
    <w:rsid w:val="008A685D"/>
    <w:rsid w:val="008A68E0"/>
    <w:rsid w:val="008A6A96"/>
    <w:rsid w:val="008A6AF5"/>
    <w:rsid w:val="008A6B17"/>
    <w:rsid w:val="008A6B27"/>
    <w:rsid w:val="008A6B28"/>
    <w:rsid w:val="008A6BDB"/>
    <w:rsid w:val="008A6CD7"/>
    <w:rsid w:val="008A6DE2"/>
    <w:rsid w:val="008A6E1D"/>
    <w:rsid w:val="008A6E25"/>
    <w:rsid w:val="008A6EC4"/>
    <w:rsid w:val="008A6EE2"/>
    <w:rsid w:val="008A6F93"/>
    <w:rsid w:val="008A70EF"/>
    <w:rsid w:val="008A711D"/>
    <w:rsid w:val="008A7129"/>
    <w:rsid w:val="008A7172"/>
    <w:rsid w:val="008A7186"/>
    <w:rsid w:val="008A7189"/>
    <w:rsid w:val="008A727A"/>
    <w:rsid w:val="008A72AE"/>
    <w:rsid w:val="008A7346"/>
    <w:rsid w:val="008A738A"/>
    <w:rsid w:val="008A73F2"/>
    <w:rsid w:val="008A745F"/>
    <w:rsid w:val="008A7502"/>
    <w:rsid w:val="008A7554"/>
    <w:rsid w:val="008A75B5"/>
    <w:rsid w:val="008A75FC"/>
    <w:rsid w:val="008A7628"/>
    <w:rsid w:val="008A764F"/>
    <w:rsid w:val="008A767A"/>
    <w:rsid w:val="008A777F"/>
    <w:rsid w:val="008A77EC"/>
    <w:rsid w:val="008A7846"/>
    <w:rsid w:val="008A7847"/>
    <w:rsid w:val="008A784A"/>
    <w:rsid w:val="008A7864"/>
    <w:rsid w:val="008A7866"/>
    <w:rsid w:val="008A794E"/>
    <w:rsid w:val="008A79C7"/>
    <w:rsid w:val="008A7A45"/>
    <w:rsid w:val="008A7A4F"/>
    <w:rsid w:val="008A7AA1"/>
    <w:rsid w:val="008A7AAA"/>
    <w:rsid w:val="008A7B5A"/>
    <w:rsid w:val="008A7BDA"/>
    <w:rsid w:val="008A7BF9"/>
    <w:rsid w:val="008A7BFC"/>
    <w:rsid w:val="008A7C0F"/>
    <w:rsid w:val="008A7C43"/>
    <w:rsid w:val="008A7C5F"/>
    <w:rsid w:val="008A7CD3"/>
    <w:rsid w:val="008A7CDD"/>
    <w:rsid w:val="008A7CF6"/>
    <w:rsid w:val="008A7D18"/>
    <w:rsid w:val="008A7DB3"/>
    <w:rsid w:val="008A7E82"/>
    <w:rsid w:val="008A7E91"/>
    <w:rsid w:val="008A7F6A"/>
    <w:rsid w:val="008B002F"/>
    <w:rsid w:val="008B0030"/>
    <w:rsid w:val="008B0099"/>
    <w:rsid w:val="008B0109"/>
    <w:rsid w:val="008B0134"/>
    <w:rsid w:val="008B0228"/>
    <w:rsid w:val="008B02FC"/>
    <w:rsid w:val="008B030E"/>
    <w:rsid w:val="008B037B"/>
    <w:rsid w:val="008B050E"/>
    <w:rsid w:val="008B0635"/>
    <w:rsid w:val="008B07EF"/>
    <w:rsid w:val="008B0804"/>
    <w:rsid w:val="008B0896"/>
    <w:rsid w:val="008B08F4"/>
    <w:rsid w:val="008B0914"/>
    <w:rsid w:val="008B0937"/>
    <w:rsid w:val="008B0973"/>
    <w:rsid w:val="008B0A33"/>
    <w:rsid w:val="008B0A7F"/>
    <w:rsid w:val="008B0AF7"/>
    <w:rsid w:val="008B0B19"/>
    <w:rsid w:val="008B0BA0"/>
    <w:rsid w:val="008B0BAB"/>
    <w:rsid w:val="008B0C34"/>
    <w:rsid w:val="008B0C59"/>
    <w:rsid w:val="008B0D05"/>
    <w:rsid w:val="008B0D98"/>
    <w:rsid w:val="008B0EFA"/>
    <w:rsid w:val="008B0F04"/>
    <w:rsid w:val="008B0F28"/>
    <w:rsid w:val="008B0F2C"/>
    <w:rsid w:val="008B0F49"/>
    <w:rsid w:val="008B0FEA"/>
    <w:rsid w:val="008B1028"/>
    <w:rsid w:val="008B10AC"/>
    <w:rsid w:val="008B11D9"/>
    <w:rsid w:val="008B1203"/>
    <w:rsid w:val="008B1210"/>
    <w:rsid w:val="008B1306"/>
    <w:rsid w:val="008B130C"/>
    <w:rsid w:val="008B1414"/>
    <w:rsid w:val="008B1454"/>
    <w:rsid w:val="008B14FF"/>
    <w:rsid w:val="008B1550"/>
    <w:rsid w:val="008B1587"/>
    <w:rsid w:val="008B1661"/>
    <w:rsid w:val="008B167D"/>
    <w:rsid w:val="008B16A2"/>
    <w:rsid w:val="008B16BE"/>
    <w:rsid w:val="008B16C1"/>
    <w:rsid w:val="008B170E"/>
    <w:rsid w:val="008B1769"/>
    <w:rsid w:val="008B1784"/>
    <w:rsid w:val="008B17C7"/>
    <w:rsid w:val="008B17E3"/>
    <w:rsid w:val="008B17EC"/>
    <w:rsid w:val="008B1854"/>
    <w:rsid w:val="008B18D1"/>
    <w:rsid w:val="008B18E6"/>
    <w:rsid w:val="008B1909"/>
    <w:rsid w:val="008B1922"/>
    <w:rsid w:val="008B192A"/>
    <w:rsid w:val="008B1949"/>
    <w:rsid w:val="008B197A"/>
    <w:rsid w:val="008B19BC"/>
    <w:rsid w:val="008B1A1C"/>
    <w:rsid w:val="008B1A79"/>
    <w:rsid w:val="008B1ACE"/>
    <w:rsid w:val="008B1B32"/>
    <w:rsid w:val="008B1B3F"/>
    <w:rsid w:val="008B1B51"/>
    <w:rsid w:val="008B1B8F"/>
    <w:rsid w:val="008B1CBC"/>
    <w:rsid w:val="008B1CDD"/>
    <w:rsid w:val="008B1D87"/>
    <w:rsid w:val="008B1D9D"/>
    <w:rsid w:val="008B1DB8"/>
    <w:rsid w:val="008B1E2C"/>
    <w:rsid w:val="008B1EB5"/>
    <w:rsid w:val="008B1F0C"/>
    <w:rsid w:val="008B1F26"/>
    <w:rsid w:val="008B1F48"/>
    <w:rsid w:val="008B1F78"/>
    <w:rsid w:val="008B1FA7"/>
    <w:rsid w:val="008B1FF3"/>
    <w:rsid w:val="008B2068"/>
    <w:rsid w:val="008B20B9"/>
    <w:rsid w:val="008B20CF"/>
    <w:rsid w:val="008B213D"/>
    <w:rsid w:val="008B216F"/>
    <w:rsid w:val="008B225A"/>
    <w:rsid w:val="008B225E"/>
    <w:rsid w:val="008B22C6"/>
    <w:rsid w:val="008B22F0"/>
    <w:rsid w:val="008B22F7"/>
    <w:rsid w:val="008B236E"/>
    <w:rsid w:val="008B239B"/>
    <w:rsid w:val="008B2441"/>
    <w:rsid w:val="008B2460"/>
    <w:rsid w:val="008B256D"/>
    <w:rsid w:val="008B2582"/>
    <w:rsid w:val="008B25B5"/>
    <w:rsid w:val="008B25F9"/>
    <w:rsid w:val="008B266A"/>
    <w:rsid w:val="008B26A3"/>
    <w:rsid w:val="008B2779"/>
    <w:rsid w:val="008B2789"/>
    <w:rsid w:val="008B279F"/>
    <w:rsid w:val="008B27D1"/>
    <w:rsid w:val="008B2880"/>
    <w:rsid w:val="008B28A7"/>
    <w:rsid w:val="008B28CF"/>
    <w:rsid w:val="008B29B7"/>
    <w:rsid w:val="008B2A47"/>
    <w:rsid w:val="008B2A70"/>
    <w:rsid w:val="008B2AD2"/>
    <w:rsid w:val="008B2B55"/>
    <w:rsid w:val="008B2BE4"/>
    <w:rsid w:val="008B2CD0"/>
    <w:rsid w:val="008B2D91"/>
    <w:rsid w:val="008B2DA2"/>
    <w:rsid w:val="008B2DBF"/>
    <w:rsid w:val="008B2DC4"/>
    <w:rsid w:val="008B2E9C"/>
    <w:rsid w:val="008B2ED0"/>
    <w:rsid w:val="008B2F13"/>
    <w:rsid w:val="008B2F49"/>
    <w:rsid w:val="008B2F65"/>
    <w:rsid w:val="008B2F85"/>
    <w:rsid w:val="008B2F99"/>
    <w:rsid w:val="008B2FB9"/>
    <w:rsid w:val="008B304B"/>
    <w:rsid w:val="008B3050"/>
    <w:rsid w:val="008B308D"/>
    <w:rsid w:val="008B30A1"/>
    <w:rsid w:val="008B31B8"/>
    <w:rsid w:val="008B32CD"/>
    <w:rsid w:val="008B3312"/>
    <w:rsid w:val="008B3318"/>
    <w:rsid w:val="008B333B"/>
    <w:rsid w:val="008B33B1"/>
    <w:rsid w:val="008B349A"/>
    <w:rsid w:val="008B34AE"/>
    <w:rsid w:val="008B34EA"/>
    <w:rsid w:val="008B350E"/>
    <w:rsid w:val="008B351B"/>
    <w:rsid w:val="008B35A0"/>
    <w:rsid w:val="008B35A7"/>
    <w:rsid w:val="008B35BE"/>
    <w:rsid w:val="008B35C1"/>
    <w:rsid w:val="008B35E2"/>
    <w:rsid w:val="008B3619"/>
    <w:rsid w:val="008B361F"/>
    <w:rsid w:val="008B3652"/>
    <w:rsid w:val="008B3698"/>
    <w:rsid w:val="008B3705"/>
    <w:rsid w:val="008B3772"/>
    <w:rsid w:val="008B3776"/>
    <w:rsid w:val="008B3778"/>
    <w:rsid w:val="008B3942"/>
    <w:rsid w:val="008B3A21"/>
    <w:rsid w:val="008B3A88"/>
    <w:rsid w:val="008B3AA9"/>
    <w:rsid w:val="008B3AC7"/>
    <w:rsid w:val="008B3B65"/>
    <w:rsid w:val="008B3C1B"/>
    <w:rsid w:val="008B3C21"/>
    <w:rsid w:val="008B3C7D"/>
    <w:rsid w:val="008B3C95"/>
    <w:rsid w:val="008B3CAE"/>
    <w:rsid w:val="008B3CC8"/>
    <w:rsid w:val="008B3D00"/>
    <w:rsid w:val="008B3E24"/>
    <w:rsid w:val="008B3E3C"/>
    <w:rsid w:val="008B3F0F"/>
    <w:rsid w:val="008B3F3B"/>
    <w:rsid w:val="008B3FAA"/>
    <w:rsid w:val="008B4021"/>
    <w:rsid w:val="008B4060"/>
    <w:rsid w:val="008B406D"/>
    <w:rsid w:val="008B4084"/>
    <w:rsid w:val="008B40AB"/>
    <w:rsid w:val="008B40AE"/>
    <w:rsid w:val="008B40BC"/>
    <w:rsid w:val="008B4170"/>
    <w:rsid w:val="008B4184"/>
    <w:rsid w:val="008B420F"/>
    <w:rsid w:val="008B422E"/>
    <w:rsid w:val="008B42AF"/>
    <w:rsid w:val="008B43AE"/>
    <w:rsid w:val="008B443A"/>
    <w:rsid w:val="008B445A"/>
    <w:rsid w:val="008B44BF"/>
    <w:rsid w:val="008B45AD"/>
    <w:rsid w:val="008B4634"/>
    <w:rsid w:val="008B473D"/>
    <w:rsid w:val="008B4799"/>
    <w:rsid w:val="008B47C2"/>
    <w:rsid w:val="008B491E"/>
    <w:rsid w:val="008B496D"/>
    <w:rsid w:val="008B49DB"/>
    <w:rsid w:val="008B4A6A"/>
    <w:rsid w:val="008B4B75"/>
    <w:rsid w:val="008B4BE4"/>
    <w:rsid w:val="008B4C61"/>
    <w:rsid w:val="008B4CEC"/>
    <w:rsid w:val="008B4D99"/>
    <w:rsid w:val="008B4DB1"/>
    <w:rsid w:val="008B4DE3"/>
    <w:rsid w:val="008B4DF8"/>
    <w:rsid w:val="008B4E1A"/>
    <w:rsid w:val="008B4E8C"/>
    <w:rsid w:val="008B4EE6"/>
    <w:rsid w:val="008B4F9B"/>
    <w:rsid w:val="008B4FC2"/>
    <w:rsid w:val="008B4FDA"/>
    <w:rsid w:val="008B4FF9"/>
    <w:rsid w:val="008B515C"/>
    <w:rsid w:val="008B518A"/>
    <w:rsid w:val="008B51BF"/>
    <w:rsid w:val="008B520E"/>
    <w:rsid w:val="008B5239"/>
    <w:rsid w:val="008B5274"/>
    <w:rsid w:val="008B52FC"/>
    <w:rsid w:val="008B5334"/>
    <w:rsid w:val="008B533E"/>
    <w:rsid w:val="008B5347"/>
    <w:rsid w:val="008B5361"/>
    <w:rsid w:val="008B5375"/>
    <w:rsid w:val="008B53CA"/>
    <w:rsid w:val="008B5445"/>
    <w:rsid w:val="008B54BE"/>
    <w:rsid w:val="008B5514"/>
    <w:rsid w:val="008B55B1"/>
    <w:rsid w:val="008B55B8"/>
    <w:rsid w:val="008B5666"/>
    <w:rsid w:val="008B5708"/>
    <w:rsid w:val="008B5786"/>
    <w:rsid w:val="008B5870"/>
    <w:rsid w:val="008B5877"/>
    <w:rsid w:val="008B58A8"/>
    <w:rsid w:val="008B58E0"/>
    <w:rsid w:val="008B58F8"/>
    <w:rsid w:val="008B58FB"/>
    <w:rsid w:val="008B598B"/>
    <w:rsid w:val="008B59C1"/>
    <w:rsid w:val="008B59EA"/>
    <w:rsid w:val="008B5A21"/>
    <w:rsid w:val="008B5B91"/>
    <w:rsid w:val="008B5C20"/>
    <w:rsid w:val="008B5C42"/>
    <w:rsid w:val="008B5D11"/>
    <w:rsid w:val="008B5DC7"/>
    <w:rsid w:val="008B5E7E"/>
    <w:rsid w:val="008B5F34"/>
    <w:rsid w:val="008B5F66"/>
    <w:rsid w:val="008B5FAC"/>
    <w:rsid w:val="008B60BD"/>
    <w:rsid w:val="008B6156"/>
    <w:rsid w:val="008B619D"/>
    <w:rsid w:val="008B6242"/>
    <w:rsid w:val="008B627A"/>
    <w:rsid w:val="008B62B9"/>
    <w:rsid w:val="008B633C"/>
    <w:rsid w:val="008B6360"/>
    <w:rsid w:val="008B63B6"/>
    <w:rsid w:val="008B6405"/>
    <w:rsid w:val="008B6428"/>
    <w:rsid w:val="008B64A0"/>
    <w:rsid w:val="008B64DE"/>
    <w:rsid w:val="008B655F"/>
    <w:rsid w:val="008B65B0"/>
    <w:rsid w:val="008B65BD"/>
    <w:rsid w:val="008B65C5"/>
    <w:rsid w:val="008B65CF"/>
    <w:rsid w:val="008B661B"/>
    <w:rsid w:val="008B6660"/>
    <w:rsid w:val="008B66D8"/>
    <w:rsid w:val="008B66F5"/>
    <w:rsid w:val="008B6747"/>
    <w:rsid w:val="008B674D"/>
    <w:rsid w:val="008B67A9"/>
    <w:rsid w:val="008B67C3"/>
    <w:rsid w:val="008B68AD"/>
    <w:rsid w:val="008B68E7"/>
    <w:rsid w:val="008B6971"/>
    <w:rsid w:val="008B697D"/>
    <w:rsid w:val="008B69A3"/>
    <w:rsid w:val="008B6A18"/>
    <w:rsid w:val="008B6A70"/>
    <w:rsid w:val="008B6A88"/>
    <w:rsid w:val="008B6A9F"/>
    <w:rsid w:val="008B6AB2"/>
    <w:rsid w:val="008B6B0D"/>
    <w:rsid w:val="008B6B3F"/>
    <w:rsid w:val="008B6BE4"/>
    <w:rsid w:val="008B6BEA"/>
    <w:rsid w:val="008B6C4A"/>
    <w:rsid w:val="008B6C53"/>
    <w:rsid w:val="008B6D59"/>
    <w:rsid w:val="008B6D70"/>
    <w:rsid w:val="008B6E27"/>
    <w:rsid w:val="008B6E41"/>
    <w:rsid w:val="008B6E6C"/>
    <w:rsid w:val="008B6E90"/>
    <w:rsid w:val="008B6E92"/>
    <w:rsid w:val="008B6F33"/>
    <w:rsid w:val="008B6F3D"/>
    <w:rsid w:val="008B6FA9"/>
    <w:rsid w:val="008B70C4"/>
    <w:rsid w:val="008B7133"/>
    <w:rsid w:val="008B724B"/>
    <w:rsid w:val="008B728E"/>
    <w:rsid w:val="008B735D"/>
    <w:rsid w:val="008B7376"/>
    <w:rsid w:val="008B741D"/>
    <w:rsid w:val="008B74DC"/>
    <w:rsid w:val="008B7643"/>
    <w:rsid w:val="008B7668"/>
    <w:rsid w:val="008B7686"/>
    <w:rsid w:val="008B76CC"/>
    <w:rsid w:val="008B76FE"/>
    <w:rsid w:val="008B7737"/>
    <w:rsid w:val="008B77B5"/>
    <w:rsid w:val="008B77C9"/>
    <w:rsid w:val="008B7853"/>
    <w:rsid w:val="008B797A"/>
    <w:rsid w:val="008B7A3C"/>
    <w:rsid w:val="008B7AC9"/>
    <w:rsid w:val="008B7B14"/>
    <w:rsid w:val="008B7B53"/>
    <w:rsid w:val="008B7B78"/>
    <w:rsid w:val="008B7BA7"/>
    <w:rsid w:val="008B7C32"/>
    <w:rsid w:val="008B7C47"/>
    <w:rsid w:val="008B7C8B"/>
    <w:rsid w:val="008B7D7F"/>
    <w:rsid w:val="008B7DF8"/>
    <w:rsid w:val="008B7E1F"/>
    <w:rsid w:val="008B7E7E"/>
    <w:rsid w:val="008B7E86"/>
    <w:rsid w:val="008B7F1E"/>
    <w:rsid w:val="008B7F4A"/>
    <w:rsid w:val="008B7F9D"/>
    <w:rsid w:val="008B7FE4"/>
    <w:rsid w:val="008C000A"/>
    <w:rsid w:val="008C0067"/>
    <w:rsid w:val="008C0079"/>
    <w:rsid w:val="008C0092"/>
    <w:rsid w:val="008C01B0"/>
    <w:rsid w:val="008C01C2"/>
    <w:rsid w:val="008C01E3"/>
    <w:rsid w:val="008C0224"/>
    <w:rsid w:val="008C0241"/>
    <w:rsid w:val="008C029E"/>
    <w:rsid w:val="008C02B0"/>
    <w:rsid w:val="008C02FF"/>
    <w:rsid w:val="008C0390"/>
    <w:rsid w:val="008C0431"/>
    <w:rsid w:val="008C0467"/>
    <w:rsid w:val="008C048A"/>
    <w:rsid w:val="008C04B8"/>
    <w:rsid w:val="008C050D"/>
    <w:rsid w:val="008C051E"/>
    <w:rsid w:val="008C05AA"/>
    <w:rsid w:val="008C05E6"/>
    <w:rsid w:val="008C05F3"/>
    <w:rsid w:val="008C0687"/>
    <w:rsid w:val="008C06A1"/>
    <w:rsid w:val="008C06A7"/>
    <w:rsid w:val="008C0817"/>
    <w:rsid w:val="008C086F"/>
    <w:rsid w:val="008C08DC"/>
    <w:rsid w:val="008C08DF"/>
    <w:rsid w:val="008C090A"/>
    <w:rsid w:val="008C0A32"/>
    <w:rsid w:val="008C0B4A"/>
    <w:rsid w:val="008C0B60"/>
    <w:rsid w:val="008C0BCB"/>
    <w:rsid w:val="008C0BD1"/>
    <w:rsid w:val="008C0BFE"/>
    <w:rsid w:val="008C0C3D"/>
    <w:rsid w:val="008C0C6B"/>
    <w:rsid w:val="008C0C8A"/>
    <w:rsid w:val="008C0CE3"/>
    <w:rsid w:val="008C0CF2"/>
    <w:rsid w:val="008C0CFF"/>
    <w:rsid w:val="008C0D74"/>
    <w:rsid w:val="008C0DAB"/>
    <w:rsid w:val="008C0E41"/>
    <w:rsid w:val="008C0E56"/>
    <w:rsid w:val="008C0EC5"/>
    <w:rsid w:val="008C0EDE"/>
    <w:rsid w:val="008C0EEE"/>
    <w:rsid w:val="008C1028"/>
    <w:rsid w:val="008C1239"/>
    <w:rsid w:val="008C1283"/>
    <w:rsid w:val="008C135E"/>
    <w:rsid w:val="008C136A"/>
    <w:rsid w:val="008C1379"/>
    <w:rsid w:val="008C1390"/>
    <w:rsid w:val="008C13CD"/>
    <w:rsid w:val="008C1420"/>
    <w:rsid w:val="008C1524"/>
    <w:rsid w:val="008C154F"/>
    <w:rsid w:val="008C155D"/>
    <w:rsid w:val="008C156E"/>
    <w:rsid w:val="008C1603"/>
    <w:rsid w:val="008C1635"/>
    <w:rsid w:val="008C1767"/>
    <w:rsid w:val="008C176E"/>
    <w:rsid w:val="008C1780"/>
    <w:rsid w:val="008C1781"/>
    <w:rsid w:val="008C1796"/>
    <w:rsid w:val="008C185F"/>
    <w:rsid w:val="008C1973"/>
    <w:rsid w:val="008C199E"/>
    <w:rsid w:val="008C19B9"/>
    <w:rsid w:val="008C19E8"/>
    <w:rsid w:val="008C1A52"/>
    <w:rsid w:val="008C1AAA"/>
    <w:rsid w:val="008C1AD4"/>
    <w:rsid w:val="008C1AEA"/>
    <w:rsid w:val="008C1B83"/>
    <w:rsid w:val="008C1C3B"/>
    <w:rsid w:val="008C1CD8"/>
    <w:rsid w:val="008C1CEB"/>
    <w:rsid w:val="008C1D27"/>
    <w:rsid w:val="008C1DA4"/>
    <w:rsid w:val="008C1DEF"/>
    <w:rsid w:val="008C1E05"/>
    <w:rsid w:val="008C1E09"/>
    <w:rsid w:val="008C1EF3"/>
    <w:rsid w:val="008C1F59"/>
    <w:rsid w:val="008C1F96"/>
    <w:rsid w:val="008C1FB7"/>
    <w:rsid w:val="008C1FC4"/>
    <w:rsid w:val="008C1FEF"/>
    <w:rsid w:val="008C2010"/>
    <w:rsid w:val="008C2017"/>
    <w:rsid w:val="008C2046"/>
    <w:rsid w:val="008C2086"/>
    <w:rsid w:val="008C20AA"/>
    <w:rsid w:val="008C2116"/>
    <w:rsid w:val="008C2162"/>
    <w:rsid w:val="008C2167"/>
    <w:rsid w:val="008C216E"/>
    <w:rsid w:val="008C21BB"/>
    <w:rsid w:val="008C21C6"/>
    <w:rsid w:val="008C2262"/>
    <w:rsid w:val="008C2433"/>
    <w:rsid w:val="008C246E"/>
    <w:rsid w:val="008C2521"/>
    <w:rsid w:val="008C25A9"/>
    <w:rsid w:val="008C2604"/>
    <w:rsid w:val="008C2638"/>
    <w:rsid w:val="008C2652"/>
    <w:rsid w:val="008C2677"/>
    <w:rsid w:val="008C269E"/>
    <w:rsid w:val="008C2783"/>
    <w:rsid w:val="008C27C5"/>
    <w:rsid w:val="008C27F9"/>
    <w:rsid w:val="008C2833"/>
    <w:rsid w:val="008C2920"/>
    <w:rsid w:val="008C2999"/>
    <w:rsid w:val="008C2A3F"/>
    <w:rsid w:val="008C2A4C"/>
    <w:rsid w:val="008C2AA4"/>
    <w:rsid w:val="008C2AAE"/>
    <w:rsid w:val="008C2AD2"/>
    <w:rsid w:val="008C2AFA"/>
    <w:rsid w:val="008C2CC2"/>
    <w:rsid w:val="008C2CCB"/>
    <w:rsid w:val="008C2D4B"/>
    <w:rsid w:val="008C2D61"/>
    <w:rsid w:val="008C2DEC"/>
    <w:rsid w:val="008C2E04"/>
    <w:rsid w:val="008C2E29"/>
    <w:rsid w:val="008C2E36"/>
    <w:rsid w:val="008C2E41"/>
    <w:rsid w:val="008C2E58"/>
    <w:rsid w:val="008C2ECD"/>
    <w:rsid w:val="008C2F2D"/>
    <w:rsid w:val="008C2FDC"/>
    <w:rsid w:val="008C2FE7"/>
    <w:rsid w:val="008C30EA"/>
    <w:rsid w:val="008C31B9"/>
    <w:rsid w:val="008C31EB"/>
    <w:rsid w:val="008C32BA"/>
    <w:rsid w:val="008C3301"/>
    <w:rsid w:val="008C330D"/>
    <w:rsid w:val="008C3333"/>
    <w:rsid w:val="008C3378"/>
    <w:rsid w:val="008C33BA"/>
    <w:rsid w:val="008C35E9"/>
    <w:rsid w:val="008C3679"/>
    <w:rsid w:val="008C36F5"/>
    <w:rsid w:val="008C371B"/>
    <w:rsid w:val="008C37A8"/>
    <w:rsid w:val="008C37D3"/>
    <w:rsid w:val="008C3847"/>
    <w:rsid w:val="008C386C"/>
    <w:rsid w:val="008C38B9"/>
    <w:rsid w:val="008C3918"/>
    <w:rsid w:val="008C3945"/>
    <w:rsid w:val="008C39FE"/>
    <w:rsid w:val="008C3A72"/>
    <w:rsid w:val="008C3A99"/>
    <w:rsid w:val="008C3ADA"/>
    <w:rsid w:val="008C3B54"/>
    <w:rsid w:val="008C3BBC"/>
    <w:rsid w:val="008C3BE0"/>
    <w:rsid w:val="008C3C2A"/>
    <w:rsid w:val="008C3C4F"/>
    <w:rsid w:val="008C3C93"/>
    <w:rsid w:val="008C3CE9"/>
    <w:rsid w:val="008C3D61"/>
    <w:rsid w:val="008C3DA8"/>
    <w:rsid w:val="008C3DC9"/>
    <w:rsid w:val="008C3E2B"/>
    <w:rsid w:val="008C3E72"/>
    <w:rsid w:val="008C3EA2"/>
    <w:rsid w:val="008C3ECE"/>
    <w:rsid w:val="008C3FE3"/>
    <w:rsid w:val="008C406C"/>
    <w:rsid w:val="008C4084"/>
    <w:rsid w:val="008C4138"/>
    <w:rsid w:val="008C4184"/>
    <w:rsid w:val="008C4187"/>
    <w:rsid w:val="008C41BA"/>
    <w:rsid w:val="008C41F2"/>
    <w:rsid w:val="008C41F9"/>
    <w:rsid w:val="008C42C3"/>
    <w:rsid w:val="008C42F8"/>
    <w:rsid w:val="008C4346"/>
    <w:rsid w:val="008C4364"/>
    <w:rsid w:val="008C43BD"/>
    <w:rsid w:val="008C43C7"/>
    <w:rsid w:val="008C43F5"/>
    <w:rsid w:val="008C43FA"/>
    <w:rsid w:val="008C4537"/>
    <w:rsid w:val="008C4555"/>
    <w:rsid w:val="008C4564"/>
    <w:rsid w:val="008C462E"/>
    <w:rsid w:val="008C4677"/>
    <w:rsid w:val="008C46C0"/>
    <w:rsid w:val="008C476F"/>
    <w:rsid w:val="008C47C1"/>
    <w:rsid w:val="008C47E8"/>
    <w:rsid w:val="008C4854"/>
    <w:rsid w:val="008C4855"/>
    <w:rsid w:val="008C48F7"/>
    <w:rsid w:val="008C4970"/>
    <w:rsid w:val="008C49DA"/>
    <w:rsid w:val="008C4ADC"/>
    <w:rsid w:val="008C4B25"/>
    <w:rsid w:val="008C4B93"/>
    <w:rsid w:val="008C4BB1"/>
    <w:rsid w:val="008C4BD5"/>
    <w:rsid w:val="008C4D00"/>
    <w:rsid w:val="008C4D3C"/>
    <w:rsid w:val="008C4D70"/>
    <w:rsid w:val="008C4DF2"/>
    <w:rsid w:val="008C500D"/>
    <w:rsid w:val="008C503B"/>
    <w:rsid w:val="008C506B"/>
    <w:rsid w:val="008C5090"/>
    <w:rsid w:val="008C50A8"/>
    <w:rsid w:val="008C510F"/>
    <w:rsid w:val="008C5126"/>
    <w:rsid w:val="008C5133"/>
    <w:rsid w:val="008C514D"/>
    <w:rsid w:val="008C5155"/>
    <w:rsid w:val="008C5203"/>
    <w:rsid w:val="008C52AD"/>
    <w:rsid w:val="008C5374"/>
    <w:rsid w:val="008C538D"/>
    <w:rsid w:val="008C5498"/>
    <w:rsid w:val="008C54CD"/>
    <w:rsid w:val="008C559E"/>
    <w:rsid w:val="008C55BD"/>
    <w:rsid w:val="008C560C"/>
    <w:rsid w:val="008C5610"/>
    <w:rsid w:val="008C5684"/>
    <w:rsid w:val="008C5748"/>
    <w:rsid w:val="008C584F"/>
    <w:rsid w:val="008C5856"/>
    <w:rsid w:val="008C58D2"/>
    <w:rsid w:val="008C58E3"/>
    <w:rsid w:val="008C58EC"/>
    <w:rsid w:val="008C5900"/>
    <w:rsid w:val="008C5917"/>
    <w:rsid w:val="008C597A"/>
    <w:rsid w:val="008C5A01"/>
    <w:rsid w:val="008C5A19"/>
    <w:rsid w:val="008C5AB1"/>
    <w:rsid w:val="008C5AF0"/>
    <w:rsid w:val="008C5B17"/>
    <w:rsid w:val="008C5B29"/>
    <w:rsid w:val="008C5B58"/>
    <w:rsid w:val="008C5C21"/>
    <w:rsid w:val="008C5C6B"/>
    <w:rsid w:val="008C5C6E"/>
    <w:rsid w:val="008C5D41"/>
    <w:rsid w:val="008C5D5C"/>
    <w:rsid w:val="008C5D7F"/>
    <w:rsid w:val="008C5E20"/>
    <w:rsid w:val="008C5E4D"/>
    <w:rsid w:val="008C5E84"/>
    <w:rsid w:val="008C5F2D"/>
    <w:rsid w:val="008C5F5D"/>
    <w:rsid w:val="008C5FBC"/>
    <w:rsid w:val="008C6008"/>
    <w:rsid w:val="008C60D2"/>
    <w:rsid w:val="008C614F"/>
    <w:rsid w:val="008C6174"/>
    <w:rsid w:val="008C61AA"/>
    <w:rsid w:val="008C624C"/>
    <w:rsid w:val="008C62C4"/>
    <w:rsid w:val="008C62D9"/>
    <w:rsid w:val="008C62FB"/>
    <w:rsid w:val="008C63BD"/>
    <w:rsid w:val="008C63DA"/>
    <w:rsid w:val="008C6417"/>
    <w:rsid w:val="008C642B"/>
    <w:rsid w:val="008C64B7"/>
    <w:rsid w:val="008C64CA"/>
    <w:rsid w:val="008C64EC"/>
    <w:rsid w:val="008C654F"/>
    <w:rsid w:val="008C65E3"/>
    <w:rsid w:val="008C661B"/>
    <w:rsid w:val="008C6657"/>
    <w:rsid w:val="008C668D"/>
    <w:rsid w:val="008C66B1"/>
    <w:rsid w:val="008C678C"/>
    <w:rsid w:val="008C67BB"/>
    <w:rsid w:val="008C67DA"/>
    <w:rsid w:val="008C67F2"/>
    <w:rsid w:val="008C682B"/>
    <w:rsid w:val="008C690B"/>
    <w:rsid w:val="008C6920"/>
    <w:rsid w:val="008C69A3"/>
    <w:rsid w:val="008C69AD"/>
    <w:rsid w:val="008C6A11"/>
    <w:rsid w:val="008C6BB6"/>
    <w:rsid w:val="008C6C81"/>
    <w:rsid w:val="008C6CC0"/>
    <w:rsid w:val="008C6D67"/>
    <w:rsid w:val="008C6DE7"/>
    <w:rsid w:val="008C6DF2"/>
    <w:rsid w:val="008C6E35"/>
    <w:rsid w:val="008C6F30"/>
    <w:rsid w:val="008C6F92"/>
    <w:rsid w:val="008C6FCA"/>
    <w:rsid w:val="008C701B"/>
    <w:rsid w:val="008C7035"/>
    <w:rsid w:val="008C7088"/>
    <w:rsid w:val="008C70BF"/>
    <w:rsid w:val="008C70C2"/>
    <w:rsid w:val="008C711A"/>
    <w:rsid w:val="008C7143"/>
    <w:rsid w:val="008C7180"/>
    <w:rsid w:val="008C71B8"/>
    <w:rsid w:val="008C720C"/>
    <w:rsid w:val="008C7239"/>
    <w:rsid w:val="008C72AB"/>
    <w:rsid w:val="008C737D"/>
    <w:rsid w:val="008C7392"/>
    <w:rsid w:val="008C73A6"/>
    <w:rsid w:val="008C7422"/>
    <w:rsid w:val="008C7437"/>
    <w:rsid w:val="008C746D"/>
    <w:rsid w:val="008C7476"/>
    <w:rsid w:val="008C74C5"/>
    <w:rsid w:val="008C74C7"/>
    <w:rsid w:val="008C74DB"/>
    <w:rsid w:val="008C74F3"/>
    <w:rsid w:val="008C75BF"/>
    <w:rsid w:val="008C75D3"/>
    <w:rsid w:val="008C75E8"/>
    <w:rsid w:val="008C7610"/>
    <w:rsid w:val="008C7617"/>
    <w:rsid w:val="008C7653"/>
    <w:rsid w:val="008C76C2"/>
    <w:rsid w:val="008C76C5"/>
    <w:rsid w:val="008C77E0"/>
    <w:rsid w:val="008C780B"/>
    <w:rsid w:val="008C7919"/>
    <w:rsid w:val="008C793D"/>
    <w:rsid w:val="008C79C3"/>
    <w:rsid w:val="008C79D4"/>
    <w:rsid w:val="008C79DF"/>
    <w:rsid w:val="008C7A15"/>
    <w:rsid w:val="008C7AC2"/>
    <w:rsid w:val="008C7AFD"/>
    <w:rsid w:val="008C7B36"/>
    <w:rsid w:val="008C7B49"/>
    <w:rsid w:val="008C7B6D"/>
    <w:rsid w:val="008C7B7D"/>
    <w:rsid w:val="008C7B98"/>
    <w:rsid w:val="008C7BED"/>
    <w:rsid w:val="008C7C51"/>
    <w:rsid w:val="008C7CC3"/>
    <w:rsid w:val="008C7CE9"/>
    <w:rsid w:val="008C7D31"/>
    <w:rsid w:val="008C7D9D"/>
    <w:rsid w:val="008C7E18"/>
    <w:rsid w:val="008C7EAE"/>
    <w:rsid w:val="008C7F01"/>
    <w:rsid w:val="008C7F55"/>
    <w:rsid w:val="008C7F66"/>
    <w:rsid w:val="008C7F71"/>
    <w:rsid w:val="008C7F95"/>
    <w:rsid w:val="008D0062"/>
    <w:rsid w:val="008D0112"/>
    <w:rsid w:val="008D015A"/>
    <w:rsid w:val="008D016E"/>
    <w:rsid w:val="008D0176"/>
    <w:rsid w:val="008D01AB"/>
    <w:rsid w:val="008D023C"/>
    <w:rsid w:val="008D02D2"/>
    <w:rsid w:val="008D0306"/>
    <w:rsid w:val="008D0352"/>
    <w:rsid w:val="008D03C0"/>
    <w:rsid w:val="008D0433"/>
    <w:rsid w:val="008D0622"/>
    <w:rsid w:val="008D0678"/>
    <w:rsid w:val="008D0682"/>
    <w:rsid w:val="008D0692"/>
    <w:rsid w:val="008D06A1"/>
    <w:rsid w:val="008D06DD"/>
    <w:rsid w:val="008D0764"/>
    <w:rsid w:val="008D07D2"/>
    <w:rsid w:val="008D08F3"/>
    <w:rsid w:val="008D092B"/>
    <w:rsid w:val="008D09D9"/>
    <w:rsid w:val="008D0A36"/>
    <w:rsid w:val="008D0A76"/>
    <w:rsid w:val="008D0AB7"/>
    <w:rsid w:val="008D0AFB"/>
    <w:rsid w:val="008D0B5B"/>
    <w:rsid w:val="008D0BD8"/>
    <w:rsid w:val="008D0C02"/>
    <w:rsid w:val="008D0D26"/>
    <w:rsid w:val="008D0D5A"/>
    <w:rsid w:val="008D0DB8"/>
    <w:rsid w:val="008D0E5B"/>
    <w:rsid w:val="008D0E7B"/>
    <w:rsid w:val="008D0E7D"/>
    <w:rsid w:val="008D0EBB"/>
    <w:rsid w:val="008D0ED4"/>
    <w:rsid w:val="008D0F02"/>
    <w:rsid w:val="008D0F32"/>
    <w:rsid w:val="008D0F5C"/>
    <w:rsid w:val="008D0F63"/>
    <w:rsid w:val="008D0FBA"/>
    <w:rsid w:val="008D106E"/>
    <w:rsid w:val="008D109B"/>
    <w:rsid w:val="008D111C"/>
    <w:rsid w:val="008D1134"/>
    <w:rsid w:val="008D11C9"/>
    <w:rsid w:val="008D11FD"/>
    <w:rsid w:val="008D1203"/>
    <w:rsid w:val="008D126A"/>
    <w:rsid w:val="008D12A4"/>
    <w:rsid w:val="008D12CE"/>
    <w:rsid w:val="008D12CF"/>
    <w:rsid w:val="008D12ED"/>
    <w:rsid w:val="008D1332"/>
    <w:rsid w:val="008D1397"/>
    <w:rsid w:val="008D1454"/>
    <w:rsid w:val="008D14B1"/>
    <w:rsid w:val="008D1545"/>
    <w:rsid w:val="008D1583"/>
    <w:rsid w:val="008D15BA"/>
    <w:rsid w:val="008D15FA"/>
    <w:rsid w:val="008D1689"/>
    <w:rsid w:val="008D173B"/>
    <w:rsid w:val="008D17AF"/>
    <w:rsid w:val="008D1829"/>
    <w:rsid w:val="008D184E"/>
    <w:rsid w:val="008D186C"/>
    <w:rsid w:val="008D189B"/>
    <w:rsid w:val="008D195A"/>
    <w:rsid w:val="008D1974"/>
    <w:rsid w:val="008D1978"/>
    <w:rsid w:val="008D19A6"/>
    <w:rsid w:val="008D19F7"/>
    <w:rsid w:val="008D1A5A"/>
    <w:rsid w:val="008D1B8C"/>
    <w:rsid w:val="008D1BCB"/>
    <w:rsid w:val="008D1BE3"/>
    <w:rsid w:val="008D1C10"/>
    <w:rsid w:val="008D1CB0"/>
    <w:rsid w:val="008D1CE0"/>
    <w:rsid w:val="008D1CF2"/>
    <w:rsid w:val="008D1D00"/>
    <w:rsid w:val="008D1D60"/>
    <w:rsid w:val="008D1DCC"/>
    <w:rsid w:val="008D1DE0"/>
    <w:rsid w:val="008D1DEF"/>
    <w:rsid w:val="008D1EA4"/>
    <w:rsid w:val="008D1EE3"/>
    <w:rsid w:val="008D1F0C"/>
    <w:rsid w:val="008D1F0F"/>
    <w:rsid w:val="008D1F4D"/>
    <w:rsid w:val="008D1FCE"/>
    <w:rsid w:val="008D1FD2"/>
    <w:rsid w:val="008D1FFA"/>
    <w:rsid w:val="008D205F"/>
    <w:rsid w:val="008D214F"/>
    <w:rsid w:val="008D218C"/>
    <w:rsid w:val="008D2279"/>
    <w:rsid w:val="008D22C6"/>
    <w:rsid w:val="008D22D9"/>
    <w:rsid w:val="008D23E2"/>
    <w:rsid w:val="008D2457"/>
    <w:rsid w:val="008D2486"/>
    <w:rsid w:val="008D2493"/>
    <w:rsid w:val="008D2500"/>
    <w:rsid w:val="008D2546"/>
    <w:rsid w:val="008D258E"/>
    <w:rsid w:val="008D2612"/>
    <w:rsid w:val="008D2642"/>
    <w:rsid w:val="008D26E7"/>
    <w:rsid w:val="008D2770"/>
    <w:rsid w:val="008D287E"/>
    <w:rsid w:val="008D2881"/>
    <w:rsid w:val="008D2924"/>
    <w:rsid w:val="008D293B"/>
    <w:rsid w:val="008D2964"/>
    <w:rsid w:val="008D2978"/>
    <w:rsid w:val="008D2997"/>
    <w:rsid w:val="008D29AF"/>
    <w:rsid w:val="008D2A05"/>
    <w:rsid w:val="008D2A16"/>
    <w:rsid w:val="008D2A38"/>
    <w:rsid w:val="008D2A46"/>
    <w:rsid w:val="008D2A81"/>
    <w:rsid w:val="008D2ABC"/>
    <w:rsid w:val="008D2B59"/>
    <w:rsid w:val="008D2BBE"/>
    <w:rsid w:val="008D2C95"/>
    <w:rsid w:val="008D2CEF"/>
    <w:rsid w:val="008D2D0A"/>
    <w:rsid w:val="008D2D74"/>
    <w:rsid w:val="008D2D79"/>
    <w:rsid w:val="008D2DA4"/>
    <w:rsid w:val="008D2DDD"/>
    <w:rsid w:val="008D2E2A"/>
    <w:rsid w:val="008D2E6D"/>
    <w:rsid w:val="008D2E82"/>
    <w:rsid w:val="008D2F3F"/>
    <w:rsid w:val="008D2FB6"/>
    <w:rsid w:val="008D3018"/>
    <w:rsid w:val="008D3093"/>
    <w:rsid w:val="008D30D8"/>
    <w:rsid w:val="008D30E2"/>
    <w:rsid w:val="008D320A"/>
    <w:rsid w:val="008D32B1"/>
    <w:rsid w:val="008D336C"/>
    <w:rsid w:val="008D339F"/>
    <w:rsid w:val="008D33B5"/>
    <w:rsid w:val="008D33F2"/>
    <w:rsid w:val="008D33FA"/>
    <w:rsid w:val="008D346C"/>
    <w:rsid w:val="008D3484"/>
    <w:rsid w:val="008D34E7"/>
    <w:rsid w:val="008D3585"/>
    <w:rsid w:val="008D360B"/>
    <w:rsid w:val="008D364F"/>
    <w:rsid w:val="008D3674"/>
    <w:rsid w:val="008D36E6"/>
    <w:rsid w:val="008D3713"/>
    <w:rsid w:val="008D37AF"/>
    <w:rsid w:val="008D37B6"/>
    <w:rsid w:val="008D37E9"/>
    <w:rsid w:val="008D3829"/>
    <w:rsid w:val="008D382D"/>
    <w:rsid w:val="008D3845"/>
    <w:rsid w:val="008D38B9"/>
    <w:rsid w:val="008D38DD"/>
    <w:rsid w:val="008D393C"/>
    <w:rsid w:val="008D3A03"/>
    <w:rsid w:val="008D3A75"/>
    <w:rsid w:val="008D3B0A"/>
    <w:rsid w:val="008D3B17"/>
    <w:rsid w:val="008D3C09"/>
    <w:rsid w:val="008D3C25"/>
    <w:rsid w:val="008D3C2B"/>
    <w:rsid w:val="008D3C53"/>
    <w:rsid w:val="008D3C5D"/>
    <w:rsid w:val="008D3CAC"/>
    <w:rsid w:val="008D3CB6"/>
    <w:rsid w:val="008D3CC5"/>
    <w:rsid w:val="008D3CE3"/>
    <w:rsid w:val="008D3CEC"/>
    <w:rsid w:val="008D3D2D"/>
    <w:rsid w:val="008D3D5C"/>
    <w:rsid w:val="008D3E4B"/>
    <w:rsid w:val="008D3EB5"/>
    <w:rsid w:val="008D3FFB"/>
    <w:rsid w:val="008D401F"/>
    <w:rsid w:val="008D4027"/>
    <w:rsid w:val="008D402B"/>
    <w:rsid w:val="008D4183"/>
    <w:rsid w:val="008D41CF"/>
    <w:rsid w:val="008D4222"/>
    <w:rsid w:val="008D425F"/>
    <w:rsid w:val="008D429C"/>
    <w:rsid w:val="008D42A3"/>
    <w:rsid w:val="008D42B1"/>
    <w:rsid w:val="008D436F"/>
    <w:rsid w:val="008D43C8"/>
    <w:rsid w:val="008D44A9"/>
    <w:rsid w:val="008D44ED"/>
    <w:rsid w:val="008D455B"/>
    <w:rsid w:val="008D456D"/>
    <w:rsid w:val="008D45D5"/>
    <w:rsid w:val="008D45FA"/>
    <w:rsid w:val="008D45FE"/>
    <w:rsid w:val="008D4636"/>
    <w:rsid w:val="008D46BB"/>
    <w:rsid w:val="008D474B"/>
    <w:rsid w:val="008D4909"/>
    <w:rsid w:val="008D4987"/>
    <w:rsid w:val="008D49A5"/>
    <w:rsid w:val="008D49B3"/>
    <w:rsid w:val="008D4A3F"/>
    <w:rsid w:val="008D4B4A"/>
    <w:rsid w:val="008D4B5F"/>
    <w:rsid w:val="008D4C10"/>
    <w:rsid w:val="008D4C53"/>
    <w:rsid w:val="008D4C5F"/>
    <w:rsid w:val="008D4C7F"/>
    <w:rsid w:val="008D4CCD"/>
    <w:rsid w:val="008D4D7D"/>
    <w:rsid w:val="008D4D8A"/>
    <w:rsid w:val="008D4E0A"/>
    <w:rsid w:val="008D4E1B"/>
    <w:rsid w:val="008D4E7A"/>
    <w:rsid w:val="008D4ED0"/>
    <w:rsid w:val="008D4EE0"/>
    <w:rsid w:val="008D4EF3"/>
    <w:rsid w:val="008D4F11"/>
    <w:rsid w:val="008D4F5D"/>
    <w:rsid w:val="008D4F99"/>
    <w:rsid w:val="008D4FE8"/>
    <w:rsid w:val="008D4FFD"/>
    <w:rsid w:val="008D5034"/>
    <w:rsid w:val="008D505D"/>
    <w:rsid w:val="008D517F"/>
    <w:rsid w:val="008D5211"/>
    <w:rsid w:val="008D5295"/>
    <w:rsid w:val="008D5378"/>
    <w:rsid w:val="008D538D"/>
    <w:rsid w:val="008D539F"/>
    <w:rsid w:val="008D5421"/>
    <w:rsid w:val="008D542F"/>
    <w:rsid w:val="008D543C"/>
    <w:rsid w:val="008D54F3"/>
    <w:rsid w:val="008D5534"/>
    <w:rsid w:val="008D553F"/>
    <w:rsid w:val="008D5550"/>
    <w:rsid w:val="008D55AF"/>
    <w:rsid w:val="008D55D1"/>
    <w:rsid w:val="008D5629"/>
    <w:rsid w:val="008D5637"/>
    <w:rsid w:val="008D5660"/>
    <w:rsid w:val="008D56BD"/>
    <w:rsid w:val="008D56EF"/>
    <w:rsid w:val="008D5714"/>
    <w:rsid w:val="008D571F"/>
    <w:rsid w:val="008D573A"/>
    <w:rsid w:val="008D57BB"/>
    <w:rsid w:val="008D57E3"/>
    <w:rsid w:val="008D58B8"/>
    <w:rsid w:val="008D5994"/>
    <w:rsid w:val="008D59F8"/>
    <w:rsid w:val="008D5A18"/>
    <w:rsid w:val="008D5A55"/>
    <w:rsid w:val="008D5A96"/>
    <w:rsid w:val="008D5AC0"/>
    <w:rsid w:val="008D5B0C"/>
    <w:rsid w:val="008D5B86"/>
    <w:rsid w:val="008D5BFC"/>
    <w:rsid w:val="008D5C52"/>
    <w:rsid w:val="008D5D56"/>
    <w:rsid w:val="008D5DCE"/>
    <w:rsid w:val="008D5E03"/>
    <w:rsid w:val="008D5E0C"/>
    <w:rsid w:val="008D5E9E"/>
    <w:rsid w:val="008D5ECA"/>
    <w:rsid w:val="008D5F58"/>
    <w:rsid w:val="008D5FCD"/>
    <w:rsid w:val="008D5FEC"/>
    <w:rsid w:val="008D5FED"/>
    <w:rsid w:val="008D5FFB"/>
    <w:rsid w:val="008D6099"/>
    <w:rsid w:val="008D60BC"/>
    <w:rsid w:val="008D60CD"/>
    <w:rsid w:val="008D6112"/>
    <w:rsid w:val="008D6134"/>
    <w:rsid w:val="008D620A"/>
    <w:rsid w:val="008D621B"/>
    <w:rsid w:val="008D6231"/>
    <w:rsid w:val="008D630C"/>
    <w:rsid w:val="008D6376"/>
    <w:rsid w:val="008D637B"/>
    <w:rsid w:val="008D63A3"/>
    <w:rsid w:val="008D63E0"/>
    <w:rsid w:val="008D645A"/>
    <w:rsid w:val="008D647F"/>
    <w:rsid w:val="008D6589"/>
    <w:rsid w:val="008D65C4"/>
    <w:rsid w:val="008D665E"/>
    <w:rsid w:val="008D669B"/>
    <w:rsid w:val="008D6728"/>
    <w:rsid w:val="008D6735"/>
    <w:rsid w:val="008D6847"/>
    <w:rsid w:val="008D6869"/>
    <w:rsid w:val="008D689D"/>
    <w:rsid w:val="008D68F2"/>
    <w:rsid w:val="008D693A"/>
    <w:rsid w:val="008D69E0"/>
    <w:rsid w:val="008D6A3A"/>
    <w:rsid w:val="008D6AC8"/>
    <w:rsid w:val="008D6ACC"/>
    <w:rsid w:val="008D6AFD"/>
    <w:rsid w:val="008D6B13"/>
    <w:rsid w:val="008D6B2F"/>
    <w:rsid w:val="008D6BDE"/>
    <w:rsid w:val="008D6C0E"/>
    <w:rsid w:val="008D6C7A"/>
    <w:rsid w:val="008D6CF8"/>
    <w:rsid w:val="008D6D28"/>
    <w:rsid w:val="008D6D70"/>
    <w:rsid w:val="008D6E01"/>
    <w:rsid w:val="008D6E30"/>
    <w:rsid w:val="008D6E50"/>
    <w:rsid w:val="008D6E9C"/>
    <w:rsid w:val="008D6ED2"/>
    <w:rsid w:val="008D6F9D"/>
    <w:rsid w:val="008D6FB0"/>
    <w:rsid w:val="008D70C7"/>
    <w:rsid w:val="008D70D1"/>
    <w:rsid w:val="008D714E"/>
    <w:rsid w:val="008D7177"/>
    <w:rsid w:val="008D7284"/>
    <w:rsid w:val="008D7292"/>
    <w:rsid w:val="008D72BA"/>
    <w:rsid w:val="008D7367"/>
    <w:rsid w:val="008D7456"/>
    <w:rsid w:val="008D74C4"/>
    <w:rsid w:val="008D7520"/>
    <w:rsid w:val="008D7556"/>
    <w:rsid w:val="008D7567"/>
    <w:rsid w:val="008D76A3"/>
    <w:rsid w:val="008D76C0"/>
    <w:rsid w:val="008D77BB"/>
    <w:rsid w:val="008D7858"/>
    <w:rsid w:val="008D786C"/>
    <w:rsid w:val="008D7904"/>
    <w:rsid w:val="008D794D"/>
    <w:rsid w:val="008D7984"/>
    <w:rsid w:val="008D798B"/>
    <w:rsid w:val="008D7998"/>
    <w:rsid w:val="008D79AF"/>
    <w:rsid w:val="008D79BE"/>
    <w:rsid w:val="008D79E6"/>
    <w:rsid w:val="008D7A2B"/>
    <w:rsid w:val="008D7A2F"/>
    <w:rsid w:val="008D7A47"/>
    <w:rsid w:val="008D7B1D"/>
    <w:rsid w:val="008D7C35"/>
    <w:rsid w:val="008D7D2E"/>
    <w:rsid w:val="008D7D45"/>
    <w:rsid w:val="008D7D8B"/>
    <w:rsid w:val="008D7E15"/>
    <w:rsid w:val="008D7E1F"/>
    <w:rsid w:val="008D7E37"/>
    <w:rsid w:val="008D7E50"/>
    <w:rsid w:val="008D7EC8"/>
    <w:rsid w:val="008D7FB4"/>
    <w:rsid w:val="008E0003"/>
    <w:rsid w:val="008E0006"/>
    <w:rsid w:val="008E0059"/>
    <w:rsid w:val="008E005C"/>
    <w:rsid w:val="008E00AD"/>
    <w:rsid w:val="008E00CF"/>
    <w:rsid w:val="008E010D"/>
    <w:rsid w:val="008E013F"/>
    <w:rsid w:val="008E01C2"/>
    <w:rsid w:val="008E0267"/>
    <w:rsid w:val="008E0365"/>
    <w:rsid w:val="008E0371"/>
    <w:rsid w:val="008E041D"/>
    <w:rsid w:val="008E0475"/>
    <w:rsid w:val="008E0483"/>
    <w:rsid w:val="008E04EC"/>
    <w:rsid w:val="008E0556"/>
    <w:rsid w:val="008E0597"/>
    <w:rsid w:val="008E05E1"/>
    <w:rsid w:val="008E0614"/>
    <w:rsid w:val="008E06A2"/>
    <w:rsid w:val="008E06AF"/>
    <w:rsid w:val="008E0741"/>
    <w:rsid w:val="008E081E"/>
    <w:rsid w:val="008E08F6"/>
    <w:rsid w:val="008E0910"/>
    <w:rsid w:val="008E0952"/>
    <w:rsid w:val="008E0964"/>
    <w:rsid w:val="008E09C6"/>
    <w:rsid w:val="008E0A01"/>
    <w:rsid w:val="008E0B12"/>
    <w:rsid w:val="008E0B3B"/>
    <w:rsid w:val="008E0B5F"/>
    <w:rsid w:val="008E0BF7"/>
    <w:rsid w:val="008E0BF9"/>
    <w:rsid w:val="008E0C56"/>
    <w:rsid w:val="008E0C72"/>
    <w:rsid w:val="008E0CBC"/>
    <w:rsid w:val="008E0CD6"/>
    <w:rsid w:val="008E0D2E"/>
    <w:rsid w:val="008E0D79"/>
    <w:rsid w:val="008E0EB5"/>
    <w:rsid w:val="008E0EFA"/>
    <w:rsid w:val="008E0F7E"/>
    <w:rsid w:val="008E0FE0"/>
    <w:rsid w:val="008E103C"/>
    <w:rsid w:val="008E1080"/>
    <w:rsid w:val="008E10B9"/>
    <w:rsid w:val="008E10BF"/>
    <w:rsid w:val="008E1139"/>
    <w:rsid w:val="008E114D"/>
    <w:rsid w:val="008E117D"/>
    <w:rsid w:val="008E11F5"/>
    <w:rsid w:val="008E124D"/>
    <w:rsid w:val="008E1281"/>
    <w:rsid w:val="008E12DF"/>
    <w:rsid w:val="008E139F"/>
    <w:rsid w:val="008E13BF"/>
    <w:rsid w:val="008E1455"/>
    <w:rsid w:val="008E156C"/>
    <w:rsid w:val="008E156E"/>
    <w:rsid w:val="008E1591"/>
    <w:rsid w:val="008E159D"/>
    <w:rsid w:val="008E15C4"/>
    <w:rsid w:val="008E15DB"/>
    <w:rsid w:val="008E1605"/>
    <w:rsid w:val="008E162E"/>
    <w:rsid w:val="008E1642"/>
    <w:rsid w:val="008E1657"/>
    <w:rsid w:val="008E16CE"/>
    <w:rsid w:val="008E1778"/>
    <w:rsid w:val="008E1785"/>
    <w:rsid w:val="008E17A6"/>
    <w:rsid w:val="008E17CE"/>
    <w:rsid w:val="008E17F5"/>
    <w:rsid w:val="008E1842"/>
    <w:rsid w:val="008E1857"/>
    <w:rsid w:val="008E1935"/>
    <w:rsid w:val="008E193A"/>
    <w:rsid w:val="008E1997"/>
    <w:rsid w:val="008E1A5C"/>
    <w:rsid w:val="008E1C65"/>
    <w:rsid w:val="008E1C87"/>
    <w:rsid w:val="008E1CA7"/>
    <w:rsid w:val="008E1D74"/>
    <w:rsid w:val="008E1D9F"/>
    <w:rsid w:val="008E1DA6"/>
    <w:rsid w:val="008E1DB3"/>
    <w:rsid w:val="008E1E22"/>
    <w:rsid w:val="008E1EC3"/>
    <w:rsid w:val="008E1ED3"/>
    <w:rsid w:val="008E1F04"/>
    <w:rsid w:val="008E1F83"/>
    <w:rsid w:val="008E1FAE"/>
    <w:rsid w:val="008E1FC4"/>
    <w:rsid w:val="008E1FD1"/>
    <w:rsid w:val="008E1FF2"/>
    <w:rsid w:val="008E2000"/>
    <w:rsid w:val="008E2017"/>
    <w:rsid w:val="008E20BE"/>
    <w:rsid w:val="008E20C0"/>
    <w:rsid w:val="008E2127"/>
    <w:rsid w:val="008E2143"/>
    <w:rsid w:val="008E2157"/>
    <w:rsid w:val="008E2186"/>
    <w:rsid w:val="008E21C3"/>
    <w:rsid w:val="008E22B1"/>
    <w:rsid w:val="008E22F0"/>
    <w:rsid w:val="008E2395"/>
    <w:rsid w:val="008E23C9"/>
    <w:rsid w:val="008E24D2"/>
    <w:rsid w:val="008E24F0"/>
    <w:rsid w:val="008E251B"/>
    <w:rsid w:val="008E255B"/>
    <w:rsid w:val="008E25B1"/>
    <w:rsid w:val="008E25FD"/>
    <w:rsid w:val="008E261A"/>
    <w:rsid w:val="008E269F"/>
    <w:rsid w:val="008E27E0"/>
    <w:rsid w:val="008E27EC"/>
    <w:rsid w:val="008E2802"/>
    <w:rsid w:val="008E2837"/>
    <w:rsid w:val="008E2883"/>
    <w:rsid w:val="008E293C"/>
    <w:rsid w:val="008E29D6"/>
    <w:rsid w:val="008E2A03"/>
    <w:rsid w:val="008E2A5D"/>
    <w:rsid w:val="008E2B17"/>
    <w:rsid w:val="008E2B81"/>
    <w:rsid w:val="008E2B8B"/>
    <w:rsid w:val="008E2C18"/>
    <w:rsid w:val="008E2C81"/>
    <w:rsid w:val="008E2C83"/>
    <w:rsid w:val="008E2D5D"/>
    <w:rsid w:val="008E2D70"/>
    <w:rsid w:val="008E2E5C"/>
    <w:rsid w:val="008E2E6E"/>
    <w:rsid w:val="008E2EE5"/>
    <w:rsid w:val="008E3008"/>
    <w:rsid w:val="008E30C5"/>
    <w:rsid w:val="008E31A2"/>
    <w:rsid w:val="008E31E1"/>
    <w:rsid w:val="008E31EF"/>
    <w:rsid w:val="008E3218"/>
    <w:rsid w:val="008E3256"/>
    <w:rsid w:val="008E32F3"/>
    <w:rsid w:val="008E3315"/>
    <w:rsid w:val="008E3388"/>
    <w:rsid w:val="008E33E2"/>
    <w:rsid w:val="008E3443"/>
    <w:rsid w:val="008E34CB"/>
    <w:rsid w:val="008E34E1"/>
    <w:rsid w:val="008E354B"/>
    <w:rsid w:val="008E354C"/>
    <w:rsid w:val="008E356F"/>
    <w:rsid w:val="008E3593"/>
    <w:rsid w:val="008E35AE"/>
    <w:rsid w:val="008E35F6"/>
    <w:rsid w:val="008E3636"/>
    <w:rsid w:val="008E36A8"/>
    <w:rsid w:val="008E36E4"/>
    <w:rsid w:val="008E3787"/>
    <w:rsid w:val="008E380C"/>
    <w:rsid w:val="008E3866"/>
    <w:rsid w:val="008E3912"/>
    <w:rsid w:val="008E3968"/>
    <w:rsid w:val="008E399A"/>
    <w:rsid w:val="008E39FE"/>
    <w:rsid w:val="008E3A63"/>
    <w:rsid w:val="008E3BE7"/>
    <w:rsid w:val="008E3BFF"/>
    <w:rsid w:val="008E3C00"/>
    <w:rsid w:val="008E3C3C"/>
    <w:rsid w:val="008E3D0F"/>
    <w:rsid w:val="008E3D98"/>
    <w:rsid w:val="008E3DD1"/>
    <w:rsid w:val="008E3DE7"/>
    <w:rsid w:val="008E4032"/>
    <w:rsid w:val="008E403E"/>
    <w:rsid w:val="008E4078"/>
    <w:rsid w:val="008E40BA"/>
    <w:rsid w:val="008E40DA"/>
    <w:rsid w:val="008E4131"/>
    <w:rsid w:val="008E4168"/>
    <w:rsid w:val="008E41C1"/>
    <w:rsid w:val="008E41EF"/>
    <w:rsid w:val="008E4230"/>
    <w:rsid w:val="008E4261"/>
    <w:rsid w:val="008E4282"/>
    <w:rsid w:val="008E4301"/>
    <w:rsid w:val="008E430A"/>
    <w:rsid w:val="008E4310"/>
    <w:rsid w:val="008E4341"/>
    <w:rsid w:val="008E4353"/>
    <w:rsid w:val="008E435F"/>
    <w:rsid w:val="008E43AE"/>
    <w:rsid w:val="008E43F8"/>
    <w:rsid w:val="008E4614"/>
    <w:rsid w:val="008E461C"/>
    <w:rsid w:val="008E4622"/>
    <w:rsid w:val="008E4625"/>
    <w:rsid w:val="008E4640"/>
    <w:rsid w:val="008E471A"/>
    <w:rsid w:val="008E47A8"/>
    <w:rsid w:val="008E47C9"/>
    <w:rsid w:val="008E47E0"/>
    <w:rsid w:val="008E480B"/>
    <w:rsid w:val="008E480F"/>
    <w:rsid w:val="008E4825"/>
    <w:rsid w:val="008E4873"/>
    <w:rsid w:val="008E490C"/>
    <w:rsid w:val="008E4951"/>
    <w:rsid w:val="008E497F"/>
    <w:rsid w:val="008E49BF"/>
    <w:rsid w:val="008E49D0"/>
    <w:rsid w:val="008E4A14"/>
    <w:rsid w:val="008E4A17"/>
    <w:rsid w:val="008E4B11"/>
    <w:rsid w:val="008E4B54"/>
    <w:rsid w:val="008E4BEB"/>
    <w:rsid w:val="008E4C0D"/>
    <w:rsid w:val="008E4C1C"/>
    <w:rsid w:val="008E4C4D"/>
    <w:rsid w:val="008E4C77"/>
    <w:rsid w:val="008E4C7E"/>
    <w:rsid w:val="008E4C9E"/>
    <w:rsid w:val="008E4CC5"/>
    <w:rsid w:val="008E4CDF"/>
    <w:rsid w:val="008E4CFE"/>
    <w:rsid w:val="008E4D1B"/>
    <w:rsid w:val="008E4D71"/>
    <w:rsid w:val="008E4DA6"/>
    <w:rsid w:val="008E4DB8"/>
    <w:rsid w:val="008E4DEB"/>
    <w:rsid w:val="008E4E1F"/>
    <w:rsid w:val="008E4E29"/>
    <w:rsid w:val="008E4E4C"/>
    <w:rsid w:val="008E4E5E"/>
    <w:rsid w:val="008E4E60"/>
    <w:rsid w:val="008E4E62"/>
    <w:rsid w:val="008E4E80"/>
    <w:rsid w:val="008E4E9B"/>
    <w:rsid w:val="008E4EA8"/>
    <w:rsid w:val="008E4ED0"/>
    <w:rsid w:val="008E4F00"/>
    <w:rsid w:val="008E4FCD"/>
    <w:rsid w:val="008E503B"/>
    <w:rsid w:val="008E50B3"/>
    <w:rsid w:val="008E5128"/>
    <w:rsid w:val="008E5287"/>
    <w:rsid w:val="008E529B"/>
    <w:rsid w:val="008E52BE"/>
    <w:rsid w:val="008E5325"/>
    <w:rsid w:val="008E53CE"/>
    <w:rsid w:val="008E53D8"/>
    <w:rsid w:val="008E54E7"/>
    <w:rsid w:val="008E5509"/>
    <w:rsid w:val="008E554B"/>
    <w:rsid w:val="008E5581"/>
    <w:rsid w:val="008E55BC"/>
    <w:rsid w:val="008E55DE"/>
    <w:rsid w:val="008E5827"/>
    <w:rsid w:val="008E5829"/>
    <w:rsid w:val="008E5841"/>
    <w:rsid w:val="008E58DC"/>
    <w:rsid w:val="008E58F7"/>
    <w:rsid w:val="008E5927"/>
    <w:rsid w:val="008E5939"/>
    <w:rsid w:val="008E5944"/>
    <w:rsid w:val="008E5947"/>
    <w:rsid w:val="008E5992"/>
    <w:rsid w:val="008E59EF"/>
    <w:rsid w:val="008E5AEC"/>
    <w:rsid w:val="008E5B30"/>
    <w:rsid w:val="008E5C0B"/>
    <w:rsid w:val="008E5C45"/>
    <w:rsid w:val="008E5D97"/>
    <w:rsid w:val="008E5DCD"/>
    <w:rsid w:val="008E5E34"/>
    <w:rsid w:val="008E5E99"/>
    <w:rsid w:val="008E5ECC"/>
    <w:rsid w:val="008E5F74"/>
    <w:rsid w:val="008E5FD7"/>
    <w:rsid w:val="008E5FE6"/>
    <w:rsid w:val="008E601C"/>
    <w:rsid w:val="008E6036"/>
    <w:rsid w:val="008E6043"/>
    <w:rsid w:val="008E606E"/>
    <w:rsid w:val="008E6070"/>
    <w:rsid w:val="008E60A3"/>
    <w:rsid w:val="008E60E9"/>
    <w:rsid w:val="008E6169"/>
    <w:rsid w:val="008E6199"/>
    <w:rsid w:val="008E61A7"/>
    <w:rsid w:val="008E6280"/>
    <w:rsid w:val="008E6292"/>
    <w:rsid w:val="008E629C"/>
    <w:rsid w:val="008E62E2"/>
    <w:rsid w:val="008E6313"/>
    <w:rsid w:val="008E633C"/>
    <w:rsid w:val="008E6347"/>
    <w:rsid w:val="008E6352"/>
    <w:rsid w:val="008E6381"/>
    <w:rsid w:val="008E63A8"/>
    <w:rsid w:val="008E640A"/>
    <w:rsid w:val="008E6519"/>
    <w:rsid w:val="008E652F"/>
    <w:rsid w:val="008E654B"/>
    <w:rsid w:val="008E6561"/>
    <w:rsid w:val="008E6565"/>
    <w:rsid w:val="008E6589"/>
    <w:rsid w:val="008E65CF"/>
    <w:rsid w:val="008E65E6"/>
    <w:rsid w:val="008E6657"/>
    <w:rsid w:val="008E668C"/>
    <w:rsid w:val="008E66B9"/>
    <w:rsid w:val="008E66FB"/>
    <w:rsid w:val="008E6767"/>
    <w:rsid w:val="008E6880"/>
    <w:rsid w:val="008E695C"/>
    <w:rsid w:val="008E699C"/>
    <w:rsid w:val="008E69D0"/>
    <w:rsid w:val="008E6A53"/>
    <w:rsid w:val="008E6A8D"/>
    <w:rsid w:val="008E6BA7"/>
    <w:rsid w:val="008E6BDC"/>
    <w:rsid w:val="008E6C28"/>
    <w:rsid w:val="008E6E58"/>
    <w:rsid w:val="008E6ED5"/>
    <w:rsid w:val="008E6F2F"/>
    <w:rsid w:val="008E6F4F"/>
    <w:rsid w:val="008E6F67"/>
    <w:rsid w:val="008E6F6A"/>
    <w:rsid w:val="008E6F72"/>
    <w:rsid w:val="008E6F79"/>
    <w:rsid w:val="008E7013"/>
    <w:rsid w:val="008E7016"/>
    <w:rsid w:val="008E7046"/>
    <w:rsid w:val="008E7088"/>
    <w:rsid w:val="008E70A4"/>
    <w:rsid w:val="008E7104"/>
    <w:rsid w:val="008E712D"/>
    <w:rsid w:val="008E71A0"/>
    <w:rsid w:val="008E71B0"/>
    <w:rsid w:val="008E71E6"/>
    <w:rsid w:val="008E7250"/>
    <w:rsid w:val="008E7262"/>
    <w:rsid w:val="008E7293"/>
    <w:rsid w:val="008E72BF"/>
    <w:rsid w:val="008E72E7"/>
    <w:rsid w:val="008E72FF"/>
    <w:rsid w:val="008E732F"/>
    <w:rsid w:val="008E7336"/>
    <w:rsid w:val="008E739E"/>
    <w:rsid w:val="008E73B3"/>
    <w:rsid w:val="008E73EE"/>
    <w:rsid w:val="008E7428"/>
    <w:rsid w:val="008E7487"/>
    <w:rsid w:val="008E749C"/>
    <w:rsid w:val="008E74C3"/>
    <w:rsid w:val="008E7567"/>
    <w:rsid w:val="008E75FE"/>
    <w:rsid w:val="008E7647"/>
    <w:rsid w:val="008E7701"/>
    <w:rsid w:val="008E770C"/>
    <w:rsid w:val="008E7760"/>
    <w:rsid w:val="008E77E8"/>
    <w:rsid w:val="008E7888"/>
    <w:rsid w:val="008E788E"/>
    <w:rsid w:val="008E791A"/>
    <w:rsid w:val="008E79B4"/>
    <w:rsid w:val="008E79BD"/>
    <w:rsid w:val="008E7A23"/>
    <w:rsid w:val="008E7A4B"/>
    <w:rsid w:val="008E7A6C"/>
    <w:rsid w:val="008E7A8F"/>
    <w:rsid w:val="008E7ACA"/>
    <w:rsid w:val="008E7B09"/>
    <w:rsid w:val="008E7B1A"/>
    <w:rsid w:val="008E7B21"/>
    <w:rsid w:val="008E7B65"/>
    <w:rsid w:val="008E7B79"/>
    <w:rsid w:val="008E7B9A"/>
    <w:rsid w:val="008E7BA5"/>
    <w:rsid w:val="008E7C27"/>
    <w:rsid w:val="008E7CD1"/>
    <w:rsid w:val="008E7CEA"/>
    <w:rsid w:val="008E7D2F"/>
    <w:rsid w:val="008E7D9A"/>
    <w:rsid w:val="008E7DC8"/>
    <w:rsid w:val="008E7DDF"/>
    <w:rsid w:val="008E7E5F"/>
    <w:rsid w:val="008E7F25"/>
    <w:rsid w:val="008E7F91"/>
    <w:rsid w:val="008F0099"/>
    <w:rsid w:val="008F00A0"/>
    <w:rsid w:val="008F00AE"/>
    <w:rsid w:val="008F01DB"/>
    <w:rsid w:val="008F01FF"/>
    <w:rsid w:val="008F0282"/>
    <w:rsid w:val="008F02B4"/>
    <w:rsid w:val="008F0324"/>
    <w:rsid w:val="008F0367"/>
    <w:rsid w:val="008F0469"/>
    <w:rsid w:val="008F04DA"/>
    <w:rsid w:val="008F056E"/>
    <w:rsid w:val="008F058C"/>
    <w:rsid w:val="008F0605"/>
    <w:rsid w:val="008F0629"/>
    <w:rsid w:val="008F0679"/>
    <w:rsid w:val="008F069A"/>
    <w:rsid w:val="008F06A2"/>
    <w:rsid w:val="008F06FE"/>
    <w:rsid w:val="008F072C"/>
    <w:rsid w:val="008F0739"/>
    <w:rsid w:val="008F074D"/>
    <w:rsid w:val="008F077E"/>
    <w:rsid w:val="008F0836"/>
    <w:rsid w:val="008F0953"/>
    <w:rsid w:val="008F0A48"/>
    <w:rsid w:val="008F0A71"/>
    <w:rsid w:val="008F0AC9"/>
    <w:rsid w:val="008F0AEE"/>
    <w:rsid w:val="008F0B23"/>
    <w:rsid w:val="008F0B45"/>
    <w:rsid w:val="008F0C0B"/>
    <w:rsid w:val="008F0C33"/>
    <w:rsid w:val="008F0C4A"/>
    <w:rsid w:val="008F0CA0"/>
    <w:rsid w:val="008F0D36"/>
    <w:rsid w:val="008F0D84"/>
    <w:rsid w:val="008F0DBA"/>
    <w:rsid w:val="008F0E12"/>
    <w:rsid w:val="008F0E1E"/>
    <w:rsid w:val="008F0E34"/>
    <w:rsid w:val="008F0E7D"/>
    <w:rsid w:val="008F0EA2"/>
    <w:rsid w:val="008F0EDB"/>
    <w:rsid w:val="008F0F98"/>
    <w:rsid w:val="008F0FBA"/>
    <w:rsid w:val="008F1043"/>
    <w:rsid w:val="008F1111"/>
    <w:rsid w:val="008F1159"/>
    <w:rsid w:val="008F11D8"/>
    <w:rsid w:val="008F1233"/>
    <w:rsid w:val="008F123F"/>
    <w:rsid w:val="008F130D"/>
    <w:rsid w:val="008F134B"/>
    <w:rsid w:val="008F1369"/>
    <w:rsid w:val="008F13AD"/>
    <w:rsid w:val="008F1432"/>
    <w:rsid w:val="008F1441"/>
    <w:rsid w:val="008F1493"/>
    <w:rsid w:val="008F1552"/>
    <w:rsid w:val="008F15A3"/>
    <w:rsid w:val="008F15A5"/>
    <w:rsid w:val="008F15CE"/>
    <w:rsid w:val="008F15D6"/>
    <w:rsid w:val="008F15DC"/>
    <w:rsid w:val="008F1603"/>
    <w:rsid w:val="008F160C"/>
    <w:rsid w:val="008F163C"/>
    <w:rsid w:val="008F164F"/>
    <w:rsid w:val="008F1709"/>
    <w:rsid w:val="008F17A3"/>
    <w:rsid w:val="008F17A7"/>
    <w:rsid w:val="008F17BC"/>
    <w:rsid w:val="008F17C3"/>
    <w:rsid w:val="008F1846"/>
    <w:rsid w:val="008F18B5"/>
    <w:rsid w:val="008F18DF"/>
    <w:rsid w:val="008F18E3"/>
    <w:rsid w:val="008F1926"/>
    <w:rsid w:val="008F192B"/>
    <w:rsid w:val="008F196D"/>
    <w:rsid w:val="008F1A27"/>
    <w:rsid w:val="008F1A71"/>
    <w:rsid w:val="008F1ACD"/>
    <w:rsid w:val="008F1B4D"/>
    <w:rsid w:val="008F1B7E"/>
    <w:rsid w:val="008F1BFB"/>
    <w:rsid w:val="008F1BFC"/>
    <w:rsid w:val="008F1C46"/>
    <w:rsid w:val="008F1C4F"/>
    <w:rsid w:val="008F1D68"/>
    <w:rsid w:val="008F1E05"/>
    <w:rsid w:val="008F1E59"/>
    <w:rsid w:val="008F1EA8"/>
    <w:rsid w:val="008F1EB2"/>
    <w:rsid w:val="008F1F09"/>
    <w:rsid w:val="008F1F51"/>
    <w:rsid w:val="008F1FDA"/>
    <w:rsid w:val="008F1FF7"/>
    <w:rsid w:val="008F2014"/>
    <w:rsid w:val="008F2035"/>
    <w:rsid w:val="008F2059"/>
    <w:rsid w:val="008F2093"/>
    <w:rsid w:val="008F20D2"/>
    <w:rsid w:val="008F2140"/>
    <w:rsid w:val="008F2187"/>
    <w:rsid w:val="008F228F"/>
    <w:rsid w:val="008F22D1"/>
    <w:rsid w:val="008F2325"/>
    <w:rsid w:val="008F2362"/>
    <w:rsid w:val="008F2363"/>
    <w:rsid w:val="008F236A"/>
    <w:rsid w:val="008F23A9"/>
    <w:rsid w:val="008F23DB"/>
    <w:rsid w:val="008F23EB"/>
    <w:rsid w:val="008F2428"/>
    <w:rsid w:val="008F2456"/>
    <w:rsid w:val="008F249D"/>
    <w:rsid w:val="008F24D0"/>
    <w:rsid w:val="008F2502"/>
    <w:rsid w:val="008F2554"/>
    <w:rsid w:val="008F2573"/>
    <w:rsid w:val="008F25CE"/>
    <w:rsid w:val="008F25FC"/>
    <w:rsid w:val="008F266C"/>
    <w:rsid w:val="008F26EB"/>
    <w:rsid w:val="008F277B"/>
    <w:rsid w:val="008F27D6"/>
    <w:rsid w:val="008F2839"/>
    <w:rsid w:val="008F2889"/>
    <w:rsid w:val="008F2899"/>
    <w:rsid w:val="008F28EA"/>
    <w:rsid w:val="008F2999"/>
    <w:rsid w:val="008F29EA"/>
    <w:rsid w:val="008F2A3E"/>
    <w:rsid w:val="008F2A48"/>
    <w:rsid w:val="008F2A86"/>
    <w:rsid w:val="008F2AFE"/>
    <w:rsid w:val="008F2B63"/>
    <w:rsid w:val="008F2CA4"/>
    <w:rsid w:val="008F2CF5"/>
    <w:rsid w:val="008F2D5A"/>
    <w:rsid w:val="008F2D87"/>
    <w:rsid w:val="008F2D93"/>
    <w:rsid w:val="008F2DD5"/>
    <w:rsid w:val="008F2E70"/>
    <w:rsid w:val="008F2E85"/>
    <w:rsid w:val="008F2E8D"/>
    <w:rsid w:val="008F2ED4"/>
    <w:rsid w:val="008F2EFD"/>
    <w:rsid w:val="008F2FEE"/>
    <w:rsid w:val="008F3050"/>
    <w:rsid w:val="008F3068"/>
    <w:rsid w:val="008F313E"/>
    <w:rsid w:val="008F3142"/>
    <w:rsid w:val="008F31A0"/>
    <w:rsid w:val="008F31B9"/>
    <w:rsid w:val="008F3214"/>
    <w:rsid w:val="008F3254"/>
    <w:rsid w:val="008F32BC"/>
    <w:rsid w:val="008F32DE"/>
    <w:rsid w:val="008F3339"/>
    <w:rsid w:val="008F3381"/>
    <w:rsid w:val="008F3390"/>
    <w:rsid w:val="008F3395"/>
    <w:rsid w:val="008F33A4"/>
    <w:rsid w:val="008F343E"/>
    <w:rsid w:val="008F348B"/>
    <w:rsid w:val="008F34D4"/>
    <w:rsid w:val="008F35DD"/>
    <w:rsid w:val="008F3627"/>
    <w:rsid w:val="008F3673"/>
    <w:rsid w:val="008F36C8"/>
    <w:rsid w:val="008F36D3"/>
    <w:rsid w:val="008F3734"/>
    <w:rsid w:val="008F378A"/>
    <w:rsid w:val="008F37D4"/>
    <w:rsid w:val="008F3807"/>
    <w:rsid w:val="008F3868"/>
    <w:rsid w:val="008F3882"/>
    <w:rsid w:val="008F38B8"/>
    <w:rsid w:val="008F38F3"/>
    <w:rsid w:val="008F396B"/>
    <w:rsid w:val="008F3976"/>
    <w:rsid w:val="008F398D"/>
    <w:rsid w:val="008F39BD"/>
    <w:rsid w:val="008F3A3D"/>
    <w:rsid w:val="008F3A52"/>
    <w:rsid w:val="008F3A91"/>
    <w:rsid w:val="008F3BB1"/>
    <w:rsid w:val="008F3BBE"/>
    <w:rsid w:val="008F3BD2"/>
    <w:rsid w:val="008F3BEF"/>
    <w:rsid w:val="008F3C20"/>
    <w:rsid w:val="008F3C23"/>
    <w:rsid w:val="008F3CA0"/>
    <w:rsid w:val="008F3D50"/>
    <w:rsid w:val="008F3D85"/>
    <w:rsid w:val="008F3DEA"/>
    <w:rsid w:val="008F3DF8"/>
    <w:rsid w:val="008F3E21"/>
    <w:rsid w:val="008F3EFE"/>
    <w:rsid w:val="008F3F08"/>
    <w:rsid w:val="008F3F46"/>
    <w:rsid w:val="008F3F8F"/>
    <w:rsid w:val="008F400D"/>
    <w:rsid w:val="008F4042"/>
    <w:rsid w:val="008F4055"/>
    <w:rsid w:val="008F4103"/>
    <w:rsid w:val="008F4137"/>
    <w:rsid w:val="008F41E8"/>
    <w:rsid w:val="008F41FC"/>
    <w:rsid w:val="008F4240"/>
    <w:rsid w:val="008F429C"/>
    <w:rsid w:val="008F42A5"/>
    <w:rsid w:val="008F42B7"/>
    <w:rsid w:val="008F42BC"/>
    <w:rsid w:val="008F42D2"/>
    <w:rsid w:val="008F42E3"/>
    <w:rsid w:val="008F4390"/>
    <w:rsid w:val="008F4431"/>
    <w:rsid w:val="008F4447"/>
    <w:rsid w:val="008F4490"/>
    <w:rsid w:val="008F44C4"/>
    <w:rsid w:val="008F44DD"/>
    <w:rsid w:val="008F4541"/>
    <w:rsid w:val="008F4542"/>
    <w:rsid w:val="008F460E"/>
    <w:rsid w:val="008F462C"/>
    <w:rsid w:val="008F4643"/>
    <w:rsid w:val="008F47A7"/>
    <w:rsid w:val="008F47A8"/>
    <w:rsid w:val="008F482A"/>
    <w:rsid w:val="008F4862"/>
    <w:rsid w:val="008F48BC"/>
    <w:rsid w:val="008F491D"/>
    <w:rsid w:val="008F497B"/>
    <w:rsid w:val="008F4A29"/>
    <w:rsid w:val="008F4A44"/>
    <w:rsid w:val="008F4A45"/>
    <w:rsid w:val="008F4A9E"/>
    <w:rsid w:val="008F4AB8"/>
    <w:rsid w:val="008F4B9F"/>
    <w:rsid w:val="008F4BD5"/>
    <w:rsid w:val="008F4C58"/>
    <w:rsid w:val="008F4C7C"/>
    <w:rsid w:val="008F4CBC"/>
    <w:rsid w:val="008F4D39"/>
    <w:rsid w:val="008F4D57"/>
    <w:rsid w:val="008F4D82"/>
    <w:rsid w:val="008F4DCE"/>
    <w:rsid w:val="008F4E0C"/>
    <w:rsid w:val="008F4F62"/>
    <w:rsid w:val="008F4FD5"/>
    <w:rsid w:val="008F4FE6"/>
    <w:rsid w:val="008F5005"/>
    <w:rsid w:val="008F500C"/>
    <w:rsid w:val="008F507B"/>
    <w:rsid w:val="008F50CB"/>
    <w:rsid w:val="008F513E"/>
    <w:rsid w:val="008F5143"/>
    <w:rsid w:val="008F5203"/>
    <w:rsid w:val="008F521E"/>
    <w:rsid w:val="008F524C"/>
    <w:rsid w:val="008F52B1"/>
    <w:rsid w:val="008F539F"/>
    <w:rsid w:val="008F53AF"/>
    <w:rsid w:val="008F5459"/>
    <w:rsid w:val="008F550C"/>
    <w:rsid w:val="008F5632"/>
    <w:rsid w:val="008F56BB"/>
    <w:rsid w:val="008F56E4"/>
    <w:rsid w:val="008F5709"/>
    <w:rsid w:val="008F5771"/>
    <w:rsid w:val="008F579B"/>
    <w:rsid w:val="008F5858"/>
    <w:rsid w:val="008F5866"/>
    <w:rsid w:val="008F58EF"/>
    <w:rsid w:val="008F5963"/>
    <w:rsid w:val="008F59AB"/>
    <w:rsid w:val="008F59B1"/>
    <w:rsid w:val="008F5A64"/>
    <w:rsid w:val="008F5A6B"/>
    <w:rsid w:val="008F5A7A"/>
    <w:rsid w:val="008F5B19"/>
    <w:rsid w:val="008F5B29"/>
    <w:rsid w:val="008F5B5E"/>
    <w:rsid w:val="008F5B78"/>
    <w:rsid w:val="008F5BC2"/>
    <w:rsid w:val="008F5BDB"/>
    <w:rsid w:val="008F5C0B"/>
    <w:rsid w:val="008F5C10"/>
    <w:rsid w:val="008F5C34"/>
    <w:rsid w:val="008F5C53"/>
    <w:rsid w:val="008F5C94"/>
    <w:rsid w:val="008F5CF4"/>
    <w:rsid w:val="008F5D3E"/>
    <w:rsid w:val="008F5DAE"/>
    <w:rsid w:val="008F5E04"/>
    <w:rsid w:val="008F5E47"/>
    <w:rsid w:val="008F5E62"/>
    <w:rsid w:val="008F5EB3"/>
    <w:rsid w:val="008F5EC5"/>
    <w:rsid w:val="008F5F48"/>
    <w:rsid w:val="008F5FD7"/>
    <w:rsid w:val="008F6039"/>
    <w:rsid w:val="008F605C"/>
    <w:rsid w:val="008F607B"/>
    <w:rsid w:val="008F60BE"/>
    <w:rsid w:val="008F610C"/>
    <w:rsid w:val="008F61C4"/>
    <w:rsid w:val="008F61FE"/>
    <w:rsid w:val="008F6233"/>
    <w:rsid w:val="008F62B2"/>
    <w:rsid w:val="008F62C4"/>
    <w:rsid w:val="008F6339"/>
    <w:rsid w:val="008F6364"/>
    <w:rsid w:val="008F6373"/>
    <w:rsid w:val="008F63D4"/>
    <w:rsid w:val="008F63E6"/>
    <w:rsid w:val="008F63ED"/>
    <w:rsid w:val="008F63FC"/>
    <w:rsid w:val="008F6427"/>
    <w:rsid w:val="008F6462"/>
    <w:rsid w:val="008F6502"/>
    <w:rsid w:val="008F6526"/>
    <w:rsid w:val="008F667A"/>
    <w:rsid w:val="008F66CE"/>
    <w:rsid w:val="008F67B9"/>
    <w:rsid w:val="008F680A"/>
    <w:rsid w:val="008F682C"/>
    <w:rsid w:val="008F68FC"/>
    <w:rsid w:val="008F6905"/>
    <w:rsid w:val="008F692D"/>
    <w:rsid w:val="008F6965"/>
    <w:rsid w:val="008F698B"/>
    <w:rsid w:val="008F6A50"/>
    <w:rsid w:val="008F6AF0"/>
    <w:rsid w:val="008F6B98"/>
    <w:rsid w:val="008F6BFF"/>
    <w:rsid w:val="008F6D1F"/>
    <w:rsid w:val="008F6D93"/>
    <w:rsid w:val="008F6E02"/>
    <w:rsid w:val="008F6E15"/>
    <w:rsid w:val="008F6E85"/>
    <w:rsid w:val="008F6F04"/>
    <w:rsid w:val="008F6FBB"/>
    <w:rsid w:val="008F6FD1"/>
    <w:rsid w:val="008F70E6"/>
    <w:rsid w:val="008F7110"/>
    <w:rsid w:val="008F7112"/>
    <w:rsid w:val="008F71AA"/>
    <w:rsid w:val="008F71F7"/>
    <w:rsid w:val="008F72B9"/>
    <w:rsid w:val="008F7316"/>
    <w:rsid w:val="008F7396"/>
    <w:rsid w:val="008F73A7"/>
    <w:rsid w:val="008F7448"/>
    <w:rsid w:val="008F7462"/>
    <w:rsid w:val="008F74E8"/>
    <w:rsid w:val="008F74EC"/>
    <w:rsid w:val="008F74FB"/>
    <w:rsid w:val="008F753F"/>
    <w:rsid w:val="008F7574"/>
    <w:rsid w:val="008F75A4"/>
    <w:rsid w:val="008F7690"/>
    <w:rsid w:val="008F77BD"/>
    <w:rsid w:val="008F7811"/>
    <w:rsid w:val="008F7812"/>
    <w:rsid w:val="008F787F"/>
    <w:rsid w:val="008F7899"/>
    <w:rsid w:val="008F78BC"/>
    <w:rsid w:val="008F78C5"/>
    <w:rsid w:val="008F7914"/>
    <w:rsid w:val="008F7946"/>
    <w:rsid w:val="008F7A01"/>
    <w:rsid w:val="008F7A21"/>
    <w:rsid w:val="008F7A68"/>
    <w:rsid w:val="008F7A8D"/>
    <w:rsid w:val="008F7AB1"/>
    <w:rsid w:val="008F7B02"/>
    <w:rsid w:val="008F7BCA"/>
    <w:rsid w:val="008F7BEB"/>
    <w:rsid w:val="008F7C01"/>
    <w:rsid w:val="008F7C13"/>
    <w:rsid w:val="008F7C5E"/>
    <w:rsid w:val="008F7C6E"/>
    <w:rsid w:val="008F7C7E"/>
    <w:rsid w:val="008F7D25"/>
    <w:rsid w:val="008F7D48"/>
    <w:rsid w:val="008F7E37"/>
    <w:rsid w:val="008F7E4D"/>
    <w:rsid w:val="008F7E7B"/>
    <w:rsid w:val="008F7F11"/>
    <w:rsid w:val="008F7F7E"/>
    <w:rsid w:val="008F7FF7"/>
    <w:rsid w:val="00900071"/>
    <w:rsid w:val="0090009C"/>
    <w:rsid w:val="009000C2"/>
    <w:rsid w:val="009001AF"/>
    <w:rsid w:val="00900212"/>
    <w:rsid w:val="009002DA"/>
    <w:rsid w:val="0090032A"/>
    <w:rsid w:val="00900385"/>
    <w:rsid w:val="009003E2"/>
    <w:rsid w:val="009003F0"/>
    <w:rsid w:val="0090041D"/>
    <w:rsid w:val="0090049E"/>
    <w:rsid w:val="0090063E"/>
    <w:rsid w:val="0090065E"/>
    <w:rsid w:val="00900664"/>
    <w:rsid w:val="0090073A"/>
    <w:rsid w:val="00900757"/>
    <w:rsid w:val="0090077F"/>
    <w:rsid w:val="009007B8"/>
    <w:rsid w:val="009007E0"/>
    <w:rsid w:val="009007EC"/>
    <w:rsid w:val="0090085C"/>
    <w:rsid w:val="0090086F"/>
    <w:rsid w:val="00900871"/>
    <w:rsid w:val="009009B9"/>
    <w:rsid w:val="00900A63"/>
    <w:rsid w:val="00900AA6"/>
    <w:rsid w:val="00900B2F"/>
    <w:rsid w:val="00900B75"/>
    <w:rsid w:val="00900B87"/>
    <w:rsid w:val="00900B8E"/>
    <w:rsid w:val="00900BC9"/>
    <w:rsid w:val="00900C04"/>
    <w:rsid w:val="00900C44"/>
    <w:rsid w:val="00900CAA"/>
    <w:rsid w:val="00900D68"/>
    <w:rsid w:val="00900E2F"/>
    <w:rsid w:val="00900E50"/>
    <w:rsid w:val="00900EA0"/>
    <w:rsid w:val="00900F37"/>
    <w:rsid w:val="00900F54"/>
    <w:rsid w:val="00900F63"/>
    <w:rsid w:val="00900F8F"/>
    <w:rsid w:val="00901011"/>
    <w:rsid w:val="0090104F"/>
    <w:rsid w:val="00901050"/>
    <w:rsid w:val="0090111A"/>
    <w:rsid w:val="00901182"/>
    <w:rsid w:val="009011C9"/>
    <w:rsid w:val="00901240"/>
    <w:rsid w:val="0090124E"/>
    <w:rsid w:val="00901256"/>
    <w:rsid w:val="00901294"/>
    <w:rsid w:val="0090129B"/>
    <w:rsid w:val="009012C1"/>
    <w:rsid w:val="00901397"/>
    <w:rsid w:val="009013E4"/>
    <w:rsid w:val="0090143B"/>
    <w:rsid w:val="00901497"/>
    <w:rsid w:val="0090158A"/>
    <w:rsid w:val="009015ED"/>
    <w:rsid w:val="0090164A"/>
    <w:rsid w:val="00901697"/>
    <w:rsid w:val="0090170E"/>
    <w:rsid w:val="00901744"/>
    <w:rsid w:val="00901770"/>
    <w:rsid w:val="00901773"/>
    <w:rsid w:val="009017F2"/>
    <w:rsid w:val="009018EC"/>
    <w:rsid w:val="009018FB"/>
    <w:rsid w:val="0090194C"/>
    <w:rsid w:val="00901952"/>
    <w:rsid w:val="00901993"/>
    <w:rsid w:val="009019A8"/>
    <w:rsid w:val="00901A64"/>
    <w:rsid w:val="00901A71"/>
    <w:rsid w:val="00901B41"/>
    <w:rsid w:val="00901BC7"/>
    <w:rsid w:val="00901C31"/>
    <w:rsid w:val="00901C39"/>
    <w:rsid w:val="00901C3E"/>
    <w:rsid w:val="00901C5F"/>
    <w:rsid w:val="00901C80"/>
    <w:rsid w:val="00901D66"/>
    <w:rsid w:val="00901E13"/>
    <w:rsid w:val="00901E46"/>
    <w:rsid w:val="00901E48"/>
    <w:rsid w:val="00901E6F"/>
    <w:rsid w:val="00901EA1"/>
    <w:rsid w:val="00901EEA"/>
    <w:rsid w:val="00901FA0"/>
    <w:rsid w:val="00901FF6"/>
    <w:rsid w:val="0090209A"/>
    <w:rsid w:val="009020FF"/>
    <w:rsid w:val="00902198"/>
    <w:rsid w:val="0090219E"/>
    <w:rsid w:val="00902235"/>
    <w:rsid w:val="0090228F"/>
    <w:rsid w:val="0090237E"/>
    <w:rsid w:val="00902499"/>
    <w:rsid w:val="009024E0"/>
    <w:rsid w:val="009024EB"/>
    <w:rsid w:val="009024F6"/>
    <w:rsid w:val="009025D4"/>
    <w:rsid w:val="009025E5"/>
    <w:rsid w:val="009025FE"/>
    <w:rsid w:val="00902697"/>
    <w:rsid w:val="00902700"/>
    <w:rsid w:val="00902761"/>
    <w:rsid w:val="009027B2"/>
    <w:rsid w:val="009027E7"/>
    <w:rsid w:val="009027EB"/>
    <w:rsid w:val="0090280C"/>
    <w:rsid w:val="00902819"/>
    <w:rsid w:val="00902880"/>
    <w:rsid w:val="0090288F"/>
    <w:rsid w:val="00902975"/>
    <w:rsid w:val="009029B1"/>
    <w:rsid w:val="009029C2"/>
    <w:rsid w:val="00902A04"/>
    <w:rsid w:val="00902A24"/>
    <w:rsid w:val="00902A9F"/>
    <w:rsid w:val="00902B7D"/>
    <w:rsid w:val="00902BF8"/>
    <w:rsid w:val="00902CA8"/>
    <w:rsid w:val="00902CC8"/>
    <w:rsid w:val="00902CFD"/>
    <w:rsid w:val="00902D26"/>
    <w:rsid w:val="00902D27"/>
    <w:rsid w:val="00902D78"/>
    <w:rsid w:val="00902DBE"/>
    <w:rsid w:val="00902E82"/>
    <w:rsid w:val="00902EB4"/>
    <w:rsid w:val="00902EC3"/>
    <w:rsid w:val="00902F28"/>
    <w:rsid w:val="00902F3A"/>
    <w:rsid w:val="00902FA0"/>
    <w:rsid w:val="00902FFC"/>
    <w:rsid w:val="00903007"/>
    <w:rsid w:val="00903095"/>
    <w:rsid w:val="009030BD"/>
    <w:rsid w:val="009030E2"/>
    <w:rsid w:val="009030E7"/>
    <w:rsid w:val="009030F1"/>
    <w:rsid w:val="00903141"/>
    <w:rsid w:val="00903210"/>
    <w:rsid w:val="00903215"/>
    <w:rsid w:val="0090321B"/>
    <w:rsid w:val="00903274"/>
    <w:rsid w:val="00903397"/>
    <w:rsid w:val="009033BE"/>
    <w:rsid w:val="009033D3"/>
    <w:rsid w:val="00903420"/>
    <w:rsid w:val="009034C9"/>
    <w:rsid w:val="009034D2"/>
    <w:rsid w:val="0090356F"/>
    <w:rsid w:val="009035AA"/>
    <w:rsid w:val="009035D2"/>
    <w:rsid w:val="0090367B"/>
    <w:rsid w:val="00903683"/>
    <w:rsid w:val="00903698"/>
    <w:rsid w:val="009036A6"/>
    <w:rsid w:val="009036AE"/>
    <w:rsid w:val="009036C9"/>
    <w:rsid w:val="0090372F"/>
    <w:rsid w:val="00903740"/>
    <w:rsid w:val="00903747"/>
    <w:rsid w:val="00903760"/>
    <w:rsid w:val="00903780"/>
    <w:rsid w:val="00903797"/>
    <w:rsid w:val="009037E9"/>
    <w:rsid w:val="00903870"/>
    <w:rsid w:val="009038E5"/>
    <w:rsid w:val="0090393C"/>
    <w:rsid w:val="00903A0E"/>
    <w:rsid w:val="00903A34"/>
    <w:rsid w:val="00903AAB"/>
    <w:rsid w:val="00903BBC"/>
    <w:rsid w:val="00903CAF"/>
    <w:rsid w:val="00903CC3"/>
    <w:rsid w:val="00903CF6"/>
    <w:rsid w:val="00903E39"/>
    <w:rsid w:val="00903EA7"/>
    <w:rsid w:val="00903EEC"/>
    <w:rsid w:val="00903F48"/>
    <w:rsid w:val="00903F66"/>
    <w:rsid w:val="00903F96"/>
    <w:rsid w:val="009040C5"/>
    <w:rsid w:val="009040EF"/>
    <w:rsid w:val="00904117"/>
    <w:rsid w:val="0090421E"/>
    <w:rsid w:val="00904259"/>
    <w:rsid w:val="00904313"/>
    <w:rsid w:val="00904369"/>
    <w:rsid w:val="0090437B"/>
    <w:rsid w:val="00904380"/>
    <w:rsid w:val="0090439A"/>
    <w:rsid w:val="00904410"/>
    <w:rsid w:val="0090447C"/>
    <w:rsid w:val="009045AD"/>
    <w:rsid w:val="009045C7"/>
    <w:rsid w:val="0090460D"/>
    <w:rsid w:val="00904633"/>
    <w:rsid w:val="00904638"/>
    <w:rsid w:val="0090482C"/>
    <w:rsid w:val="009048D7"/>
    <w:rsid w:val="00904904"/>
    <w:rsid w:val="00904995"/>
    <w:rsid w:val="00904997"/>
    <w:rsid w:val="009049AE"/>
    <w:rsid w:val="00904A0C"/>
    <w:rsid w:val="00904B08"/>
    <w:rsid w:val="00904B3C"/>
    <w:rsid w:val="00904B6E"/>
    <w:rsid w:val="00904B9A"/>
    <w:rsid w:val="00904BDB"/>
    <w:rsid w:val="00904CD6"/>
    <w:rsid w:val="00904CFE"/>
    <w:rsid w:val="00904D57"/>
    <w:rsid w:val="00904E25"/>
    <w:rsid w:val="00904E26"/>
    <w:rsid w:val="00904E7D"/>
    <w:rsid w:val="00904EBD"/>
    <w:rsid w:val="00904FBB"/>
    <w:rsid w:val="00905092"/>
    <w:rsid w:val="0090515B"/>
    <w:rsid w:val="009051A1"/>
    <w:rsid w:val="009051A8"/>
    <w:rsid w:val="009051E3"/>
    <w:rsid w:val="009051F4"/>
    <w:rsid w:val="0090520C"/>
    <w:rsid w:val="00905253"/>
    <w:rsid w:val="00905283"/>
    <w:rsid w:val="009052A2"/>
    <w:rsid w:val="009052A6"/>
    <w:rsid w:val="009052FA"/>
    <w:rsid w:val="00905455"/>
    <w:rsid w:val="009054A6"/>
    <w:rsid w:val="009054C9"/>
    <w:rsid w:val="00905508"/>
    <w:rsid w:val="00905566"/>
    <w:rsid w:val="00905599"/>
    <w:rsid w:val="009055F7"/>
    <w:rsid w:val="0090566F"/>
    <w:rsid w:val="009056E1"/>
    <w:rsid w:val="00905780"/>
    <w:rsid w:val="009059CA"/>
    <w:rsid w:val="009059D0"/>
    <w:rsid w:val="00905A19"/>
    <w:rsid w:val="00905A29"/>
    <w:rsid w:val="00905AE4"/>
    <w:rsid w:val="00905AF9"/>
    <w:rsid w:val="00905B05"/>
    <w:rsid w:val="00905BA7"/>
    <w:rsid w:val="00905C29"/>
    <w:rsid w:val="00905C60"/>
    <w:rsid w:val="00905C9F"/>
    <w:rsid w:val="00905CB7"/>
    <w:rsid w:val="00905CC2"/>
    <w:rsid w:val="00905CD3"/>
    <w:rsid w:val="00905D00"/>
    <w:rsid w:val="00905D9D"/>
    <w:rsid w:val="00905E5C"/>
    <w:rsid w:val="00905E93"/>
    <w:rsid w:val="00905EEE"/>
    <w:rsid w:val="00905F5E"/>
    <w:rsid w:val="00905F6C"/>
    <w:rsid w:val="00905F76"/>
    <w:rsid w:val="00905F82"/>
    <w:rsid w:val="0090601C"/>
    <w:rsid w:val="0090603B"/>
    <w:rsid w:val="0090606C"/>
    <w:rsid w:val="0090614D"/>
    <w:rsid w:val="009061BB"/>
    <w:rsid w:val="009061DC"/>
    <w:rsid w:val="009061F8"/>
    <w:rsid w:val="00906210"/>
    <w:rsid w:val="00906237"/>
    <w:rsid w:val="0090634D"/>
    <w:rsid w:val="0090642B"/>
    <w:rsid w:val="0090642D"/>
    <w:rsid w:val="00906435"/>
    <w:rsid w:val="00906437"/>
    <w:rsid w:val="0090656A"/>
    <w:rsid w:val="009065CB"/>
    <w:rsid w:val="009065F3"/>
    <w:rsid w:val="0090667F"/>
    <w:rsid w:val="009066BA"/>
    <w:rsid w:val="009066C9"/>
    <w:rsid w:val="0090671B"/>
    <w:rsid w:val="00906726"/>
    <w:rsid w:val="0090675E"/>
    <w:rsid w:val="0090679C"/>
    <w:rsid w:val="009067C2"/>
    <w:rsid w:val="009068A1"/>
    <w:rsid w:val="009068AD"/>
    <w:rsid w:val="009068B0"/>
    <w:rsid w:val="009068DD"/>
    <w:rsid w:val="009068E6"/>
    <w:rsid w:val="009068F5"/>
    <w:rsid w:val="009068FB"/>
    <w:rsid w:val="00906911"/>
    <w:rsid w:val="00906917"/>
    <w:rsid w:val="0090693E"/>
    <w:rsid w:val="00906959"/>
    <w:rsid w:val="00906A7E"/>
    <w:rsid w:val="00906B37"/>
    <w:rsid w:val="00906C28"/>
    <w:rsid w:val="00906CA2"/>
    <w:rsid w:val="00906CE6"/>
    <w:rsid w:val="00906CF6"/>
    <w:rsid w:val="00906D05"/>
    <w:rsid w:val="00906D39"/>
    <w:rsid w:val="00906E51"/>
    <w:rsid w:val="00906E5F"/>
    <w:rsid w:val="00906E60"/>
    <w:rsid w:val="00906E61"/>
    <w:rsid w:val="00906E6B"/>
    <w:rsid w:val="00906E9E"/>
    <w:rsid w:val="00906EE6"/>
    <w:rsid w:val="00906F46"/>
    <w:rsid w:val="00907042"/>
    <w:rsid w:val="0090705E"/>
    <w:rsid w:val="0090706F"/>
    <w:rsid w:val="0090709E"/>
    <w:rsid w:val="00907159"/>
    <w:rsid w:val="0090718E"/>
    <w:rsid w:val="0090723D"/>
    <w:rsid w:val="00907335"/>
    <w:rsid w:val="00907362"/>
    <w:rsid w:val="00907401"/>
    <w:rsid w:val="00907461"/>
    <w:rsid w:val="009074F8"/>
    <w:rsid w:val="0090750F"/>
    <w:rsid w:val="0090754D"/>
    <w:rsid w:val="009075CB"/>
    <w:rsid w:val="009075D3"/>
    <w:rsid w:val="00907611"/>
    <w:rsid w:val="0090764D"/>
    <w:rsid w:val="00907685"/>
    <w:rsid w:val="0090768C"/>
    <w:rsid w:val="0090771F"/>
    <w:rsid w:val="0090774D"/>
    <w:rsid w:val="00907770"/>
    <w:rsid w:val="0090779D"/>
    <w:rsid w:val="009077FE"/>
    <w:rsid w:val="0090782C"/>
    <w:rsid w:val="00907843"/>
    <w:rsid w:val="00907869"/>
    <w:rsid w:val="009078C6"/>
    <w:rsid w:val="0090793B"/>
    <w:rsid w:val="0090795C"/>
    <w:rsid w:val="009079EE"/>
    <w:rsid w:val="00907A86"/>
    <w:rsid w:val="00907AA1"/>
    <w:rsid w:val="00907B10"/>
    <w:rsid w:val="00907B54"/>
    <w:rsid w:val="00907B94"/>
    <w:rsid w:val="00907BA7"/>
    <w:rsid w:val="00907BC2"/>
    <w:rsid w:val="00907BE3"/>
    <w:rsid w:val="00907C09"/>
    <w:rsid w:val="00907C61"/>
    <w:rsid w:val="00907C82"/>
    <w:rsid w:val="00907C84"/>
    <w:rsid w:val="00907DB8"/>
    <w:rsid w:val="00907E08"/>
    <w:rsid w:val="00907E37"/>
    <w:rsid w:val="00907EDC"/>
    <w:rsid w:val="00907F1B"/>
    <w:rsid w:val="00907FB0"/>
    <w:rsid w:val="00907FCD"/>
    <w:rsid w:val="0091003D"/>
    <w:rsid w:val="00910072"/>
    <w:rsid w:val="009100AA"/>
    <w:rsid w:val="0091014D"/>
    <w:rsid w:val="00910158"/>
    <w:rsid w:val="00910167"/>
    <w:rsid w:val="009101B2"/>
    <w:rsid w:val="009101CE"/>
    <w:rsid w:val="009101F6"/>
    <w:rsid w:val="0091026E"/>
    <w:rsid w:val="00910288"/>
    <w:rsid w:val="00910292"/>
    <w:rsid w:val="00910297"/>
    <w:rsid w:val="009102A3"/>
    <w:rsid w:val="00910316"/>
    <w:rsid w:val="00910443"/>
    <w:rsid w:val="0091046E"/>
    <w:rsid w:val="009104A2"/>
    <w:rsid w:val="009104B7"/>
    <w:rsid w:val="009105C4"/>
    <w:rsid w:val="009106AC"/>
    <w:rsid w:val="00910719"/>
    <w:rsid w:val="009107DC"/>
    <w:rsid w:val="0091081F"/>
    <w:rsid w:val="00910892"/>
    <w:rsid w:val="0091089F"/>
    <w:rsid w:val="009108F2"/>
    <w:rsid w:val="0091090C"/>
    <w:rsid w:val="00910968"/>
    <w:rsid w:val="009109A6"/>
    <w:rsid w:val="009109E4"/>
    <w:rsid w:val="009109E5"/>
    <w:rsid w:val="009109E9"/>
    <w:rsid w:val="00910AE6"/>
    <w:rsid w:val="00910B3D"/>
    <w:rsid w:val="00910B84"/>
    <w:rsid w:val="00910BBF"/>
    <w:rsid w:val="00910C21"/>
    <w:rsid w:val="00910C75"/>
    <w:rsid w:val="00910DA1"/>
    <w:rsid w:val="00910DDC"/>
    <w:rsid w:val="00910DF7"/>
    <w:rsid w:val="00910E69"/>
    <w:rsid w:val="00910ECA"/>
    <w:rsid w:val="00910EF1"/>
    <w:rsid w:val="00910F0B"/>
    <w:rsid w:val="00910F7C"/>
    <w:rsid w:val="00911004"/>
    <w:rsid w:val="00911055"/>
    <w:rsid w:val="009110B6"/>
    <w:rsid w:val="009110EA"/>
    <w:rsid w:val="009110EC"/>
    <w:rsid w:val="00911144"/>
    <w:rsid w:val="0091118E"/>
    <w:rsid w:val="009111B8"/>
    <w:rsid w:val="009111F1"/>
    <w:rsid w:val="009112D0"/>
    <w:rsid w:val="009112F9"/>
    <w:rsid w:val="0091140F"/>
    <w:rsid w:val="00911473"/>
    <w:rsid w:val="009114B0"/>
    <w:rsid w:val="00911500"/>
    <w:rsid w:val="009115C2"/>
    <w:rsid w:val="00911667"/>
    <w:rsid w:val="00911683"/>
    <w:rsid w:val="009116AD"/>
    <w:rsid w:val="009116BE"/>
    <w:rsid w:val="00911792"/>
    <w:rsid w:val="009117E3"/>
    <w:rsid w:val="00911856"/>
    <w:rsid w:val="00911898"/>
    <w:rsid w:val="009118B0"/>
    <w:rsid w:val="009118F8"/>
    <w:rsid w:val="0091191D"/>
    <w:rsid w:val="00911955"/>
    <w:rsid w:val="00911967"/>
    <w:rsid w:val="00911980"/>
    <w:rsid w:val="00911AAA"/>
    <w:rsid w:val="00911BB9"/>
    <w:rsid w:val="00911BEB"/>
    <w:rsid w:val="00911C30"/>
    <w:rsid w:val="00911CBC"/>
    <w:rsid w:val="00911D1A"/>
    <w:rsid w:val="00911D28"/>
    <w:rsid w:val="00911D6F"/>
    <w:rsid w:val="00911E41"/>
    <w:rsid w:val="00911EE5"/>
    <w:rsid w:val="00911F5F"/>
    <w:rsid w:val="00911F89"/>
    <w:rsid w:val="00911F8B"/>
    <w:rsid w:val="00911F91"/>
    <w:rsid w:val="00911FD1"/>
    <w:rsid w:val="00912049"/>
    <w:rsid w:val="0091204D"/>
    <w:rsid w:val="00912081"/>
    <w:rsid w:val="009120D3"/>
    <w:rsid w:val="00912152"/>
    <w:rsid w:val="00912263"/>
    <w:rsid w:val="00912277"/>
    <w:rsid w:val="00912296"/>
    <w:rsid w:val="009122EF"/>
    <w:rsid w:val="0091232E"/>
    <w:rsid w:val="0091238E"/>
    <w:rsid w:val="009123B4"/>
    <w:rsid w:val="00912410"/>
    <w:rsid w:val="00912428"/>
    <w:rsid w:val="009124B7"/>
    <w:rsid w:val="00912588"/>
    <w:rsid w:val="00912633"/>
    <w:rsid w:val="009126BB"/>
    <w:rsid w:val="009126CB"/>
    <w:rsid w:val="00912778"/>
    <w:rsid w:val="009127AA"/>
    <w:rsid w:val="009127F2"/>
    <w:rsid w:val="0091286D"/>
    <w:rsid w:val="009128E6"/>
    <w:rsid w:val="00912922"/>
    <w:rsid w:val="00912946"/>
    <w:rsid w:val="0091298B"/>
    <w:rsid w:val="009129A1"/>
    <w:rsid w:val="009129DC"/>
    <w:rsid w:val="009129FC"/>
    <w:rsid w:val="00912A08"/>
    <w:rsid w:val="00912A63"/>
    <w:rsid w:val="00912A8D"/>
    <w:rsid w:val="00912BF2"/>
    <w:rsid w:val="00912C1F"/>
    <w:rsid w:val="00912C54"/>
    <w:rsid w:val="00912D0C"/>
    <w:rsid w:val="00912D65"/>
    <w:rsid w:val="00912D7F"/>
    <w:rsid w:val="00912DA7"/>
    <w:rsid w:val="00912DB0"/>
    <w:rsid w:val="00912E6F"/>
    <w:rsid w:val="00912E7F"/>
    <w:rsid w:val="00912EB1"/>
    <w:rsid w:val="00912F3E"/>
    <w:rsid w:val="00912F62"/>
    <w:rsid w:val="00912F7C"/>
    <w:rsid w:val="00912FD8"/>
    <w:rsid w:val="00913046"/>
    <w:rsid w:val="00913079"/>
    <w:rsid w:val="0091309B"/>
    <w:rsid w:val="0091313B"/>
    <w:rsid w:val="0091315A"/>
    <w:rsid w:val="0091315C"/>
    <w:rsid w:val="009131D6"/>
    <w:rsid w:val="00913215"/>
    <w:rsid w:val="0091326F"/>
    <w:rsid w:val="00913279"/>
    <w:rsid w:val="009134D6"/>
    <w:rsid w:val="009134FC"/>
    <w:rsid w:val="00913556"/>
    <w:rsid w:val="009135C2"/>
    <w:rsid w:val="009135FC"/>
    <w:rsid w:val="00913624"/>
    <w:rsid w:val="009136CB"/>
    <w:rsid w:val="00913706"/>
    <w:rsid w:val="0091381C"/>
    <w:rsid w:val="009138E4"/>
    <w:rsid w:val="00913932"/>
    <w:rsid w:val="0091393B"/>
    <w:rsid w:val="0091399B"/>
    <w:rsid w:val="009139A0"/>
    <w:rsid w:val="00913A7E"/>
    <w:rsid w:val="00913BE7"/>
    <w:rsid w:val="00913C81"/>
    <w:rsid w:val="00913C9E"/>
    <w:rsid w:val="00913CB4"/>
    <w:rsid w:val="00913CD6"/>
    <w:rsid w:val="00913D7B"/>
    <w:rsid w:val="00913D96"/>
    <w:rsid w:val="00913E3B"/>
    <w:rsid w:val="00913EEE"/>
    <w:rsid w:val="00913F90"/>
    <w:rsid w:val="0091401E"/>
    <w:rsid w:val="0091408C"/>
    <w:rsid w:val="00914150"/>
    <w:rsid w:val="009141A3"/>
    <w:rsid w:val="009141C2"/>
    <w:rsid w:val="00914208"/>
    <w:rsid w:val="00914258"/>
    <w:rsid w:val="00914275"/>
    <w:rsid w:val="009142C1"/>
    <w:rsid w:val="009142FA"/>
    <w:rsid w:val="00914341"/>
    <w:rsid w:val="00914376"/>
    <w:rsid w:val="00914377"/>
    <w:rsid w:val="009143AF"/>
    <w:rsid w:val="009143CA"/>
    <w:rsid w:val="009143FF"/>
    <w:rsid w:val="00914443"/>
    <w:rsid w:val="00914458"/>
    <w:rsid w:val="00914481"/>
    <w:rsid w:val="009144A6"/>
    <w:rsid w:val="00914553"/>
    <w:rsid w:val="0091463F"/>
    <w:rsid w:val="009146AC"/>
    <w:rsid w:val="009146D5"/>
    <w:rsid w:val="0091480A"/>
    <w:rsid w:val="00914867"/>
    <w:rsid w:val="0091486E"/>
    <w:rsid w:val="00914876"/>
    <w:rsid w:val="00914986"/>
    <w:rsid w:val="00914A34"/>
    <w:rsid w:val="00914A43"/>
    <w:rsid w:val="00914AB7"/>
    <w:rsid w:val="00914AF4"/>
    <w:rsid w:val="00914B7C"/>
    <w:rsid w:val="00914BD0"/>
    <w:rsid w:val="00914C75"/>
    <w:rsid w:val="00914CAC"/>
    <w:rsid w:val="00914CF7"/>
    <w:rsid w:val="00914D2E"/>
    <w:rsid w:val="00914D73"/>
    <w:rsid w:val="00914DC0"/>
    <w:rsid w:val="00914DD5"/>
    <w:rsid w:val="00914DF5"/>
    <w:rsid w:val="00914F67"/>
    <w:rsid w:val="00914F69"/>
    <w:rsid w:val="00914FAB"/>
    <w:rsid w:val="00915072"/>
    <w:rsid w:val="0091512E"/>
    <w:rsid w:val="0091514C"/>
    <w:rsid w:val="009151E1"/>
    <w:rsid w:val="0091525B"/>
    <w:rsid w:val="00915290"/>
    <w:rsid w:val="0091529E"/>
    <w:rsid w:val="00915300"/>
    <w:rsid w:val="00915376"/>
    <w:rsid w:val="00915397"/>
    <w:rsid w:val="00915458"/>
    <w:rsid w:val="009154D6"/>
    <w:rsid w:val="0091552A"/>
    <w:rsid w:val="00915540"/>
    <w:rsid w:val="00915555"/>
    <w:rsid w:val="0091558C"/>
    <w:rsid w:val="009155F6"/>
    <w:rsid w:val="0091563C"/>
    <w:rsid w:val="009156D0"/>
    <w:rsid w:val="009156D7"/>
    <w:rsid w:val="009156E2"/>
    <w:rsid w:val="009156E9"/>
    <w:rsid w:val="00915714"/>
    <w:rsid w:val="0091582D"/>
    <w:rsid w:val="00915898"/>
    <w:rsid w:val="00915949"/>
    <w:rsid w:val="00915996"/>
    <w:rsid w:val="00915A59"/>
    <w:rsid w:val="00915A5C"/>
    <w:rsid w:val="00915AE1"/>
    <w:rsid w:val="00915B2B"/>
    <w:rsid w:val="00915BC7"/>
    <w:rsid w:val="00915D1E"/>
    <w:rsid w:val="00915D56"/>
    <w:rsid w:val="00915D86"/>
    <w:rsid w:val="00915DE6"/>
    <w:rsid w:val="00915EAD"/>
    <w:rsid w:val="00915F19"/>
    <w:rsid w:val="00915F32"/>
    <w:rsid w:val="00916043"/>
    <w:rsid w:val="0091605C"/>
    <w:rsid w:val="0091605D"/>
    <w:rsid w:val="0091605E"/>
    <w:rsid w:val="0091606F"/>
    <w:rsid w:val="009161CC"/>
    <w:rsid w:val="009161D0"/>
    <w:rsid w:val="0091624E"/>
    <w:rsid w:val="00916284"/>
    <w:rsid w:val="00916289"/>
    <w:rsid w:val="0091643D"/>
    <w:rsid w:val="0091652D"/>
    <w:rsid w:val="009165C5"/>
    <w:rsid w:val="009165E4"/>
    <w:rsid w:val="009166F7"/>
    <w:rsid w:val="00916718"/>
    <w:rsid w:val="009167C6"/>
    <w:rsid w:val="009167CD"/>
    <w:rsid w:val="0091684F"/>
    <w:rsid w:val="009168D8"/>
    <w:rsid w:val="0091696B"/>
    <w:rsid w:val="0091698C"/>
    <w:rsid w:val="009169E3"/>
    <w:rsid w:val="009169FA"/>
    <w:rsid w:val="00916B87"/>
    <w:rsid w:val="00916B9B"/>
    <w:rsid w:val="00916BF4"/>
    <w:rsid w:val="00916C0D"/>
    <w:rsid w:val="00916C9B"/>
    <w:rsid w:val="00916CCB"/>
    <w:rsid w:val="00916D06"/>
    <w:rsid w:val="00916DAC"/>
    <w:rsid w:val="00916E1A"/>
    <w:rsid w:val="00916E27"/>
    <w:rsid w:val="00916E45"/>
    <w:rsid w:val="00916EC7"/>
    <w:rsid w:val="00916ED2"/>
    <w:rsid w:val="00916EDE"/>
    <w:rsid w:val="00916F13"/>
    <w:rsid w:val="00916F19"/>
    <w:rsid w:val="00916F26"/>
    <w:rsid w:val="00916F3C"/>
    <w:rsid w:val="00916F3E"/>
    <w:rsid w:val="00916F64"/>
    <w:rsid w:val="00916F72"/>
    <w:rsid w:val="00917040"/>
    <w:rsid w:val="00917051"/>
    <w:rsid w:val="0091707E"/>
    <w:rsid w:val="0091712A"/>
    <w:rsid w:val="0091713F"/>
    <w:rsid w:val="00917157"/>
    <w:rsid w:val="00917170"/>
    <w:rsid w:val="009171E8"/>
    <w:rsid w:val="009171F2"/>
    <w:rsid w:val="009171FF"/>
    <w:rsid w:val="0091725D"/>
    <w:rsid w:val="00917270"/>
    <w:rsid w:val="009172B1"/>
    <w:rsid w:val="0091731A"/>
    <w:rsid w:val="00917352"/>
    <w:rsid w:val="009173B4"/>
    <w:rsid w:val="009173ED"/>
    <w:rsid w:val="0091740A"/>
    <w:rsid w:val="00917418"/>
    <w:rsid w:val="0091742F"/>
    <w:rsid w:val="009174C7"/>
    <w:rsid w:val="009174CC"/>
    <w:rsid w:val="00917528"/>
    <w:rsid w:val="009175B1"/>
    <w:rsid w:val="00917661"/>
    <w:rsid w:val="0091767D"/>
    <w:rsid w:val="0091768D"/>
    <w:rsid w:val="00917692"/>
    <w:rsid w:val="009176DA"/>
    <w:rsid w:val="00917723"/>
    <w:rsid w:val="009177E1"/>
    <w:rsid w:val="00917807"/>
    <w:rsid w:val="0091780C"/>
    <w:rsid w:val="00917811"/>
    <w:rsid w:val="0091783E"/>
    <w:rsid w:val="00917897"/>
    <w:rsid w:val="009178DF"/>
    <w:rsid w:val="009178E3"/>
    <w:rsid w:val="0091792E"/>
    <w:rsid w:val="0091796E"/>
    <w:rsid w:val="009179B8"/>
    <w:rsid w:val="009179D6"/>
    <w:rsid w:val="00917A8B"/>
    <w:rsid w:val="00917AA9"/>
    <w:rsid w:val="00917ABD"/>
    <w:rsid w:val="00917B08"/>
    <w:rsid w:val="00917B8D"/>
    <w:rsid w:val="00917B94"/>
    <w:rsid w:val="00917BB7"/>
    <w:rsid w:val="00917BFE"/>
    <w:rsid w:val="00917C35"/>
    <w:rsid w:val="00917C4C"/>
    <w:rsid w:val="00917CAD"/>
    <w:rsid w:val="00917CB6"/>
    <w:rsid w:val="00917D11"/>
    <w:rsid w:val="00917D1C"/>
    <w:rsid w:val="00917D42"/>
    <w:rsid w:val="00917D67"/>
    <w:rsid w:val="00917D98"/>
    <w:rsid w:val="00917DB4"/>
    <w:rsid w:val="00917E20"/>
    <w:rsid w:val="00917E28"/>
    <w:rsid w:val="00917F16"/>
    <w:rsid w:val="00917F61"/>
    <w:rsid w:val="00917F8C"/>
    <w:rsid w:val="00917FF6"/>
    <w:rsid w:val="0092000A"/>
    <w:rsid w:val="009201B8"/>
    <w:rsid w:val="00920204"/>
    <w:rsid w:val="009202FB"/>
    <w:rsid w:val="00920362"/>
    <w:rsid w:val="009203E8"/>
    <w:rsid w:val="0092045B"/>
    <w:rsid w:val="009204F3"/>
    <w:rsid w:val="00920506"/>
    <w:rsid w:val="009205BB"/>
    <w:rsid w:val="009205D6"/>
    <w:rsid w:val="00920648"/>
    <w:rsid w:val="00920651"/>
    <w:rsid w:val="009206A6"/>
    <w:rsid w:val="009206AD"/>
    <w:rsid w:val="009206C8"/>
    <w:rsid w:val="00920797"/>
    <w:rsid w:val="00920926"/>
    <w:rsid w:val="009209C5"/>
    <w:rsid w:val="00920A18"/>
    <w:rsid w:val="00920A8E"/>
    <w:rsid w:val="00920AA1"/>
    <w:rsid w:val="00920AA5"/>
    <w:rsid w:val="00920AE3"/>
    <w:rsid w:val="00920B7A"/>
    <w:rsid w:val="00920BFF"/>
    <w:rsid w:val="00920C96"/>
    <w:rsid w:val="00920C9B"/>
    <w:rsid w:val="00920D4D"/>
    <w:rsid w:val="00920DA8"/>
    <w:rsid w:val="00920DEB"/>
    <w:rsid w:val="00920E02"/>
    <w:rsid w:val="00920EF3"/>
    <w:rsid w:val="00920F69"/>
    <w:rsid w:val="00920FB1"/>
    <w:rsid w:val="00920FC8"/>
    <w:rsid w:val="00921066"/>
    <w:rsid w:val="00921073"/>
    <w:rsid w:val="00921100"/>
    <w:rsid w:val="0092116C"/>
    <w:rsid w:val="009211C3"/>
    <w:rsid w:val="0092128B"/>
    <w:rsid w:val="009212AF"/>
    <w:rsid w:val="009212C7"/>
    <w:rsid w:val="0092134F"/>
    <w:rsid w:val="00921396"/>
    <w:rsid w:val="009213E3"/>
    <w:rsid w:val="00921491"/>
    <w:rsid w:val="00921509"/>
    <w:rsid w:val="00921518"/>
    <w:rsid w:val="0092153C"/>
    <w:rsid w:val="00921550"/>
    <w:rsid w:val="009215C1"/>
    <w:rsid w:val="00921637"/>
    <w:rsid w:val="00921669"/>
    <w:rsid w:val="00921698"/>
    <w:rsid w:val="009216AD"/>
    <w:rsid w:val="009216D3"/>
    <w:rsid w:val="009217C0"/>
    <w:rsid w:val="0092180B"/>
    <w:rsid w:val="0092181D"/>
    <w:rsid w:val="0092188B"/>
    <w:rsid w:val="0092192A"/>
    <w:rsid w:val="00921936"/>
    <w:rsid w:val="0092194C"/>
    <w:rsid w:val="009219C1"/>
    <w:rsid w:val="00921A78"/>
    <w:rsid w:val="00921AAE"/>
    <w:rsid w:val="00921AB3"/>
    <w:rsid w:val="00921ACE"/>
    <w:rsid w:val="00921B76"/>
    <w:rsid w:val="00921C16"/>
    <w:rsid w:val="00921C18"/>
    <w:rsid w:val="00921C75"/>
    <w:rsid w:val="00921C99"/>
    <w:rsid w:val="00921CA4"/>
    <w:rsid w:val="00921D35"/>
    <w:rsid w:val="00921D42"/>
    <w:rsid w:val="00921E7B"/>
    <w:rsid w:val="00921E92"/>
    <w:rsid w:val="00921E9F"/>
    <w:rsid w:val="00921F0A"/>
    <w:rsid w:val="00921FB3"/>
    <w:rsid w:val="00921FFD"/>
    <w:rsid w:val="00922047"/>
    <w:rsid w:val="0092205F"/>
    <w:rsid w:val="00922093"/>
    <w:rsid w:val="0092216D"/>
    <w:rsid w:val="00922247"/>
    <w:rsid w:val="0092240C"/>
    <w:rsid w:val="00922414"/>
    <w:rsid w:val="00922448"/>
    <w:rsid w:val="0092247C"/>
    <w:rsid w:val="0092248D"/>
    <w:rsid w:val="00922493"/>
    <w:rsid w:val="0092249C"/>
    <w:rsid w:val="00922542"/>
    <w:rsid w:val="009225EE"/>
    <w:rsid w:val="0092277B"/>
    <w:rsid w:val="0092279A"/>
    <w:rsid w:val="0092279C"/>
    <w:rsid w:val="00922880"/>
    <w:rsid w:val="009228F6"/>
    <w:rsid w:val="0092292F"/>
    <w:rsid w:val="009229C5"/>
    <w:rsid w:val="00922A03"/>
    <w:rsid w:val="00922B49"/>
    <w:rsid w:val="00922C07"/>
    <w:rsid w:val="00922D1C"/>
    <w:rsid w:val="00922D28"/>
    <w:rsid w:val="00922D46"/>
    <w:rsid w:val="00922E0B"/>
    <w:rsid w:val="00922EBA"/>
    <w:rsid w:val="00922F03"/>
    <w:rsid w:val="00922F2D"/>
    <w:rsid w:val="00922F2F"/>
    <w:rsid w:val="00922F8A"/>
    <w:rsid w:val="00922FAF"/>
    <w:rsid w:val="00922FD5"/>
    <w:rsid w:val="00922FE3"/>
    <w:rsid w:val="00923157"/>
    <w:rsid w:val="009231F4"/>
    <w:rsid w:val="00923224"/>
    <w:rsid w:val="0092328C"/>
    <w:rsid w:val="0092329C"/>
    <w:rsid w:val="009232FF"/>
    <w:rsid w:val="00923305"/>
    <w:rsid w:val="00923329"/>
    <w:rsid w:val="00923360"/>
    <w:rsid w:val="00923475"/>
    <w:rsid w:val="00923483"/>
    <w:rsid w:val="0092359C"/>
    <w:rsid w:val="0092378B"/>
    <w:rsid w:val="0092379C"/>
    <w:rsid w:val="00923815"/>
    <w:rsid w:val="00923834"/>
    <w:rsid w:val="00923877"/>
    <w:rsid w:val="00923894"/>
    <w:rsid w:val="009238FE"/>
    <w:rsid w:val="009239E6"/>
    <w:rsid w:val="00923A11"/>
    <w:rsid w:val="00923A47"/>
    <w:rsid w:val="00923A6A"/>
    <w:rsid w:val="00923AFE"/>
    <w:rsid w:val="00923B79"/>
    <w:rsid w:val="00923B9E"/>
    <w:rsid w:val="00923C30"/>
    <w:rsid w:val="00923C9C"/>
    <w:rsid w:val="00923D20"/>
    <w:rsid w:val="00923D8B"/>
    <w:rsid w:val="00923DB5"/>
    <w:rsid w:val="00923DC5"/>
    <w:rsid w:val="00923DF0"/>
    <w:rsid w:val="00923E26"/>
    <w:rsid w:val="00923E79"/>
    <w:rsid w:val="00923E8F"/>
    <w:rsid w:val="00923ED7"/>
    <w:rsid w:val="00923EEC"/>
    <w:rsid w:val="00923EF0"/>
    <w:rsid w:val="00923F12"/>
    <w:rsid w:val="00923F77"/>
    <w:rsid w:val="00923F82"/>
    <w:rsid w:val="00923F88"/>
    <w:rsid w:val="00923F90"/>
    <w:rsid w:val="00924006"/>
    <w:rsid w:val="00924145"/>
    <w:rsid w:val="00924150"/>
    <w:rsid w:val="009241D9"/>
    <w:rsid w:val="009241E4"/>
    <w:rsid w:val="00924237"/>
    <w:rsid w:val="00924239"/>
    <w:rsid w:val="009242F6"/>
    <w:rsid w:val="009243CA"/>
    <w:rsid w:val="009243F9"/>
    <w:rsid w:val="00924439"/>
    <w:rsid w:val="00924497"/>
    <w:rsid w:val="00924530"/>
    <w:rsid w:val="00924612"/>
    <w:rsid w:val="0092461D"/>
    <w:rsid w:val="00924624"/>
    <w:rsid w:val="009246ED"/>
    <w:rsid w:val="009247F4"/>
    <w:rsid w:val="00924806"/>
    <w:rsid w:val="009248B2"/>
    <w:rsid w:val="0092492F"/>
    <w:rsid w:val="00924949"/>
    <w:rsid w:val="009249B3"/>
    <w:rsid w:val="00924A41"/>
    <w:rsid w:val="00924A5A"/>
    <w:rsid w:val="00924AD6"/>
    <w:rsid w:val="00924AEC"/>
    <w:rsid w:val="00924B03"/>
    <w:rsid w:val="00924BBF"/>
    <w:rsid w:val="00924C65"/>
    <w:rsid w:val="00924C74"/>
    <w:rsid w:val="00924D12"/>
    <w:rsid w:val="00924E5B"/>
    <w:rsid w:val="00924E66"/>
    <w:rsid w:val="00924E89"/>
    <w:rsid w:val="00924EC2"/>
    <w:rsid w:val="00924EE5"/>
    <w:rsid w:val="00924F6B"/>
    <w:rsid w:val="00924FDC"/>
    <w:rsid w:val="00924FFD"/>
    <w:rsid w:val="00925061"/>
    <w:rsid w:val="0092506F"/>
    <w:rsid w:val="0092507D"/>
    <w:rsid w:val="00925174"/>
    <w:rsid w:val="00925223"/>
    <w:rsid w:val="00925284"/>
    <w:rsid w:val="00925396"/>
    <w:rsid w:val="009253B7"/>
    <w:rsid w:val="0092547E"/>
    <w:rsid w:val="009254C6"/>
    <w:rsid w:val="00925528"/>
    <w:rsid w:val="009255DC"/>
    <w:rsid w:val="00925628"/>
    <w:rsid w:val="00925629"/>
    <w:rsid w:val="00925651"/>
    <w:rsid w:val="00925658"/>
    <w:rsid w:val="009256B0"/>
    <w:rsid w:val="00925700"/>
    <w:rsid w:val="00925737"/>
    <w:rsid w:val="00925779"/>
    <w:rsid w:val="009257CD"/>
    <w:rsid w:val="009257F6"/>
    <w:rsid w:val="00925803"/>
    <w:rsid w:val="00925911"/>
    <w:rsid w:val="0092596A"/>
    <w:rsid w:val="009259C4"/>
    <w:rsid w:val="009259E8"/>
    <w:rsid w:val="00925A25"/>
    <w:rsid w:val="00925A83"/>
    <w:rsid w:val="00925AA5"/>
    <w:rsid w:val="00925B46"/>
    <w:rsid w:val="00925B84"/>
    <w:rsid w:val="00925B8D"/>
    <w:rsid w:val="00925B92"/>
    <w:rsid w:val="00925BAC"/>
    <w:rsid w:val="00925BC8"/>
    <w:rsid w:val="00925C51"/>
    <w:rsid w:val="00925C63"/>
    <w:rsid w:val="00925CB6"/>
    <w:rsid w:val="00925DAE"/>
    <w:rsid w:val="00925E47"/>
    <w:rsid w:val="00925E87"/>
    <w:rsid w:val="00925FBD"/>
    <w:rsid w:val="00925FE3"/>
    <w:rsid w:val="00926008"/>
    <w:rsid w:val="009260C7"/>
    <w:rsid w:val="009260FA"/>
    <w:rsid w:val="00926134"/>
    <w:rsid w:val="00926183"/>
    <w:rsid w:val="009261D9"/>
    <w:rsid w:val="009261F4"/>
    <w:rsid w:val="0092621F"/>
    <w:rsid w:val="00926225"/>
    <w:rsid w:val="0092623A"/>
    <w:rsid w:val="00926279"/>
    <w:rsid w:val="00926286"/>
    <w:rsid w:val="00926294"/>
    <w:rsid w:val="0092632F"/>
    <w:rsid w:val="009263FD"/>
    <w:rsid w:val="0092640A"/>
    <w:rsid w:val="0092644C"/>
    <w:rsid w:val="00926474"/>
    <w:rsid w:val="0092652C"/>
    <w:rsid w:val="00926624"/>
    <w:rsid w:val="009266AB"/>
    <w:rsid w:val="00926710"/>
    <w:rsid w:val="00926749"/>
    <w:rsid w:val="00926754"/>
    <w:rsid w:val="00926758"/>
    <w:rsid w:val="00926767"/>
    <w:rsid w:val="009267E0"/>
    <w:rsid w:val="00926808"/>
    <w:rsid w:val="009268BD"/>
    <w:rsid w:val="009268C7"/>
    <w:rsid w:val="00926914"/>
    <w:rsid w:val="0092695A"/>
    <w:rsid w:val="00926962"/>
    <w:rsid w:val="00926987"/>
    <w:rsid w:val="009269D0"/>
    <w:rsid w:val="00926A4D"/>
    <w:rsid w:val="00926A9B"/>
    <w:rsid w:val="00926A9F"/>
    <w:rsid w:val="00926AD1"/>
    <w:rsid w:val="00926B47"/>
    <w:rsid w:val="00926B66"/>
    <w:rsid w:val="00926B7D"/>
    <w:rsid w:val="00926C15"/>
    <w:rsid w:val="00926CA2"/>
    <w:rsid w:val="00926CC9"/>
    <w:rsid w:val="00926D82"/>
    <w:rsid w:val="00926DA3"/>
    <w:rsid w:val="00926E0D"/>
    <w:rsid w:val="00926EB6"/>
    <w:rsid w:val="00926F1A"/>
    <w:rsid w:val="00926F5F"/>
    <w:rsid w:val="00926F81"/>
    <w:rsid w:val="00926FAB"/>
    <w:rsid w:val="00926FFB"/>
    <w:rsid w:val="00927016"/>
    <w:rsid w:val="009270AC"/>
    <w:rsid w:val="0092715C"/>
    <w:rsid w:val="00927175"/>
    <w:rsid w:val="009271A8"/>
    <w:rsid w:val="009272B9"/>
    <w:rsid w:val="00927349"/>
    <w:rsid w:val="0092735A"/>
    <w:rsid w:val="00927361"/>
    <w:rsid w:val="00927380"/>
    <w:rsid w:val="00927425"/>
    <w:rsid w:val="00927459"/>
    <w:rsid w:val="00927495"/>
    <w:rsid w:val="00927517"/>
    <w:rsid w:val="00927529"/>
    <w:rsid w:val="0092753A"/>
    <w:rsid w:val="00927576"/>
    <w:rsid w:val="009275B3"/>
    <w:rsid w:val="009275B5"/>
    <w:rsid w:val="009275EB"/>
    <w:rsid w:val="009275F6"/>
    <w:rsid w:val="00927683"/>
    <w:rsid w:val="009276AE"/>
    <w:rsid w:val="00927724"/>
    <w:rsid w:val="009277C9"/>
    <w:rsid w:val="00927817"/>
    <w:rsid w:val="009278C3"/>
    <w:rsid w:val="0092790D"/>
    <w:rsid w:val="0092799F"/>
    <w:rsid w:val="009279E7"/>
    <w:rsid w:val="009279FD"/>
    <w:rsid w:val="00927A72"/>
    <w:rsid w:val="00927A8D"/>
    <w:rsid w:val="00927A8E"/>
    <w:rsid w:val="00927ABD"/>
    <w:rsid w:val="00927AF7"/>
    <w:rsid w:val="00927B1D"/>
    <w:rsid w:val="00927B34"/>
    <w:rsid w:val="00927B39"/>
    <w:rsid w:val="00927B40"/>
    <w:rsid w:val="00927B8B"/>
    <w:rsid w:val="00927BBD"/>
    <w:rsid w:val="00927BCD"/>
    <w:rsid w:val="00927C22"/>
    <w:rsid w:val="00927C56"/>
    <w:rsid w:val="00927C70"/>
    <w:rsid w:val="00927C7C"/>
    <w:rsid w:val="00927C9A"/>
    <w:rsid w:val="00927E16"/>
    <w:rsid w:val="00927E7C"/>
    <w:rsid w:val="00927E96"/>
    <w:rsid w:val="00927E9D"/>
    <w:rsid w:val="00927EF8"/>
    <w:rsid w:val="00927EFD"/>
    <w:rsid w:val="00927F07"/>
    <w:rsid w:val="00927F0C"/>
    <w:rsid w:val="00927FE7"/>
    <w:rsid w:val="0093003D"/>
    <w:rsid w:val="00930085"/>
    <w:rsid w:val="009300BB"/>
    <w:rsid w:val="0093019F"/>
    <w:rsid w:val="00930288"/>
    <w:rsid w:val="0093034B"/>
    <w:rsid w:val="009303D2"/>
    <w:rsid w:val="00930482"/>
    <w:rsid w:val="0093050C"/>
    <w:rsid w:val="00930523"/>
    <w:rsid w:val="00930663"/>
    <w:rsid w:val="009306AA"/>
    <w:rsid w:val="009306EA"/>
    <w:rsid w:val="0093071A"/>
    <w:rsid w:val="00930744"/>
    <w:rsid w:val="009307C8"/>
    <w:rsid w:val="00930892"/>
    <w:rsid w:val="009308DB"/>
    <w:rsid w:val="009308EF"/>
    <w:rsid w:val="00930911"/>
    <w:rsid w:val="00930953"/>
    <w:rsid w:val="00930961"/>
    <w:rsid w:val="0093096A"/>
    <w:rsid w:val="009309BE"/>
    <w:rsid w:val="009309D3"/>
    <w:rsid w:val="00930A01"/>
    <w:rsid w:val="00930A1C"/>
    <w:rsid w:val="00930A9D"/>
    <w:rsid w:val="00930B21"/>
    <w:rsid w:val="00930B30"/>
    <w:rsid w:val="00930BA6"/>
    <w:rsid w:val="00930BC8"/>
    <w:rsid w:val="00930BCB"/>
    <w:rsid w:val="00930C42"/>
    <w:rsid w:val="00930D0B"/>
    <w:rsid w:val="00930D12"/>
    <w:rsid w:val="00930D78"/>
    <w:rsid w:val="00930E5D"/>
    <w:rsid w:val="00930E71"/>
    <w:rsid w:val="00930F56"/>
    <w:rsid w:val="00930FB7"/>
    <w:rsid w:val="0093100E"/>
    <w:rsid w:val="0093107D"/>
    <w:rsid w:val="0093109E"/>
    <w:rsid w:val="00931108"/>
    <w:rsid w:val="0093110C"/>
    <w:rsid w:val="00931162"/>
    <w:rsid w:val="00931260"/>
    <w:rsid w:val="009312B4"/>
    <w:rsid w:val="0093130C"/>
    <w:rsid w:val="00931336"/>
    <w:rsid w:val="0093134C"/>
    <w:rsid w:val="00931369"/>
    <w:rsid w:val="00931384"/>
    <w:rsid w:val="0093147A"/>
    <w:rsid w:val="009314B5"/>
    <w:rsid w:val="00931522"/>
    <w:rsid w:val="0093152D"/>
    <w:rsid w:val="00931619"/>
    <w:rsid w:val="009316B3"/>
    <w:rsid w:val="009316E3"/>
    <w:rsid w:val="00931702"/>
    <w:rsid w:val="00931731"/>
    <w:rsid w:val="0093175C"/>
    <w:rsid w:val="009318C0"/>
    <w:rsid w:val="00931916"/>
    <w:rsid w:val="00931917"/>
    <w:rsid w:val="0093192D"/>
    <w:rsid w:val="00931943"/>
    <w:rsid w:val="009319D6"/>
    <w:rsid w:val="00931A3F"/>
    <w:rsid w:val="00931AAF"/>
    <w:rsid w:val="00931B24"/>
    <w:rsid w:val="00931B34"/>
    <w:rsid w:val="00931B3D"/>
    <w:rsid w:val="00931BA5"/>
    <w:rsid w:val="00931BBE"/>
    <w:rsid w:val="00931C1A"/>
    <w:rsid w:val="00931CC1"/>
    <w:rsid w:val="00931CEE"/>
    <w:rsid w:val="00931D45"/>
    <w:rsid w:val="00931D7A"/>
    <w:rsid w:val="00931DC2"/>
    <w:rsid w:val="00931E2E"/>
    <w:rsid w:val="00931EB2"/>
    <w:rsid w:val="00931F35"/>
    <w:rsid w:val="00931FA0"/>
    <w:rsid w:val="00931FBA"/>
    <w:rsid w:val="00931FBD"/>
    <w:rsid w:val="00931FBE"/>
    <w:rsid w:val="00932048"/>
    <w:rsid w:val="0093204B"/>
    <w:rsid w:val="0093208B"/>
    <w:rsid w:val="00932110"/>
    <w:rsid w:val="009321C3"/>
    <w:rsid w:val="009321E0"/>
    <w:rsid w:val="0093220B"/>
    <w:rsid w:val="00932219"/>
    <w:rsid w:val="00932232"/>
    <w:rsid w:val="0093227F"/>
    <w:rsid w:val="009322CB"/>
    <w:rsid w:val="0093234D"/>
    <w:rsid w:val="009323F5"/>
    <w:rsid w:val="009324D9"/>
    <w:rsid w:val="009324E6"/>
    <w:rsid w:val="0093257D"/>
    <w:rsid w:val="00932660"/>
    <w:rsid w:val="009326A2"/>
    <w:rsid w:val="00932726"/>
    <w:rsid w:val="0093272E"/>
    <w:rsid w:val="00932759"/>
    <w:rsid w:val="0093276F"/>
    <w:rsid w:val="009327AD"/>
    <w:rsid w:val="009327B0"/>
    <w:rsid w:val="009327EE"/>
    <w:rsid w:val="00932815"/>
    <w:rsid w:val="00932895"/>
    <w:rsid w:val="0093290B"/>
    <w:rsid w:val="0093291F"/>
    <w:rsid w:val="00932936"/>
    <w:rsid w:val="00932946"/>
    <w:rsid w:val="00932955"/>
    <w:rsid w:val="009329A0"/>
    <w:rsid w:val="009329D5"/>
    <w:rsid w:val="00932A59"/>
    <w:rsid w:val="00932A70"/>
    <w:rsid w:val="00932A84"/>
    <w:rsid w:val="00932AC1"/>
    <w:rsid w:val="00932B12"/>
    <w:rsid w:val="00932C20"/>
    <w:rsid w:val="00932D3F"/>
    <w:rsid w:val="00932D54"/>
    <w:rsid w:val="00932D5F"/>
    <w:rsid w:val="00932D6A"/>
    <w:rsid w:val="00932E0D"/>
    <w:rsid w:val="00932E15"/>
    <w:rsid w:val="00932E88"/>
    <w:rsid w:val="00932E97"/>
    <w:rsid w:val="00932F35"/>
    <w:rsid w:val="00933078"/>
    <w:rsid w:val="00933084"/>
    <w:rsid w:val="00933115"/>
    <w:rsid w:val="00933156"/>
    <w:rsid w:val="009331E6"/>
    <w:rsid w:val="009331FD"/>
    <w:rsid w:val="0093334F"/>
    <w:rsid w:val="009333D1"/>
    <w:rsid w:val="0093344F"/>
    <w:rsid w:val="009334A0"/>
    <w:rsid w:val="009335D0"/>
    <w:rsid w:val="00933857"/>
    <w:rsid w:val="00933979"/>
    <w:rsid w:val="00933AFE"/>
    <w:rsid w:val="00933B12"/>
    <w:rsid w:val="00933B62"/>
    <w:rsid w:val="00933B97"/>
    <w:rsid w:val="00933C23"/>
    <w:rsid w:val="00933C2B"/>
    <w:rsid w:val="00933CC3"/>
    <w:rsid w:val="00933D02"/>
    <w:rsid w:val="00933D1A"/>
    <w:rsid w:val="00933DE7"/>
    <w:rsid w:val="00933E45"/>
    <w:rsid w:val="00933E97"/>
    <w:rsid w:val="00933F2F"/>
    <w:rsid w:val="00933F34"/>
    <w:rsid w:val="00933F89"/>
    <w:rsid w:val="00933FAC"/>
    <w:rsid w:val="00934019"/>
    <w:rsid w:val="0093403B"/>
    <w:rsid w:val="00934055"/>
    <w:rsid w:val="009340A5"/>
    <w:rsid w:val="009340C8"/>
    <w:rsid w:val="00934126"/>
    <w:rsid w:val="0093419E"/>
    <w:rsid w:val="0093426E"/>
    <w:rsid w:val="009342A7"/>
    <w:rsid w:val="009342B0"/>
    <w:rsid w:val="009342C4"/>
    <w:rsid w:val="009342FF"/>
    <w:rsid w:val="00934340"/>
    <w:rsid w:val="00934354"/>
    <w:rsid w:val="00934363"/>
    <w:rsid w:val="009343B8"/>
    <w:rsid w:val="009343BA"/>
    <w:rsid w:val="0093440B"/>
    <w:rsid w:val="009344B1"/>
    <w:rsid w:val="0093450C"/>
    <w:rsid w:val="00934539"/>
    <w:rsid w:val="00934560"/>
    <w:rsid w:val="00934595"/>
    <w:rsid w:val="0093460C"/>
    <w:rsid w:val="0093469F"/>
    <w:rsid w:val="009346C4"/>
    <w:rsid w:val="0093471C"/>
    <w:rsid w:val="009347B9"/>
    <w:rsid w:val="009347EE"/>
    <w:rsid w:val="009348E4"/>
    <w:rsid w:val="009348E5"/>
    <w:rsid w:val="009348FA"/>
    <w:rsid w:val="00934949"/>
    <w:rsid w:val="0093495B"/>
    <w:rsid w:val="00934961"/>
    <w:rsid w:val="00934976"/>
    <w:rsid w:val="00934995"/>
    <w:rsid w:val="00934997"/>
    <w:rsid w:val="00934999"/>
    <w:rsid w:val="009349AD"/>
    <w:rsid w:val="00934A01"/>
    <w:rsid w:val="00934A04"/>
    <w:rsid w:val="00934AF3"/>
    <w:rsid w:val="00934B3E"/>
    <w:rsid w:val="00934BA3"/>
    <w:rsid w:val="00934BF3"/>
    <w:rsid w:val="00934CD2"/>
    <w:rsid w:val="00934D26"/>
    <w:rsid w:val="00934D48"/>
    <w:rsid w:val="00934DF2"/>
    <w:rsid w:val="00934DF8"/>
    <w:rsid w:val="00934EB3"/>
    <w:rsid w:val="00934EE9"/>
    <w:rsid w:val="00934F5A"/>
    <w:rsid w:val="00934F64"/>
    <w:rsid w:val="00934FA1"/>
    <w:rsid w:val="00934FA2"/>
    <w:rsid w:val="00934FA7"/>
    <w:rsid w:val="00934FCF"/>
    <w:rsid w:val="009350C6"/>
    <w:rsid w:val="009351B3"/>
    <w:rsid w:val="009351F5"/>
    <w:rsid w:val="00935208"/>
    <w:rsid w:val="0093522F"/>
    <w:rsid w:val="00935243"/>
    <w:rsid w:val="009352A5"/>
    <w:rsid w:val="0093540D"/>
    <w:rsid w:val="009354A0"/>
    <w:rsid w:val="009354F2"/>
    <w:rsid w:val="00935525"/>
    <w:rsid w:val="0093554F"/>
    <w:rsid w:val="00935558"/>
    <w:rsid w:val="009355A6"/>
    <w:rsid w:val="009355D9"/>
    <w:rsid w:val="009356A8"/>
    <w:rsid w:val="009356C1"/>
    <w:rsid w:val="009356E7"/>
    <w:rsid w:val="0093570B"/>
    <w:rsid w:val="0093578C"/>
    <w:rsid w:val="00935793"/>
    <w:rsid w:val="009357A3"/>
    <w:rsid w:val="00935823"/>
    <w:rsid w:val="00935830"/>
    <w:rsid w:val="00935871"/>
    <w:rsid w:val="009358F5"/>
    <w:rsid w:val="0093596B"/>
    <w:rsid w:val="00935A21"/>
    <w:rsid w:val="00935A47"/>
    <w:rsid w:val="00935A5D"/>
    <w:rsid w:val="00935AB5"/>
    <w:rsid w:val="00935ADB"/>
    <w:rsid w:val="00935B1F"/>
    <w:rsid w:val="00935B49"/>
    <w:rsid w:val="00935BA4"/>
    <w:rsid w:val="00935BC6"/>
    <w:rsid w:val="00935C14"/>
    <w:rsid w:val="00935CA0"/>
    <w:rsid w:val="00935CF9"/>
    <w:rsid w:val="00935DDD"/>
    <w:rsid w:val="00935DED"/>
    <w:rsid w:val="00935E2C"/>
    <w:rsid w:val="00935E7A"/>
    <w:rsid w:val="00935EEB"/>
    <w:rsid w:val="00935F45"/>
    <w:rsid w:val="00935F63"/>
    <w:rsid w:val="00935FC9"/>
    <w:rsid w:val="00936014"/>
    <w:rsid w:val="0093604B"/>
    <w:rsid w:val="00936255"/>
    <w:rsid w:val="00936277"/>
    <w:rsid w:val="009362E7"/>
    <w:rsid w:val="009363B0"/>
    <w:rsid w:val="00936402"/>
    <w:rsid w:val="009365FD"/>
    <w:rsid w:val="00936686"/>
    <w:rsid w:val="0093669A"/>
    <w:rsid w:val="00936707"/>
    <w:rsid w:val="00936730"/>
    <w:rsid w:val="00936782"/>
    <w:rsid w:val="009367A1"/>
    <w:rsid w:val="00936806"/>
    <w:rsid w:val="0093682D"/>
    <w:rsid w:val="009368CA"/>
    <w:rsid w:val="00936930"/>
    <w:rsid w:val="00936999"/>
    <w:rsid w:val="009369A3"/>
    <w:rsid w:val="009369F9"/>
    <w:rsid w:val="00936A71"/>
    <w:rsid w:val="00936AA5"/>
    <w:rsid w:val="00936AF2"/>
    <w:rsid w:val="00936B4F"/>
    <w:rsid w:val="00936B7F"/>
    <w:rsid w:val="00936B98"/>
    <w:rsid w:val="00936BFC"/>
    <w:rsid w:val="00936C1C"/>
    <w:rsid w:val="00936C4D"/>
    <w:rsid w:val="00936C68"/>
    <w:rsid w:val="00936CA9"/>
    <w:rsid w:val="00936CD0"/>
    <w:rsid w:val="00936D33"/>
    <w:rsid w:val="00936DE7"/>
    <w:rsid w:val="00936E00"/>
    <w:rsid w:val="00936E38"/>
    <w:rsid w:val="00936E74"/>
    <w:rsid w:val="00936EA4"/>
    <w:rsid w:val="00936EB0"/>
    <w:rsid w:val="00936FC8"/>
    <w:rsid w:val="00936FF2"/>
    <w:rsid w:val="009370D9"/>
    <w:rsid w:val="009370F9"/>
    <w:rsid w:val="0093712C"/>
    <w:rsid w:val="00937184"/>
    <w:rsid w:val="00937186"/>
    <w:rsid w:val="009371E8"/>
    <w:rsid w:val="00937223"/>
    <w:rsid w:val="0093727F"/>
    <w:rsid w:val="00937328"/>
    <w:rsid w:val="0093733D"/>
    <w:rsid w:val="009373D7"/>
    <w:rsid w:val="0093745A"/>
    <w:rsid w:val="0093748E"/>
    <w:rsid w:val="00937614"/>
    <w:rsid w:val="00937625"/>
    <w:rsid w:val="00937851"/>
    <w:rsid w:val="009378A5"/>
    <w:rsid w:val="00937929"/>
    <w:rsid w:val="0093794B"/>
    <w:rsid w:val="0093795E"/>
    <w:rsid w:val="0093796C"/>
    <w:rsid w:val="009379FC"/>
    <w:rsid w:val="00937AE3"/>
    <w:rsid w:val="00937AE4"/>
    <w:rsid w:val="00937B46"/>
    <w:rsid w:val="00937BD5"/>
    <w:rsid w:val="00937C01"/>
    <w:rsid w:val="00937C39"/>
    <w:rsid w:val="00937C4D"/>
    <w:rsid w:val="00937C6D"/>
    <w:rsid w:val="00937CA9"/>
    <w:rsid w:val="00937CB5"/>
    <w:rsid w:val="00937CBA"/>
    <w:rsid w:val="00937CE4"/>
    <w:rsid w:val="00937CE5"/>
    <w:rsid w:val="00937D38"/>
    <w:rsid w:val="00937D58"/>
    <w:rsid w:val="00937DFF"/>
    <w:rsid w:val="00937E12"/>
    <w:rsid w:val="00937E18"/>
    <w:rsid w:val="00937F33"/>
    <w:rsid w:val="00937F36"/>
    <w:rsid w:val="00940059"/>
    <w:rsid w:val="009400E7"/>
    <w:rsid w:val="00940166"/>
    <w:rsid w:val="00940180"/>
    <w:rsid w:val="00940182"/>
    <w:rsid w:val="0094019D"/>
    <w:rsid w:val="00940279"/>
    <w:rsid w:val="00940283"/>
    <w:rsid w:val="009402D6"/>
    <w:rsid w:val="009402FD"/>
    <w:rsid w:val="0094031E"/>
    <w:rsid w:val="00940340"/>
    <w:rsid w:val="00940365"/>
    <w:rsid w:val="009404B5"/>
    <w:rsid w:val="00940507"/>
    <w:rsid w:val="0094051D"/>
    <w:rsid w:val="0094053F"/>
    <w:rsid w:val="00940578"/>
    <w:rsid w:val="0094057A"/>
    <w:rsid w:val="00940613"/>
    <w:rsid w:val="009406DD"/>
    <w:rsid w:val="0094075E"/>
    <w:rsid w:val="009407EB"/>
    <w:rsid w:val="009407F2"/>
    <w:rsid w:val="0094081E"/>
    <w:rsid w:val="00940940"/>
    <w:rsid w:val="0094097B"/>
    <w:rsid w:val="00940A1B"/>
    <w:rsid w:val="00940A2F"/>
    <w:rsid w:val="00940A8D"/>
    <w:rsid w:val="00940AFD"/>
    <w:rsid w:val="00940C7A"/>
    <w:rsid w:val="00940D3C"/>
    <w:rsid w:val="00940E23"/>
    <w:rsid w:val="00940E63"/>
    <w:rsid w:val="00940E91"/>
    <w:rsid w:val="00940EEE"/>
    <w:rsid w:val="00940F13"/>
    <w:rsid w:val="00940F44"/>
    <w:rsid w:val="00940FA3"/>
    <w:rsid w:val="0094105C"/>
    <w:rsid w:val="00941173"/>
    <w:rsid w:val="0094119A"/>
    <w:rsid w:val="0094127F"/>
    <w:rsid w:val="009412AD"/>
    <w:rsid w:val="00941376"/>
    <w:rsid w:val="00941421"/>
    <w:rsid w:val="00941440"/>
    <w:rsid w:val="00941467"/>
    <w:rsid w:val="00941487"/>
    <w:rsid w:val="009414B4"/>
    <w:rsid w:val="009414D4"/>
    <w:rsid w:val="009414DB"/>
    <w:rsid w:val="0094153A"/>
    <w:rsid w:val="00941584"/>
    <w:rsid w:val="009415E0"/>
    <w:rsid w:val="00941744"/>
    <w:rsid w:val="00941758"/>
    <w:rsid w:val="009417A8"/>
    <w:rsid w:val="00941826"/>
    <w:rsid w:val="0094188E"/>
    <w:rsid w:val="00941906"/>
    <w:rsid w:val="0094194B"/>
    <w:rsid w:val="0094195E"/>
    <w:rsid w:val="009419CE"/>
    <w:rsid w:val="00941A04"/>
    <w:rsid w:val="00941A75"/>
    <w:rsid w:val="00941B46"/>
    <w:rsid w:val="00941BD8"/>
    <w:rsid w:val="00941BFD"/>
    <w:rsid w:val="00941C16"/>
    <w:rsid w:val="00941C75"/>
    <w:rsid w:val="00941D05"/>
    <w:rsid w:val="00941D44"/>
    <w:rsid w:val="00941D73"/>
    <w:rsid w:val="00941DF2"/>
    <w:rsid w:val="00941E0F"/>
    <w:rsid w:val="00941E45"/>
    <w:rsid w:val="00941E83"/>
    <w:rsid w:val="00941F9C"/>
    <w:rsid w:val="00941FB6"/>
    <w:rsid w:val="00941FEE"/>
    <w:rsid w:val="0094208D"/>
    <w:rsid w:val="00942151"/>
    <w:rsid w:val="00942184"/>
    <w:rsid w:val="009421B5"/>
    <w:rsid w:val="00942296"/>
    <w:rsid w:val="009422BA"/>
    <w:rsid w:val="009422EA"/>
    <w:rsid w:val="009423BD"/>
    <w:rsid w:val="00942470"/>
    <w:rsid w:val="0094249D"/>
    <w:rsid w:val="009424FD"/>
    <w:rsid w:val="009425DA"/>
    <w:rsid w:val="00942604"/>
    <w:rsid w:val="00942638"/>
    <w:rsid w:val="0094266C"/>
    <w:rsid w:val="009426F1"/>
    <w:rsid w:val="00942764"/>
    <w:rsid w:val="0094279C"/>
    <w:rsid w:val="009427A3"/>
    <w:rsid w:val="009427D6"/>
    <w:rsid w:val="00942828"/>
    <w:rsid w:val="0094290D"/>
    <w:rsid w:val="0094291C"/>
    <w:rsid w:val="00942950"/>
    <w:rsid w:val="0094295C"/>
    <w:rsid w:val="00942992"/>
    <w:rsid w:val="009429CF"/>
    <w:rsid w:val="009429FE"/>
    <w:rsid w:val="00942A67"/>
    <w:rsid w:val="00942AAE"/>
    <w:rsid w:val="00942AE1"/>
    <w:rsid w:val="00942B17"/>
    <w:rsid w:val="00942B74"/>
    <w:rsid w:val="00942BF4"/>
    <w:rsid w:val="00942C11"/>
    <w:rsid w:val="00942C4D"/>
    <w:rsid w:val="00942CAD"/>
    <w:rsid w:val="00942D9F"/>
    <w:rsid w:val="00942DA1"/>
    <w:rsid w:val="00942DAB"/>
    <w:rsid w:val="00942DC9"/>
    <w:rsid w:val="00942E3B"/>
    <w:rsid w:val="00942E97"/>
    <w:rsid w:val="00942E9E"/>
    <w:rsid w:val="00942EE0"/>
    <w:rsid w:val="00942F62"/>
    <w:rsid w:val="00942F87"/>
    <w:rsid w:val="00942FB9"/>
    <w:rsid w:val="0094303F"/>
    <w:rsid w:val="009430AD"/>
    <w:rsid w:val="009430B5"/>
    <w:rsid w:val="009430EE"/>
    <w:rsid w:val="00943199"/>
    <w:rsid w:val="00943257"/>
    <w:rsid w:val="0094332E"/>
    <w:rsid w:val="00943337"/>
    <w:rsid w:val="00943446"/>
    <w:rsid w:val="00943479"/>
    <w:rsid w:val="009434AB"/>
    <w:rsid w:val="0094351F"/>
    <w:rsid w:val="0094352B"/>
    <w:rsid w:val="0094366B"/>
    <w:rsid w:val="009436A3"/>
    <w:rsid w:val="009436F1"/>
    <w:rsid w:val="00943773"/>
    <w:rsid w:val="009437E4"/>
    <w:rsid w:val="0094385F"/>
    <w:rsid w:val="0094386F"/>
    <w:rsid w:val="009438B0"/>
    <w:rsid w:val="009438F7"/>
    <w:rsid w:val="00943936"/>
    <w:rsid w:val="00943A16"/>
    <w:rsid w:val="00943A37"/>
    <w:rsid w:val="00943A76"/>
    <w:rsid w:val="00943ADB"/>
    <w:rsid w:val="00943BB7"/>
    <w:rsid w:val="00943DB1"/>
    <w:rsid w:val="00943DD0"/>
    <w:rsid w:val="00943DF2"/>
    <w:rsid w:val="00943E65"/>
    <w:rsid w:val="00943EAB"/>
    <w:rsid w:val="00943F07"/>
    <w:rsid w:val="00943F09"/>
    <w:rsid w:val="00943F16"/>
    <w:rsid w:val="00943FC9"/>
    <w:rsid w:val="00944038"/>
    <w:rsid w:val="00944068"/>
    <w:rsid w:val="009440CF"/>
    <w:rsid w:val="009440E3"/>
    <w:rsid w:val="00944118"/>
    <w:rsid w:val="0094414B"/>
    <w:rsid w:val="0094424C"/>
    <w:rsid w:val="0094425A"/>
    <w:rsid w:val="0094425D"/>
    <w:rsid w:val="0094426C"/>
    <w:rsid w:val="00944293"/>
    <w:rsid w:val="009442BF"/>
    <w:rsid w:val="00944311"/>
    <w:rsid w:val="00944339"/>
    <w:rsid w:val="00944341"/>
    <w:rsid w:val="009443A3"/>
    <w:rsid w:val="0094443A"/>
    <w:rsid w:val="0094448C"/>
    <w:rsid w:val="00944490"/>
    <w:rsid w:val="009444D3"/>
    <w:rsid w:val="0094459B"/>
    <w:rsid w:val="009445B7"/>
    <w:rsid w:val="009445BD"/>
    <w:rsid w:val="0094466F"/>
    <w:rsid w:val="009446D6"/>
    <w:rsid w:val="009448A5"/>
    <w:rsid w:val="009448B5"/>
    <w:rsid w:val="00944916"/>
    <w:rsid w:val="0094492A"/>
    <w:rsid w:val="0094497E"/>
    <w:rsid w:val="009449A6"/>
    <w:rsid w:val="00944A02"/>
    <w:rsid w:val="00944A09"/>
    <w:rsid w:val="00944A2D"/>
    <w:rsid w:val="00944A39"/>
    <w:rsid w:val="00944A47"/>
    <w:rsid w:val="00944AAC"/>
    <w:rsid w:val="00944AB5"/>
    <w:rsid w:val="00944B6F"/>
    <w:rsid w:val="00944C0C"/>
    <w:rsid w:val="00944C45"/>
    <w:rsid w:val="00944C89"/>
    <w:rsid w:val="00944CD7"/>
    <w:rsid w:val="00944D00"/>
    <w:rsid w:val="00944D20"/>
    <w:rsid w:val="00944E64"/>
    <w:rsid w:val="00944F04"/>
    <w:rsid w:val="00944FCD"/>
    <w:rsid w:val="00944FCE"/>
    <w:rsid w:val="00945112"/>
    <w:rsid w:val="009452EA"/>
    <w:rsid w:val="0094533F"/>
    <w:rsid w:val="00945476"/>
    <w:rsid w:val="00945494"/>
    <w:rsid w:val="00945500"/>
    <w:rsid w:val="00945502"/>
    <w:rsid w:val="00945506"/>
    <w:rsid w:val="00945509"/>
    <w:rsid w:val="0094554A"/>
    <w:rsid w:val="00945605"/>
    <w:rsid w:val="0094561F"/>
    <w:rsid w:val="0094563C"/>
    <w:rsid w:val="00945694"/>
    <w:rsid w:val="00945736"/>
    <w:rsid w:val="00945811"/>
    <w:rsid w:val="009458C7"/>
    <w:rsid w:val="009458E7"/>
    <w:rsid w:val="00945960"/>
    <w:rsid w:val="00945983"/>
    <w:rsid w:val="009459B6"/>
    <w:rsid w:val="00945AAB"/>
    <w:rsid w:val="00945AB2"/>
    <w:rsid w:val="00945AD4"/>
    <w:rsid w:val="00945AF9"/>
    <w:rsid w:val="00945B0D"/>
    <w:rsid w:val="00945B4D"/>
    <w:rsid w:val="00945B8A"/>
    <w:rsid w:val="00945C29"/>
    <w:rsid w:val="00945C46"/>
    <w:rsid w:val="00945D4B"/>
    <w:rsid w:val="00945DE9"/>
    <w:rsid w:val="00945E61"/>
    <w:rsid w:val="00945E70"/>
    <w:rsid w:val="00945EAF"/>
    <w:rsid w:val="00945EC3"/>
    <w:rsid w:val="00945F15"/>
    <w:rsid w:val="00945F20"/>
    <w:rsid w:val="00946068"/>
    <w:rsid w:val="0094606C"/>
    <w:rsid w:val="0094607F"/>
    <w:rsid w:val="0094611F"/>
    <w:rsid w:val="00946126"/>
    <w:rsid w:val="00946180"/>
    <w:rsid w:val="0094619E"/>
    <w:rsid w:val="00946208"/>
    <w:rsid w:val="00946254"/>
    <w:rsid w:val="00946307"/>
    <w:rsid w:val="00946310"/>
    <w:rsid w:val="0094639C"/>
    <w:rsid w:val="009463B3"/>
    <w:rsid w:val="00946429"/>
    <w:rsid w:val="00946445"/>
    <w:rsid w:val="00946452"/>
    <w:rsid w:val="0094656C"/>
    <w:rsid w:val="009465B2"/>
    <w:rsid w:val="009465C2"/>
    <w:rsid w:val="009465D7"/>
    <w:rsid w:val="0094660A"/>
    <w:rsid w:val="00946673"/>
    <w:rsid w:val="009466AC"/>
    <w:rsid w:val="009466DC"/>
    <w:rsid w:val="009466E3"/>
    <w:rsid w:val="0094678B"/>
    <w:rsid w:val="00946795"/>
    <w:rsid w:val="009467CD"/>
    <w:rsid w:val="00946976"/>
    <w:rsid w:val="00946997"/>
    <w:rsid w:val="00946AD8"/>
    <w:rsid w:val="00946AE5"/>
    <w:rsid w:val="00946B06"/>
    <w:rsid w:val="00946B40"/>
    <w:rsid w:val="00946BB5"/>
    <w:rsid w:val="00946E84"/>
    <w:rsid w:val="00946F59"/>
    <w:rsid w:val="00946FAE"/>
    <w:rsid w:val="00946FCB"/>
    <w:rsid w:val="00947064"/>
    <w:rsid w:val="009470B4"/>
    <w:rsid w:val="009470CA"/>
    <w:rsid w:val="009470DA"/>
    <w:rsid w:val="009470EA"/>
    <w:rsid w:val="009470FB"/>
    <w:rsid w:val="00947101"/>
    <w:rsid w:val="0094710E"/>
    <w:rsid w:val="0094715F"/>
    <w:rsid w:val="009471C5"/>
    <w:rsid w:val="0094721A"/>
    <w:rsid w:val="00947254"/>
    <w:rsid w:val="00947281"/>
    <w:rsid w:val="00947324"/>
    <w:rsid w:val="00947326"/>
    <w:rsid w:val="00947449"/>
    <w:rsid w:val="00947464"/>
    <w:rsid w:val="00947518"/>
    <w:rsid w:val="00947597"/>
    <w:rsid w:val="009475B0"/>
    <w:rsid w:val="009475EC"/>
    <w:rsid w:val="00947605"/>
    <w:rsid w:val="0094763E"/>
    <w:rsid w:val="0094768F"/>
    <w:rsid w:val="009476AA"/>
    <w:rsid w:val="0094771B"/>
    <w:rsid w:val="0094786F"/>
    <w:rsid w:val="00947A39"/>
    <w:rsid w:val="00947A45"/>
    <w:rsid w:val="00947A6C"/>
    <w:rsid w:val="00947AE7"/>
    <w:rsid w:val="00947BB6"/>
    <w:rsid w:val="00947BF0"/>
    <w:rsid w:val="00947BFA"/>
    <w:rsid w:val="00947C41"/>
    <w:rsid w:val="00947C88"/>
    <w:rsid w:val="00947D2B"/>
    <w:rsid w:val="00947D92"/>
    <w:rsid w:val="00947DAC"/>
    <w:rsid w:val="00947E12"/>
    <w:rsid w:val="00947E64"/>
    <w:rsid w:val="00947ECF"/>
    <w:rsid w:val="00947F4B"/>
    <w:rsid w:val="00947F63"/>
    <w:rsid w:val="00947FAB"/>
    <w:rsid w:val="00947FCE"/>
    <w:rsid w:val="009500C2"/>
    <w:rsid w:val="009500FB"/>
    <w:rsid w:val="00950160"/>
    <w:rsid w:val="00950162"/>
    <w:rsid w:val="0095023F"/>
    <w:rsid w:val="009503EA"/>
    <w:rsid w:val="00950459"/>
    <w:rsid w:val="00950468"/>
    <w:rsid w:val="00950544"/>
    <w:rsid w:val="00950553"/>
    <w:rsid w:val="009505B1"/>
    <w:rsid w:val="00950682"/>
    <w:rsid w:val="00950767"/>
    <w:rsid w:val="0095085A"/>
    <w:rsid w:val="00950869"/>
    <w:rsid w:val="00950891"/>
    <w:rsid w:val="009508CA"/>
    <w:rsid w:val="009508D2"/>
    <w:rsid w:val="009508EB"/>
    <w:rsid w:val="0095090C"/>
    <w:rsid w:val="0095094F"/>
    <w:rsid w:val="009509C0"/>
    <w:rsid w:val="00950AA6"/>
    <w:rsid w:val="00950AB0"/>
    <w:rsid w:val="00950C0B"/>
    <w:rsid w:val="00950D21"/>
    <w:rsid w:val="00950D31"/>
    <w:rsid w:val="00950DC1"/>
    <w:rsid w:val="00950E30"/>
    <w:rsid w:val="00950E4F"/>
    <w:rsid w:val="00950E91"/>
    <w:rsid w:val="00950F49"/>
    <w:rsid w:val="00950F55"/>
    <w:rsid w:val="00950F74"/>
    <w:rsid w:val="00950F78"/>
    <w:rsid w:val="00950FDB"/>
    <w:rsid w:val="00951009"/>
    <w:rsid w:val="0095100E"/>
    <w:rsid w:val="00951027"/>
    <w:rsid w:val="00951038"/>
    <w:rsid w:val="00951054"/>
    <w:rsid w:val="009510BB"/>
    <w:rsid w:val="0095112E"/>
    <w:rsid w:val="00951152"/>
    <w:rsid w:val="009511E7"/>
    <w:rsid w:val="009511FC"/>
    <w:rsid w:val="00951210"/>
    <w:rsid w:val="00951238"/>
    <w:rsid w:val="009512C4"/>
    <w:rsid w:val="0095130B"/>
    <w:rsid w:val="0095136D"/>
    <w:rsid w:val="00951402"/>
    <w:rsid w:val="00951547"/>
    <w:rsid w:val="00951567"/>
    <w:rsid w:val="009515AD"/>
    <w:rsid w:val="00951603"/>
    <w:rsid w:val="00951608"/>
    <w:rsid w:val="00951609"/>
    <w:rsid w:val="0095166E"/>
    <w:rsid w:val="009516D3"/>
    <w:rsid w:val="009517EA"/>
    <w:rsid w:val="00951979"/>
    <w:rsid w:val="00951A30"/>
    <w:rsid w:val="00951A3D"/>
    <w:rsid w:val="00951A93"/>
    <w:rsid w:val="00951AD2"/>
    <w:rsid w:val="00951ADA"/>
    <w:rsid w:val="00951AEB"/>
    <w:rsid w:val="00951B26"/>
    <w:rsid w:val="00951B35"/>
    <w:rsid w:val="00951B99"/>
    <w:rsid w:val="00951B9A"/>
    <w:rsid w:val="00951BF5"/>
    <w:rsid w:val="00951BF7"/>
    <w:rsid w:val="00951BFB"/>
    <w:rsid w:val="00951D10"/>
    <w:rsid w:val="00951E14"/>
    <w:rsid w:val="00951E60"/>
    <w:rsid w:val="00951E73"/>
    <w:rsid w:val="00951F73"/>
    <w:rsid w:val="00951FE0"/>
    <w:rsid w:val="00952060"/>
    <w:rsid w:val="00952085"/>
    <w:rsid w:val="009520F1"/>
    <w:rsid w:val="00952130"/>
    <w:rsid w:val="0095217F"/>
    <w:rsid w:val="009521A9"/>
    <w:rsid w:val="00952245"/>
    <w:rsid w:val="00952264"/>
    <w:rsid w:val="009522FC"/>
    <w:rsid w:val="0095232B"/>
    <w:rsid w:val="00952336"/>
    <w:rsid w:val="00952376"/>
    <w:rsid w:val="009523AA"/>
    <w:rsid w:val="00952419"/>
    <w:rsid w:val="00952472"/>
    <w:rsid w:val="00952488"/>
    <w:rsid w:val="009524A4"/>
    <w:rsid w:val="009524D3"/>
    <w:rsid w:val="00952510"/>
    <w:rsid w:val="00952518"/>
    <w:rsid w:val="00952538"/>
    <w:rsid w:val="00952539"/>
    <w:rsid w:val="00952574"/>
    <w:rsid w:val="009525C8"/>
    <w:rsid w:val="009525DA"/>
    <w:rsid w:val="009525FC"/>
    <w:rsid w:val="00952773"/>
    <w:rsid w:val="009527E2"/>
    <w:rsid w:val="009527F4"/>
    <w:rsid w:val="009528C1"/>
    <w:rsid w:val="00952949"/>
    <w:rsid w:val="0095296B"/>
    <w:rsid w:val="00952A9E"/>
    <w:rsid w:val="00952ACC"/>
    <w:rsid w:val="00952B4F"/>
    <w:rsid w:val="00952B96"/>
    <w:rsid w:val="00952B97"/>
    <w:rsid w:val="00952BE4"/>
    <w:rsid w:val="00952BED"/>
    <w:rsid w:val="00952BEE"/>
    <w:rsid w:val="00952C33"/>
    <w:rsid w:val="00952C5B"/>
    <w:rsid w:val="00952CD6"/>
    <w:rsid w:val="00952EC8"/>
    <w:rsid w:val="00952EDA"/>
    <w:rsid w:val="00952F75"/>
    <w:rsid w:val="00952FA5"/>
    <w:rsid w:val="00952FFB"/>
    <w:rsid w:val="009530AA"/>
    <w:rsid w:val="009530D5"/>
    <w:rsid w:val="0095312D"/>
    <w:rsid w:val="009531A0"/>
    <w:rsid w:val="009531D6"/>
    <w:rsid w:val="009531DB"/>
    <w:rsid w:val="00953238"/>
    <w:rsid w:val="0095326C"/>
    <w:rsid w:val="0095327D"/>
    <w:rsid w:val="009532B9"/>
    <w:rsid w:val="009532D6"/>
    <w:rsid w:val="009533AA"/>
    <w:rsid w:val="00953420"/>
    <w:rsid w:val="0095342A"/>
    <w:rsid w:val="0095342F"/>
    <w:rsid w:val="0095344C"/>
    <w:rsid w:val="009534B8"/>
    <w:rsid w:val="009534C3"/>
    <w:rsid w:val="009535FB"/>
    <w:rsid w:val="0095365F"/>
    <w:rsid w:val="00953668"/>
    <w:rsid w:val="00953683"/>
    <w:rsid w:val="00953747"/>
    <w:rsid w:val="009537D2"/>
    <w:rsid w:val="009537F7"/>
    <w:rsid w:val="009537FD"/>
    <w:rsid w:val="00953842"/>
    <w:rsid w:val="00953856"/>
    <w:rsid w:val="00953883"/>
    <w:rsid w:val="00953893"/>
    <w:rsid w:val="009538EB"/>
    <w:rsid w:val="009538FC"/>
    <w:rsid w:val="0095395E"/>
    <w:rsid w:val="00953999"/>
    <w:rsid w:val="009539CE"/>
    <w:rsid w:val="009539F0"/>
    <w:rsid w:val="00953AD9"/>
    <w:rsid w:val="00953B2F"/>
    <w:rsid w:val="00953B81"/>
    <w:rsid w:val="00953BB7"/>
    <w:rsid w:val="00953BEA"/>
    <w:rsid w:val="00953C04"/>
    <w:rsid w:val="00953C4A"/>
    <w:rsid w:val="00953CCB"/>
    <w:rsid w:val="00953CEB"/>
    <w:rsid w:val="00953CF3"/>
    <w:rsid w:val="00953D1A"/>
    <w:rsid w:val="00953D68"/>
    <w:rsid w:val="00953D8C"/>
    <w:rsid w:val="00953F17"/>
    <w:rsid w:val="00953F18"/>
    <w:rsid w:val="00953FB1"/>
    <w:rsid w:val="00953FE2"/>
    <w:rsid w:val="00954005"/>
    <w:rsid w:val="009540CF"/>
    <w:rsid w:val="009540DB"/>
    <w:rsid w:val="0095419B"/>
    <w:rsid w:val="0095419E"/>
    <w:rsid w:val="009541BC"/>
    <w:rsid w:val="0095423A"/>
    <w:rsid w:val="00954299"/>
    <w:rsid w:val="009542F9"/>
    <w:rsid w:val="0095430E"/>
    <w:rsid w:val="00954319"/>
    <w:rsid w:val="00954354"/>
    <w:rsid w:val="009543E8"/>
    <w:rsid w:val="00954521"/>
    <w:rsid w:val="00954732"/>
    <w:rsid w:val="009547D2"/>
    <w:rsid w:val="009547F8"/>
    <w:rsid w:val="00954805"/>
    <w:rsid w:val="0095487B"/>
    <w:rsid w:val="009548A0"/>
    <w:rsid w:val="009548BC"/>
    <w:rsid w:val="009548E6"/>
    <w:rsid w:val="0095491E"/>
    <w:rsid w:val="00954922"/>
    <w:rsid w:val="00954944"/>
    <w:rsid w:val="00954951"/>
    <w:rsid w:val="00954958"/>
    <w:rsid w:val="00954984"/>
    <w:rsid w:val="0095498B"/>
    <w:rsid w:val="009549AE"/>
    <w:rsid w:val="009549B2"/>
    <w:rsid w:val="00954A28"/>
    <w:rsid w:val="00954AFA"/>
    <w:rsid w:val="00954B87"/>
    <w:rsid w:val="00954BFE"/>
    <w:rsid w:val="00954C4A"/>
    <w:rsid w:val="00954CEF"/>
    <w:rsid w:val="00954D2B"/>
    <w:rsid w:val="00954E29"/>
    <w:rsid w:val="00954E3B"/>
    <w:rsid w:val="00954EF0"/>
    <w:rsid w:val="00954F01"/>
    <w:rsid w:val="00954F0E"/>
    <w:rsid w:val="00954F59"/>
    <w:rsid w:val="00954F92"/>
    <w:rsid w:val="00954FB1"/>
    <w:rsid w:val="0095505B"/>
    <w:rsid w:val="00955082"/>
    <w:rsid w:val="00955087"/>
    <w:rsid w:val="009550CB"/>
    <w:rsid w:val="00955105"/>
    <w:rsid w:val="00955137"/>
    <w:rsid w:val="009551B8"/>
    <w:rsid w:val="00955205"/>
    <w:rsid w:val="0095524A"/>
    <w:rsid w:val="00955363"/>
    <w:rsid w:val="00955384"/>
    <w:rsid w:val="00955392"/>
    <w:rsid w:val="009553A0"/>
    <w:rsid w:val="00955473"/>
    <w:rsid w:val="00955478"/>
    <w:rsid w:val="009554F5"/>
    <w:rsid w:val="00955532"/>
    <w:rsid w:val="0095553C"/>
    <w:rsid w:val="0095561C"/>
    <w:rsid w:val="0095563F"/>
    <w:rsid w:val="00955653"/>
    <w:rsid w:val="009556A3"/>
    <w:rsid w:val="009556F1"/>
    <w:rsid w:val="0095573A"/>
    <w:rsid w:val="00955860"/>
    <w:rsid w:val="00955893"/>
    <w:rsid w:val="009558C6"/>
    <w:rsid w:val="009558E9"/>
    <w:rsid w:val="0095593C"/>
    <w:rsid w:val="0095597A"/>
    <w:rsid w:val="009559E0"/>
    <w:rsid w:val="009559ED"/>
    <w:rsid w:val="00955A7E"/>
    <w:rsid w:val="00955ABE"/>
    <w:rsid w:val="00955AF9"/>
    <w:rsid w:val="00955B3B"/>
    <w:rsid w:val="00955B8F"/>
    <w:rsid w:val="00955C48"/>
    <w:rsid w:val="00955C6B"/>
    <w:rsid w:val="00955C7D"/>
    <w:rsid w:val="00955CF7"/>
    <w:rsid w:val="00955E10"/>
    <w:rsid w:val="00955EE9"/>
    <w:rsid w:val="00955F26"/>
    <w:rsid w:val="00955F35"/>
    <w:rsid w:val="00955FE9"/>
    <w:rsid w:val="0095612A"/>
    <w:rsid w:val="0095614E"/>
    <w:rsid w:val="0095616F"/>
    <w:rsid w:val="00956208"/>
    <w:rsid w:val="0095625B"/>
    <w:rsid w:val="009562B1"/>
    <w:rsid w:val="0095634E"/>
    <w:rsid w:val="00956384"/>
    <w:rsid w:val="0095640A"/>
    <w:rsid w:val="0095643C"/>
    <w:rsid w:val="00956459"/>
    <w:rsid w:val="00956476"/>
    <w:rsid w:val="00956490"/>
    <w:rsid w:val="009564E5"/>
    <w:rsid w:val="0095657A"/>
    <w:rsid w:val="0095660F"/>
    <w:rsid w:val="0095662C"/>
    <w:rsid w:val="00956652"/>
    <w:rsid w:val="009566B3"/>
    <w:rsid w:val="009566DE"/>
    <w:rsid w:val="0095671D"/>
    <w:rsid w:val="0095680B"/>
    <w:rsid w:val="0095687B"/>
    <w:rsid w:val="009568F0"/>
    <w:rsid w:val="0095690E"/>
    <w:rsid w:val="0095697A"/>
    <w:rsid w:val="009569EA"/>
    <w:rsid w:val="00956A6B"/>
    <w:rsid w:val="00956AE4"/>
    <w:rsid w:val="00956AFD"/>
    <w:rsid w:val="00956B38"/>
    <w:rsid w:val="00956B42"/>
    <w:rsid w:val="00956B49"/>
    <w:rsid w:val="00956B94"/>
    <w:rsid w:val="00956BF4"/>
    <w:rsid w:val="00956D30"/>
    <w:rsid w:val="00956D7B"/>
    <w:rsid w:val="00956DC5"/>
    <w:rsid w:val="00956DEA"/>
    <w:rsid w:val="00956EE4"/>
    <w:rsid w:val="00956F88"/>
    <w:rsid w:val="0095700D"/>
    <w:rsid w:val="00957020"/>
    <w:rsid w:val="0095708D"/>
    <w:rsid w:val="009570E1"/>
    <w:rsid w:val="009571BB"/>
    <w:rsid w:val="009571ED"/>
    <w:rsid w:val="009571EE"/>
    <w:rsid w:val="0095720D"/>
    <w:rsid w:val="00957218"/>
    <w:rsid w:val="009572DD"/>
    <w:rsid w:val="009572DE"/>
    <w:rsid w:val="00957315"/>
    <w:rsid w:val="009573CD"/>
    <w:rsid w:val="00957446"/>
    <w:rsid w:val="009574FF"/>
    <w:rsid w:val="00957530"/>
    <w:rsid w:val="0095758B"/>
    <w:rsid w:val="0095759A"/>
    <w:rsid w:val="009575E2"/>
    <w:rsid w:val="00957647"/>
    <w:rsid w:val="0095771F"/>
    <w:rsid w:val="0095779B"/>
    <w:rsid w:val="009577AE"/>
    <w:rsid w:val="009577B7"/>
    <w:rsid w:val="009577E2"/>
    <w:rsid w:val="00957830"/>
    <w:rsid w:val="00957888"/>
    <w:rsid w:val="009578FD"/>
    <w:rsid w:val="00957955"/>
    <w:rsid w:val="009579E1"/>
    <w:rsid w:val="00957A26"/>
    <w:rsid w:val="00957B2C"/>
    <w:rsid w:val="00957B4A"/>
    <w:rsid w:val="00957B8E"/>
    <w:rsid w:val="00957BC4"/>
    <w:rsid w:val="00957BCB"/>
    <w:rsid w:val="00957BCF"/>
    <w:rsid w:val="00957C0C"/>
    <w:rsid w:val="00957C71"/>
    <w:rsid w:val="00957C72"/>
    <w:rsid w:val="00957C95"/>
    <w:rsid w:val="00957CC1"/>
    <w:rsid w:val="00957E15"/>
    <w:rsid w:val="00957E1A"/>
    <w:rsid w:val="00957E7B"/>
    <w:rsid w:val="00957F6B"/>
    <w:rsid w:val="00957FBA"/>
    <w:rsid w:val="00957FC4"/>
    <w:rsid w:val="00957FCA"/>
    <w:rsid w:val="00957FF8"/>
    <w:rsid w:val="00960027"/>
    <w:rsid w:val="00960046"/>
    <w:rsid w:val="0096005C"/>
    <w:rsid w:val="009600F5"/>
    <w:rsid w:val="0096026C"/>
    <w:rsid w:val="009602B5"/>
    <w:rsid w:val="009602C9"/>
    <w:rsid w:val="009602EB"/>
    <w:rsid w:val="0096033D"/>
    <w:rsid w:val="00960480"/>
    <w:rsid w:val="0096050F"/>
    <w:rsid w:val="00960522"/>
    <w:rsid w:val="0096052F"/>
    <w:rsid w:val="0096053F"/>
    <w:rsid w:val="00960543"/>
    <w:rsid w:val="00960555"/>
    <w:rsid w:val="0096057F"/>
    <w:rsid w:val="0096062E"/>
    <w:rsid w:val="00960648"/>
    <w:rsid w:val="00960707"/>
    <w:rsid w:val="00960759"/>
    <w:rsid w:val="00960770"/>
    <w:rsid w:val="00960776"/>
    <w:rsid w:val="009607AE"/>
    <w:rsid w:val="00960802"/>
    <w:rsid w:val="0096080A"/>
    <w:rsid w:val="0096084D"/>
    <w:rsid w:val="009608DB"/>
    <w:rsid w:val="0096090C"/>
    <w:rsid w:val="0096092F"/>
    <w:rsid w:val="00960936"/>
    <w:rsid w:val="00960A0B"/>
    <w:rsid w:val="00960A0F"/>
    <w:rsid w:val="00960A8E"/>
    <w:rsid w:val="00960ACD"/>
    <w:rsid w:val="00960AEC"/>
    <w:rsid w:val="00960BBF"/>
    <w:rsid w:val="00960C3B"/>
    <w:rsid w:val="00960CD4"/>
    <w:rsid w:val="00960D6E"/>
    <w:rsid w:val="00960E7C"/>
    <w:rsid w:val="00960EBF"/>
    <w:rsid w:val="00960F06"/>
    <w:rsid w:val="00960F78"/>
    <w:rsid w:val="00960F8A"/>
    <w:rsid w:val="00960F98"/>
    <w:rsid w:val="00960FE7"/>
    <w:rsid w:val="00961062"/>
    <w:rsid w:val="00961069"/>
    <w:rsid w:val="009610C8"/>
    <w:rsid w:val="009610CE"/>
    <w:rsid w:val="009610FF"/>
    <w:rsid w:val="00961140"/>
    <w:rsid w:val="00961158"/>
    <w:rsid w:val="00961162"/>
    <w:rsid w:val="009611F8"/>
    <w:rsid w:val="00961333"/>
    <w:rsid w:val="00961356"/>
    <w:rsid w:val="00961379"/>
    <w:rsid w:val="009613FB"/>
    <w:rsid w:val="00961427"/>
    <w:rsid w:val="00961487"/>
    <w:rsid w:val="009614D3"/>
    <w:rsid w:val="009615D0"/>
    <w:rsid w:val="009616C3"/>
    <w:rsid w:val="009616CC"/>
    <w:rsid w:val="00961703"/>
    <w:rsid w:val="00961720"/>
    <w:rsid w:val="00961752"/>
    <w:rsid w:val="00961755"/>
    <w:rsid w:val="00961799"/>
    <w:rsid w:val="009617CA"/>
    <w:rsid w:val="009617FB"/>
    <w:rsid w:val="0096188D"/>
    <w:rsid w:val="00961895"/>
    <w:rsid w:val="009618DA"/>
    <w:rsid w:val="0096193A"/>
    <w:rsid w:val="00961981"/>
    <w:rsid w:val="009619AF"/>
    <w:rsid w:val="00961A19"/>
    <w:rsid w:val="00961A63"/>
    <w:rsid w:val="00961AC0"/>
    <w:rsid w:val="00961AC9"/>
    <w:rsid w:val="00961AEF"/>
    <w:rsid w:val="00961B17"/>
    <w:rsid w:val="00961B3C"/>
    <w:rsid w:val="00961B4A"/>
    <w:rsid w:val="00961B4F"/>
    <w:rsid w:val="00961BE1"/>
    <w:rsid w:val="00961C0C"/>
    <w:rsid w:val="00961C1C"/>
    <w:rsid w:val="00961CF2"/>
    <w:rsid w:val="00961D5C"/>
    <w:rsid w:val="00961E56"/>
    <w:rsid w:val="00961E5F"/>
    <w:rsid w:val="00961EE7"/>
    <w:rsid w:val="00961EFE"/>
    <w:rsid w:val="0096202B"/>
    <w:rsid w:val="0096206D"/>
    <w:rsid w:val="009620F1"/>
    <w:rsid w:val="00962116"/>
    <w:rsid w:val="00962145"/>
    <w:rsid w:val="00962152"/>
    <w:rsid w:val="00962163"/>
    <w:rsid w:val="0096229C"/>
    <w:rsid w:val="009622E4"/>
    <w:rsid w:val="0096234E"/>
    <w:rsid w:val="009623AA"/>
    <w:rsid w:val="009623B1"/>
    <w:rsid w:val="009623C6"/>
    <w:rsid w:val="009623CA"/>
    <w:rsid w:val="00962409"/>
    <w:rsid w:val="00962479"/>
    <w:rsid w:val="0096250F"/>
    <w:rsid w:val="00962530"/>
    <w:rsid w:val="009625AE"/>
    <w:rsid w:val="009625C2"/>
    <w:rsid w:val="009625CF"/>
    <w:rsid w:val="00962649"/>
    <w:rsid w:val="00962666"/>
    <w:rsid w:val="00962728"/>
    <w:rsid w:val="009627AD"/>
    <w:rsid w:val="009627BE"/>
    <w:rsid w:val="0096281B"/>
    <w:rsid w:val="0096281E"/>
    <w:rsid w:val="0096299D"/>
    <w:rsid w:val="009629E0"/>
    <w:rsid w:val="00962A4A"/>
    <w:rsid w:val="00962A63"/>
    <w:rsid w:val="00962A96"/>
    <w:rsid w:val="00962ACF"/>
    <w:rsid w:val="00962B14"/>
    <w:rsid w:val="00962B65"/>
    <w:rsid w:val="00962BB5"/>
    <w:rsid w:val="00962BC1"/>
    <w:rsid w:val="00962BE2"/>
    <w:rsid w:val="00962BEA"/>
    <w:rsid w:val="00962C50"/>
    <w:rsid w:val="00962CA2"/>
    <w:rsid w:val="00962CC9"/>
    <w:rsid w:val="00962CE1"/>
    <w:rsid w:val="00962DDD"/>
    <w:rsid w:val="00962E0E"/>
    <w:rsid w:val="00962EBD"/>
    <w:rsid w:val="00962F3D"/>
    <w:rsid w:val="00962F46"/>
    <w:rsid w:val="0096300D"/>
    <w:rsid w:val="0096301A"/>
    <w:rsid w:val="009630C3"/>
    <w:rsid w:val="009630CB"/>
    <w:rsid w:val="00963168"/>
    <w:rsid w:val="00963261"/>
    <w:rsid w:val="009633D5"/>
    <w:rsid w:val="0096350F"/>
    <w:rsid w:val="00963558"/>
    <w:rsid w:val="0096359B"/>
    <w:rsid w:val="009635AC"/>
    <w:rsid w:val="009635FB"/>
    <w:rsid w:val="0096364D"/>
    <w:rsid w:val="0096365A"/>
    <w:rsid w:val="009636A6"/>
    <w:rsid w:val="00963743"/>
    <w:rsid w:val="00963785"/>
    <w:rsid w:val="009637C2"/>
    <w:rsid w:val="009637FB"/>
    <w:rsid w:val="00963881"/>
    <w:rsid w:val="009638A2"/>
    <w:rsid w:val="009638AF"/>
    <w:rsid w:val="009638D7"/>
    <w:rsid w:val="009638E8"/>
    <w:rsid w:val="00963957"/>
    <w:rsid w:val="0096396C"/>
    <w:rsid w:val="009639CC"/>
    <w:rsid w:val="00963A16"/>
    <w:rsid w:val="00963A5E"/>
    <w:rsid w:val="00963A6F"/>
    <w:rsid w:val="00963AC2"/>
    <w:rsid w:val="00963B47"/>
    <w:rsid w:val="00963BAB"/>
    <w:rsid w:val="00963BC6"/>
    <w:rsid w:val="00963C03"/>
    <w:rsid w:val="00963C21"/>
    <w:rsid w:val="00963C42"/>
    <w:rsid w:val="00963C90"/>
    <w:rsid w:val="00963D19"/>
    <w:rsid w:val="00963D58"/>
    <w:rsid w:val="00963D63"/>
    <w:rsid w:val="00963D67"/>
    <w:rsid w:val="00963D7B"/>
    <w:rsid w:val="00963D9F"/>
    <w:rsid w:val="00963DCA"/>
    <w:rsid w:val="00963E15"/>
    <w:rsid w:val="00963E3F"/>
    <w:rsid w:val="00963E78"/>
    <w:rsid w:val="00963F4A"/>
    <w:rsid w:val="00963FDC"/>
    <w:rsid w:val="00963FE0"/>
    <w:rsid w:val="00963FF4"/>
    <w:rsid w:val="00963FF5"/>
    <w:rsid w:val="00963FFE"/>
    <w:rsid w:val="00964133"/>
    <w:rsid w:val="00964183"/>
    <w:rsid w:val="0096419D"/>
    <w:rsid w:val="0096419F"/>
    <w:rsid w:val="009641A5"/>
    <w:rsid w:val="00964339"/>
    <w:rsid w:val="00964346"/>
    <w:rsid w:val="00964357"/>
    <w:rsid w:val="00964398"/>
    <w:rsid w:val="0096440F"/>
    <w:rsid w:val="00964476"/>
    <w:rsid w:val="009644E2"/>
    <w:rsid w:val="009644E6"/>
    <w:rsid w:val="00964505"/>
    <w:rsid w:val="00964606"/>
    <w:rsid w:val="00964614"/>
    <w:rsid w:val="0096466E"/>
    <w:rsid w:val="009646BD"/>
    <w:rsid w:val="009646CF"/>
    <w:rsid w:val="00964778"/>
    <w:rsid w:val="0096478B"/>
    <w:rsid w:val="009647BC"/>
    <w:rsid w:val="00964813"/>
    <w:rsid w:val="0096493F"/>
    <w:rsid w:val="0096496B"/>
    <w:rsid w:val="00964A24"/>
    <w:rsid w:val="00964A3B"/>
    <w:rsid w:val="00964A52"/>
    <w:rsid w:val="00964A56"/>
    <w:rsid w:val="00964AA7"/>
    <w:rsid w:val="00964B06"/>
    <w:rsid w:val="00964B08"/>
    <w:rsid w:val="00964B09"/>
    <w:rsid w:val="00964B98"/>
    <w:rsid w:val="00964BAD"/>
    <w:rsid w:val="00964CC0"/>
    <w:rsid w:val="00964D00"/>
    <w:rsid w:val="00964D07"/>
    <w:rsid w:val="00964D8D"/>
    <w:rsid w:val="00964D9C"/>
    <w:rsid w:val="00964E7D"/>
    <w:rsid w:val="00964F9F"/>
    <w:rsid w:val="00964FCB"/>
    <w:rsid w:val="00964FF4"/>
    <w:rsid w:val="0096502D"/>
    <w:rsid w:val="009650D8"/>
    <w:rsid w:val="009650EA"/>
    <w:rsid w:val="00965126"/>
    <w:rsid w:val="00965135"/>
    <w:rsid w:val="009651B2"/>
    <w:rsid w:val="00965238"/>
    <w:rsid w:val="00965245"/>
    <w:rsid w:val="009652D6"/>
    <w:rsid w:val="009652F3"/>
    <w:rsid w:val="00965320"/>
    <w:rsid w:val="0096532B"/>
    <w:rsid w:val="00965341"/>
    <w:rsid w:val="00965350"/>
    <w:rsid w:val="0096538A"/>
    <w:rsid w:val="00965398"/>
    <w:rsid w:val="009653BA"/>
    <w:rsid w:val="009653ED"/>
    <w:rsid w:val="009653F3"/>
    <w:rsid w:val="00965423"/>
    <w:rsid w:val="00965496"/>
    <w:rsid w:val="009654D0"/>
    <w:rsid w:val="0096559E"/>
    <w:rsid w:val="009655A4"/>
    <w:rsid w:val="00965647"/>
    <w:rsid w:val="00965659"/>
    <w:rsid w:val="00965680"/>
    <w:rsid w:val="00965701"/>
    <w:rsid w:val="00965846"/>
    <w:rsid w:val="009658A7"/>
    <w:rsid w:val="00965938"/>
    <w:rsid w:val="0096593D"/>
    <w:rsid w:val="00965965"/>
    <w:rsid w:val="009659A5"/>
    <w:rsid w:val="00965B0E"/>
    <w:rsid w:val="00965B2B"/>
    <w:rsid w:val="00965B74"/>
    <w:rsid w:val="00965CE2"/>
    <w:rsid w:val="00965E60"/>
    <w:rsid w:val="00965E8A"/>
    <w:rsid w:val="00965F61"/>
    <w:rsid w:val="00965F8A"/>
    <w:rsid w:val="00965FCA"/>
    <w:rsid w:val="0096604B"/>
    <w:rsid w:val="0096605F"/>
    <w:rsid w:val="00966116"/>
    <w:rsid w:val="00966200"/>
    <w:rsid w:val="00966205"/>
    <w:rsid w:val="00966214"/>
    <w:rsid w:val="009662AF"/>
    <w:rsid w:val="009662E0"/>
    <w:rsid w:val="00966300"/>
    <w:rsid w:val="00966334"/>
    <w:rsid w:val="0096638C"/>
    <w:rsid w:val="009663AE"/>
    <w:rsid w:val="009664B4"/>
    <w:rsid w:val="009664FF"/>
    <w:rsid w:val="00966534"/>
    <w:rsid w:val="009665C6"/>
    <w:rsid w:val="00966621"/>
    <w:rsid w:val="0096666D"/>
    <w:rsid w:val="009666E8"/>
    <w:rsid w:val="0096673B"/>
    <w:rsid w:val="0096674B"/>
    <w:rsid w:val="00966779"/>
    <w:rsid w:val="0096677F"/>
    <w:rsid w:val="00966814"/>
    <w:rsid w:val="0096683B"/>
    <w:rsid w:val="00966867"/>
    <w:rsid w:val="009668E3"/>
    <w:rsid w:val="0096693B"/>
    <w:rsid w:val="009669A0"/>
    <w:rsid w:val="009669BF"/>
    <w:rsid w:val="00966A3A"/>
    <w:rsid w:val="00966A4C"/>
    <w:rsid w:val="00966AAA"/>
    <w:rsid w:val="00966AF1"/>
    <w:rsid w:val="00966B10"/>
    <w:rsid w:val="00966B3F"/>
    <w:rsid w:val="00966B40"/>
    <w:rsid w:val="00966B49"/>
    <w:rsid w:val="00966B81"/>
    <w:rsid w:val="00966BB9"/>
    <w:rsid w:val="00966BD7"/>
    <w:rsid w:val="00966BE2"/>
    <w:rsid w:val="00966C1B"/>
    <w:rsid w:val="00966C47"/>
    <w:rsid w:val="00966C50"/>
    <w:rsid w:val="00966C6C"/>
    <w:rsid w:val="00966C88"/>
    <w:rsid w:val="00966CC6"/>
    <w:rsid w:val="00966D14"/>
    <w:rsid w:val="00966D33"/>
    <w:rsid w:val="00966DDD"/>
    <w:rsid w:val="00966DFB"/>
    <w:rsid w:val="00966E86"/>
    <w:rsid w:val="00966EF0"/>
    <w:rsid w:val="00966FD0"/>
    <w:rsid w:val="00966FE0"/>
    <w:rsid w:val="0096704C"/>
    <w:rsid w:val="00967065"/>
    <w:rsid w:val="0096706C"/>
    <w:rsid w:val="00967093"/>
    <w:rsid w:val="00967097"/>
    <w:rsid w:val="009670AD"/>
    <w:rsid w:val="009670DE"/>
    <w:rsid w:val="00967104"/>
    <w:rsid w:val="00967140"/>
    <w:rsid w:val="0096715B"/>
    <w:rsid w:val="009671A0"/>
    <w:rsid w:val="009671C5"/>
    <w:rsid w:val="009671C9"/>
    <w:rsid w:val="00967222"/>
    <w:rsid w:val="009672DB"/>
    <w:rsid w:val="0096741E"/>
    <w:rsid w:val="00967485"/>
    <w:rsid w:val="009674A7"/>
    <w:rsid w:val="009674B0"/>
    <w:rsid w:val="009674B2"/>
    <w:rsid w:val="009674D4"/>
    <w:rsid w:val="00967517"/>
    <w:rsid w:val="0096759B"/>
    <w:rsid w:val="009675E1"/>
    <w:rsid w:val="00967610"/>
    <w:rsid w:val="0096762B"/>
    <w:rsid w:val="0096769B"/>
    <w:rsid w:val="009676A5"/>
    <w:rsid w:val="0096776A"/>
    <w:rsid w:val="0096776C"/>
    <w:rsid w:val="00967816"/>
    <w:rsid w:val="00967851"/>
    <w:rsid w:val="00967995"/>
    <w:rsid w:val="009679DE"/>
    <w:rsid w:val="00967A27"/>
    <w:rsid w:val="00967A37"/>
    <w:rsid w:val="00967A50"/>
    <w:rsid w:val="00967B0D"/>
    <w:rsid w:val="00967B87"/>
    <w:rsid w:val="00967C80"/>
    <w:rsid w:val="00967C92"/>
    <w:rsid w:val="00967D18"/>
    <w:rsid w:val="00967E1C"/>
    <w:rsid w:val="00967E68"/>
    <w:rsid w:val="00967EFA"/>
    <w:rsid w:val="00967F02"/>
    <w:rsid w:val="00967F34"/>
    <w:rsid w:val="00967F52"/>
    <w:rsid w:val="00967F67"/>
    <w:rsid w:val="00967FC4"/>
    <w:rsid w:val="00967FD2"/>
    <w:rsid w:val="00970010"/>
    <w:rsid w:val="0097005E"/>
    <w:rsid w:val="00970078"/>
    <w:rsid w:val="009700F7"/>
    <w:rsid w:val="009700F8"/>
    <w:rsid w:val="0097013A"/>
    <w:rsid w:val="0097016C"/>
    <w:rsid w:val="009701C5"/>
    <w:rsid w:val="009701D3"/>
    <w:rsid w:val="00970204"/>
    <w:rsid w:val="00970347"/>
    <w:rsid w:val="00970359"/>
    <w:rsid w:val="0097039B"/>
    <w:rsid w:val="009703E4"/>
    <w:rsid w:val="0097042D"/>
    <w:rsid w:val="00970477"/>
    <w:rsid w:val="00970481"/>
    <w:rsid w:val="00970490"/>
    <w:rsid w:val="00970493"/>
    <w:rsid w:val="009704F7"/>
    <w:rsid w:val="009704FB"/>
    <w:rsid w:val="0097058C"/>
    <w:rsid w:val="00970590"/>
    <w:rsid w:val="009705D4"/>
    <w:rsid w:val="00970667"/>
    <w:rsid w:val="00970706"/>
    <w:rsid w:val="0097071E"/>
    <w:rsid w:val="009707B8"/>
    <w:rsid w:val="009707BD"/>
    <w:rsid w:val="00970808"/>
    <w:rsid w:val="0097087D"/>
    <w:rsid w:val="009708C2"/>
    <w:rsid w:val="00970904"/>
    <w:rsid w:val="0097095E"/>
    <w:rsid w:val="00970986"/>
    <w:rsid w:val="009709E3"/>
    <w:rsid w:val="00970A1F"/>
    <w:rsid w:val="00970A6D"/>
    <w:rsid w:val="00970AF6"/>
    <w:rsid w:val="00970B09"/>
    <w:rsid w:val="00970B60"/>
    <w:rsid w:val="00970C0C"/>
    <w:rsid w:val="00970DEB"/>
    <w:rsid w:val="00970DED"/>
    <w:rsid w:val="00970DF1"/>
    <w:rsid w:val="00970ED6"/>
    <w:rsid w:val="00970F08"/>
    <w:rsid w:val="00970F72"/>
    <w:rsid w:val="00970F7A"/>
    <w:rsid w:val="00970F97"/>
    <w:rsid w:val="00970FE1"/>
    <w:rsid w:val="0097101C"/>
    <w:rsid w:val="00971062"/>
    <w:rsid w:val="009710B0"/>
    <w:rsid w:val="009711A1"/>
    <w:rsid w:val="0097121C"/>
    <w:rsid w:val="0097121E"/>
    <w:rsid w:val="0097123E"/>
    <w:rsid w:val="00971253"/>
    <w:rsid w:val="00971266"/>
    <w:rsid w:val="009712B2"/>
    <w:rsid w:val="009712D1"/>
    <w:rsid w:val="0097130B"/>
    <w:rsid w:val="00971331"/>
    <w:rsid w:val="00971380"/>
    <w:rsid w:val="009713BE"/>
    <w:rsid w:val="0097146A"/>
    <w:rsid w:val="00971622"/>
    <w:rsid w:val="00971640"/>
    <w:rsid w:val="00971642"/>
    <w:rsid w:val="00971686"/>
    <w:rsid w:val="009716AD"/>
    <w:rsid w:val="0097171E"/>
    <w:rsid w:val="0097177E"/>
    <w:rsid w:val="009717A0"/>
    <w:rsid w:val="009717CC"/>
    <w:rsid w:val="00971830"/>
    <w:rsid w:val="00971880"/>
    <w:rsid w:val="009718FE"/>
    <w:rsid w:val="00971901"/>
    <w:rsid w:val="00971917"/>
    <w:rsid w:val="009719F1"/>
    <w:rsid w:val="00971B15"/>
    <w:rsid w:val="00971BD3"/>
    <w:rsid w:val="00971BDB"/>
    <w:rsid w:val="00971BE7"/>
    <w:rsid w:val="00971BF6"/>
    <w:rsid w:val="00971C17"/>
    <w:rsid w:val="00971C78"/>
    <w:rsid w:val="00971D0A"/>
    <w:rsid w:val="00971D2D"/>
    <w:rsid w:val="00971D36"/>
    <w:rsid w:val="00971DAD"/>
    <w:rsid w:val="00971DAF"/>
    <w:rsid w:val="00971E1F"/>
    <w:rsid w:val="00971E9F"/>
    <w:rsid w:val="00971EAE"/>
    <w:rsid w:val="00971ED4"/>
    <w:rsid w:val="00971ED5"/>
    <w:rsid w:val="00971EE4"/>
    <w:rsid w:val="00971EFF"/>
    <w:rsid w:val="00972056"/>
    <w:rsid w:val="00972071"/>
    <w:rsid w:val="009720A4"/>
    <w:rsid w:val="009720E9"/>
    <w:rsid w:val="00972124"/>
    <w:rsid w:val="009721C5"/>
    <w:rsid w:val="009721D2"/>
    <w:rsid w:val="009722AC"/>
    <w:rsid w:val="00972364"/>
    <w:rsid w:val="00972400"/>
    <w:rsid w:val="0097246F"/>
    <w:rsid w:val="0097260A"/>
    <w:rsid w:val="0097261F"/>
    <w:rsid w:val="00972650"/>
    <w:rsid w:val="00972667"/>
    <w:rsid w:val="00972678"/>
    <w:rsid w:val="0097270C"/>
    <w:rsid w:val="00972715"/>
    <w:rsid w:val="009727BD"/>
    <w:rsid w:val="0097280D"/>
    <w:rsid w:val="00972818"/>
    <w:rsid w:val="00972867"/>
    <w:rsid w:val="00972890"/>
    <w:rsid w:val="00972904"/>
    <w:rsid w:val="00972912"/>
    <w:rsid w:val="00972936"/>
    <w:rsid w:val="009729AF"/>
    <w:rsid w:val="009729D4"/>
    <w:rsid w:val="009729F0"/>
    <w:rsid w:val="00972A1E"/>
    <w:rsid w:val="00972A3C"/>
    <w:rsid w:val="00972A9E"/>
    <w:rsid w:val="00972AA1"/>
    <w:rsid w:val="00972AC0"/>
    <w:rsid w:val="00972B05"/>
    <w:rsid w:val="00972B1E"/>
    <w:rsid w:val="00972B1F"/>
    <w:rsid w:val="00972C67"/>
    <w:rsid w:val="00972C81"/>
    <w:rsid w:val="00972CB7"/>
    <w:rsid w:val="00972CC4"/>
    <w:rsid w:val="00972DE5"/>
    <w:rsid w:val="00972E05"/>
    <w:rsid w:val="00972EFC"/>
    <w:rsid w:val="00972F00"/>
    <w:rsid w:val="00973023"/>
    <w:rsid w:val="00973050"/>
    <w:rsid w:val="009730B1"/>
    <w:rsid w:val="009730F9"/>
    <w:rsid w:val="00973149"/>
    <w:rsid w:val="0097318A"/>
    <w:rsid w:val="0097321F"/>
    <w:rsid w:val="0097322B"/>
    <w:rsid w:val="00973257"/>
    <w:rsid w:val="00973378"/>
    <w:rsid w:val="009733AB"/>
    <w:rsid w:val="00973456"/>
    <w:rsid w:val="00973458"/>
    <w:rsid w:val="0097352C"/>
    <w:rsid w:val="009735B5"/>
    <w:rsid w:val="009735BD"/>
    <w:rsid w:val="009735D5"/>
    <w:rsid w:val="009735E6"/>
    <w:rsid w:val="0097363A"/>
    <w:rsid w:val="00973668"/>
    <w:rsid w:val="009736EA"/>
    <w:rsid w:val="0097371F"/>
    <w:rsid w:val="009737E6"/>
    <w:rsid w:val="00973824"/>
    <w:rsid w:val="00973853"/>
    <w:rsid w:val="00973865"/>
    <w:rsid w:val="009738AA"/>
    <w:rsid w:val="00973964"/>
    <w:rsid w:val="00973969"/>
    <w:rsid w:val="0097397F"/>
    <w:rsid w:val="00973A1F"/>
    <w:rsid w:val="00973A27"/>
    <w:rsid w:val="00973ABD"/>
    <w:rsid w:val="00973B6B"/>
    <w:rsid w:val="00973B94"/>
    <w:rsid w:val="00973BBA"/>
    <w:rsid w:val="00973C85"/>
    <w:rsid w:val="00973C89"/>
    <w:rsid w:val="00973C99"/>
    <w:rsid w:val="00973CC7"/>
    <w:rsid w:val="00973CCB"/>
    <w:rsid w:val="00973D28"/>
    <w:rsid w:val="00973D51"/>
    <w:rsid w:val="00973D73"/>
    <w:rsid w:val="00973DC4"/>
    <w:rsid w:val="00973EAF"/>
    <w:rsid w:val="00973FA7"/>
    <w:rsid w:val="00974017"/>
    <w:rsid w:val="00974028"/>
    <w:rsid w:val="00974060"/>
    <w:rsid w:val="00974114"/>
    <w:rsid w:val="0097413B"/>
    <w:rsid w:val="00974197"/>
    <w:rsid w:val="009741E4"/>
    <w:rsid w:val="009741F4"/>
    <w:rsid w:val="00974223"/>
    <w:rsid w:val="00974279"/>
    <w:rsid w:val="009742A5"/>
    <w:rsid w:val="00974390"/>
    <w:rsid w:val="009743F9"/>
    <w:rsid w:val="00974455"/>
    <w:rsid w:val="009744CD"/>
    <w:rsid w:val="00974582"/>
    <w:rsid w:val="009745B1"/>
    <w:rsid w:val="009745CA"/>
    <w:rsid w:val="009745E4"/>
    <w:rsid w:val="00974664"/>
    <w:rsid w:val="00974695"/>
    <w:rsid w:val="009746BC"/>
    <w:rsid w:val="009746C8"/>
    <w:rsid w:val="0097473A"/>
    <w:rsid w:val="00974742"/>
    <w:rsid w:val="009747C6"/>
    <w:rsid w:val="0097483B"/>
    <w:rsid w:val="0097484C"/>
    <w:rsid w:val="0097493B"/>
    <w:rsid w:val="00974A39"/>
    <w:rsid w:val="00974A44"/>
    <w:rsid w:val="00974A4B"/>
    <w:rsid w:val="00974A73"/>
    <w:rsid w:val="00974ABB"/>
    <w:rsid w:val="00974ADE"/>
    <w:rsid w:val="00974AF9"/>
    <w:rsid w:val="00974B43"/>
    <w:rsid w:val="00974B59"/>
    <w:rsid w:val="00974C10"/>
    <w:rsid w:val="00974C68"/>
    <w:rsid w:val="00974CB7"/>
    <w:rsid w:val="00974D0B"/>
    <w:rsid w:val="00974D0E"/>
    <w:rsid w:val="00974D3E"/>
    <w:rsid w:val="00974D8B"/>
    <w:rsid w:val="00974E35"/>
    <w:rsid w:val="00974E42"/>
    <w:rsid w:val="00974ED9"/>
    <w:rsid w:val="00974F59"/>
    <w:rsid w:val="00974F6A"/>
    <w:rsid w:val="009750CD"/>
    <w:rsid w:val="009750CF"/>
    <w:rsid w:val="00975178"/>
    <w:rsid w:val="00975213"/>
    <w:rsid w:val="00975225"/>
    <w:rsid w:val="00975286"/>
    <w:rsid w:val="00975310"/>
    <w:rsid w:val="0097533B"/>
    <w:rsid w:val="00975354"/>
    <w:rsid w:val="009753C9"/>
    <w:rsid w:val="009753CB"/>
    <w:rsid w:val="00975401"/>
    <w:rsid w:val="0097541F"/>
    <w:rsid w:val="00975450"/>
    <w:rsid w:val="00975479"/>
    <w:rsid w:val="009754AC"/>
    <w:rsid w:val="00975507"/>
    <w:rsid w:val="0097551D"/>
    <w:rsid w:val="0097562F"/>
    <w:rsid w:val="009756C8"/>
    <w:rsid w:val="00975787"/>
    <w:rsid w:val="00975796"/>
    <w:rsid w:val="00975859"/>
    <w:rsid w:val="009758B3"/>
    <w:rsid w:val="00975928"/>
    <w:rsid w:val="009759DE"/>
    <w:rsid w:val="00975A0A"/>
    <w:rsid w:val="00975A7F"/>
    <w:rsid w:val="00975AED"/>
    <w:rsid w:val="00975B8E"/>
    <w:rsid w:val="00975B91"/>
    <w:rsid w:val="00975BD1"/>
    <w:rsid w:val="00975BD8"/>
    <w:rsid w:val="00975C79"/>
    <w:rsid w:val="00975D0B"/>
    <w:rsid w:val="00975DA7"/>
    <w:rsid w:val="00975DE1"/>
    <w:rsid w:val="00975EB6"/>
    <w:rsid w:val="00975EC9"/>
    <w:rsid w:val="00975EE7"/>
    <w:rsid w:val="00975EFB"/>
    <w:rsid w:val="00975F34"/>
    <w:rsid w:val="00975F49"/>
    <w:rsid w:val="00975F5A"/>
    <w:rsid w:val="00975F90"/>
    <w:rsid w:val="00975FAD"/>
    <w:rsid w:val="009760AB"/>
    <w:rsid w:val="00976157"/>
    <w:rsid w:val="00976163"/>
    <w:rsid w:val="00976175"/>
    <w:rsid w:val="009761EE"/>
    <w:rsid w:val="00976255"/>
    <w:rsid w:val="0097629D"/>
    <w:rsid w:val="009762CE"/>
    <w:rsid w:val="009762EE"/>
    <w:rsid w:val="00976374"/>
    <w:rsid w:val="0097637D"/>
    <w:rsid w:val="00976382"/>
    <w:rsid w:val="009763B7"/>
    <w:rsid w:val="009763D0"/>
    <w:rsid w:val="009763F1"/>
    <w:rsid w:val="00976424"/>
    <w:rsid w:val="0097643B"/>
    <w:rsid w:val="009764EE"/>
    <w:rsid w:val="009764FE"/>
    <w:rsid w:val="0097654D"/>
    <w:rsid w:val="009765EE"/>
    <w:rsid w:val="00976653"/>
    <w:rsid w:val="0097666B"/>
    <w:rsid w:val="00976682"/>
    <w:rsid w:val="0097669D"/>
    <w:rsid w:val="0097674C"/>
    <w:rsid w:val="00976782"/>
    <w:rsid w:val="009767E1"/>
    <w:rsid w:val="00976811"/>
    <w:rsid w:val="00976846"/>
    <w:rsid w:val="00976877"/>
    <w:rsid w:val="0097691A"/>
    <w:rsid w:val="0097699C"/>
    <w:rsid w:val="00976A1C"/>
    <w:rsid w:val="00976A47"/>
    <w:rsid w:val="00976ADD"/>
    <w:rsid w:val="00976AE5"/>
    <w:rsid w:val="00976B42"/>
    <w:rsid w:val="00976B5C"/>
    <w:rsid w:val="00976BBC"/>
    <w:rsid w:val="00976BF8"/>
    <w:rsid w:val="00976C90"/>
    <w:rsid w:val="00976CF8"/>
    <w:rsid w:val="00976E5E"/>
    <w:rsid w:val="00976EA1"/>
    <w:rsid w:val="00976F5F"/>
    <w:rsid w:val="00976F86"/>
    <w:rsid w:val="00976F8D"/>
    <w:rsid w:val="00977016"/>
    <w:rsid w:val="009770FA"/>
    <w:rsid w:val="00977130"/>
    <w:rsid w:val="00977182"/>
    <w:rsid w:val="0097719C"/>
    <w:rsid w:val="009771C1"/>
    <w:rsid w:val="00977213"/>
    <w:rsid w:val="00977241"/>
    <w:rsid w:val="00977294"/>
    <w:rsid w:val="00977303"/>
    <w:rsid w:val="0097745A"/>
    <w:rsid w:val="0097751D"/>
    <w:rsid w:val="0097752D"/>
    <w:rsid w:val="0097754E"/>
    <w:rsid w:val="00977568"/>
    <w:rsid w:val="009775C8"/>
    <w:rsid w:val="009775E1"/>
    <w:rsid w:val="00977649"/>
    <w:rsid w:val="00977690"/>
    <w:rsid w:val="00977770"/>
    <w:rsid w:val="0097778A"/>
    <w:rsid w:val="009777E5"/>
    <w:rsid w:val="0097785D"/>
    <w:rsid w:val="00977919"/>
    <w:rsid w:val="0097797C"/>
    <w:rsid w:val="00977A36"/>
    <w:rsid w:val="00977B34"/>
    <w:rsid w:val="00977B71"/>
    <w:rsid w:val="00977BE8"/>
    <w:rsid w:val="00977C12"/>
    <w:rsid w:val="00977C4E"/>
    <w:rsid w:val="00977C5A"/>
    <w:rsid w:val="00977CCE"/>
    <w:rsid w:val="00977D11"/>
    <w:rsid w:val="00977D27"/>
    <w:rsid w:val="00977D2C"/>
    <w:rsid w:val="00977D50"/>
    <w:rsid w:val="00977E0C"/>
    <w:rsid w:val="00977E4F"/>
    <w:rsid w:val="00977EA8"/>
    <w:rsid w:val="00977EB7"/>
    <w:rsid w:val="00977EBE"/>
    <w:rsid w:val="00977EC4"/>
    <w:rsid w:val="00977EE0"/>
    <w:rsid w:val="00977EF2"/>
    <w:rsid w:val="00977F75"/>
    <w:rsid w:val="009800C1"/>
    <w:rsid w:val="00980146"/>
    <w:rsid w:val="00980171"/>
    <w:rsid w:val="0098017C"/>
    <w:rsid w:val="009802DB"/>
    <w:rsid w:val="009803A2"/>
    <w:rsid w:val="009803A8"/>
    <w:rsid w:val="009803F6"/>
    <w:rsid w:val="00980457"/>
    <w:rsid w:val="009804C0"/>
    <w:rsid w:val="00980577"/>
    <w:rsid w:val="00980580"/>
    <w:rsid w:val="0098058B"/>
    <w:rsid w:val="009806BF"/>
    <w:rsid w:val="00980759"/>
    <w:rsid w:val="0098078C"/>
    <w:rsid w:val="009807CC"/>
    <w:rsid w:val="009807EC"/>
    <w:rsid w:val="00980918"/>
    <w:rsid w:val="00980A00"/>
    <w:rsid w:val="00980A16"/>
    <w:rsid w:val="00980A62"/>
    <w:rsid w:val="00980A6F"/>
    <w:rsid w:val="00980A72"/>
    <w:rsid w:val="00980AF3"/>
    <w:rsid w:val="00980B0B"/>
    <w:rsid w:val="00980B4D"/>
    <w:rsid w:val="00980B62"/>
    <w:rsid w:val="00980B7A"/>
    <w:rsid w:val="00980BF8"/>
    <w:rsid w:val="00980C31"/>
    <w:rsid w:val="00980C4C"/>
    <w:rsid w:val="00980C84"/>
    <w:rsid w:val="00980C8B"/>
    <w:rsid w:val="00980CBA"/>
    <w:rsid w:val="00980CF1"/>
    <w:rsid w:val="00980E92"/>
    <w:rsid w:val="00980EB3"/>
    <w:rsid w:val="00980EC2"/>
    <w:rsid w:val="00980EE2"/>
    <w:rsid w:val="00980F04"/>
    <w:rsid w:val="00980F4A"/>
    <w:rsid w:val="00980FB3"/>
    <w:rsid w:val="009810CC"/>
    <w:rsid w:val="0098111E"/>
    <w:rsid w:val="00981145"/>
    <w:rsid w:val="0098114B"/>
    <w:rsid w:val="00981176"/>
    <w:rsid w:val="00981208"/>
    <w:rsid w:val="0098129F"/>
    <w:rsid w:val="00981314"/>
    <w:rsid w:val="0098134E"/>
    <w:rsid w:val="0098138D"/>
    <w:rsid w:val="00981394"/>
    <w:rsid w:val="009813A6"/>
    <w:rsid w:val="009813AE"/>
    <w:rsid w:val="009813E7"/>
    <w:rsid w:val="00981456"/>
    <w:rsid w:val="0098149D"/>
    <w:rsid w:val="009814BC"/>
    <w:rsid w:val="00981534"/>
    <w:rsid w:val="00981556"/>
    <w:rsid w:val="00981574"/>
    <w:rsid w:val="00981760"/>
    <w:rsid w:val="009817B0"/>
    <w:rsid w:val="0098181E"/>
    <w:rsid w:val="00981887"/>
    <w:rsid w:val="009818A0"/>
    <w:rsid w:val="009818B0"/>
    <w:rsid w:val="009818EF"/>
    <w:rsid w:val="0098198D"/>
    <w:rsid w:val="009819B1"/>
    <w:rsid w:val="00981ABC"/>
    <w:rsid w:val="00981B29"/>
    <w:rsid w:val="00981B2A"/>
    <w:rsid w:val="00981BE3"/>
    <w:rsid w:val="00981C05"/>
    <w:rsid w:val="00981CC8"/>
    <w:rsid w:val="00981CFF"/>
    <w:rsid w:val="00981D23"/>
    <w:rsid w:val="00981D26"/>
    <w:rsid w:val="00981D4F"/>
    <w:rsid w:val="00981DE2"/>
    <w:rsid w:val="00981E43"/>
    <w:rsid w:val="00981EC8"/>
    <w:rsid w:val="00981EFA"/>
    <w:rsid w:val="00981F08"/>
    <w:rsid w:val="00981F8B"/>
    <w:rsid w:val="00981FB2"/>
    <w:rsid w:val="00981FD1"/>
    <w:rsid w:val="00982015"/>
    <w:rsid w:val="0098206A"/>
    <w:rsid w:val="009821A9"/>
    <w:rsid w:val="009821BF"/>
    <w:rsid w:val="009821CE"/>
    <w:rsid w:val="009821D6"/>
    <w:rsid w:val="00982232"/>
    <w:rsid w:val="00982268"/>
    <w:rsid w:val="009823AF"/>
    <w:rsid w:val="00982661"/>
    <w:rsid w:val="00982662"/>
    <w:rsid w:val="00982663"/>
    <w:rsid w:val="009827C3"/>
    <w:rsid w:val="009827CB"/>
    <w:rsid w:val="0098280A"/>
    <w:rsid w:val="0098280D"/>
    <w:rsid w:val="0098287F"/>
    <w:rsid w:val="009828B5"/>
    <w:rsid w:val="0098292D"/>
    <w:rsid w:val="00982A94"/>
    <w:rsid w:val="00982AD3"/>
    <w:rsid w:val="00982B76"/>
    <w:rsid w:val="00982BF7"/>
    <w:rsid w:val="00982C2A"/>
    <w:rsid w:val="00982C34"/>
    <w:rsid w:val="00982C37"/>
    <w:rsid w:val="00982C9A"/>
    <w:rsid w:val="00982C9F"/>
    <w:rsid w:val="00982D11"/>
    <w:rsid w:val="00982D36"/>
    <w:rsid w:val="00982D4A"/>
    <w:rsid w:val="00982E5F"/>
    <w:rsid w:val="00982EE7"/>
    <w:rsid w:val="00982F5F"/>
    <w:rsid w:val="00982FDB"/>
    <w:rsid w:val="00983134"/>
    <w:rsid w:val="0098313C"/>
    <w:rsid w:val="00983152"/>
    <w:rsid w:val="0098316F"/>
    <w:rsid w:val="009831A7"/>
    <w:rsid w:val="00983310"/>
    <w:rsid w:val="00983369"/>
    <w:rsid w:val="00983386"/>
    <w:rsid w:val="00983395"/>
    <w:rsid w:val="009833BB"/>
    <w:rsid w:val="009833BE"/>
    <w:rsid w:val="009833C3"/>
    <w:rsid w:val="009833DE"/>
    <w:rsid w:val="009833E5"/>
    <w:rsid w:val="00983485"/>
    <w:rsid w:val="009834B0"/>
    <w:rsid w:val="00983598"/>
    <w:rsid w:val="00983604"/>
    <w:rsid w:val="00983621"/>
    <w:rsid w:val="0098362F"/>
    <w:rsid w:val="00983649"/>
    <w:rsid w:val="00983703"/>
    <w:rsid w:val="0098371D"/>
    <w:rsid w:val="009837A2"/>
    <w:rsid w:val="009837B0"/>
    <w:rsid w:val="009838D4"/>
    <w:rsid w:val="009838F7"/>
    <w:rsid w:val="0098393F"/>
    <w:rsid w:val="0098394E"/>
    <w:rsid w:val="00983A37"/>
    <w:rsid w:val="00983A79"/>
    <w:rsid w:val="00983AB7"/>
    <w:rsid w:val="00983ADF"/>
    <w:rsid w:val="00983B63"/>
    <w:rsid w:val="00983C2B"/>
    <w:rsid w:val="00983C5E"/>
    <w:rsid w:val="00983C70"/>
    <w:rsid w:val="00983C8B"/>
    <w:rsid w:val="00983D1B"/>
    <w:rsid w:val="00983DA5"/>
    <w:rsid w:val="00983E02"/>
    <w:rsid w:val="00983E06"/>
    <w:rsid w:val="00983F2B"/>
    <w:rsid w:val="00983F46"/>
    <w:rsid w:val="00983F5E"/>
    <w:rsid w:val="00983F81"/>
    <w:rsid w:val="00983F8D"/>
    <w:rsid w:val="00983F9F"/>
    <w:rsid w:val="00983FE3"/>
    <w:rsid w:val="00983FED"/>
    <w:rsid w:val="00983FFC"/>
    <w:rsid w:val="00984038"/>
    <w:rsid w:val="0098407E"/>
    <w:rsid w:val="009840D9"/>
    <w:rsid w:val="009840ED"/>
    <w:rsid w:val="00984100"/>
    <w:rsid w:val="0098410C"/>
    <w:rsid w:val="009841C7"/>
    <w:rsid w:val="009841FB"/>
    <w:rsid w:val="00984241"/>
    <w:rsid w:val="00984247"/>
    <w:rsid w:val="0098427A"/>
    <w:rsid w:val="009842E6"/>
    <w:rsid w:val="0098431D"/>
    <w:rsid w:val="00984358"/>
    <w:rsid w:val="00984369"/>
    <w:rsid w:val="00984387"/>
    <w:rsid w:val="009843F4"/>
    <w:rsid w:val="00984442"/>
    <w:rsid w:val="009844CA"/>
    <w:rsid w:val="00984506"/>
    <w:rsid w:val="00984515"/>
    <w:rsid w:val="0098457F"/>
    <w:rsid w:val="00984690"/>
    <w:rsid w:val="0098469F"/>
    <w:rsid w:val="009846B2"/>
    <w:rsid w:val="009846CF"/>
    <w:rsid w:val="00984704"/>
    <w:rsid w:val="0098477C"/>
    <w:rsid w:val="00984790"/>
    <w:rsid w:val="009847A1"/>
    <w:rsid w:val="00984851"/>
    <w:rsid w:val="00984951"/>
    <w:rsid w:val="00984961"/>
    <w:rsid w:val="00984984"/>
    <w:rsid w:val="009849B7"/>
    <w:rsid w:val="009849BD"/>
    <w:rsid w:val="00984A4D"/>
    <w:rsid w:val="00984A8C"/>
    <w:rsid w:val="00984AF3"/>
    <w:rsid w:val="00984B31"/>
    <w:rsid w:val="00984B41"/>
    <w:rsid w:val="00984B4B"/>
    <w:rsid w:val="00984B59"/>
    <w:rsid w:val="00984C5A"/>
    <w:rsid w:val="00984C94"/>
    <w:rsid w:val="00984C9E"/>
    <w:rsid w:val="00984DDF"/>
    <w:rsid w:val="00984E4C"/>
    <w:rsid w:val="00984E72"/>
    <w:rsid w:val="00984FAB"/>
    <w:rsid w:val="00984FB7"/>
    <w:rsid w:val="00984FE5"/>
    <w:rsid w:val="00985046"/>
    <w:rsid w:val="0098508F"/>
    <w:rsid w:val="009850C5"/>
    <w:rsid w:val="00985140"/>
    <w:rsid w:val="009851A0"/>
    <w:rsid w:val="009851E0"/>
    <w:rsid w:val="009852B5"/>
    <w:rsid w:val="0098530F"/>
    <w:rsid w:val="00985377"/>
    <w:rsid w:val="0098539C"/>
    <w:rsid w:val="00985444"/>
    <w:rsid w:val="00985459"/>
    <w:rsid w:val="00985486"/>
    <w:rsid w:val="00985491"/>
    <w:rsid w:val="009854D7"/>
    <w:rsid w:val="00985504"/>
    <w:rsid w:val="009855CF"/>
    <w:rsid w:val="00985653"/>
    <w:rsid w:val="00985707"/>
    <w:rsid w:val="009857D7"/>
    <w:rsid w:val="0098583C"/>
    <w:rsid w:val="00985845"/>
    <w:rsid w:val="00985894"/>
    <w:rsid w:val="00985944"/>
    <w:rsid w:val="00985975"/>
    <w:rsid w:val="0098598F"/>
    <w:rsid w:val="00985998"/>
    <w:rsid w:val="009859D7"/>
    <w:rsid w:val="00985A0B"/>
    <w:rsid w:val="00985A6B"/>
    <w:rsid w:val="00985B71"/>
    <w:rsid w:val="00985C79"/>
    <w:rsid w:val="00985D14"/>
    <w:rsid w:val="00985D60"/>
    <w:rsid w:val="00985D64"/>
    <w:rsid w:val="00985D6F"/>
    <w:rsid w:val="00985E74"/>
    <w:rsid w:val="00985EDF"/>
    <w:rsid w:val="00985F53"/>
    <w:rsid w:val="00985F84"/>
    <w:rsid w:val="00985F98"/>
    <w:rsid w:val="00986030"/>
    <w:rsid w:val="0098610A"/>
    <w:rsid w:val="0098613F"/>
    <w:rsid w:val="00986193"/>
    <w:rsid w:val="009861B6"/>
    <w:rsid w:val="009861F2"/>
    <w:rsid w:val="00986284"/>
    <w:rsid w:val="009862E5"/>
    <w:rsid w:val="0098635E"/>
    <w:rsid w:val="00986380"/>
    <w:rsid w:val="009863D8"/>
    <w:rsid w:val="00986417"/>
    <w:rsid w:val="0098645D"/>
    <w:rsid w:val="00986474"/>
    <w:rsid w:val="00986496"/>
    <w:rsid w:val="009864BC"/>
    <w:rsid w:val="0098654B"/>
    <w:rsid w:val="009865D0"/>
    <w:rsid w:val="009866F2"/>
    <w:rsid w:val="00986783"/>
    <w:rsid w:val="009867A2"/>
    <w:rsid w:val="009867A8"/>
    <w:rsid w:val="0098682A"/>
    <w:rsid w:val="0098686D"/>
    <w:rsid w:val="00986990"/>
    <w:rsid w:val="009869C6"/>
    <w:rsid w:val="00986A06"/>
    <w:rsid w:val="00986A65"/>
    <w:rsid w:val="00986AD8"/>
    <w:rsid w:val="00986B8B"/>
    <w:rsid w:val="00986BDF"/>
    <w:rsid w:val="00986C25"/>
    <w:rsid w:val="00986C4A"/>
    <w:rsid w:val="00986CA2"/>
    <w:rsid w:val="00986CA9"/>
    <w:rsid w:val="00986D82"/>
    <w:rsid w:val="00986D98"/>
    <w:rsid w:val="00986E1C"/>
    <w:rsid w:val="00986E37"/>
    <w:rsid w:val="00986EA1"/>
    <w:rsid w:val="00986EC5"/>
    <w:rsid w:val="00986EF0"/>
    <w:rsid w:val="00986F2B"/>
    <w:rsid w:val="00986F5B"/>
    <w:rsid w:val="00986F97"/>
    <w:rsid w:val="00986FF1"/>
    <w:rsid w:val="0098705B"/>
    <w:rsid w:val="009870E0"/>
    <w:rsid w:val="00987123"/>
    <w:rsid w:val="00987139"/>
    <w:rsid w:val="00987230"/>
    <w:rsid w:val="0098724C"/>
    <w:rsid w:val="00987273"/>
    <w:rsid w:val="00987291"/>
    <w:rsid w:val="009872FD"/>
    <w:rsid w:val="00987301"/>
    <w:rsid w:val="00987338"/>
    <w:rsid w:val="00987388"/>
    <w:rsid w:val="009873B6"/>
    <w:rsid w:val="009874A7"/>
    <w:rsid w:val="00987555"/>
    <w:rsid w:val="00987562"/>
    <w:rsid w:val="009875AA"/>
    <w:rsid w:val="00987918"/>
    <w:rsid w:val="009879BE"/>
    <w:rsid w:val="00987A20"/>
    <w:rsid w:val="00987A27"/>
    <w:rsid w:val="00987BDB"/>
    <w:rsid w:val="00987C03"/>
    <w:rsid w:val="00987CF4"/>
    <w:rsid w:val="00987CFD"/>
    <w:rsid w:val="00987D5A"/>
    <w:rsid w:val="00987DFC"/>
    <w:rsid w:val="00987E23"/>
    <w:rsid w:val="00987E25"/>
    <w:rsid w:val="00987E7B"/>
    <w:rsid w:val="00987F4B"/>
    <w:rsid w:val="00987F5D"/>
    <w:rsid w:val="00990003"/>
    <w:rsid w:val="0099000C"/>
    <w:rsid w:val="00990067"/>
    <w:rsid w:val="00990083"/>
    <w:rsid w:val="00990114"/>
    <w:rsid w:val="00990196"/>
    <w:rsid w:val="009901A2"/>
    <w:rsid w:val="00990245"/>
    <w:rsid w:val="0099024E"/>
    <w:rsid w:val="00990273"/>
    <w:rsid w:val="009902E3"/>
    <w:rsid w:val="009903B4"/>
    <w:rsid w:val="00990452"/>
    <w:rsid w:val="0099047A"/>
    <w:rsid w:val="00990485"/>
    <w:rsid w:val="00990499"/>
    <w:rsid w:val="009904D2"/>
    <w:rsid w:val="009904FF"/>
    <w:rsid w:val="0099052C"/>
    <w:rsid w:val="00990538"/>
    <w:rsid w:val="00990547"/>
    <w:rsid w:val="0099055C"/>
    <w:rsid w:val="00990588"/>
    <w:rsid w:val="009905DF"/>
    <w:rsid w:val="0099065C"/>
    <w:rsid w:val="0099065E"/>
    <w:rsid w:val="00990683"/>
    <w:rsid w:val="009906CF"/>
    <w:rsid w:val="0099073D"/>
    <w:rsid w:val="0099078F"/>
    <w:rsid w:val="009907B6"/>
    <w:rsid w:val="009907CE"/>
    <w:rsid w:val="00990810"/>
    <w:rsid w:val="00990836"/>
    <w:rsid w:val="009908AE"/>
    <w:rsid w:val="009908F0"/>
    <w:rsid w:val="009909F2"/>
    <w:rsid w:val="009909F9"/>
    <w:rsid w:val="00990A79"/>
    <w:rsid w:val="00990A7E"/>
    <w:rsid w:val="00990A7F"/>
    <w:rsid w:val="00990B00"/>
    <w:rsid w:val="00990B7E"/>
    <w:rsid w:val="00990B80"/>
    <w:rsid w:val="00990B8D"/>
    <w:rsid w:val="00990B90"/>
    <w:rsid w:val="00990BCF"/>
    <w:rsid w:val="00990C3B"/>
    <w:rsid w:val="00990C52"/>
    <w:rsid w:val="00990CB4"/>
    <w:rsid w:val="00990D38"/>
    <w:rsid w:val="00990D8B"/>
    <w:rsid w:val="00990DA8"/>
    <w:rsid w:val="00990DBA"/>
    <w:rsid w:val="00990DF8"/>
    <w:rsid w:val="00990E86"/>
    <w:rsid w:val="00990EC5"/>
    <w:rsid w:val="00990ED5"/>
    <w:rsid w:val="00990F6A"/>
    <w:rsid w:val="00990F9C"/>
    <w:rsid w:val="00990FE3"/>
    <w:rsid w:val="0099114C"/>
    <w:rsid w:val="00991210"/>
    <w:rsid w:val="00991271"/>
    <w:rsid w:val="0099127C"/>
    <w:rsid w:val="00991289"/>
    <w:rsid w:val="00991295"/>
    <w:rsid w:val="009912FD"/>
    <w:rsid w:val="00991324"/>
    <w:rsid w:val="009913B6"/>
    <w:rsid w:val="00991454"/>
    <w:rsid w:val="0099154B"/>
    <w:rsid w:val="009915DE"/>
    <w:rsid w:val="009915E1"/>
    <w:rsid w:val="0099164B"/>
    <w:rsid w:val="0099171A"/>
    <w:rsid w:val="0099171E"/>
    <w:rsid w:val="009917C3"/>
    <w:rsid w:val="0099187B"/>
    <w:rsid w:val="0099187F"/>
    <w:rsid w:val="0099195C"/>
    <w:rsid w:val="009919EE"/>
    <w:rsid w:val="00991A17"/>
    <w:rsid w:val="00991B5B"/>
    <w:rsid w:val="00991B9F"/>
    <w:rsid w:val="00991BE8"/>
    <w:rsid w:val="00991C0B"/>
    <w:rsid w:val="00991C6E"/>
    <w:rsid w:val="00991C83"/>
    <w:rsid w:val="00991CA9"/>
    <w:rsid w:val="00991CBE"/>
    <w:rsid w:val="00991CBF"/>
    <w:rsid w:val="00991D24"/>
    <w:rsid w:val="00991D61"/>
    <w:rsid w:val="00991D76"/>
    <w:rsid w:val="00991E25"/>
    <w:rsid w:val="00991E68"/>
    <w:rsid w:val="00991E90"/>
    <w:rsid w:val="00991EF7"/>
    <w:rsid w:val="00991FA0"/>
    <w:rsid w:val="00991FDD"/>
    <w:rsid w:val="00992062"/>
    <w:rsid w:val="00992064"/>
    <w:rsid w:val="009920D1"/>
    <w:rsid w:val="009920E0"/>
    <w:rsid w:val="00992147"/>
    <w:rsid w:val="00992175"/>
    <w:rsid w:val="009921F3"/>
    <w:rsid w:val="009921F8"/>
    <w:rsid w:val="009921F9"/>
    <w:rsid w:val="0099222D"/>
    <w:rsid w:val="00992241"/>
    <w:rsid w:val="00992280"/>
    <w:rsid w:val="009922D4"/>
    <w:rsid w:val="009922E5"/>
    <w:rsid w:val="009922E8"/>
    <w:rsid w:val="009922EC"/>
    <w:rsid w:val="00992367"/>
    <w:rsid w:val="0099237A"/>
    <w:rsid w:val="00992385"/>
    <w:rsid w:val="009923A1"/>
    <w:rsid w:val="009923B4"/>
    <w:rsid w:val="00992439"/>
    <w:rsid w:val="009924B7"/>
    <w:rsid w:val="009924C1"/>
    <w:rsid w:val="0099250C"/>
    <w:rsid w:val="00992530"/>
    <w:rsid w:val="00992559"/>
    <w:rsid w:val="009925A4"/>
    <w:rsid w:val="009925BC"/>
    <w:rsid w:val="009925DD"/>
    <w:rsid w:val="009926BC"/>
    <w:rsid w:val="00992773"/>
    <w:rsid w:val="009927D7"/>
    <w:rsid w:val="009927E1"/>
    <w:rsid w:val="009927ED"/>
    <w:rsid w:val="0099281D"/>
    <w:rsid w:val="00992825"/>
    <w:rsid w:val="00992827"/>
    <w:rsid w:val="0099284E"/>
    <w:rsid w:val="00992851"/>
    <w:rsid w:val="009928F0"/>
    <w:rsid w:val="009928FC"/>
    <w:rsid w:val="00992902"/>
    <w:rsid w:val="00992A03"/>
    <w:rsid w:val="00992A4A"/>
    <w:rsid w:val="00992A71"/>
    <w:rsid w:val="00992B2C"/>
    <w:rsid w:val="00992B4D"/>
    <w:rsid w:val="00992B51"/>
    <w:rsid w:val="00992C13"/>
    <w:rsid w:val="00992C41"/>
    <w:rsid w:val="00992C90"/>
    <w:rsid w:val="00992CF5"/>
    <w:rsid w:val="00992D67"/>
    <w:rsid w:val="00992D6C"/>
    <w:rsid w:val="00992DE6"/>
    <w:rsid w:val="00992E2E"/>
    <w:rsid w:val="00992EAF"/>
    <w:rsid w:val="00992EE1"/>
    <w:rsid w:val="00992F09"/>
    <w:rsid w:val="00992F28"/>
    <w:rsid w:val="00992F47"/>
    <w:rsid w:val="0099301B"/>
    <w:rsid w:val="00993073"/>
    <w:rsid w:val="0099308D"/>
    <w:rsid w:val="009930E5"/>
    <w:rsid w:val="00993124"/>
    <w:rsid w:val="009931B6"/>
    <w:rsid w:val="00993240"/>
    <w:rsid w:val="00993360"/>
    <w:rsid w:val="00993392"/>
    <w:rsid w:val="00993415"/>
    <w:rsid w:val="00993476"/>
    <w:rsid w:val="00993487"/>
    <w:rsid w:val="009934B5"/>
    <w:rsid w:val="009934D3"/>
    <w:rsid w:val="00993507"/>
    <w:rsid w:val="0099361F"/>
    <w:rsid w:val="00993628"/>
    <w:rsid w:val="0099362F"/>
    <w:rsid w:val="00993684"/>
    <w:rsid w:val="009936A6"/>
    <w:rsid w:val="009936CB"/>
    <w:rsid w:val="00993784"/>
    <w:rsid w:val="00993785"/>
    <w:rsid w:val="0099379A"/>
    <w:rsid w:val="0099379E"/>
    <w:rsid w:val="009937DF"/>
    <w:rsid w:val="00993834"/>
    <w:rsid w:val="00993853"/>
    <w:rsid w:val="009938DA"/>
    <w:rsid w:val="009938DE"/>
    <w:rsid w:val="0099392A"/>
    <w:rsid w:val="00993935"/>
    <w:rsid w:val="00993944"/>
    <w:rsid w:val="00993A1F"/>
    <w:rsid w:val="00993A4F"/>
    <w:rsid w:val="00993A54"/>
    <w:rsid w:val="00993A6D"/>
    <w:rsid w:val="00993A7E"/>
    <w:rsid w:val="00993AA2"/>
    <w:rsid w:val="00993AEA"/>
    <w:rsid w:val="00993B8C"/>
    <w:rsid w:val="00993B8F"/>
    <w:rsid w:val="00993BA7"/>
    <w:rsid w:val="00993BCB"/>
    <w:rsid w:val="00993BE9"/>
    <w:rsid w:val="00993BEF"/>
    <w:rsid w:val="00993C11"/>
    <w:rsid w:val="00993C4D"/>
    <w:rsid w:val="00993C9E"/>
    <w:rsid w:val="00993CA4"/>
    <w:rsid w:val="00993D1F"/>
    <w:rsid w:val="00993D5E"/>
    <w:rsid w:val="00993D91"/>
    <w:rsid w:val="00993DE9"/>
    <w:rsid w:val="00993DED"/>
    <w:rsid w:val="00993E9C"/>
    <w:rsid w:val="00993F21"/>
    <w:rsid w:val="00993FAB"/>
    <w:rsid w:val="00993FED"/>
    <w:rsid w:val="00994035"/>
    <w:rsid w:val="00994057"/>
    <w:rsid w:val="0099407D"/>
    <w:rsid w:val="0099407E"/>
    <w:rsid w:val="009940F2"/>
    <w:rsid w:val="009940F6"/>
    <w:rsid w:val="00994100"/>
    <w:rsid w:val="0099411C"/>
    <w:rsid w:val="00994146"/>
    <w:rsid w:val="0099418B"/>
    <w:rsid w:val="009941CB"/>
    <w:rsid w:val="00994213"/>
    <w:rsid w:val="00994221"/>
    <w:rsid w:val="00994259"/>
    <w:rsid w:val="0099428F"/>
    <w:rsid w:val="00994351"/>
    <w:rsid w:val="00994375"/>
    <w:rsid w:val="00994471"/>
    <w:rsid w:val="009944AA"/>
    <w:rsid w:val="009944BA"/>
    <w:rsid w:val="009944E6"/>
    <w:rsid w:val="009944E9"/>
    <w:rsid w:val="009945B9"/>
    <w:rsid w:val="00994652"/>
    <w:rsid w:val="00994654"/>
    <w:rsid w:val="009946B7"/>
    <w:rsid w:val="009947EA"/>
    <w:rsid w:val="009947F6"/>
    <w:rsid w:val="00994869"/>
    <w:rsid w:val="009948C9"/>
    <w:rsid w:val="0099494B"/>
    <w:rsid w:val="0099496B"/>
    <w:rsid w:val="009949D5"/>
    <w:rsid w:val="009949E2"/>
    <w:rsid w:val="00994AB0"/>
    <w:rsid w:val="00994AED"/>
    <w:rsid w:val="00994B09"/>
    <w:rsid w:val="00994BDC"/>
    <w:rsid w:val="00994C0A"/>
    <w:rsid w:val="00994C14"/>
    <w:rsid w:val="00994C1B"/>
    <w:rsid w:val="00994D4B"/>
    <w:rsid w:val="00994D6D"/>
    <w:rsid w:val="00994E17"/>
    <w:rsid w:val="00994E54"/>
    <w:rsid w:val="00994EB1"/>
    <w:rsid w:val="00994EF4"/>
    <w:rsid w:val="00994FB7"/>
    <w:rsid w:val="00995047"/>
    <w:rsid w:val="00995099"/>
    <w:rsid w:val="0099510E"/>
    <w:rsid w:val="00995187"/>
    <w:rsid w:val="0099520A"/>
    <w:rsid w:val="0099520B"/>
    <w:rsid w:val="00995219"/>
    <w:rsid w:val="00995233"/>
    <w:rsid w:val="00995294"/>
    <w:rsid w:val="009952E9"/>
    <w:rsid w:val="009952FE"/>
    <w:rsid w:val="0099533B"/>
    <w:rsid w:val="00995357"/>
    <w:rsid w:val="0099540B"/>
    <w:rsid w:val="0099546D"/>
    <w:rsid w:val="009954AF"/>
    <w:rsid w:val="0099557E"/>
    <w:rsid w:val="00995581"/>
    <w:rsid w:val="009955A0"/>
    <w:rsid w:val="009955AB"/>
    <w:rsid w:val="00995603"/>
    <w:rsid w:val="00995668"/>
    <w:rsid w:val="00995676"/>
    <w:rsid w:val="00995697"/>
    <w:rsid w:val="00995725"/>
    <w:rsid w:val="0099573A"/>
    <w:rsid w:val="00995756"/>
    <w:rsid w:val="009957AF"/>
    <w:rsid w:val="009958B7"/>
    <w:rsid w:val="009958E8"/>
    <w:rsid w:val="00995946"/>
    <w:rsid w:val="009959DB"/>
    <w:rsid w:val="009959FB"/>
    <w:rsid w:val="00995A25"/>
    <w:rsid w:val="00995B87"/>
    <w:rsid w:val="00995BB2"/>
    <w:rsid w:val="00995BB4"/>
    <w:rsid w:val="00995BB6"/>
    <w:rsid w:val="00995BBB"/>
    <w:rsid w:val="00995C0D"/>
    <w:rsid w:val="00995C10"/>
    <w:rsid w:val="00995C45"/>
    <w:rsid w:val="00995CD7"/>
    <w:rsid w:val="00995D13"/>
    <w:rsid w:val="00995D6D"/>
    <w:rsid w:val="00995D7E"/>
    <w:rsid w:val="00995DB1"/>
    <w:rsid w:val="00995DDE"/>
    <w:rsid w:val="00995F51"/>
    <w:rsid w:val="00995F75"/>
    <w:rsid w:val="009960A4"/>
    <w:rsid w:val="009960E4"/>
    <w:rsid w:val="0099613B"/>
    <w:rsid w:val="00996172"/>
    <w:rsid w:val="00996200"/>
    <w:rsid w:val="00996289"/>
    <w:rsid w:val="009962AF"/>
    <w:rsid w:val="009962BF"/>
    <w:rsid w:val="00996327"/>
    <w:rsid w:val="0099640A"/>
    <w:rsid w:val="0099655E"/>
    <w:rsid w:val="009965C2"/>
    <w:rsid w:val="0099660F"/>
    <w:rsid w:val="0099662E"/>
    <w:rsid w:val="00996743"/>
    <w:rsid w:val="0099674F"/>
    <w:rsid w:val="00996777"/>
    <w:rsid w:val="00996843"/>
    <w:rsid w:val="0099684A"/>
    <w:rsid w:val="0099685A"/>
    <w:rsid w:val="00996869"/>
    <w:rsid w:val="009968C7"/>
    <w:rsid w:val="00996925"/>
    <w:rsid w:val="0099693D"/>
    <w:rsid w:val="00996961"/>
    <w:rsid w:val="00996999"/>
    <w:rsid w:val="009969C6"/>
    <w:rsid w:val="009969D6"/>
    <w:rsid w:val="00996A05"/>
    <w:rsid w:val="00996A41"/>
    <w:rsid w:val="00996A5F"/>
    <w:rsid w:val="00996A73"/>
    <w:rsid w:val="00996A99"/>
    <w:rsid w:val="00996ABD"/>
    <w:rsid w:val="00996AFB"/>
    <w:rsid w:val="00996B0E"/>
    <w:rsid w:val="00996B3B"/>
    <w:rsid w:val="00996B4E"/>
    <w:rsid w:val="00996B4F"/>
    <w:rsid w:val="00996B54"/>
    <w:rsid w:val="00996B64"/>
    <w:rsid w:val="00996B78"/>
    <w:rsid w:val="00996BAE"/>
    <w:rsid w:val="00996BB1"/>
    <w:rsid w:val="00996BEA"/>
    <w:rsid w:val="00996C72"/>
    <w:rsid w:val="00996C93"/>
    <w:rsid w:val="00996CFC"/>
    <w:rsid w:val="00996D0C"/>
    <w:rsid w:val="00996D1E"/>
    <w:rsid w:val="00996D34"/>
    <w:rsid w:val="00996D8A"/>
    <w:rsid w:val="00996D96"/>
    <w:rsid w:val="00996DD7"/>
    <w:rsid w:val="00996DD9"/>
    <w:rsid w:val="00996E79"/>
    <w:rsid w:val="00996E88"/>
    <w:rsid w:val="00996E8D"/>
    <w:rsid w:val="00996EB2"/>
    <w:rsid w:val="00996F47"/>
    <w:rsid w:val="00996F8B"/>
    <w:rsid w:val="00996FF4"/>
    <w:rsid w:val="00997007"/>
    <w:rsid w:val="00997053"/>
    <w:rsid w:val="0099712A"/>
    <w:rsid w:val="009971F3"/>
    <w:rsid w:val="0099722D"/>
    <w:rsid w:val="00997334"/>
    <w:rsid w:val="00997375"/>
    <w:rsid w:val="009973D3"/>
    <w:rsid w:val="00997426"/>
    <w:rsid w:val="0099742B"/>
    <w:rsid w:val="009974D2"/>
    <w:rsid w:val="0099766A"/>
    <w:rsid w:val="0099772D"/>
    <w:rsid w:val="00997773"/>
    <w:rsid w:val="009977DC"/>
    <w:rsid w:val="0099783D"/>
    <w:rsid w:val="009978F9"/>
    <w:rsid w:val="00997913"/>
    <w:rsid w:val="0099796D"/>
    <w:rsid w:val="0099796F"/>
    <w:rsid w:val="009979B4"/>
    <w:rsid w:val="00997A0A"/>
    <w:rsid w:val="00997A5A"/>
    <w:rsid w:val="00997A7F"/>
    <w:rsid w:val="00997AD5"/>
    <w:rsid w:val="00997AE8"/>
    <w:rsid w:val="00997B5C"/>
    <w:rsid w:val="00997C54"/>
    <w:rsid w:val="00997C67"/>
    <w:rsid w:val="00997D63"/>
    <w:rsid w:val="00997D67"/>
    <w:rsid w:val="00997DAB"/>
    <w:rsid w:val="00997DE0"/>
    <w:rsid w:val="00997EA1"/>
    <w:rsid w:val="00997F8C"/>
    <w:rsid w:val="00997FD3"/>
    <w:rsid w:val="00997FE0"/>
    <w:rsid w:val="00997FF6"/>
    <w:rsid w:val="009A0130"/>
    <w:rsid w:val="009A017A"/>
    <w:rsid w:val="009A01A4"/>
    <w:rsid w:val="009A0263"/>
    <w:rsid w:val="009A0286"/>
    <w:rsid w:val="009A02A9"/>
    <w:rsid w:val="009A02BA"/>
    <w:rsid w:val="009A0341"/>
    <w:rsid w:val="009A037A"/>
    <w:rsid w:val="009A0380"/>
    <w:rsid w:val="009A03AD"/>
    <w:rsid w:val="009A03EC"/>
    <w:rsid w:val="009A0410"/>
    <w:rsid w:val="009A047F"/>
    <w:rsid w:val="009A04A6"/>
    <w:rsid w:val="009A04F2"/>
    <w:rsid w:val="009A0548"/>
    <w:rsid w:val="009A05FF"/>
    <w:rsid w:val="009A0671"/>
    <w:rsid w:val="009A071D"/>
    <w:rsid w:val="009A0734"/>
    <w:rsid w:val="009A07F2"/>
    <w:rsid w:val="009A0868"/>
    <w:rsid w:val="009A0869"/>
    <w:rsid w:val="009A086B"/>
    <w:rsid w:val="009A08BB"/>
    <w:rsid w:val="009A093F"/>
    <w:rsid w:val="009A09C3"/>
    <w:rsid w:val="009A09E7"/>
    <w:rsid w:val="009A0A5F"/>
    <w:rsid w:val="009A0AA8"/>
    <w:rsid w:val="009A0AC6"/>
    <w:rsid w:val="009A0B96"/>
    <w:rsid w:val="009A0BE5"/>
    <w:rsid w:val="009A0CAC"/>
    <w:rsid w:val="009A0CBB"/>
    <w:rsid w:val="009A0CC5"/>
    <w:rsid w:val="009A0CEA"/>
    <w:rsid w:val="009A0CFE"/>
    <w:rsid w:val="009A0D2C"/>
    <w:rsid w:val="009A0D2F"/>
    <w:rsid w:val="009A0DB2"/>
    <w:rsid w:val="009A0DB7"/>
    <w:rsid w:val="009A0E08"/>
    <w:rsid w:val="009A0E50"/>
    <w:rsid w:val="009A0EB9"/>
    <w:rsid w:val="009A0F62"/>
    <w:rsid w:val="009A10B4"/>
    <w:rsid w:val="009A10D5"/>
    <w:rsid w:val="009A10F7"/>
    <w:rsid w:val="009A111B"/>
    <w:rsid w:val="009A114D"/>
    <w:rsid w:val="009A11F2"/>
    <w:rsid w:val="009A127E"/>
    <w:rsid w:val="009A1303"/>
    <w:rsid w:val="009A1328"/>
    <w:rsid w:val="009A1386"/>
    <w:rsid w:val="009A13B7"/>
    <w:rsid w:val="009A13CB"/>
    <w:rsid w:val="009A14A0"/>
    <w:rsid w:val="009A14D0"/>
    <w:rsid w:val="009A1576"/>
    <w:rsid w:val="009A15CE"/>
    <w:rsid w:val="009A1670"/>
    <w:rsid w:val="009A16E6"/>
    <w:rsid w:val="009A16FE"/>
    <w:rsid w:val="009A1703"/>
    <w:rsid w:val="009A1739"/>
    <w:rsid w:val="009A17AF"/>
    <w:rsid w:val="009A188F"/>
    <w:rsid w:val="009A191E"/>
    <w:rsid w:val="009A1936"/>
    <w:rsid w:val="009A199B"/>
    <w:rsid w:val="009A1A0A"/>
    <w:rsid w:val="009A1A88"/>
    <w:rsid w:val="009A1B39"/>
    <w:rsid w:val="009A1B44"/>
    <w:rsid w:val="009A1B5C"/>
    <w:rsid w:val="009A1BE9"/>
    <w:rsid w:val="009A1C10"/>
    <w:rsid w:val="009A1C50"/>
    <w:rsid w:val="009A1CCC"/>
    <w:rsid w:val="009A1CD0"/>
    <w:rsid w:val="009A1D9F"/>
    <w:rsid w:val="009A1DD5"/>
    <w:rsid w:val="009A1DFA"/>
    <w:rsid w:val="009A1F08"/>
    <w:rsid w:val="009A1F25"/>
    <w:rsid w:val="009A1F6C"/>
    <w:rsid w:val="009A2056"/>
    <w:rsid w:val="009A20D6"/>
    <w:rsid w:val="009A20EE"/>
    <w:rsid w:val="009A211B"/>
    <w:rsid w:val="009A2125"/>
    <w:rsid w:val="009A2137"/>
    <w:rsid w:val="009A214F"/>
    <w:rsid w:val="009A217C"/>
    <w:rsid w:val="009A21B4"/>
    <w:rsid w:val="009A2200"/>
    <w:rsid w:val="009A224D"/>
    <w:rsid w:val="009A2271"/>
    <w:rsid w:val="009A22C8"/>
    <w:rsid w:val="009A22CA"/>
    <w:rsid w:val="009A234F"/>
    <w:rsid w:val="009A2380"/>
    <w:rsid w:val="009A2441"/>
    <w:rsid w:val="009A2498"/>
    <w:rsid w:val="009A24EE"/>
    <w:rsid w:val="009A2678"/>
    <w:rsid w:val="009A26DA"/>
    <w:rsid w:val="009A2760"/>
    <w:rsid w:val="009A277C"/>
    <w:rsid w:val="009A278A"/>
    <w:rsid w:val="009A2831"/>
    <w:rsid w:val="009A284A"/>
    <w:rsid w:val="009A28A9"/>
    <w:rsid w:val="009A28AF"/>
    <w:rsid w:val="009A29E0"/>
    <w:rsid w:val="009A2A11"/>
    <w:rsid w:val="009A2A43"/>
    <w:rsid w:val="009A2AC5"/>
    <w:rsid w:val="009A2B69"/>
    <w:rsid w:val="009A2C07"/>
    <w:rsid w:val="009A2C35"/>
    <w:rsid w:val="009A2C37"/>
    <w:rsid w:val="009A2C6B"/>
    <w:rsid w:val="009A2C8F"/>
    <w:rsid w:val="009A2CE6"/>
    <w:rsid w:val="009A2CF5"/>
    <w:rsid w:val="009A2D2F"/>
    <w:rsid w:val="009A2D9B"/>
    <w:rsid w:val="009A2DB6"/>
    <w:rsid w:val="009A2E6D"/>
    <w:rsid w:val="009A2ED1"/>
    <w:rsid w:val="009A2F22"/>
    <w:rsid w:val="009A2F24"/>
    <w:rsid w:val="009A2F99"/>
    <w:rsid w:val="009A2FBA"/>
    <w:rsid w:val="009A3165"/>
    <w:rsid w:val="009A317F"/>
    <w:rsid w:val="009A32E6"/>
    <w:rsid w:val="009A3392"/>
    <w:rsid w:val="009A3484"/>
    <w:rsid w:val="009A34AE"/>
    <w:rsid w:val="009A351F"/>
    <w:rsid w:val="009A3541"/>
    <w:rsid w:val="009A3543"/>
    <w:rsid w:val="009A35A6"/>
    <w:rsid w:val="009A35E8"/>
    <w:rsid w:val="009A3623"/>
    <w:rsid w:val="009A367D"/>
    <w:rsid w:val="009A36CA"/>
    <w:rsid w:val="009A37D7"/>
    <w:rsid w:val="009A37F3"/>
    <w:rsid w:val="009A38AA"/>
    <w:rsid w:val="009A390B"/>
    <w:rsid w:val="009A397D"/>
    <w:rsid w:val="009A3A36"/>
    <w:rsid w:val="009A3A46"/>
    <w:rsid w:val="009A3A79"/>
    <w:rsid w:val="009A3B3A"/>
    <w:rsid w:val="009A3B66"/>
    <w:rsid w:val="009A3BD1"/>
    <w:rsid w:val="009A3BDB"/>
    <w:rsid w:val="009A3C12"/>
    <w:rsid w:val="009A3C64"/>
    <w:rsid w:val="009A3C87"/>
    <w:rsid w:val="009A3C92"/>
    <w:rsid w:val="009A3CD1"/>
    <w:rsid w:val="009A3CE5"/>
    <w:rsid w:val="009A3D3D"/>
    <w:rsid w:val="009A3DDF"/>
    <w:rsid w:val="009A3E0B"/>
    <w:rsid w:val="009A3E8B"/>
    <w:rsid w:val="009A3EE2"/>
    <w:rsid w:val="009A3F8B"/>
    <w:rsid w:val="009A3F9E"/>
    <w:rsid w:val="009A400A"/>
    <w:rsid w:val="009A4051"/>
    <w:rsid w:val="009A407C"/>
    <w:rsid w:val="009A4112"/>
    <w:rsid w:val="009A41A3"/>
    <w:rsid w:val="009A41A6"/>
    <w:rsid w:val="009A41DE"/>
    <w:rsid w:val="009A4258"/>
    <w:rsid w:val="009A4259"/>
    <w:rsid w:val="009A435E"/>
    <w:rsid w:val="009A4412"/>
    <w:rsid w:val="009A4515"/>
    <w:rsid w:val="009A4569"/>
    <w:rsid w:val="009A4654"/>
    <w:rsid w:val="009A46FB"/>
    <w:rsid w:val="009A4781"/>
    <w:rsid w:val="009A47B2"/>
    <w:rsid w:val="009A47FA"/>
    <w:rsid w:val="009A4850"/>
    <w:rsid w:val="009A4870"/>
    <w:rsid w:val="009A4912"/>
    <w:rsid w:val="009A4923"/>
    <w:rsid w:val="009A4970"/>
    <w:rsid w:val="009A49BA"/>
    <w:rsid w:val="009A4A4B"/>
    <w:rsid w:val="009A4ACF"/>
    <w:rsid w:val="009A4B28"/>
    <w:rsid w:val="009A4B31"/>
    <w:rsid w:val="009A4B53"/>
    <w:rsid w:val="009A4B90"/>
    <w:rsid w:val="009A4BEF"/>
    <w:rsid w:val="009A4BF9"/>
    <w:rsid w:val="009A4C0C"/>
    <w:rsid w:val="009A4C44"/>
    <w:rsid w:val="009A4C99"/>
    <w:rsid w:val="009A4D35"/>
    <w:rsid w:val="009A4DCE"/>
    <w:rsid w:val="009A4E09"/>
    <w:rsid w:val="009A4E33"/>
    <w:rsid w:val="009A4E49"/>
    <w:rsid w:val="009A4F37"/>
    <w:rsid w:val="009A4FD2"/>
    <w:rsid w:val="009A502A"/>
    <w:rsid w:val="009A5034"/>
    <w:rsid w:val="009A505A"/>
    <w:rsid w:val="009A50CB"/>
    <w:rsid w:val="009A5107"/>
    <w:rsid w:val="009A5108"/>
    <w:rsid w:val="009A5142"/>
    <w:rsid w:val="009A5144"/>
    <w:rsid w:val="009A5194"/>
    <w:rsid w:val="009A522C"/>
    <w:rsid w:val="009A52C8"/>
    <w:rsid w:val="009A52CA"/>
    <w:rsid w:val="009A52CD"/>
    <w:rsid w:val="009A5352"/>
    <w:rsid w:val="009A5356"/>
    <w:rsid w:val="009A5442"/>
    <w:rsid w:val="009A54DF"/>
    <w:rsid w:val="009A5522"/>
    <w:rsid w:val="009A5550"/>
    <w:rsid w:val="009A557A"/>
    <w:rsid w:val="009A5596"/>
    <w:rsid w:val="009A5694"/>
    <w:rsid w:val="009A56C3"/>
    <w:rsid w:val="009A56E4"/>
    <w:rsid w:val="009A56E7"/>
    <w:rsid w:val="009A57FF"/>
    <w:rsid w:val="009A5934"/>
    <w:rsid w:val="009A59A7"/>
    <w:rsid w:val="009A59E8"/>
    <w:rsid w:val="009A59EF"/>
    <w:rsid w:val="009A5A00"/>
    <w:rsid w:val="009A5A6E"/>
    <w:rsid w:val="009A5B0B"/>
    <w:rsid w:val="009A5BB1"/>
    <w:rsid w:val="009A5BC7"/>
    <w:rsid w:val="009A5BFC"/>
    <w:rsid w:val="009A5C2F"/>
    <w:rsid w:val="009A5C62"/>
    <w:rsid w:val="009A5D6B"/>
    <w:rsid w:val="009A5E32"/>
    <w:rsid w:val="009A5E6C"/>
    <w:rsid w:val="009A5F07"/>
    <w:rsid w:val="009A5FDB"/>
    <w:rsid w:val="009A600C"/>
    <w:rsid w:val="009A603C"/>
    <w:rsid w:val="009A6054"/>
    <w:rsid w:val="009A607D"/>
    <w:rsid w:val="009A6084"/>
    <w:rsid w:val="009A60D8"/>
    <w:rsid w:val="009A612E"/>
    <w:rsid w:val="009A6133"/>
    <w:rsid w:val="009A61AB"/>
    <w:rsid w:val="009A61C0"/>
    <w:rsid w:val="009A625F"/>
    <w:rsid w:val="009A627C"/>
    <w:rsid w:val="009A629D"/>
    <w:rsid w:val="009A6316"/>
    <w:rsid w:val="009A638D"/>
    <w:rsid w:val="009A63A4"/>
    <w:rsid w:val="009A63AF"/>
    <w:rsid w:val="009A646D"/>
    <w:rsid w:val="009A64AB"/>
    <w:rsid w:val="009A64D4"/>
    <w:rsid w:val="009A658F"/>
    <w:rsid w:val="009A65E9"/>
    <w:rsid w:val="009A667F"/>
    <w:rsid w:val="009A6698"/>
    <w:rsid w:val="009A66F4"/>
    <w:rsid w:val="009A6719"/>
    <w:rsid w:val="009A67A1"/>
    <w:rsid w:val="009A67EE"/>
    <w:rsid w:val="009A6849"/>
    <w:rsid w:val="009A684A"/>
    <w:rsid w:val="009A6856"/>
    <w:rsid w:val="009A688E"/>
    <w:rsid w:val="009A68AF"/>
    <w:rsid w:val="009A68E3"/>
    <w:rsid w:val="009A6943"/>
    <w:rsid w:val="009A6954"/>
    <w:rsid w:val="009A6997"/>
    <w:rsid w:val="009A69B0"/>
    <w:rsid w:val="009A69CE"/>
    <w:rsid w:val="009A6A25"/>
    <w:rsid w:val="009A6A3F"/>
    <w:rsid w:val="009A6A6A"/>
    <w:rsid w:val="009A6A84"/>
    <w:rsid w:val="009A6B22"/>
    <w:rsid w:val="009A6B4C"/>
    <w:rsid w:val="009A6B67"/>
    <w:rsid w:val="009A6B80"/>
    <w:rsid w:val="009A6BA6"/>
    <w:rsid w:val="009A6BA8"/>
    <w:rsid w:val="009A6BC2"/>
    <w:rsid w:val="009A6C08"/>
    <w:rsid w:val="009A6D38"/>
    <w:rsid w:val="009A6D3D"/>
    <w:rsid w:val="009A6D58"/>
    <w:rsid w:val="009A6D82"/>
    <w:rsid w:val="009A6E01"/>
    <w:rsid w:val="009A6E19"/>
    <w:rsid w:val="009A6EA5"/>
    <w:rsid w:val="009A6F26"/>
    <w:rsid w:val="009A6F35"/>
    <w:rsid w:val="009A70F5"/>
    <w:rsid w:val="009A7128"/>
    <w:rsid w:val="009A718E"/>
    <w:rsid w:val="009A71F2"/>
    <w:rsid w:val="009A72E5"/>
    <w:rsid w:val="009A7320"/>
    <w:rsid w:val="009A73AB"/>
    <w:rsid w:val="009A74C7"/>
    <w:rsid w:val="009A7696"/>
    <w:rsid w:val="009A76FD"/>
    <w:rsid w:val="009A7709"/>
    <w:rsid w:val="009A7737"/>
    <w:rsid w:val="009A7886"/>
    <w:rsid w:val="009A793A"/>
    <w:rsid w:val="009A7AF2"/>
    <w:rsid w:val="009A7B35"/>
    <w:rsid w:val="009A7B91"/>
    <w:rsid w:val="009A7C4C"/>
    <w:rsid w:val="009A7CE7"/>
    <w:rsid w:val="009A7D02"/>
    <w:rsid w:val="009A7D48"/>
    <w:rsid w:val="009A7DC6"/>
    <w:rsid w:val="009A7E25"/>
    <w:rsid w:val="009A7ED5"/>
    <w:rsid w:val="009A7F01"/>
    <w:rsid w:val="009A7F29"/>
    <w:rsid w:val="009A7F40"/>
    <w:rsid w:val="009A7FCE"/>
    <w:rsid w:val="009B00A5"/>
    <w:rsid w:val="009B0148"/>
    <w:rsid w:val="009B015A"/>
    <w:rsid w:val="009B019A"/>
    <w:rsid w:val="009B01B6"/>
    <w:rsid w:val="009B01D2"/>
    <w:rsid w:val="009B0203"/>
    <w:rsid w:val="009B022A"/>
    <w:rsid w:val="009B0241"/>
    <w:rsid w:val="009B02E0"/>
    <w:rsid w:val="009B02E9"/>
    <w:rsid w:val="009B02FE"/>
    <w:rsid w:val="009B0323"/>
    <w:rsid w:val="009B03D9"/>
    <w:rsid w:val="009B03FB"/>
    <w:rsid w:val="009B0417"/>
    <w:rsid w:val="009B0456"/>
    <w:rsid w:val="009B04FE"/>
    <w:rsid w:val="009B05A7"/>
    <w:rsid w:val="009B05F9"/>
    <w:rsid w:val="009B0720"/>
    <w:rsid w:val="009B0773"/>
    <w:rsid w:val="009B07AC"/>
    <w:rsid w:val="009B07D0"/>
    <w:rsid w:val="009B07D1"/>
    <w:rsid w:val="009B0813"/>
    <w:rsid w:val="009B088D"/>
    <w:rsid w:val="009B088F"/>
    <w:rsid w:val="009B0913"/>
    <w:rsid w:val="009B0982"/>
    <w:rsid w:val="009B0989"/>
    <w:rsid w:val="009B0995"/>
    <w:rsid w:val="009B09E3"/>
    <w:rsid w:val="009B0A08"/>
    <w:rsid w:val="009B0AAF"/>
    <w:rsid w:val="009B0AB1"/>
    <w:rsid w:val="009B0AB5"/>
    <w:rsid w:val="009B0ACD"/>
    <w:rsid w:val="009B0AE0"/>
    <w:rsid w:val="009B0AE2"/>
    <w:rsid w:val="009B0B32"/>
    <w:rsid w:val="009B0B4D"/>
    <w:rsid w:val="009B0B60"/>
    <w:rsid w:val="009B0B8E"/>
    <w:rsid w:val="009B0C19"/>
    <w:rsid w:val="009B0C3A"/>
    <w:rsid w:val="009B0C50"/>
    <w:rsid w:val="009B0CA8"/>
    <w:rsid w:val="009B0CBB"/>
    <w:rsid w:val="009B0D1C"/>
    <w:rsid w:val="009B0D36"/>
    <w:rsid w:val="009B0D3E"/>
    <w:rsid w:val="009B0D68"/>
    <w:rsid w:val="009B0E19"/>
    <w:rsid w:val="009B0ED9"/>
    <w:rsid w:val="009B1028"/>
    <w:rsid w:val="009B1086"/>
    <w:rsid w:val="009B10B4"/>
    <w:rsid w:val="009B10C1"/>
    <w:rsid w:val="009B10DD"/>
    <w:rsid w:val="009B112A"/>
    <w:rsid w:val="009B11A9"/>
    <w:rsid w:val="009B11B1"/>
    <w:rsid w:val="009B11CD"/>
    <w:rsid w:val="009B1270"/>
    <w:rsid w:val="009B1275"/>
    <w:rsid w:val="009B1441"/>
    <w:rsid w:val="009B1463"/>
    <w:rsid w:val="009B1486"/>
    <w:rsid w:val="009B14B3"/>
    <w:rsid w:val="009B152D"/>
    <w:rsid w:val="009B158C"/>
    <w:rsid w:val="009B160C"/>
    <w:rsid w:val="009B16A8"/>
    <w:rsid w:val="009B1717"/>
    <w:rsid w:val="009B171B"/>
    <w:rsid w:val="009B17B1"/>
    <w:rsid w:val="009B17B7"/>
    <w:rsid w:val="009B1837"/>
    <w:rsid w:val="009B1863"/>
    <w:rsid w:val="009B18E0"/>
    <w:rsid w:val="009B19A6"/>
    <w:rsid w:val="009B19EF"/>
    <w:rsid w:val="009B1A64"/>
    <w:rsid w:val="009B1A98"/>
    <w:rsid w:val="009B1AD0"/>
    <w:rsid w:val="009B1B0D"/>
    <w:rsid w:val="009B1B25"/>
    <w:rsid w:val="009B1B74"/>
    <w:rsid w:val="009B1BE4"/>
    <w:rsid w:val="009B1C18"/>
    <w:rsid w:val="009B1C1E"/>
    <w:rsid w:val="009B1CE4"/>
    <w:rsid w:val="009B1D31"/>
    <w:rsid w:val="009B1D8B"/>
    <w:rsid w:val="009B1F72"/>
    <w:rsid w:val="009B20D2"/>
    <w:rsid w:val="009B2151"/>
    <w:rsid w:val="009B2249"/>
    <w:rsid w:val="009B2269"/>
    <w:rsid w:val="009B228E"/>
    <w:rsid w:val="009B2295"/>
    <w:rsid w:val="009B23A4"/>
    <w:rsid w:val="009B23B3"/>
    <w:rsid w:val="009B23CD"/>
    <w:rsid w:val="009B24D8"/>
    <w:rsid w:val="009B250E"/>
    <w:rsid w:val="009B252C"/>
    <w:rsid w:val="009B258D"/>
    <w:rsid w:val="009B25A1"/>
    <w:rsid w:val="009B2681"/>
    <w:rsid w:val="009B26FA"/>
    <w:rsid w:val="009B278E"/>
    <w:rsid w:val="009B27A7"/>
    <w:rsid w:val="009B27D3"/>
    <w:rsid w:val="009B2816"/>
    <w:rsid w:val="009B287C"/>
    <w:rsid w:val="009B28E8"/>
    <w:rsid w:val="009B28F5"/>
    <w:rsid w:val="009B293B"/>
    <w:rsid w:val="009B2946"/>
    <w:rsid w:val="009B2948"/>
    <w:rsid w:val="009B2995"/>
    <w:rsid w:val="009B29B8"/>
    <w:rsid w:val="009B29EA"/>
    <w:rsid w:val="009B2A35"/>
    <w:rsid w:val="009B2A43"/>
    <w:rsid w:val="009B2A7D"/>
    <w:rsid w:val="009B2A9A"/>
    <w:rsid w:val="009B2B6A"/>
    <w:rsid w:val="009B2BBA"/>
    <w:rsid w:val="009B2C60"/>
    <w:rsid w:val="009B2CC7"/>
    <w:rsid w:val="009B2D55"/>
    <w:rsid w:val="009B2D5E"/>
    <w:rsid w:val="009B2D62"/>
    <w:rsid w:val="009B2DCB"/>
    <w:rsid w:val="009B2F3D"/>
    <w:rsid w:val="009B2FA0"/>
    <w:rsid w:val="009B301A"/>
    <w:rsid w:val="009B303F"/>
    <w:rsid w:val="009B30CF"/>
    <w:rsid w:val="009B30DA"/>
    <w:rsid w:val="009B31A5"/>
    <w:rsid w:val="009B3232"/>
    <w:rsid w:val="009B32DB"/>
    <w:rsid w:val="009B32EF"/>
    <w:rsid w:val="009B334E"/>
    <w:rsid w:val="009B3384"/>
    <w:rsid w:val="009B34E9"/>
    <w:rsid w:val="009B34F7"/>
    <w:rsid w:val="009B351F"/>
    <w:rsid w:val="009B3545"/>
    <w:rsid w:val="009B35B1"/>
    <w:rsid w:val="009B364A"/>
    <w:rsid w:val="009B365A"/>
    <w:rsid w:val="009B3694"/>
    <w:rsid w:val="009B369D"/>
    <w:rsid w:val="009B36A3"/>
    <w:rsid w:val="009B36DC"/>
    <w:rsid w:val="009B36F2"/>
    <w:rsid w:val="009B372B"/>
    <w:rsid w:val="009B374C"/>
    <w:rsid w:val="009B37A8"/>
    <w:rsid w:val="009B37AC"/>
    <w:rsid w:val="009B37AE"/>
    <w:rsid w:val="009B3822"/>
    <w:rsid w:val="009B3864"/>
    <w:rsid w:val="009B386A"/>
    <w:rsid w:val="009B3926"/>
    <w:rsid w:val="009B3936"/>
    <w:rsid w:val="009B3955"/>
    <w:rsid w:val="009B397D"/>
    <w:rsid w:val="009B39B2"/>
    <w:rsid w:val="009B3A70"/>
    <w:rsid w:val="009B3B36"/>
    <w:rsid w:val="009B3B4D"/>
    <w:rsid w:val="009B3BA5"/>
    <w:rsid w:val="009B3BA8"/>
    <w:rsid w:val="009B3BAD"/>
    <w:rsid w:val="009B3C91"/>
    <w:rsid w:val="009B3CCB"/>
    <w:rsid w:val="009B3D07"/>
    <w:rsid w:val="009B3D2D"/>
    <w:rsid w:val="009B3D4E"/>
    <w:rsid w:val="009B3DB6"/>
    <w:rsid w:val="009B3DFC"/>
    <w:rsid w:val="009B3E69"/>
    <w:rsid w:val="009B3ED5"/>
    <w:rsid w:val="009B3F5E"/>
    <w:rsid w:val="009B3F85"/>
    <w:rsid w:val="009B3FA9"/>
    <w:rsid w:val="009B3FCB"/>
    <w:rsid w:val="009B406D"/>
    <w:rsid w:val="009B4083"/>
    <w:rsid w:val="009B40A5"/>
    <w:rsid w:val="009B41AD"/>
    <w:rsid w:val="009B423A"/>
    <w:rsid w:val="009B4273"/>
    <w:rsid w:val="009B42CA"/>
    <w:rsid w:val="009B4349"/>
    <w:rsid w:val="009B435D"/>
    <w:rsid w:val="009B43B1"/>
    <w:rsid w:val="009B43D1"/>
    <w:rsid w:val="009B440C"/>
    <w:rsid w:val="009B4462"/>
    <w:rsid w:val="009B44A2"/>
    <w:rsid w:val="009B44B9"/>
    <w:rsid w:val="009B44D5"/>
    <w:rsid w:val="009B45B8"/>
    <w:rsid w:val="009B4628"/>
    <w:rsid w:val="009B4712"/>
    <w:rsid w:val="009B4782"/>
    <w:rsid w:val="009B48F2"/>
    <w:rsid w:val="009B493B"/>
    <w:rsid w:val="009B498D"/>
    <w:rsid w:val="009B49AE"/>
    <w:rsid w:val="009B49BA"/>
    <w:rsid w:val="009B49FB"/>
    <w:rsid w:val="009B4A26"/>
    <w:rsid w:val="009B4A50"/>
    <w:rsid w:val="009B4A5F"/>
    <w:rsid w:val="009B4B6A"/>
    <w:rsid w:val="009B4C69"/>
    <w:rsid w:val="009B4C74"/>
    <w:rsid w:val="009B4CB0"/>
    <w:rsid w:val="009B4CB1"/>
    <w:rsid w:val="009B4D2B"/>
    <w:rsid w:val="009B4D2C"/>
    <w:rsid w:val="009B4D7F"/>
    <w:rsid w:val="009B4DB5"/>
    <w:rsid w:val="009B4DC9"/>
    <w:rsid w:val="009B4E5E"/>
    <w:rsid w:val="009B4EC5"/>
    <w:rsid w:val="009B4EE1"/>
    <w:rsid w:val="009B4F18"/>
    <w:rsid w:val="009B4F1A"/>
    <w:rsid w:val="009B4F55"/>
    <w:rsid w:val="009B4F93"/>
    <w:rsid w:val="009B4F95"/>
    <w:rsid w:val="009B500F"/>
    <w:rsid w:val="009B50DC"/>
    <w:rsid w:val="009B5141"/>
    <w:rsid w:val="009B51B6"/>
    <w:rsid w:val="009B521D"/>
    <w:rsid w:val="009B521E"/>
    <w:rsid w:val="009B525B"/>
    <w:rsid w:val="009B52DC"/>
    <w:rsid w:val="009B530D"/>
    <w:rsid w:val="009B5314"/>
    <w:rsid w:val="009B5317"/>
    <w:rsid w:val="009B532A"/>
    <w:rsid w:val="009B5409"/>
    <w:rsid w:val="009B54CE"/>
    <w:rsid w:val="009B551D"/>
    <w:rsid w:val="009B5581"/>
    <w:rsid w:val="009B56CF"/>
    <w:rsid w:val="009B58C0"/>
    <w:rsid w:val="009B5961"/>
    <w:rsid w:val="009B598E"/>
    <w:rsid w:val="009B5AAD"/>
    <w:rsid w:val="009B5B02"/>
    <w:rsid w:val="009B5B09"/>
    <w:rsid w:val="009B5B2D"/>
    <w:rsid w:val="009B5B48"/>
    <w:rsid w:val="009B5BB6"/>
    <w:rsid w:val="009B5BCB"/>
    <w:rsid w:val="009B5C51"/>
    <w:rsid w:val="009B5C58"/>
    <w:rsid w:val="009B5D27"/>
    <w:rsid w:val="009B5D32"/>
    <w:rsid w:val="009B5D37"/>
    <w:rsid w:val="009B5D87"/>
    <w:rsid w:val="009B5DB3"/>
    <w:rsid w:val="009B5E24"/>
    <w:rsid w:val="009B5E29"/>
    <w:rsid w:val="009B5E60"/>
    <w:rsid w:val="009B5EC6"/>
    <w:rsid w:val="009B5F56"/>
    <w:rsid w:val="009B5F92"/>
    <w:rsid w:val="009B602B"/>
    <w:rsid w:val="009B60FA"/>
    <w:rsid w:val="009B6127"/>
    <w:rsid w:val="009B61CA"/>
    <w:rsid w:val="009B6271"/>
    <w:rsid w:val="009B6281"/>
    <w:rsid w:val="009B6286"/>
    <w:rsid w:val="009B6297"/>
    <w:rsid w:val="009B62C4"/>
    <w:rsid w:val="009B6336"/>
    <w:rsid w:val="009B63F3"/>
    <w:rsid w:val="009B6425"/>
    <w:rsid w:val="009B646C"/>
    <w:rsid w:val="009B649D"/>
    <w:rsid w:val="009B64A2"/>
    <w:rsid w:val="009B64E9"/>
    <w:rsid w:val="009B64ED"/>
    <w:rsid w:val="009B6540"/>
    <w:rsid w:val="009B6593"/>
    <w:rsid w:val="009B65AB"/>
    <w:rsid w:val="009B65B7"/>
    <w:rsid w:val="009B65C7"/>
    <w:rsid w:val="009B6636"/>
    <w:rsid w:val="009B6644"/>
    <w:rsid w:val="009B6647"/>
    <w:rsid w:val="009B66EF"/>
    <w:rsid w:val="009B6700"/>
    <w:rsid w:val="009B670E"/>
    <w:rsid w:val="009B671C"/>
    <w:rsid w:val="009B6801"/>
    <w:rsid w:val="009B6823"/>
    <w:rsid w:val="009B68F2"/>
    <w:rsid w:val="009B6904"/>
    <w:rsid w:val="009B6963"/>
    <w:rsid w:val="009B6A8C"/>
    <w:rsid w:val="009B6BAA"/>
    <w:rsid w:val="009B6BB0"/>
    <w:rsid w:val="009B6C6F"/>
    <w:rsid w:val="009B6CCB"/>
    <w:rsid w:val="009B6D38"/>
    <w:rsid w:val="009B6DAF"/>
    <w:rsid w:val="009B6E39"/>
    <w:rsid w:val="009B6E97"/>
    <w:rsid w:val="009B6F11"/>
    <w:rsid w:val="009B6F16"/>
    <w:rsid w:val="009B6F37"/>
    <w:rsid w:val="009B6FF1"/>
    <w:rsid w:val="009B7003"/>
    <w:rsid w:val="009B7034"/>
    <w:rsid w:val="009B70BA"/>
    <w:rsid w:val="009B715F"/>
    <w:rsid w:val="009B7178"/>
    <w:rsid w:val="009B7197"/>
    <w:rsid w:val="009B7198"/>
    <w:rsid w:val="009B71AA"/>
    <w:rsid w:val="009B7219"/>
    <w:rsid w:val="009B7290"/>
    <w:rsid w:val="009B72E5"/>
    <w:rsid w:val="009B73CD"/>
    <w:rsid w:val="009B73E1"/>
    <w:rsid w:val="009B744B"/>
    <w:rsid w:val="009B745D"/>
    <w:rsid w:val="009B74A6"/>
    <w:rsid w:val="009B7537"/>
    <w:rsid w:val="009B7538"/>
    <w:rsid w:val="009B7556"/>
    <w:rsid w:val="009B7585"/>
    <w:rsid w:val="009B75B3"/>
    <w:rsid w:val="009B75D9"/>
    <w:rsid w:val="009B763F"/>
    <w:rsid w:val="009B7668"/>
    <w:rsid w:val="009B76E1"/>
    <w:rsid w:val="009B7734"/>
    <w:rsid w:val="009B7756"/>
    <w:rsid w:val="009B777B"/>
    <w:rsid w:val="009B77E2"/>
    <w:rsid w:val="009B7835"/>
    <w:rsid w:val="009B785B"/>
    <w:rsid w:val="009B7882"/>
    <w:rsid w:val="009B7890"/>
    <w:rsid w:val="009B78A2"/>
    <w:rsid w:val="009B78E7"/>
    <w:rsid w:val="009B78FC"/>
    <w:rsid w:val="009B791F"/>
    <w:rsid w:val="009B796B"/>
    <w:rsid w:val="009B799F"/>
    <w:rsid w:val="009B79EE"/>
    <w:rsid w:val="009B7A09"/>
    <w:rsid w:val="009B7A4E"/>
    <w:rsid w:val="009B7AFA"/>
    <w:rsid w:val="009B7AFC"/>
    <w:rsid w:val="009B7B1E"/>
    <w:rsid w:val="009B7B41"/>
    <w:rsid w:val="009B7B83"/>
    <w:rsid w:val="009B7B9F"/>
    <w:rsid w:val="009B7BD4"/>
    <w:rsid w:val="009B7BFD"/>
    <w:rsid w:val="009B7C08"/>
    <w:rsid w:val="009B7C86"/>
    <w:rsid w:val="009B7CB4"/>
    <w:rsid w:val="009B7D09"/>
    <w:rsid w:val="009B7D13"/>
    <w:rsid w:val="009B7D47"/>
    <w:rsid w:val="009B7D79"/>
    <w:rsid w:val="009B7D88"/>
    <w:rsid w:val="009B7DDA"/>
    <w:rsid w:val="009B7F4A"/>
    <w:rsid w:val="009B7FFA"/>
    <w:rsid w:val="009C004E"/>
    <w:rsid w:val="009C0050"/>
    <w:rsid w:val="009C006A"/>
    <w:rsid w:val="009C00A7"/>
    <w:rsid w:val="009C00AB"/>
    <w:rsid w:val="009C00FF"/>
    <w:rsid w:val="009C010C"/>
    <w:rsid w:val="009C01B9"/>
    <w:rsid w:val="009C01C9"/>
    <w:rsid w:val="009C01CD"/>
    <w:rsid w:val="009C020D"/>
    <w:rsid w:val="009C0275"/>
    <w:rsid w:val="009C034E"/>
    <w:rsid w:val="009C0381"/>
    <w:rsid w:val="009C03A2"/>
    <w:rsid w:val="009C03EA"/>
    <w:rsid w:val="009C0409"/>
    <w:rsid w:val="009C0425"/>
    <w:rsid w:val="009C0495"/>
    <w:rsid w:val="009C04C1"/>
    <w:rsid w:val="009C04E2"/>
    <w:rsid w:val="009C04EC"/>
    <w:rsid w:val="009C0534"/>
    <w:rsid w:val="009C060A"/>
    <w:rsid w:val="009C063A"/>
    <w:rsid w:val="009C067E"/>
    <w:rsid w:val="009C06C1"/>
    <w:rsid w:val="009C075D"/>
    <w:rsid w:val="009C079D"/>
    <w:rsid w:val="009C07FE"/>
    <w:rsid w:val="009C083D"/>
    <w:rsid w:val="009C089E"/>
    <w:rsid w:val="009C08DF"/>
    <w:rsid w:val="009C08E6"/>
    <w:rsid w:val="009C092B"/>
    <w:rsid w:val="009C0938"/>
    <w:rsid w:val="009C09F9"/>
    <w:rsid w:val="009C0A0E"/>
    <w:rsid w:val="009C0AAD"/>
    <w:rsid w:val="009C0ABF"/>
    <w:rsid w:val="009C0B78"/>
    <w:rsid w:val="009C0C71"/>
    <w:rsid w:val="009C0D55"/>
    <w:rsid w:val="009C0DCB"/>
    <w:rsid w:val="009C0EB0"/>
    <w:rsid w:val="009C0F72"/>
    <w:rsid w:val="009C0F9D"/>
    <w:rsid w:val="009C0FC1"/>
    <w:rsid w:val="009C0FF6"/>
    <w:rsid w:val="009C100E"/>
    <w:rsid w:val="009C1042"/>
    <w:rsid w:val="009C1070"/>
    <w:rsid w:val="009C108D"/>
    <w:rsid w:val="009C10DA"/>
    <w:rsid w:val="009C1169"/>
    <w:rsid w:val="009C11CD"/>
    <w:rsid w:val="009C11E5"/>
    <w:rsid w:val="009C12B3"/>
    <w:rsid w:val="009C12D2"/>
    <w:rsid w:val="009C12F8"/>
    <w:rsid w:val="009C132F"/>
    <w:rsid w:val="009C1371"/>
    <w:rsid w:val="009C13C4"/>
    <w:rsid w:val="009C1409"/>
    <w:rsid w:val="009C14C7"/>
    <w:rsid w:val="009C1566"/>
    <w:rsid w:val="009C15FD"/>
    <w:rsid w:val="009C1647"/>
    <w:rsid w:val="009C1652"/>
    <w:rsid w:val="009C1660"/>
    <w:rsid w:val="009C16AA"/>
    <w:rsid w:val="009C16CB"/>
    <w:rsid w:val="009C16F1"/>
    <w:rsid w:val="009C1763"/>
    <w:rsid w:val="009C1799"/>
    <w:rsid w:val="009C179D"/>
    <w:rsid w:val="009C179E"/>
    <w:rsid w:val="009C180A"/>
    <w:rsid w:val="009C181A"/>
    <w:rsid w:val="009C18ED"/>
    <w:rsid w:val="009C18F8"/>
    <w:rsid w:val="009C1982"/>
    <w:rsid w:val="009C19A7"/>
    <w:rsid w:val="009C1A8D"/>
    <w:rsid w:val="009C1B83"/>
    <w:rsid w:val="009C1BE8"/>
    <w:rsid w:val="009C1CA7"/>
    <w:rsid w:val="009C1D54"/>
    <w:rsid w:val="009C1E87"/>
    <w:rsid w:val="009C1EA4"/>
    <w:rsid w:val="009C1EBA"/>
    <w:rsid w:val="009C1EC5"/>
    <w:rsid w:val="009C1F00"/>
    <w:rsid w:val="009C1F3C"/>
    <w:rsid w:val="009C2065"/>
    <w:rsid w:val="009C213A"/>
    <w:rsid w:val="009C21C5"/>
    <w:rsid w:val="009C224C"/>
    <w:rsid w:val="009C226D"/>
    <w:rsid w:val="009C22AD"/>
    <w:rsid w:val="009C22E9"/>
    <w:rsid w:val="009C2357"/>
    <w:rsid w:val="009C23B7"/>
    <w:rsid w:val="009C23F4"/>
    <w:rsid w:val="009C2465"/>
    <w:rsid w:val="009C2655"/>
    <w:rsid w:val="009C26A0"/>
    <w:rsid w:val="009C26B5"/>
    <w:rsid w:val="009C26D2"/>
    <w:rsid w:val="009C271A"/>
    <w:rsid w:val="009C27F1"/>
    <w:rsid w:val="009C2875"/>
    <w:rsid w:val="009C288D"/>
    <w:rsid w:val="009C2948"/>
    <w:rsid w:val="009C2980"/>
    <w:rsid w:val="009C2984"/>
    <w:rsid w:val="009C29B6"/>
    <w:rsid w:val="009C29DB"/>
    <w:rsid w:val="009C29F8"/>
    <w:rsid w:val="009C2A23"/>
    <w:rsid w:val="009C2B40"/>
    <w:rsid w:val="009C2B59"/>
    <w:rsid w:val="009C2BFC"/>
    <w:rsid w:val="009C2C20"/>
    <w:rsid w:val="009C2C68"/>
    <w:rsid w:val="009C2CB5"/>
    <w:rsid w:val="009C2CDB"/>
    <w:rsid w:val="009C2D17"/>
    <w:rsid w:val="009C2D80"/>
    <w:rsid w:val="009C2E05"/>
    <w:rsid w:val="009C2EC1"/>
    <w:rsid w:val="009C2EEC"/>
    <w:rsid w:val="009C2FB7"/>
    <w:rsid w:val="009C2FCC"/>
    <w:rsid w:val="009C2FF6"/>
    <w:rsid w:val="009C3068"/>
    <w:rsid w:val="009C30A5"/>
    <w:rsid w:val="009C30A7"/>
    <w:rsid w:val="009C30B7"/>
    <w:rsid w:val="009C30F7"/>
    <w:rsid w:val="009C3123"/>
    <w:rsid w:val="009C3156"/>
    <w:rsid w:val="009C32D0"/>
    <w:rsid w:val="009C331B"/>
    <w:rsid w:val="009C3333"/>
    <w:rsid w:val="009C3370"/>
    <w:rsid w:val="009C3394"/>
    <w:rsid w:val="009C33BE"/>
    <w:rsid w:val="009C33F0"/>
    <w:rsid w:val="009C33FC"/>
    <w:rsid w:val="009C3444"/>
    <w:rsid w:val="009C3452"/>
    <w:rsid w:val="009C346A"/>
    <w:rsid w:val="009C3489"/>
    <w:rsid w:val="009C34C9"/>
    <w:rsid w:val="009C3505"/>
    <w:rsid w:val="009C35AE"/>
    <w:rsid w:val="009C35C6"/>
    <w:rsid w:val="009C364D"/>
    <w:rsid w:val="009C3661"/>
    <w:rsid w:val="009C3712"/>
    <w:rsid w:val="009C373E"/>
    <w:rsid w:val="009C3773"/>
    <w:rsid w:val="009C3834"/>
    <w:rsid w:val="009C390A"/>
    <w:rsid w:val="009C39BE"/>
    <w:rsid w:val="009C39EC"/>
    <w:rsid w:val="009C3A17"/>
    <w:rsid w:val="009C3A24"/>
    <w:rsid w:val="009C3A42"/>
    <w:rsid w:val="009C3A88"/>
    <w:rsid w:val="009C3AB0"/>
    <w:rsid w:val="009C3B03"/>
    <w:rsid w:val="009C3B0C"/>
    <w:rsid w:val="009C3B4D"/>
    <w:rsid w:val="009C3BFA"/>
    <w:rsid w:val="009C3CF7"/>
    <w:rsid w:val="009C3D1A"/>
    <w:rsid w:val="009C3D45"/>
    <w:rsid w:val="009C3DC8"/>
    <w:rsid w:val="009C3E3D"/>
    <w:rsid w:val="009C3EC9"/>
    <w:rsid w:val="009C3ECC"/>
    <w:rsid w:val="009C3ED3"/>
    <w:rsid w:val="009C3F36"/>
    <w:rsid w:val="009C3F78"/>
    <w:rsid w:val="009C3F88"/>
    <w:rsid w:val="009C400F"/>
    <w:rsid w:val="009C407A"/>
    <w:rsid w:val="009C40F7"/>
    <w:rsid w:val="009C4205"/>
    <w:rsid w:val="009C4247"/>
    <w:rsid w:val="009C42A0"/>
    <w:rsid w:val="009C42A9"/>
    <w:rsid w:val="009C42CF"/>
    <w:rsid w:val="009C42DF"/>
    <w:rsid w:val="009C432B"/>
    <w:rsid w:val="009C4352"/>
    <w:rsid w:val="009C43F7"/>
    <w:rsid w:val="009C440E"/>
    <w:rsid w:val="009C4452"/>
    <w:rsid w:val="009C4467"/>
    <w:rsid w:val="009C44B9"/>
    <w:rsid w:val="009C44D2"/>
    <w:rsid w:val="009C44E0"/>
    <w:rsid w:val="009C44EC"/>
    <w:rsid w:val="009C4540"/>
    <w:rsid w:val="009C4545"/>
    <w:rsid w:val="009C45CA"/>
    <w:rsid w:val="009C45EF"/>
    <w:rsid w:val="009C4638"/>
    <w:rsid w:val="009C4670"/>
    <w:rsid w:val="009C46E7"/>
    <w:rsid w:val="009C4704"/>
    <w:rsid w:val="009C475F"/>
    <w:rsid w:val="009C4778"/>
    <w:rsid w:val="009C477B"/>
    <w:rsid w:val="009C47E1"/>
    <w:rsid w:val="009C4819"/>
    <w:rsid w:val="009C4A2A"/>
    <w:rsid w:val="009C4A9A"/>
    <w:rsid w:val="009C4C01"/>
    <w:rsid w:val="009C4C20"/>
    <w:rsid w:val="009C4C33"/>
    <w:rsid w:val="009C4C48"/>
    <w:rsid w:val="009C4CB5"/>
    <w:rsid w:val="009C4D4E"/>
    <w:rsid w:val="009C4DC3"/>
    <w:rsid w:val="009C4E0F"/>
    <w:rsid w:val="009C4EAD"/>
    <w:rsid w:val="009C4F1A"/>
    <w:rsid w:val="009C4F55"/>
    <w:rsid w:val="009C4FD3"/>
    <w:rsid w:val="009C5016"/>
    <w:rsid w:val="009C50EC"/>
    <w:rsid w:val="009C5108"/>
    <w:rsid w:val="009C510F"/>
    <w:rsid w:val="009C5112"/>
    <w:rsid w:val="009C511E"/>
    <w:rsid w:val="009C5155"/>
    <w:rsid w:val="009C519C"/>
    <w:rsid w:val="009C51DB"/>
    <w:rsid w:val="009C5275"/>
    <w:rsid w:val="009C5300"/>
    <w:rsid w:val="009C5357"/>
    <w:rsid w:val="009C53AB"/>
    <w:rsid w:val="009C547E"/>
    <w:rsid w:val="009C5489"/>
    <w:rsid w:val="009C54A4"/>
    <w:rsid w:val="009C54DE"/>
    <w:rsid w:val="009C55BF"/>
    <w:rsid w:val="009C55F0"/>
    <w:rsid w:val="009C566E"/>
    <w:rsid w:val="009C5681"/>
    <w:rsid w:val="009C5726"/>
    <w:rsid w:val="009C57D7"/>
    <w:rsid w:val="009C5824"/>
    <w:rsid w:val="009C582B"/>
    <w:rsid w:val="009C583E"/>
    <w:rsid w:val="009C584E"/>
    <w:rsid w:val="009C5868"/>
    <w:rsid w:val="009C59B3"/>
    <w:rsid w:val="009C5A20"/>
    <w:rsid w:val="009C5A3F"/>
    <w:rsid w:val="009C5A69"/>
    <w:rsid w:val="009C5A89"/>
    <w:rsid w:val="009C5AAB"/>
    <w:rsid w:val="009C5ABD"/>
    <w:rsid w:val="009C5B2C"/>
    <w:rsid w:val="009C5B8D"/>
    <w:rsid w:val="009C5C4C"/>
    <w:rsid w:val="009C5CFC"/>
    <w:rsid w:val="009C5D60"/>
    <w:rsid w:val="009C5E32"/>
    <w:rsid w:val="009C5E4E"/>
    <w:rsid w:val="009C5E54"/>
    <w:rsid w:val="009C5E79"/>
    <w:rsid w:val="009C5E7B"/>
    <w:rsid w:val="009C5E95"/>
    <w:rsid w:val="009C5F9F"/>
    <w:rsid w:val="009C5FC2"/>
    <w:rsid w:val="009C600F"/>
    <w:rsid w:val="009C6070"/>
    <w:rsid w:val="009C6099"/>
    <w:rsid w:val="009C60A4"/>
    <w:rsid w:val="009C60C0"/>
    <w:rsid w:val="009C60E5"/>
    <w:rsid w:val="009C6111"/>
    <w:rsid w:val="009C6143"/>
    <w:rsid w:val="009C6162"/>
    <w:rsid w:val="009C6281"/>
    <w:rsid w:val="009C62FD"/>
    <w:rsid w:val="009C630C"/>
    <w:rsid w:val="009C6359"/>
    <w:rsid w:val="009C6376"/>
    <w:rsid w:val="009C64D3"/>
    <w:rsid w:val="009C6552"/>
    <w:rsid w:val="009C65C3"/>
    <w:rsid w:val="009C65FC"/>
    <w:rsid w:val="009C6705"/>
    <w:rsid w:val="009C6718"/>
    <w:rsid w:val="009C673F"/>
    <w:rsid w:val="009C6748"/>
    <w:rsid w:val="009C6842"/>
    <w:rsid w:val="009C685A"/>
    <w:rsid w:val="009C68E7"/>
    <w:rsid w:val="009C6912"/>
    <w:rsid w:val="009C6B07"/>
    <w:rsid w:val="009C6B8D"/>
    <w:rsid w:val="009C6C1C"/>
    <w:rsid w:val="009C6CBA"/>
    <w:rsid w:val="009C6CDD"/>
    <w:rsid w:val="009C6DBE"/>
    <w:rsid w:val="009C6DEE"/>
    <w:rsid w:val="009C6E37"/>
    <w:rsid w:val="009C6EAB"/>
    <w:rsid w:val="009C6EC1"/>
    <w:rsid w:val="009C6EDD"/>
    <w:rsid w:val="009C6F98"/>
    <w:rsid w:val="009C6FD2"/>
    <w:rsid w:val="009C70BE"/>
    <w:rsid w:val="009C7108"/>
    <w:rsid w:val="009C715E"/>
    <w:rsid w:val="009C71F4"/>
    <w:rsid w:val="009C71F8"/>
    <w:rsid w:val="009C7239"/>
    <w:rsid w:val="009C728E"/>
    <w:rsid w:val="009C735D"/>
    <w:rsid w:val="009C73D1"/>
    <w:rsid w:val="009C73DE"/>
    <w:rsid w:val="009C7483"/>
    <w:rsid w:val="009C7496"/>
    <w:rsid w:val="009C74B0"/>
    <w:rsid w:val="009C74B4"/>
    <w:rsid w:val="009C75A0"/>
    <w:rsid w:val="009C75F2"/>
    <w:rsid w:val="009C76BF"/>
    <w:rsid w:val="009C7742"/>
    <w:rsid w:val="009C7846"/>
    <w:rsid w:val="009C7863"/>
    <w:rsid w:val="009C7875"/>
    <w:rsid w:val="009C78C1"/>
    <w:rsid w:val="009C796A"/>
    <w:rsid w:val="009C7998"/>
    <w:rsid w:val="009C79EA"/>
    <w:rsid w:val="009C7A73"/>
    <w:rsid w:val="009C7A74"/>
    <w:rsid w:val="009C7A87"/>
    <w:rsid w:val="009C7AA4"/>
    <w:rsid w:val="009C7B1F"/>
    <w:rsid w:val="009C7BBA"/>
    <w:rsid w:val="009C7D04"/>
    <w:rsid w:val="009C7D0A"/>
    <w:rsid w:val="009C7D60"/>
    <w:rsid w:val="009C7DCF"/>
    <w:rsid w:val="009C7DF4"/>
    <w:rsid w:val="009C7E29"/>
    <w:rsid w:val="009C7E57"/>
    <w:rsid w:val="009C7E67"/>
    <w:rsid w:val="009C7E9E"/>
    <w:rsid w:val="009C7F33"/>
    <w:rsid w:val="009C7F57"/>
    <w:rsid w:val="009D0006"/>
    <w:rsid w:val="009D0072"/>
    <w:rsid w:val="009D0118"/>
    <w:rsid w:val="009D0171"/>
    <w:rsid w:val="009D0198"/>
    <w:rsid w:val="009D01B7"/>
    <w:rsid w:val="009D023F"/>
    <w:rsid w:val="009D0242"/>
    <w:rsid w:val="009D02E4"/>
    <w:rsid w:val="009D02F6"/>
    <w:rsid w:val="009D02F8"/>
    <w:rsid w:val="009D0323"/>
    <w:rsid w:val="009D0356"/>
    <w:rsid w:val="009D03F9"/>
    <w:rsid w:val="009D0484"/>
    <w:rsid w:val="009D0486"/>
    <w:rsid w:val="009D0516"/>
    <w:rsid w:val="009D055A"/>
    <w:rsid w:val="009D0593"/>
    <w:rsid w:val="009D05FE"/>
    <w:rsid w:val="009D06BB"/>
    <w:rsid w:val="009D0714"/>
    <w:rsid w:val="009D07EC"/>
    <w:rsid w:val="009D0815"/>
    <w:rsid w:val="009D091E"/>
    <w:rsid w:val="009D0972"/>
    <w:rsid w:val="009D0989"/>
    <w:rsid w:val="009D0AB6"/>
    <w:rsid w:val="009D0B08"/>
    <w:rsid w:val="009D0B09"/>
    <w:rsid w:val="009D0B64"/>
    <w:rsid w:val="009D0BC7"/>
    <w:rsid w:val="009D0C32"/>
    <w:rsid w:val="009D0C4F"/>
    <w:rsid w:val="009D0C6D"/>
    <w:rsid w:val="009D0CBC"/>
    <w:rsid w:val="009D0D62"/>
    <w:rsid w:val="009D0EB7"/>
    <w:rsid w:val="009D0EBF"/>
    <w:rsid w:val="009D0FB3"/>
    <w:rsid w:val="009D1016"/>
    <w:rsid w:val="009D1096"/>
    <w:rsid w:val="009D10A4"/>
    <w:rsid w:val="009D117C"/>
    <w:rsid w:val="009D1197"/>
    <w:rsid w:val="009D1211"/>
    <w:rsid w:val="009D124D"/>
    <w:rsid w:val="009D1272"/>
    <w:rsid w:val="009D1323"/>
    <w:rsid w:val="009D133A"/>
    <w:rsid w:val="009D135F"/>
    <w:rsid w:val="009D1388"/>
    <w:rsid w:val="009D13AE"/>
    <w:rsid w:val="009D1464"/>
    <w:rsid w:val="009D14B1"/>
    <w:rsid w:val="009D150F"/>
    <w:rsid w:val="009D1547"/>
    <w:rsid w:val="009D15D0"/>
    <w:rsid w:val="009D160A"/>
    <w:rsid w:val="009D16A8"/>
    <w:rsid w:val="009D179F"/>
    <w:rsid w:val="009D17D7"/>
    <w:rsid w:val="009D180C"/>
    <w:rsid w:val="009D18AB"/>
    <w:rsid w:val="009D18BD"/>
    <w:rsid w:val="009D18E2"/>
    <w:rsid w:val="009D1934"/>
    <w:rsid w:val="009D1941"/>
    <w:rsid w:val="009D195E"/>
    <w:rsid w:val="009D1A55"/>
    <w:rsid w:val="009D1A89"/>
    <w:rsid w:val="009D1A8A"/>
    <w:rsid w:val="009D1B0A"/>
    <w:rsid w:val="009D1B37"/>
    <w:rsid w:val="009D1BA6"/>
    <w:rsid w:val="009D1CBA"/>
    <w:rsid w:val="009D1CF5"/>
    <w:rsid w:val="009D1D28"/>
    <w:rsid w:val="009D1DAE"/>
    <w:rsid w:val="009D1E61"/>
    <w:rsid w:val="009D1EDB"/>
    <w:rsid w:val="009D1FA5"/>
    <w:rsid w:val="009D1FB4"/>
    <w:rsid w:val="009D1FC3"/>
    <w:rsid w:val="009D2026"/>
    <w:rsid w:val="009D20DC"/>
    <w:rsid w:val="009D2115"/>
    <w:rsid w:val="009D2136"/>
    <w:rsid w:val="009D213D"/>
    <w:rsid w:val="009D216D"/>
    <w:rsid w:val="009D2194"/>
    <w:rsid w:val="009D219B"/>
    <w:rsid w:val="009D230C"/>
    <w:rsid w:val="009D23A9"/>
    <w:rsid w:val="009D23D6"/>
    <w:rsid w:val="009D23F7"/>
    <w:rsid w:val="009D23FE"/>
    <w:rsid w:val="009D24D5"/>
    <w:rsid w:val="009D24E9"/>
    <w:rsid w:val="009D251B"/>
    <w:rsid w:val="009D2660"/>
    <w:rsid w:val="009D27F2"/>
    <w:rsid w:val="009D285A"/>
    <w:rsid w:val="009D28E1"/>
    <w:rsid w:val="009D2944"/>
    <w:rsid w:val="009D295E"/>
    <w:rsid w:val="009D29BD"/>
    <w:rsid w:val="009D29D2"/>
    <w:rsid w:val="009D2AF6"/>
    <w:rsid w:val="009D2B6B"/>
    <w:rsid w:val="009D2B91"/>
    <w:rsid w:val="009D2B9A"/>
    <w:rsid w:val="009D2C83"/>
    <w:rsid w:val="009D2C8B"/>
    <w:rsid w:val="009D2CFF"/>
    <w:rsid w:val="009D2D32"/>
    <w:rsid w:val="009D2D5D"/>
    <w:rsid w:val="009D2D9A"/>
    <w:rsid w:val="009D2ED3"/>
    <w:rsid w:val="009D2F02"/>
    <w:rsid w:val="009D2F88"/>
    <w:rsid w:val="009D2FA7"/>
    <w:rsid w:val="009D2FBB"/>
    <w:rsid w:val="009D2FBE"/>
    <w:rsid w:val="009D304E"/>
    <w:rsid w:val="009D3066"/>
    <w:rsid w:val="009D315D"/>
    <w:rsid w:val="009D31AC"/>
    <w:rsid w:val="009D3225"/>
    <w:rsid w:val="009D3295"/>
    <w:rsid w:val="009D32CA"/>
    <w:rsid w:val="009D3336"/>
    <w:rsid w:val="009D3403"/>
    <w:rsid w:val="009D342A"/>
    <w:rsid w:val="009D3447"/>
    <w:rsid w:val="009D3465"/>
    <w:rsid w:val="009D34CC"/>
    <w:rsid w:val="009D352C"/>
    <w:rsid w:val="009D363D"/>
    <w:rsid w:val="009D379E"/>
    <w:rsid w:val="009D381F"/>
    <w:rsid w:val="009D393F"/>
    <w:rsid w:val="009D39AC"/>
    <w:rsid w:val="009D39B4"/>
    <w:rsid w:val="009D39CD"/>
    <w:rsid w:val="009D3A1A"/>
    <w:rsid w:val="009D3A6F"/>
    <w:rsid w:val="009D3A8B"/>
    <w:rsid w:val="009D3ADD"/>
    <w:rsid w:val="009D3B3C"/>
    <w:rsid w:val="009D3B47"/>
    <w:rsid w:val="009D3CB5"/>
    <w:rsid w:val="009D3CE1"/>
    <w:rsid w:val="009D3CF5"/>
    <w:rsid w:val="009D3D59"/>
    <w:rsid w:val="009D3E4D"/>
    <w:rsid w:val="009D3EBF"/>
    <w:rsid w:val="009D3EDB"/>
    <w:rsid w:val="009D3EDE"/>
    <w:rsid w:val="009D3F86"/>
    <w:rsid w:val="009D3FA1"/>
    <w:rsid w:val="009D3FA3"/>
    <w:rsid w:val="009D3FA6"/>
    <w:rsid w:val="009D3FB3"/>
    <w:rsid w:val="009D3FCF"/>
    <w:rsid w:val="009D4018"/>
    <w:rsid w:val="009D4066"/>
    <w:rsid w:val="009D413C"/>
    <w:rsid w:val="009D41A6"/>
    <w:rsid w:val="009D4208"/>
    <w:rsid w:val="009D4248"/>
    <w:rsid w:val="009D4350"/>
    <w:rsid w:val="009D4354"/>
    <w:rsid w:val="009D4374"/>
    <w:rsid w:val="009D4383"/>
    <w:rsid w:val="009D4422"/>
    <w:rsid w:val="009D45AF"/>
    <w:rsid w:val="009D4618"/>
    <w:rsid w:val="009D464C"/>
    <w:rsid w:val="009D4670"/>
    <w:rsid w:val="009D4716"/>
    <w:rsid w:val="009D473D"/>
    <w:rsid w:val="009D475D"/>
    <w:rsid w:val="009D475E"/>
    <w:rsid w:val="009D4765"/>
    <w:rsid w:val="009D4766"/>
    <w:rsid w:val="009D47B9"/>
    <w:rsid w:val="009D4825"/>
    <w:rsid w:val="009D48C7"/>
    <w:rsid w:val="009D48DA"/>
    <w:rsid w:val="009D492B"/>
    <w:rsid w:val="009D49A6"/>
    <w:rsid w:val="009D4A0A"/>
    <w:rsid w:val="009D4A20"/>
    <w:rsid w:val="009D4A2C"/>
    <w:rsid w:val="009D4A79"/>
    <w:rsid w:val="009D4B38"/>
    <w:rsid w:val="009D4B42"/>
    <w:rsid w:val="009D4B58"/>
    <w:rsid w:val="009D4BDD"/>
    <w:rsid w:val="009D4C8E"/>
    <w:rsid w:val="009D4CFA"/>
    <w:rsid w:val="009D4D21"/>
    <w:rsid w:val="009D4D43"/>
    <w:rsid w:val="009D4D78"/>
    <w:rsid w:val="009D4D98"/>
    <w:rsid w:val="009D4DF6"/>
    <w:rsid w:val="009D4E5A"/>
    <w:rsid w:val="009D4EA5"/>
    <w:rsid w:val="009D4EFA"/>
    <w:rsid w:val="009D4FE5"/>
    <w:rsid w:val="009D5035"/>
    <w:rsid w:val="009D5036"/>
    <w:rsid w:val="009D50A9"/>
    <w:rsid w:val="009D50CF"/>
    <w:rsid w:val="009D50E3"/>
    <w:rsid w:val="009D50F0"/>
    <w:rsid w:val="009D5131"/>
    <w:rsid w:val="009D51DE"/>
    <w:rsid w:val="009D5266"/>
    <w:rsid w:val="009D5346"/>
    <w:rsid w:val="009D5353"/>
    <w:rsid w:val="009D537A"/>
    <w:rsid w:val="009D5427"/>
    <w:rsid w:val="009D547F"/>
    <w:rsid w:val="009D5617"/>
    <w:rsid w:val="009D56C4"/>
    <w:rsid w:val="009D56DE"/>
    <w:rsid w:val="009D573F"/>
    <w:rsid w:val="009D5741"/>
    <w:rsid w:val="009D57FE"/>
    <w:rsid w:val="009D587D"/>
    <w:rsid w:val="009D5909"/>
    <w:rsid w:val="009D59CF"/>
    <w:rsid w:val="009D5B32"/>
    <w:rsid w:val="009D5B5B"/>
    <w:rsid w:val="009D5B78"/>
    <w:rsid w:val="009D5B7E"/>
    <w:rsid w:val="009D5BE8"/>
    <w:rsid w:val="009D5C4A"/>
    <w:rsid w:val="009D5C71"/>
    <w:rsid w:val="009D5C9E"/>
    <w:rsid w:val="009D5CCF"/>
    <w:rsid w:val="009D5D4E"/>
    <w:rsid w:val="009D5D85"/>
    <w:rsid w:val="009D5DE1"/>
    <w:rsid w:val="009D5EB1"/>
    <w:rsid w:val="009D5EDA"/>
    <w:rsid w:val="009D5F4A"/>
    <w:rsid w:val="009D5F60"/>
    <w:rsid w:val="009D5F6D"/>
    <w:rsid w:val="009D5FA7"/>
    <w:rsid w:val="009D5FAE"/>
    <w:rsid w:val="009D5FCC"/>
    <w:rsid w:val="009D607B"/>
    <w:rsid w:val="009D60B0"/>
    <w:rsid w:val="009D6149"/>
    <w:rsid w:val="009D617D"/>
    <w:rsid w:val="009D6243"/>
    <w:rsid w:val="009D6324"/>
    <w:rsid w:val="009D6343"/>
    <w:rsid w:val="009D637B"/>
    <w:rsid w:val="009D63B8"/>
    <w:rsid w:val="009D640D"/>
    <w:rsid w:val="009D6493"/>
    <w:rsid w:val="009D64C8"/>
    <w:rsid w:val="009D64E1"/>
    <w:rsid w:val="009D6587"/>
    <w:rsid w:val="009D65D8"/>
    <w:rsid w:val="009D6644"/>
    <w:rsid w:val="009D66EE"/>
    <w:rsid w:val="009D671D"/>
    <w:rsid w:val="009D6725"/>
    <w:rsid w:val="009D6744"/>
    <w:rsid w:val="009D675E"/>
    <w:rsid w:val="009D679E"/>
    <w:rsid w:val="009D67C2"/>
    <w:rsid w:val="009D6861"/>
    <w:rsid w:val="009D68FF"/>
    <w:rsid w:val="009D6935"/>
    <w:rsid w:val="009D6B42"/>
    <w:rsid w:val="009D6B44"/>
    <w:rsid w:val="009D6B9D"/>
    <w:rsid w:val="009D6BA2"/>
    <w:rsid w:val="009D6C36"/>
    <w:rsid w:val="009D6C51"/>
    <w:rsid w:val="009D6C88"/>
    <w:rsid w:val="009D6C9D"/>
    <w:rsid w:val="009D6CC0"/>
    <w:rsid w:val="009D6DD4"/>
    <w:rsid w:val="009D6EDC"/>
    <w:rsid w:val="009D6F19"/>
    <w:rsid w:val="009D7014"/>
    <w:rsid w:val="009D7023"/>
    <w:rsid w:val="009D7090"/>
    <w:rsid w:val="009D709A"/>
    <w:rsid w:val="009D70B5"/>
    <w:rsid w:val="009D7160"/>
    <w:rsid w:val="009D71EE"/>
    <w:rsid w:val="009D72D3"/>
    <w:rsid w:val="009D72F1"/>
    <w:rsid w:val="009D7358"/>
    <w:rsid w:val="009D73C0"/>
    <w:rsid w:val="009D74AA"/>
    <w:rsid w:val="009D7560"/>
    <w:rsid w:val="009D75A5"/>
    <w:rsid w:val="009D764D"/>
    <w:rsid w:val="009D7659"/>
    <w:rsid w:val="009D76C4"/>
    <w:rsid w:val="009D76F2"/>
    <w:rsid w:val="009D77C1"/>
    <w:rsid w:val="009D78A4"/>
    <w:rsid w:val="009D7908"/>
    <w:rsid w:val="009D797D"/>
    <w:rsid w:val="009D7986"/>
    <w:rsid w:val="009D79D5"/>
    <w:rsid w:val="009D7A93"/>
    <w:rsid w:val="009D7ADE"/>
    <w:rsid w:val="009D7C09"/>
    <w:rsid w:val="009D7C51"/>
    <w:rsid w:val="009D7C8F"/>
    <w:rsid w:val="009D7C9E"/>
    <w:rsid w:val="009D7CA9"/>
    <w:rsid w:val="009D7E1C"/>
    <w:rsid w:val="009D7F00"/>
    <w:rsid w:val="009D7F31"/>
    <w:rsid w:val="009D7FB5"/>
    <w:rsid w:val="009D7FBD"/>
    <w:rsid w:val="009D7FC5"/>
    <w:rsid w:val="009D7FD1"/>
    <w:rsid w:val="009D7FD6"/>
    <w:rsid w:val="009E0000"/>
    <w:rsid w:val="009E0029"/>
    <w:rsid w:val="009E014E"/>
    <w:rsid w:val="009E0230"/>
    <w:rsid w:val="009E0276"/>
    <w:rsid w:val="009E034C"/>
    <w:rsid w:val="009E0388"/>
    <w:rsid w:val="009E03BA"/>
    <w:rsid w:val="009E045A"/>
    <w:rsid w:val="009E045E"/>
    <w:rsid w:val="009E0482"/>
    <w:rsid w:val="009E04D0"/>
    <w:rsid w:val="009E0536"/>
    <w:rsid w:val="009E0611"/>
    <w:rsid w:val="009E064D"/>
    <w:rsid w:val="009E0708"/>
    <w:rsid w:val="009E0755"/>
    <w:rsid w:val="009E07EA"/>
    <w:rsid w:val="009E0919"/>
    <w:rsid w:val="009E092D"/>
    <w:rsid w:val="009E0943"/>
    <w:rsid w:val="009E097E"/>
    <w:rsid w:val="009E0994"/>
    <w:rsid w:val="009E0A09"/>
    <w:rsid w:val="009E0A2B"/>
    <w:rsid w:val="009E0B1C"/>
    <w:rsid w:val="009E0C4F"/>
    <w:rsid w:val="009E0C79"/>
    <w:rsid w:val="009E0CA5"/>
    <w:rsid w:val="009E0D1E"/>
    <w:rsid w:val="009E0D57"/>
    <w:rsid w:val="009E0D9C"/>
    <w:rsid w:val="009E0DD6"/>
    <w:rsid w:val="009E0DE0"/>
    <w:rsid w:val="009E0F68"/>
    <w:rsid w:val="009E0FCE"/>
    <w:rsid w:val="009E1012"/>
    <w:rsid w:val="009E1022"/>
    <w:rsid w:val="009E109F"/>
    <w:rsid w:val="009E11AE"/>
    <w:rsid w:val="009E125F"/>
    <w:rsid w:val="009E12B6"/>
    <w:rsid w:val="009E12EA"/>
    <w:rsid w:val="009E12F8"/>
    <w:rsid w:val="009E1346"/>
    <w:rsid w:val="009E13AA"/>
    <w:rsid w:val="009E13C1"/>
    <w:rsid w:val="009E1437"/>
    <w:rsid w:val="009E1690"/>
    <w:rsid w:val="009E16F2"/>
    <w:rsid w:val="009E171B"/>
    <w:rsid w:val="009E1749"/>
    <w:rsid w:val="009E17E6"/>
    <w:rsid w:val="009E17F3"/>
    <w:rsid w:val="009E1816"/>
    <w:rsid w:val="009E18BB"/>
    <w:rsid w:val="009E18E6"/>
    <w:rsid w:val="009E196D"/>
    <w:rsid w:val="009E1990"/>
    <w:rsid w:val="009E1992"/>
    <w:rsid w:val="009E19E0"/>
    <w:rsid w:val="009E19FB"/>
    <w:rsid w:val="009E1A26"/>
    <w:rsid w:val="009E1B20"/>
    <w:rsid w:val="009E1B2E"/>
    <w:rsid w:val="009E1B48"/>
    <w:rsid w:val="009E1B87"/>
    <w:rsid w:val="009E1BFC"/>
    <w:rsid w:val="009E1BFE"/>
    <w:rsid w:val="009E1C4E"/>
    <w:rsid w:val="009E1C5A"/>
    <w:rsid w:val="009E1C5B"/>
    <w:rsid w:val="009E1C72"/>
    <w:rsid w:val="009E1D40"/>
    <w:rsid w:val="009E1DAD"/>
    <w:rsid w:val="009E1E1D"/>
    <w:rsid w:val="009E1EDE"/>
    <w:rsid w:val="009E1EE0"/>
    <w:rsid w:val="009E1EEA"/>
    <w:rsid w:val="009E1F30"/>
    <w:rsid w:val="009E1F60"/>
    <w:rsid w:val="009E1F63"/>
    <w:rsid w:val="009E1FBE"/>
    <w:rsid w:val="009E1FC4"/>
    <w:rsid w:val="009E1FEC"/>
    <w:rsid w:val="009E1FF9"/>
    <w:rsid w:val="009E1FFE"/>
    <w:rsid w:val="009E20F0"/>
    <w:rsid w:val="009E2122"/>
    <w:rsid w:val="009E2171"/>
    <w:rsid w:val="009E21E4"/>
    <w:rsid w:val="009E2262"/>
    <w:rsid w:val="009E2311"/>
    <w:rsid w:val="009E2312"/>
    <w:rsid w:val="009E2327"/>
    <w:rsid w:val="009E2338"/>
    <w:rsid w:val="009E23CE"/>
    <w:rsid w:val="009E248E"/>
    <w:rsid w:val="009E249A"/>
    <w:rsid w:val="009E24EF"/>
    <w:rsid w:val="009E2565"/>
    <w:rsid w:val="009E257D"/>
    <w:rsid w:val="009E2683"/>
    <w:rsid w:val="009E26A6"/>
    <w:rsid w:val="009E26CB"/>
    <w:rsid w:val="009E2742"/>
    <w:rsid w:val="009E2830"/>
    <w:rsid w:val="009E283A"/>
    <w:rsid w:val="009E2876"/>
    <w:rsid w:val="009E28F9"/>
    <w:rsid w:val="009E28FC"/>
    <w:rsid w:val="009E2992"/>
    <w:rsid w:val="009E299C"/>
    <w:rsid w:val="009E29E2"/>
    <w:rsid w:val="009E2A2E"/>
    <w:rsid w:val="009E2A3C"/>
    <w:rsid w:val="009E2A43"/>
    <w:rsid w:val="009E2A78"/>
    <w:rsid w:val="009E2A7A"/>
    <w:rsid w:val="009E2B57"/>
    <w:rsid w:val="009E2B7A"/>
    <w:rsid w:val="009E2BD3"/>
    <w:rsid w:val="009E2CC9"/>
    <w:rsid w:val="009E2D0B"/>
    <w:rsid w:val="009E2D47"/>
    <w:rsid w:val="009E2D89"/>
    <w:rsid w:val="009E2DB3"/>
    <w:rsid w:val="009E2E13"/>
    <w:rsid w:val="009E2EAB"/>
    <w:rsid w:val="009E2F06"/>
    <w:rsid w:val="009E2F37"/>
    <w:rsid w:val="009E2F6F"/>
    <w:rsid w:val="009E3018"/>
    <w:rsid w:val="009E3064"/>
    <w:rsid w:val="009E3071"/>
    <w:rsid w:val="009E30F7"/>
    <w:rsid w:val="009E32B9"/>
    <w:rsid w:val="009E32E0"/>
    <w:rsid w:val="009E336C"/>
    <w:rsid w:val="009E3380"/>
    <w:rsid w:val="009E33F4"/>
    <w:rsid w:val="009E3422"/>
    <w:rsid w:val="009E3425"/>
    <w:rsid w:val="009E344E"/>
    <w:rsid w:val="009E3471"/>
    <w:rsid w:val="009E34BC"/>
    <w:rsid w:val="009E3509"/>
    <w:rsid w:val="009E3568"/>
    <w:rsid w:val="009E3577"/>
    <w:rsid w:val="009E35A2"/>
    <w:rsid w:val="009E35AA"/>
    <w:rsid w:val="009E364D"/>
    <w:rsid w:val="009E3672"/>
    <w:rsid w:val="009E367D"/>
    <w:rsid w:val="009E36A4"/>
    <w:rsid w:val="009E36BD"/>
    <w:rsid w:val="009E372D"/>
    <w:rsid w:val="009E377D"/>
    <w:rsid w:val="009E377E"/>
    <w:rsid w:val="009E37A4"/>
    <w:rsid w:val="009E37C0"/>
    <w:rsid w:val="009E3831"/>
    <w:rsid w:val="009E388A"/>
    <w:rsid w:val="009E38F3"/>
    <w:rsid w:val="009E3939"/>
    <w:rsid w:val="009E3985"/>
    <w:rsid w:val="009E3998"/>
    <w:rsid w:val="009E3AD3"/>
    <w:rsid w:val="009E3B5D"/>
    <w:rsid w:val="009E3B5F"/>
    <w:rsid w:val="009E3BE4"/>
    <w:rsid w:val="009E3CCA"/>
    <w:rsid w:val="009E3CD7"/>
    <w:rsid w:val="009E3D0D"/>
    <w:rsid w:val="009E3D50"/>
    <w:rsid w:val="009E3D74"/>
    <w:rsid w:val="009E3D95"/>
    <w:rsid w:val="009E3DC8"/>
    <w:rsid w:val="009E3E73"/>
    <w:rsid w:val="009E3F56"/>
    <w:rsid w:val="009E3F69"/>
    <w:rsid w:val="009E4069"/>
    <w:rsid w:val="009E40A2"/>
    <w:rsid w:val="009E40BE"/>
    <w:rsid w:val="009E40CA"/>
    <w:rsid w:val="009E41C6"/>
    <w:rsid w:val="009E41C7"/>
    <w:rsid w:val="009E41FE"/>
    <w:rsid w:val="009E420F"/>
    <w:rsid w:val="009E4225"/>
    <w:rsid w:val="009E4246"/>
    <w:rsid w:val="009E42CE"/>
    <w:rsid w:val="009E43D8"/>
    <w:rsid w:val="009E4405"/>
    <w:rsid w:val="009E441A"/>
    <w:rsid w:val="009E4571"/>
    <w:rsid w:val="009E45C3"/>
    <w:rsid w:val="009E461C"/>
    <w:rsid w:val="009E463D"/>
    <w:rsid w:val="009E4658"/>
    <w:rsid w:val="009E469C"/>
    <w:rsid w:val="009E46B1"/>
    <w:rsid w:val="009E4712"/>
    <w:rsid w:val="009E4730"/>
    <w:rsid w:val="009E4890"/>
    <w:rsid w:val="009E4994"/>
    <w:rsid w:val="009E49EF"/>
    <w:rsid w:val="009E49F7"/>
    <w:rsid w:val="009E4A0A"/>
    <w:rsid w:val="009E4A76"/>
    <w:rsid w:val="009E4AA5"/>
    <w:rsid w:val="009E4AB0"/>
    <w:rsid w:val="009E4AB7"/>
    <w:rsid w:val="009E4B21"/>
    <w:rsid w:val="009E4CDF"/>
    <w:rsid w:val="009E4D05"/>
    <w:rsid w:val="009E4D27"/>
    <w:rsid w:val="009E4E1A"/>
    <w:rsid w:val="009E4E63"/>
    <w:rsid w:val="009E4E81"/>
    <w:rsid w:val="009E4EAD"/>
    <w:rsid w:val="009E4F22"/>
    <w:rsid w:val="009E4F8F"/>
    <w:rsid w:val="009E5041"/>
    <w:rsid w:val="009E514B"/>
    <w:rsid w:val="009E51A4"/>
    <w:rsid w:val="009E51F5"/>
    <w:rsid w:val="009E5202"/>
    <w:rsid w:val="009E5271"/>
    <w:rsid w:val="009E52B0"/>
    <w:rsid w:val="009E532F"/>
    <w:rsid w:val="009E5386"/>
    <w:rsid w:val="009E53A6"/>
    <w:rsid w:val="009E53EC"/>
    <w:rsid w:val="009E53FF"/>
    <w:rsid w:val="009E5428"/>
    <w:rsid w:val="009E5437"/>
    <w:rsid w:val="009E5485"/>
    <w:rsid w:val="009E5525"/>
    <w:rsid w:val="009E5561"/>
    <w:rsid w:val="009E559E"/>
    <w:rsid w:val="009E55A6"/>
    <w:rsid w:val="009E55CE"/>
    <w:rsid w:val="009E5614"/>
    <w:rsid w:val="009E5618"/>
    <w:rsid w:val="009E5729"/>
    <w:rsid w:val="009E574D"/>
    <w:rsid w:val="009E5785"/>
    <w:rsid w:val="009E57A9"/>
    <w:rsid w:val="009E57CA"/>
    <w:rsid w:val="009E57F7"/>
    <w:rsid w:val="009E5804"/>
    <w:rsid w:val="009E5816"/>
    <w:rsid w:val="009E58F4"/>
    <w:rsid w:val="009E593D"/>
    <w:rsid w:val="009E5983"/>
    <w:rsid w:val="009E5997"/>
    <w:rsid w:val="009E59CC"/>
    <w:rsid w:val="009E5BEB"/>
    <w:rsid w:val="009E5C44"/>
    <w:rsid w:val="009E5CA9"/>
    <w:rsid w:val="009E5CF0"/>
    <w:rsid w:val="009E5CF6"/>
    <w:rsid w:val="009E5D0C"/>
    <w:rsid w:val="009E5D0E"/>
    <w:rsid w:val="009E5D3D"/>
    <w:rsid w:val="009E5DC1"/>
    <w:rsid w:val="009E5DCA"/>
    <w:rsid w:val="009E5DD2"/>
    <w:rsid w:val="009E5DFB"/>
    <w:rsid w:val="009E5E37"/>
    <w:rsid w:val="009E5E52"/>
    <w:rsid w:val="009E5ED7"/>
    <w:rsid w:val="009E5F4E"/>
    <w:rsid w:val="009E6083"/>
    <w:rsid w:val="009E619B"/>
    <w:rsid w:val="009E61E2"/>
    <w:rsid w:val="009E6232"/>
    <w:rsid w:val="009E62A6"/>
    <w:rsid w:val="009E62C7"/>
    <w:rsid w:val="009E62D0"/>
    <w:rsid w:val="009E62D9"/>
    <w:rsid w:val="009E632D"/>
    <w:rsid w:val="009E6330"/>
    <w:rsid w:val="009E6335"/>
    <w:rsid w:val="009E6462"/>
    <w:rsid w:val="009E65A9"/>
    <w:rsid w:val="009E65C4"/>
    <w:rsid w:val="009E66C7"/>
    <w:rsid w:val="009E67DD"/>
    <w:rsid w:val="009E67F7"/>
    <w:rsid w:val="009E6865"/>
    <w:rsid w:val="009E689C"/>
    <w:rsid w:val="009E68E3"/>
    <w:rsid w:val="009E6910"/>
    <w:rsid w:val="009E6976"/>
    <w:rsid w:val="009E69DC"/>
    <w:rsid w:val="009E6B4F"/>
    <w:rsid w:val="009E6B52"/>
    <w:rsid w:val="009E6BD7"/>
    <w:rsid w:val="009E6C2C"/>
    <w:rsid w:val="009E6C77"/>
    <w:rsid w:val="009E6CBE"/>
    <w:rsid w:val="009E6D13"/>
    <w:rsid w:val="009E6D90"/>
    <w:rsid w:val="009E6DD5"/>
    <w:rsid w:val="009E6E5E"/>
    <w:rsid w:val="009E6E6B"/>
    <w:rsid w:val="009E6E92"/>
    <w:rsid w:val="009E6EAB"/>
    <w:rsid w:val="009E6EAC"/>
    <w:rsid w:val="009E6F26"/>
    <w:rsid w:val="009E6FC0"/>
    <w:rsid w:val="009E7005"/>
    <w:rsid w:val="009E70BA"/>
    <w:rsid w:val="009E70DB"/>
    <w:rsid w:val="009E711A"/>
    <w:rsid w:val="009E715C"/>
    <w:rsid w:val="009E715F"/>
    <w:rsid w:val="009E71EA"/>
    <w:rsid w:val="009E7208"/>
    <w:rsid w:val="009E7284"/>
    <w:rsid w:val="009E72A0"/>
    <w:rsid w:val="009E7303"/>
    <w:rsid w:val="009E73DE"/>
    <w:rsid w:val="009E7416"/>
    <w:rsid w:val="009E744C"/>
    <w:rsid w:val="009E74A7"/>
    <w:rsid w:val="009E74D4"/>
    <w:rsid w:val="009E74E1"/>
    <w:rsid w:val="009E750D"/>
    <w:rsid w:val="009E7589"/>
    <w:rsid w:val="009E7592"/>
    <w:rsid w:val="009E762B"/>
    <w:rsid w:val="009E76C0"/>
    <w:rsid w:val="009E7720"/>
    <w:rsid w:val="009E7829"/>
    <w:rsid w:val="009E7943"/>
    <w:rsid w:val="009E795A"/>
    <w:rsid w:val="009E79C9"/>
    <w:rsid w:val="009E79D5"/>
    <w:rsid w:val="009E79FC"/>
    <w:rsid w:val="009E7A0A"/>
    <w:rsid w:val="009E7A4C"/>
    <w:rsid w:val="009E7B31"/>
    <w:rsid w:val="009E7B55"/>
    <w:rsid w:val="009E7BC8"/>
    <w:rsid w:val="009E7C4B"/>
    <w:rsid w:val="009E7C77"/>
    <w:rsid w:val="009E7CC8"/>
    <w:rsid w:val="009E7CFF"/>
    <w:rsid w:val="009E7D22"/>
    <w:rsid w:val="009E7D8B"/>
    <w:rsid w:val="009E7DE9"/>
    <w:rsid w:val="009E7FB8"/>
    <w:rsid w:val="009E7FE0"/>
    <w:rsid w:val="009F0037"/>
    <w:rsid w:val="009F0125"/>
    <w:rsid w:val="009F0140"/>
    <w:rsid w:val="009F015B"/>
    <w:rsid w:val="009F017A"/>
    <w:rsid w:val="009F019F"/>
    <w:rsid w:val="009F02BC"/>
    <w:rsid w:val="009F0314"/>
    <w:rsid w:val="009F0368"/>
    <w:rsid w:val="009F038B"/>
    <w:rsid w:val="009F0405"/>
    <w:rsid w:val="009F0433"/>
    <w:rsid w:val="009F047E"/>
    <w:rsid w:val="009F04B6"/>
    <w:rsid w:val="009F04E6"/>
    <w:rsid w:val="009F04F7"/>
    <w:rsid w:val="009F05EE"/>
    <w:rsid w:val="009F06B1"/>
    <w:rsid w:val="009F0722"/>
    <w:rsid w:val="009F074B"/>
    <w:rsid w:val="009F0754"/>
    <w:rsid w:val="009F0829"/>
    <w:rsid w:val="009F084F"/>
    <w:rsid w:val="009F0852"/>
    <w:rsid w:val="009F089D"/>
    <w:rsid w:val="009F08A3"/>
    <w:rsid w:val="009F08F1"/>
    <w:rsid w:val="009F093D"/>
    <w:rsid w:val="009F0985"/>
    <w:rsid w:val="009F09B0"/>
    <w:rsid w:val="009F0A5E"/>
    <w:rsid w:val="009F0AE6"/>
    <w:rsid w:val="009F0C1F"/>
    <w:rsid w:val="009F0CFF"/>
    <w:rsid w:val="009F0D50"/>
    <w:rsid w:val="009F0E94"/>
    <w:rsid w:val="009F0EE9"/>
    <w:rsid w:val="009F0FD2"/>
    <w:rsid w:val="009F0FD3"/>
    <w:rsid w:val="009F10B1"/>
    <w:rsid w:val="009F1209"/>
    <w:rsid w:val="009F1229"/>
    <w:rsid w:val="009F123C"/>
    <w:rsid w:val="009F123F"/>
    <w:rsid w:val="009F1247"/>
    <w:rsid w:val="009F130C"/>
    <w:rsid w:val="009F131D"/>
    <w:rsid w:val="009F1358"/>
    <w:rsid w:val="009F136B"/>
    <w:rsid w:val="009F1430"/>
    <w:rsid w:val="009F144D"/>
    <w:rsid w:val="009F1471"/>
    <w:rsid w:val="009F1479"/>
    <w:rsid w:val="009F14AB"/>
    <w:rsid w:val="009F156B"/>
    <w:rsid w:val="009F15B1"/>
    <w:rsid w:val="009F15B7"/>
    <w:rsid w:val="009F15EB"/>
    <w:rsid w:val="009F1639"/>
    <w:rsid w:val="009F1641"/>
    <w:rsid w:val="009F168B"/>
    <w:rsid w:val="009F1760"/>
    <w:rsid w:val="009F17FE"/>
    <w:rsid w:val="009F18E9"/>
    <w:rsid w:val="009F19F3"/>
    <w:rsid w:val="009F1A95"/>
    <w:rsid w:val="009F1AD4"/>
    <w:rsid w:val="009F1AEC"/>
    <w:rsid w:val="009F1B07"/>
    <w:rsid w:val="009F1BF1"/>
    <w:rsid w:val="009F1C16"/>
    <w:rsid w:val="009F1C27"/>
    <w:rsid w:val="009F1C2A"/>
    <w:rsid w:val="009F1C36"/>
    <w:rsid w:val="009F1C80"/>
    <w:rsid w:val="009F1CEC"/>
    <w:rsid w:val="009F1D64"/>
    <w:rsid w:val="009F1D89"/>
    <w:rsid w:val="009F1E4A"/>
    <w:rsid w:val="009F1ED3"/>
    <w:rsid w:val="009F1EDC"/>
    <w:rsid w:val="009F1EE2"/>
    <w:rsid w:val="009F1F37"/>
    <w:rsid w:val="009F2050"/>
    <w:rsid w:val="009F2104"/>
    <w:rsid w:val="009F216A"/>
    <w:rsid w:val="009F221A"/>
    <w:rsid w:val="009F2248"/>
    <w:rsid w:val="009F233E"/>
    <w:rsid w:val="009F236F"/>
    <w:rsid w:val="009F239C"/>
    <w:rsid w:val="009F23B3"/>
    <w:rsid w:val="009F24EF"/>
    <w:rsid w:val="009F256E"/>
    <w:rsid w:val="009F2576"/>
    <w:rsid w:val="009F25A4"/>
    <w:rsid w:val="009F25B1"/>
    <w:rsid w:val="009F25CF"/>
    <w:rsid w:val="009F26D6"/>
    <w:rsid w:val="009F26F1"/>
    <w:rsid w:val="009F270E"/>
    <w:rsid w:val="009F2726"/>
    <w:rsid w:val="009F274C"/>
    <w:rsid w:val="009F275B"/>
    <w:rsid w:val="009F27E1"/>
    <w:rsid w:val="009F285A"/>
    <w:rsid w:val="009F292B"/>
    <w:rsid w:val="009F2967"/>
    <w:rsid w:val="009F29D7"/>
    <w:rsid w:val="009F29E5"/>
    <w:rsid w:val="009F29FE"/>
    <w:rsid w:val="009F2B1A"/>
    <w:rsid w:val="009F2BA9"/>
    <w:rsid w:val="009F2C13"/>
    <w:rsid w:val="009F2C96"/>
    <w:rsid w:val="009F2C9C"/>
    <w:rsid w:val="009F2CCF"/>
    <w:rsid w:val="009F2D99"/>
    <w:rsid w:val="009F2F1D"/>
    <w:rsid w:val="009F2F23"/>
    <w:rsid w:val="009F2F71"/>
    <w:rsid w:val="009F2F88"/>
    <w:rsid w:val="009F3008"/>
    <w:rsid w:val="009F300A"/>
    <w:rsid w:val="009F302A"/>
    <w:rsid w:val="009F303E"/>
    <w:rsid w:val="009F30C7"/>
    <w:rsid w:val="009F30D4"/>
    <w:rsid w:val="009F3134"/>
    <w:rsid w:val="009F3170"/>
    <w:rsid w:val="009F3193"/>
    <w:rsid w:val="009F31A7"/>
    <w:rsid w:val="009F3204"/>
    <w:rsid w:val="009F3205"/>
    <w:rsid w:val="009F3223"/>
    <w:rsid w:val="009F32CC"/>
    <w:rsid w:val="009F32F2"/>
    <w:rsid w:val="009F3303"/>
    <w:rsid w:val="009F330E"/>
    <w:rsid w:val="009F33FE"/>
    <w:rsid w:val="009F3484"/>
    <w:rsid w:val="009F3523"/>
    <w:rsid w:val="009F35A7"/>
    <w:rsid w:val="009F369B"/>
    <w:rsid w:val="009F3749"/>
    <w:rsid w:val="009F376A"/>
    <w:rsid w:val="009F377D"/>
    <w:rsid w:val="009F3792"/>
    <w:rsid w:val="009F3794"/>
    <w:rsid w:val="009F37B3"/>
    <w:rsid w:val="009F37F9"/>
    <w:rsid w:val="009F381E"/>
    <w:rsid w:val="009F3879"/>
    <w:rsid w:val="009F3909"/>
    <w:rsid w:val="009F3949"/>
    <w:rsid w:val="009F3A1E"/>
    <w:rsid w:val="009F3A9E"/>
    <w:rsid w:val="009F3AAE"/>
    <w:rsid w:val="009F3AB6"/>
    <w:rsid w:val="009F3BF8"/>
    <w:rsid w:val="009F3C17"/>
    <w:rsid w:val="009F3C5A"/>
    <w:rsid w:val="009F3D16"/>
    <w:rsid w:val="009F3D5F"/>
    <w:rsid w:val="009F3D8B"/>
    <w:rsid w:val="009F3E5B"/>
    <w:rsid w:val="009F3E75"/>
    <w:rsid w:val="009F3F2F"/>
    <w:rsid w:val="009F3F30"/>
    <w:rsid w:val="009F3FCB"/>
    <w:rsid w:val="009F41D7"/>
    <w:rsid w:val="009F4209"/>
    <w:rsid w:val="009F4294"/>
    <w:rsid w:val="009F42D0"/>
    <w:rsid w:val="009F4344"/>
    <w:rsid w:val="009F436A"/>
    <w:rsid w:val="009F4495"/>
    <w:rsid w:val="009F44A3"/>
    <w:rsid w:val="009F4543"/>
    <w:rsid w:val="009F45C6"/>
    <w:rsid w:val="009F46B7"/>
    <w:rsid w:val="009F46FC"/>
    <w:rsid w:val="009F472B"/>
    <w:rsid w:val="009F473E"/>
    <w:rsid w:val="009F4760"/>
    <w:rsid w:val="009F4762"/>
    <w:rsid w:val="009F478D"/>
    <w:rsid w:val="009F47B2"/>
    <w:rsid w:val="009F47C6"/>
    <w:rsid w:val="009F4897"/>
    <w:rsid w:val="009F49F8"/>
    <w:rsid w:val="009F4A86"/>
    <w:rsid w:val="009F4ADC"/>
    <w:rsid w:val="009F4ADD"/>
    <w:rsid w:val="009F4AE2"/>
    <w:rsid w:val="009F4AE4"/>
    <w:rsid w:val="009F4B91"/>
    <w:rsid w:val="009F4C64"/>
    <w:rsid w:val="009F4CAD"/>
    <w:rsid w:val="009F4CD6"/>
    <w:rsid w:val="009F4D24"/>
    <w:rsid w:val="009F4D85"/>
    <w:rsid w:val="009F4E2B"/>
    <w:rsid w:val="009F4EDC"/>
    <w:rsid w:val="009F4F27"/>
    <w:rsid w:val="009F4F82"/>
    <w:rsid w:val="009F4F87"/>
    <w:rsid w:val="009F4FC3"/>
    <w:rsid w:val="009F50D6"/>
    <w:rsid w:val="009F5168"/>
    <w:rsid w:val="009F5174"/>
    <w:rsid w:val="009F51E6"/>
    <w:rsid w:val="009F5201"/>
    <w:rsid w:val="009F5209"/>
    <w:rsid w:val="009F5237"/>
    <w:rsid w:val="009F5275"/>
    <w:rsid w:val="009F52ED"/>
    <w:rsid w:val="009F5432"/>
    <w:rsid w:val="009F544D"/>
    <w:rsid w:val="009F5477"/>
    <w:rsid w:val="009F5501"/>
    <w:rsid w:val="009F5525"/>
    <w:rsid w:val="009F5598"/>
    <w:rsid w:val="009F563E"/>
    <w:rsid w:val="009F56A9"/>
    <w:rsid w:val="009F56B5"/>
    <w:rsid w:val="009F56B8"/>
    <w:rsid w:val="009F56F1"/>
    <w:rsid w:val="009F57C2"/>
    <w:rsid w:val="009F580E"/>
    <w:rsid w:val="009F595F"/>
    <w:rsid w:val="009F5A2C"/>
    <w:rsid w:val="009F5AC4"/>
    <w:rsid w:val="009F5B19"/>
    <w:rsid w:val="009F5B4E"/>
    <w:rsid w:val="009F5BC2"/>
    <w:rsid w:val="009F5BDC"/>
    <w:rsid w:val="009F5C08"/>
    <w:rsid w:val="009F5C27"/>
    <w:rsid w:val="009F5C2B"/>
    <w:rsid w:val="009F5D49"/>
    <w:rsid w:val="009F5D52"/>
    <w:rsid w:val="009F5E15"/>
    <w:rsid w:val="009F5E3B"/>
    <w:rsid w:val="009F5EFE"/>
    <w:rsid w:val="009F5F4B"/>
    <w:rsid w:val="009F5F52"/>
    <w:rsid w:val="009F5FF8"/>
    <w:rsid w:val="009F5FFE"/>
    <w:rsid w:val="009F6084"/>
    <w:rsid w:val="009F60CB"/>
    <w:rsid w:val="009F60F3"/>
    <w:rsid w:val="009F612B"/>
    <w:rsid w:val="009F61AE"/>
    <w:rsid w:val="009F6208"/>
    <w:rsid w:val="009F6211"/>
    <w:rsid w:val="009F627F"/>
    <w:rsid w:val="009F6359"/>
    <w:rsid w:val="009F6395"/>
    <w:rsid w:val="009F63D5"/>
    <w:rsid w:val="009F648D"/>
    <w:rsid w:val="009F64A4"/>
    <w:rsid w:val="009F64D6"/>
    <w:rsid w:val="009F6575"/>
    <w:rsid w:val="009F65A1"/>
    <w:rsid w:val="009F65E3"/>
    <w:rsid w:val="009F6662"/>
    <w:rsid w:val="009F6762"/>
    <w:rsid w:val="009F6783"/>
    <w:rsid w:val="009F67CF"/>
    <w:rsid w:val="009F6863"/>
    <w:rsid w:val="009F6889"/>
    <w:rsid w:val="009F68AF"/>
    <w:rsid w:val="009F68BB"/>
    <w:rsid w:val="009F6991"/>
    <w:rsid w:val="009F6A14"/>
    <w:rsid w:val="009F6B2C"/>
    <w:rsid w:val="009F6B74"/>
    <w:rsid w:val="009F6BBC"/>
    <w:rsid w:val="009F6D01"/>
    <w:rsid w:val="009F6DDB"/>
    <w:rsid w:val="009F6E0D"/>
    <w:rsid w:val="009F6E6C"/>
    <w:rsid w:val="009F6E98"/>
    <w:rsid w:val="009F6EF2"/>
    <w:rsid w:val="009F6FD9"/>
    <w:rsid w:val="009F6FF8"/>
    <w:rsid w:val="009F7074"/>
    <w:rsid w:val="009F7094"/>
    <w:rsid w:val="009F70D9"/>
    <w:rsid w:val="009F7117"/>
    <w:rsid w:val="009F7232"/>
    <w:rsid w:val="009F727A"/>
    <w:rsid w:val="009F7295"/>
    <w:rsid w:val="009F72C4"/>
    <w:rsid w:val="009F7375"/>
    <w:rsid w:val="009F7394"/>
    <w:rsid w:val="009F739D"/>
    <w:rsid w:val="009F7436"/>
    <w:rsid w:val="009F7585"/>
    <w:rsid w:val="009F75B9"/>
    <w:rsid w:val="009F75C9"/>
    <w:rsid w:val="009F7632"/>
    <w:rsid w:val="009F7732"/>
    <w:rsid w:val="009F774E"/>
    <w:rsid w:val="009F775B"/>
    <w:rsid w:val="009F7788"/>
    <w:rsid w:val="009F77CA"/>
    <w:rsid w:val="009F78DD"/>
    <w:rsid w:val="009F7972"/>
    <w:rsid w:val="009F79CC"/>
    <w:rsid w:val="009F79E9"/>
    <w:rsid w:val="009F7A8F"/>
    <w:rsid w:val="009F7A92"/>
    <w:rsid w:val="009F7AD9"/>
    <w:rsid w:val="009F7ADF"/>
    <w:rsid w:val="009F7B22"/>
    <w:rsid w:val="009F7B7B"/>
    <w:rsid w:val="009F7BBB"/>
    <w:rsid w:val="009F7BEA"/>
    <w:rsid w:val="009F7C40"/>
    <w:rsid w:val="009F7C98"/>
    <w:rsid w:val="009F7D03"/>
    <w:rsid w:val="009F7D31"/>
    <w:rsid w:val="009F7D43"/>
    <w:rsid w:val="009F7D8A"/>
    <w:rsid w:val="009F7DA0"/>
    <w:rsid w:val="009F7DAC"/>
    <w:rsid w:val="009F7E68"/>
    <w:rsid w:val="009F7E81"/>
    <w:rsid w:val="009F7E83"/>
    <w:rsid w:val="009F7E95"/>
    <w:rsid w:val="009F7EAC"/>
    <w:rsid w:val="009F7F18"/>
    <w:rsid w:val="009F7FA4"/>
    <w:rsid w:val="009F7FEE"/>
    <w:rsid w:val="00A00004"/>
    <w:rsid w:val="00A00021"/>
    <w:rsid w:val="00A000D8"/>
    <w:rsid w:val="00A00150"/>
    <w:rsid w:val="00A001AB"/>
    <w:rsid w:val="00A002A2"/>
    <w:rsid w:val="00A002C4"/>
    <w:rsid w:val="00A002C5"/>
    <w:rsid w:val="00A0042D"/>
    <w:rsid w:val="00A00471"/>
    <w:rsid w:val="00A0050F"/>
    <w:rsid w:val="00A0055C"/>
    <w:rsid w:val="00A005A4"/>
    <w:rsid w:val="00A005A5"/>
    <w:rsid w:val="00A00629"/>
    <w:rsid w:val="00A006ED"/>
    <w:rsid w:val="00A0072A"/>
    <w:rsid w:val="00A00778"/>
    <w:rsid w:val="00A007FF"/>
    <w:rsid w:val="00A0080E"/>
    <w:rsid w:val="00A0091C"/>
    <w:rsid w:val="00A00949"/>
    <w:rsid w:val="00A0094E"/>
    <w:rsid w:val="00A00955"/>
    <w:rsid w:val="00A009A7"/>
    <w:rsid w:val="00A00A4D"/>
    <w:rsid w:val="00A00A52"/>
    <w:rsid w:val="00A00A64"/>
    <w:rsid w:val="00A00AF3"/>
    <w:rsid w:val="00A00B62"/>
    <w:rsid w:val="00A00B76"/>
    <w:rsid w:val="00A00B78"/>
    <w:rsid w:val="00A00BD4"/>
    <w:rsid w:val="00A00BFE"/>
    <w:rsid w:val="00A00C15"/>
    <w:rsid w:val="00A00C5E"/>
    <w:rsid w:val="00A00C8E"/>
    <w:rsid w:val="00A00CD9"/>
    <w:rsid w:val="00A00D08"/>
    <w:rsid w:val="00A00D0B"/>
    <w:rsid w:val="00A00D12"/>
    <w:rsid w:val="00A00D9A"/>
    <w:rsid w:val="00A00DFE"/>
    <w:rsid w:val="00A00E0A"/>
    <w:rsid w:val="00A00E49"/>
    <w:rsid w:val="00A00E68"/>
    <w:rsid w:val="00A00EB5"/>
    <w:rsid w:val="00A00F54"/>
    <w:rsid w:val="00A00FC4"/>
    <w:rsid w:val="00A00FCF"/>
    <w:rsid w:val="00A00FDC"/>
    <w:rsid w:val="00A01061"/>
    <w:rsid w:val="00A010A5"/>
    <w:rsid w:val="00A010D8"/>
    <w:rsid w:val="00A011A2"/>
    <w:rsid w:val="00A01305"/>
    <w:rsid w:val="00A0134C"/>
    <w:rsid w:val="00A01381"/>
    <w:rsid w:val="00A013CA"/>
    <w:rsid w:val="00A013CE"/>
    <w:rsid w:val="00A01409"/>
    <w:rsid w:val="00A0141A"/>
    <w:rsid w:val="00A01487"/>
    <w:rsid w:val="00A0149C"/>
    <w:rsid w:val="00A01589"/>
    <w:rsid w:val="00A015B7"/>
    <w:rsid w:val="00A015E8"/>
    <w:rsid w:val="00A01608"/>
    <w:rsid w:val="00A01690"/>
    <w:rsid w:val="00A01732"/>
    <w:rsid w:val="00A01739"/>
    <w:rsid w:val="00A01764"/>
    <w:rsid w:val="00A017C9"/>
    <w:rsid w:val="00A018A6"/>
    <w:rsid w:val="00A0190D"/>
    <w:rsid w:val="00A0194A"/>
    <w:rsid w:val="00A0198F"/>
    <w:rsid w:val="00A019E2"/>
    <w:rsid w:val="00A019FE"/>
    <w:rsid w:val="00A01A6B"/>
    <w:rsid w:val="00A01AE8"/>
    <w:rsid w:val="00A01B6C"/>
    <w:rsid w:val="00A01C23"/>
    <w:rsid w:val="00A01CA6"/>
    <w:rsid w:val="00A01D63"/>
    <w:rsid w:val="00A01D75"/>
    <w:rsid w:val="00A01D77"/>
    <w:rsid w:val="00A01D80"/>
    <w:rsid w:val="00A01DEF"/>
    <w:rsid w:val="00A01E3C"/>
    <w:rsid w:val="00A01E77"/>
    <w:rsid w:val="00A01ED3"/>
    <w:rsid w:val="00A01F1D"/>
    <w:rsid w:val="00A01F3D"/>
    <w:rsid w:val="00A01F59"/>
    <w:rsid w:val="00A01F63"/>
    <w:rsid w:val="00A01FC8"/>
    <w:rsid w:val="00A01FC9"/>
    <w:rsid w:val="00A01FEB"/>
    <w:rsid w:val="00A020A1"/>
    <w:rsid w:val="00A020B3"/>
    <w:rsid w:val="00A020D4"/>
    <w:rsid w:val="00A02162"/>
    <w:rsid w:val="00A021CF"/>
    <w:rsid w:val="00A02215"/>
    <w:rsid w:val="00A02300"/>
    <w:rsid w:val="00A02366"/>
    <w:rsid w:val="00A02378"/>
    <w:rsid w:val="00A023A3"/>
    <w:rsid w:val="00A023BF"/>
    <w:rsid w:val="00A023D3"/>
    <w:rsid w:val="00A02437"/>
    <w:rsid w:val="00A02440"/>
    <w:rsid w:val="00A02469"/>
    <w:rsid w:val="00A02554"/>
    <w:rsid w:val="00A02633"/>
    <w:rsid w:val="00A02686"/>
    <w:rsid w:val="00A026B0"/>
    <w:rsid w:val="00A026BC"/>
    <w:rsid w:val="00A026E0"/>
    <w:rsid w:val="00A02733"/>
    <w:rsid w:val="00A02742"/>
    <w:rsid w:val="00A02759"/>
    <w:rsid w:val="00A02811"/>
    <w:rsid w:val="00A02821"/>
    <w:rsid w:val="00A02825"/>
    <w:rsid w:val="00A02831"/>
    <w:rsid w:val="00A02880"/>
    <w:rsid w:val="00A0293E"/>
    <w:rsid w:val="00A0295E"/>
    <w:rsid w:val="00A02986"/>
    <w:rsid w:val="00A02A92"/>
    <w:rsid w:val="00A02A93"/>
    <w:rsid w:val="00A02AD9"/>
    <w:rsid w:val="00A02B63"/>
    <w:rsid w:val="00A02C36"/>
    <w:rsid w:val="00A02C59"/>
    <w:rsid w:val="00A02C7D"/>
    <w:rsid w:val="00A02CAB"/>
    <w:rsid w:val="00A02CBA"/>
    <w:rsid w:val="00A02CC1"/>
    <w:rsid w:val="00A02CD7"/>
    <w:rsid w:val="00A02CDA"/>
    <w:rsid w:val="00A02E03"/>
    <w:rsid w:val="00A02F02"/>
    <w:rsid w:val="00A02FCA"/>
    <w:rsid w:val="00A03073"/>
    <w:rsid w:val="00A0308C"/>
    <w:rsid w:val="00A03114"/>
    <w:rsid w:val="00A032A8"/>
    <w:rsid w:val="00A033C4"/>
    <w:rsid w:val="00A03433"/>
    <w:rsid w:val="00A0348F"/>
    <w:rsid w:val="00A034FB"/>
    <w:rsid w:val="00A0354A"/>
    <w:rsid w:val="00A0354F"/>
    <w:rsid w:val="00A035FB"/>
    <w:rsid w:val="00A03621"/>
    <w:rsid w:val="00A0364F"/>
    <w:rsid w:val="00A0365D"/>
    <w:rsid w:val="00A03684"/>
    <w:rsid w:val="00A036B9"/>
    <w:rsid w:val="00A036EB"/>
    <w:rsid w:val="00A03702"/>
    <w:rsid w:val="00A03705"/>
    <w:rsid w:val="00A037B5"/>
    <w:rsid w:val="00A037C2"/>
    <w:rsid w:val="00A03848"/>
    <w:rsid w:val="00A03857"/>
    <w:rsid w:val="00A038C0"/>
    <w:rsid w:val="00A038EE"/>
    <w:rsid w:val="00A03912"/>
    <w:rsid w:val="00A0392F"/>
    <w:rsid w:val="00A0396B"/>
    <w:rsid w:val="00A039AE"/>
    <w:rsid w:val="00A039C2"/>
    <w:rsid w:val="00A039DC"/>
    <w:rsid w:val="00A03A21"/>
    <w:rsid w:val="00A03A32"/>
    <w:rsid w:val="00A03A57"/>
    <w:rsid w:val="00A03A69"/>
    <w:rsid w:val="00A03A96"/>
    <w:rsid w:val="00A03ABD"/>
    <w:rsid w:val="00A03BEF"/>
    <w:rsid w:val="00A03C02"/>
    <w:rsid w:val="00A03CCF"/>
    <w:rsid w:val="00A03CF0"/>
    <w:rsid w:val="00A03D28"/>
    <w:rsid w:val="00A03DB9"/>
    <w:rsid w:val="00A03FA5"/>
    <w:rsid w:val="00A03FAA"/>
    <w:rsid w:val="00A04012"/>
    <w:rsid w:val="00A041DB"/>
    <w:rsid w:val="00A04218"/>
    <w:rsid w:val="00A0422F"/>
    <w:rsid w:val="00A042D3"/>
    <w:rsid w:val="00A04446"/>
    <w:rsid w:val="00A044D3"/>
    <w:rsid w:val="00A045A7"/>
    <w:rsid w:val="00A0461F"/>
    <w:rsid w:val="00A04697"/>
    <w:rsid w:val="00A047D6"/>
    <w:rsid w:val="00A047FF"/>
    <w:rsid w:val="00A04866"/>
    <w:rsid w:val="00A04870"/>
    <w:rsid w:val="00A04935"/>
    <w:rsid w:val="00A0495F"/>
    <w:rsid w:val="00A0496C"/>
    <w:rsid w:val="00A04976"/>
    <w:rsid w:val="00A049CC"/>
    <w:rsid w:val="00A04A54"/>
    <w:rsid w:val="00A04ADC"/>
    <w:rsid w:val="00A04B2A"/>
    <w:rsid w:val="00A04BBB"/>
    <w:rsid w:val="00A04BD8"/>
    <w:rsid w:val="00A04C52"/>
    <w:rsid w:val="00A04D2D"/>
    <w:rsid w:val="00A04D51"/>
    <w:rsid w:val="00A04D74"/>
    <w:rsid w:val="00A04D82"/>
    <w:rsid w:val="00A04D83"/>
    <w:rsid w:val="00A04D86"/>
    <w:rsid w:val="00A04E20"/>
    <w:rsid w:val="00A04F81"/>
    <w:rsid w:val="00A04FC6"/>
    <w:rsid w:val="00A05008"/>
    <w:rsid w:val="00A051AC"/>
    <w:rsid w:val="00A051C6"/>
    <w:rsid w:val="00A051F3"/>
    <w:rsid w:val="00A05263"/>
    <w:rsid w:val="00A05271"/>
    <w:rsid w:val="00A05289"/>
    <w:rsid w:val="00A05295"/>
    <w:rsid w:val="00A0529F"/>
    <w:rsid w:val="00A052C8"/>
    <w:rsid w:val="00A053FB"/>
    <w:rsid w:val="00A05425"/>
    <w:rsid w:val="00A05444"/>
    <w:rsid w:val="00A05461"/>
    <w:rsid w:val="00A0550B"/>
    <w:rsid w:val="00A05585"/>
    <w:rsid w:val="00A0558A"/>
    <w:rsid w:val="00A0560A"/>
    <w:rsid w:val="00A05614"/>
    <w:rsid w:val="00A05615"/>
    <w:rsid w:val="00A05669"/>
    <w:rsid w:val="00A0567F"/>
    <w:rsid w:val="00A05690"/>
    <w:rsid w:val="00A056DE"/>
    <w:rsid w:val="00A05899"/>
    <w:rsid w:val="00A058B4"/>
    <w:rsid w:val="00A058CD"/>
    <w:rsid w:val="00A05903"/>
    <w:rsid w:val="00A05917"/>
    <w:rsid w:val="00A05925"/>
    <w:rsid w:val="00A05946"/>
    <w:rsid w:val="00A0594D"/>
    <w:rsid w:val="00A059AA"/>
    <w:rsid w:val="00A059E6"/>
    <w:rsid w:val="00A059E7"/>
    <w:rsid w:val="00A05A1E"/>
    <w:rsid w:val="00A05A3E"/>
    <w:rsid w:val="00A05A42"/>
    <w:rsid w:val="00A05A6B"/>
    <w:rsid w:val="00A05AAC"/>
    <w:rsid w:val="00A05ADB"/>
    <w:rsid w:val="00A05B37"/>
    <w:rsid w:val="00A05B4F"/>
    <w:rsid w:val="00A05B8F"/>
    <w:rsid w:val="00A05B96"/>
    <w:rsid w:val="00A05BF5"/>
    <w:rsid w:val="00A05C85"/>
    <w:rsid w:val="00A05CB7"/>
    <w:rsid w:val="00A05D14"/>
    <w:rsid w:val="00A05D75"/>
    <w:rsid w:val="00A05DDE"/>
    <w:rsid w:val="00A05E8B"/>
    <w:rsid w:val="00A05EB9"/>
    <w:rsid w:val="00A05F2F"/>
    <w:rsid w:val="00A05F3A"/>
    <w:rsid w:val="00A05FD9"/>
    <w:rsid w:val="00A05FF2"/>
    <w:rsid w:val="00A06040"/>
    <w:rsid w:val="00A06077"/>
    <w:rsid w:val="00A06099"/>
    <w:rsid w:val="00A060B5"/>
    <w:rsid w:val="00A060BD"/>
    <w:rsid w:val="00A061AA"/>
    <w:rsid w:val="00A061F1"/>
    <w:rsid w:val="00A0620B"/>
    <w:rsid w:val="00A06220"/>
    <w:rsid w:val="00A0623E"/>
    <w:rsid w:val="00A0624A"/>
    <w:rsid w:val="00A06261"/>
    <w:rsid w:val="00A062D3"/>
    <w:rsid w:val="00A06333"/>
    <w:rsid w:val="00A0634F"/>
    <w:rsid w:val="00A063A2"/>
    <w:rsid w:val="00A063D3"/>
    <w:rsid w:val="00A063D7"/>
    <w:rsid w:val="00A06426"/>
    <w:rsid w:val="00A0645D"/>
    <w:rsid w:val="00A0649E"/>
    <w:rsid w:val="00A06508"/>
    <w:rsid w:val="00A06531"/>
    <w:rsid w:val="00A0659C"/>
    <w:rsid w:val="00A06618"/>
    <w:rsid w:val="00A066E5"/>
    <w:rsid w:val="00A06706"/>
    <w:rsid w:val="00A06746"/>
    <w:rsid w:val="00A06889"/>
    <w:rsid w:val="00A0688F"/>
    <w:rsid w:val="00A068A8"/>
    <w:rsid w:val="00A0692A"/>
    <w:rsid w:val="00A06931"/>
    <w:rsid w:val="00A06935"/>
    <w:rsid w:val="00A06947"/>
    <w:rsid w:val="00A06961"/>
    <w:rsid w:val="00A069AA"/>
    <w:rsid w:val="00A069C6"/>
    <w:rsid w:val="00A069D0"/>
    <w:rsid w:val="00A069EA"/>
    <w:rsid w:val="00A06A20"/>
    <w:rsid w:val="00A06A27"/>
    <w:rsid w:val="00A06A2B"/>
    <w:rsid w:val="00A06A37"/>
    <w:rsid w:val="00A06A41"/>
    <w:rsid w:val="00A06B0F"/>
    <w:rsid w:val="00A06B69"/>
    <w:rsid w:val="00A06C32"/>
    <w:rsid w:val="00A06C3F"/>
    <w:rsid w:val="00A06D4C"/>
    <w:rsid w:val="00A06D68"/>
    <w:rsid w:val="00A06D90"/>
    <w:rsid w:val="00A06E4B"/>
    <w:rsid w:val="00A06F9E"/>
    <w:rsid w:val="00A06FCD"/>
    <w:rsid w:val="00A0700B"/>
    <w:rsid w:val="00A0709D"/>
    <w:rsid w:val="00A070A2"/>
    <w:rsid w:val="00A070C8"/>
    <w:rsid w:val="00A07196"/>
    <w:rsid w:val="00A071B1"/>
    <w:rsid w:val="00A071D1"/>
    <w:rsid w:val="00A0722D"/>
    <w:rsid w:val="00A072BE"/>
    <w:rsid w:val="00A072EE"/>
    <w:rsid w:val="00A072F6"/>
    <w:rsid w:val="00A0743A"/>
    <w:rsid w:val="00A075A5"/>
    <w:rsid w:val="00A075ED"/>
    <w:rsid w:val="00A07653"/>
    <w:rsid w:val="00A0766D"/>
    <w:rsid w:val="00A076B3"/>
    <w:rsid w:val="00A076BF"/>
    <w:rsid w:val="00A07725"/>
    <w:rsid w:val="00A07761"/>
    <w:rsid w:val="00A07765"/>
    <w:rsid w:val="00A077EB"/>
    <w:rsid w:val="00A078CD"/>
    <w:rsid w:val="00A0794D"/>
    <w:rsid w:val="00A0795C"/>
    <w:rsid w:val="00A07962"/>
    <w:rsid w:val="00A0797B"/>
    <w:rsid w:val="00A079F4"/>
    <w:rsid w:val="00A07ABF"/>
    <w:rsid w:val="00A07BC9"/>
    <w:rsid w:val="00A07BFE"/>
    <w:rsid w:val="00A07C3A"/>
    <w:rsid w:val="00A07C9A"/>
    <w:rsid w:val="00A07CC0"/>
    <w:rsid w:val="00A07CF7"/>
    <w:rsid w:val="00A07CFE"/>
    <w:rsid w:val="00A07D47"/>
    <w:rsid w:val="00A07DA8"/>
    <w:rsid w:val="00A07E07"/>
    <w:rsid w:val="00A07E36"/>
    <w:rsid w:val="00A07ED3"/>
    <w:rsid w:val="00A07F20"/>
    <w:rsid w:val="00A07F81"/>
    <w:rsid w:val="00A10015"/>
    <w:rsid w:val="00A10074"/>
    <w:rsid w:val="00A1008B"/>
    <w:rsid w:val="00A100FF"/>
    <w:rsid w:val="00A10123"/>
    <w:rsid w:val="00A10151"/>
    <w:rsid w:val="00A101C4"/>
    <w:rsid w:val="00A101FA"/>
    <w:rsid w:val="00A1036F"/>
    <w:rsid w:val="00A10410"/>
    <w:rsid w:val="00A1042C"/>
    <w:rsid w:val="00A1044D"/>
    <w:rsid w:val="00A104E1"/>
    <w:rsid w:val="00A104FF"/>
    <w:rsid w:val="00A10517"/>
    <w:rsid w:val="00A10593"/>
    <w:rsid w:val="00A105B3"/>
    <w:rsid w:val="00A1063C"/>
    <w:rsid w:val="00A10687"/>
    <w:rsid w:val="00A106A9"/>
    <w:rsid w:val="00A1074A"/>
    <w:rsid w:val="00A107B0"/>
    <w:rsid w:val="00A1081E"/>
    <w:rsid w:val="00A10831"/>
    <w:rsid w:val="00A1087E"/>
    <w:rsid w:val="00A10929"/>
    <w:rsid w:val="00A10989"/>
    <w:rsid w:val="00A109A7"/>
    <w:rsid w:val="00A109C4"/>
    <w:rsid w:val="00A10A21"/>
    <w:rsid w:val="00A10AF5"/>
    <w:rsid w:val="00A10B04"/>
    <w:rsid w:val="00A10C31"/>
    <w:rsid w:val="00A10C73"/>
    <w:rsid w:val="00A10C75"/>
    <w:rsid w:val="00A10CD9"/>
    <w:rsid w:val="00A10D65"/>
    <w:rsid w:val="00A10DB6"/>
    <w:rsid w:val="00A10E67"/>
    <w:rsid w:val="00A10E88"/>
    <w:rsid w:val="00A10EE4"/>
    <w:rsid w:val="00A10EF2"/>
    <w:rsid w:val="00A10F12"/>
    <w:rsid w:val="00A10F52"/>
    <w:rsid w:val="00A10F7F"/>
    <w:rsid w:val="00A10F84"/>
    <w:rsid w:val="00A10FEB"/>
    <w:rsid w:val="00A11032"/>
    <w:rsid w:val="00A11097"/>
    <w:rsid w:val="00A11106"/>
    <w:rsid w:val="00A1114C"/>
    <w:rsid w:val="00A11188"/>
    <w:rsid w:val="00A11198"/>
    <w:rsid w:val="00A111DF"/>
    <w:rsid w:val="00A11302"/>
    <w:rsid w:val="00A11304"/>
    <w:rsid w:val="00A11335"/>
    <w:rsid w:val="00A1139D"/>
    <w:rsid w:val="00A11417"/>
    <w:rsid w:val="00A114A8"/>
    <w:rsid w:val="00A114C2"/>
    <w:rsid w:val="00A115FB"/>
    <w:rsid w:val="00A1160B"/>
    <w:rsid w:val="00A11623"/>
    <w:rsid w:val="00A116B1"/>
    <w:rsid w:val="00A11759"/>
    <w:rsid w:val="00A117B6"/>
    <w:rsid w:val="00A117CE"/>
    <w:rsid w:val="00A117EE"/>
    <w:rsid w:val="00A11841"/>
    <w:rsid w:val="00A1189C"/>
    <w:rsid w:val="00A118BC"/>
    <w:rsid w:val="00A11A68"/>
    <w:rsid w:val="00A11A9D"/>
    <w:rsid w:val="00A11BAC"/>
    <w:rsid w:val="00A11BDF"/>
    <w:rsid w:val="00A11C67"/>
    <w:rsid w:val="00A11CB7"/>
    <w:rsid w:val="00A11CC9"/>
    <w:rsid w:val="00A11CCC"/>
    <w:rsid w:val="00A11D07"/>
    <w:rsid w:val="00A11D0F"/>
    <w:rsid w:val="00A11E86"/>
    <w:rsid w:val="00A11F82"/>
    <w:rsid w:val="00A11F94"/>
    <w:rsid w:val="00A11F9B"/>
    <w:rsid w:val="00A11FDD"/>
    <w:rsid w:val="00A11FE4"/>
    <w:rsid w:val="00A1205F"/>
    <w:rsid w:val="00A12076"/>
    <w:rsid w:val="00A12188"/>
    <w:rsid w:val="00A121BF"/>
    <w:rsid w:val="00A12200"/>
    <w:rsid w:val="00A12338"/>
    <w:rsid w:val="00A1233A"/>
    <w:rsid w:val="00A123A7"/>
    <w:rsid w:val="00A123EC"/>
    <w:rsid w:val="00A12416"/>
    <w:rsid w:val="00A124B7"/>
    <w:rsid w:val="00A1258D"/>
    <w:rsid w:val="00A125EF"/>
    <w:rsid w:val="00A1267E"/>
    <w:rsid w:val="00A1269C"/>
    <w:rsid w:val="00A12705"/>
    <w:rsid w:val="00A1275A"/>
    <w:rsid w:val="00A127F2"/>
    <w:rsid w:val="00A127FE"/>
    <w:rsid w:val="00A12812"/>
    <w:rsid w:val="00A12876"/>
    <w:rsid w:val="00A128D1"/>
    <w:rsid w:val="00A12912"/>
    <w:rsid w:val="00A12917"/>
    <w:rsid w:val="00A12958"/>
    <w:rsid w:val="00A1297D"/>
    <w:rsid w:val="00A12A58"/>
    <w:rsid w:val="00A12AB2"/>
    <w:rsid w:val="00A12AF6"/>
    <w:rsid w:val="00A12B81"/>
    <w:rsid w:val="00A12B9D"/>
    <w:rsid w:val="00A12D06"/>
    <w:rsid w:val="00A12D0C"/>
    <w:rsid w:val="00A12D38"/>
    <w:rsid w:val="00A12EB6"/>
    <w:rsid w:val="00A12ECF"/>
    <w:rsid w:val="00A12EEE"/>
    <w:rsid w:val="00A12F08"/>
    <w:rsid w:val="00A12F48"/>
    <w:rsid w:val="00A12F62"/>
    <w:rsid w:val="00A12F71"/>
    <w:rsid w:val="00A13029"/>
    <w:rsid w:val="00A13044"/>
    <w:rsid w:val="00A1316E"/>
    <w:rsid w:val="00A13170"/>
    <w:rsid w:val="00A13257"/>
    <w:rsid w:val="00A13300"/>
    <w:rsid w:val="00A13352"/>
    <w:rsid w:val="00A133B4"/>
    <w:rsid w:val="00A133C0"/>
    <w:rsid w:val="00A133D8"/>
    <w:rsid w:val="00A13429"/>
    <w:rsid w:val="00A13491"/>
    <w:rsid w:val="00A134C9"/>
    <w:rsid w:val="00A134E3"/>
    <w:rsid w:val="00A13509"/>
    <w:rsid w:val="00A13547"/>
    <w:rsid w:val="00A1359E"/>
    <w:rsid w:val="00A1360F"/>
    <w:rsid w:val="00A1363A"/>
    <w:rsid w:val="00A13647"/>
    <w:rsid w:val="00A136B5"/>
    <w:rsid w:val="00A136B7"/>
    <w:rsid w:val="00A136C2"/>
    <w:rsid w:val="00A136C5"/>
    <w:rsid w:val="00A136D1"/>
    <w:rsid w:val="00A1370D"/>
    <w:rsid w:val="00A137A3"/>
    <w:rsid w:val="00A137D2"/>
    <w:rsid w:val="00A137FA"/>
    <w:rsid w:val="00A13854"/>
    <w:rsid w:val="00A138C6"/>
    <w:rsid w:val="00A13912"/>
    <w:rsid w:val="00A13959"/>
    <w:rsid w:val="00A13A49"/>
    <w:rsid w:val="00A13A6C"/>
    <w:rsid w:val="00A13A73"/>
    <w:rsid w:val="00A13AFF"/>
    <w:rsid w:val="00A13B5A"/>
    <w:rsid w:val="00A13B9E"/>
    <w:rsid w:val="00A13BC8"/>
    <w:rsid w:val="00A13C28"/>
    <w:rsid w:val="00A13D54"/>
    <w:rsid w:val="00A13D5C"/>
    <w:rsid w:val="00A13D9D"/>
    <w:rsid w:val="00A13E43"/>
    <w:rsid w:val="00A13EB1"/>
    <w:rsid w:val="00A13ED8"/>
    <w:rsid w:val="00A13FB5"/>
    <w:rsid w:val="00A13FF3"/>
    <w:rsid w:val="00A14004"/>
    <w:rsid w:val="00A14040"/>
    <w:rsid w:val="00A1404F"/>
    <w:rsid w:val="00A14126"/>
    <w:rsid w:val="00A14262"/>
    <w:rsid w:val="00A142BA"/>
    <w:rsid w:val="00A142BD"/>
    <w:rsid w:val="00A1436E"/>
    <w:rsid w:val="00A14375"/>
    <w:rsid w:val="00A14380"/>
    <w:rsid w:val="00A14434"/>
    <w:rsid w:val="00A14499"/>
    <w:rsid w:val="00A1449B"/>
    <w:rsid w:val="00A14502"/>
    <w:rsid w:val="00A145CB"/>
    <w:rsid w:val="00A1467E"/>
    <w:rsid w:val="00A14683"/>
    <w:rsid w:val="00A14691"/>
    <w:rsid w:val="00A14703"/>
    <w:rsid w:val="00A147AC"/>
    <w:rsid w:val="00A1480E"/>
    <w:rsid w:val="00A14831"/>
    <w:rsid w:val="00A1488F"/>
    <w:rsid w:val="00A148B2"/>
    <w:rsid w:val="00A148FD"/>
    <w:rsid w:val="00A1495E"/>
    <w:rsid w:val="00A14A03"/>
    <w:rsid w:val="00A14A0C"/>
    <w:rsid w:val="00A14A46"/>
    <w:rsid w:val="00A14A9D"/>
    <w:rsid w:val="00A14AFF"/>
    <w:rsid w:val="00A14B18"/>
    <w:rsid w:val="00A14B98"/>
    <w:rsid w:val="00A14BEF"/>
    <w:rsid w:val="00A14C58"/>
    <w:rsid w:val="00A14C5C"/>
    <w:rsid w:val="00A14C9D"/>
    <w:rsid w:val="00A14D39"/>
    <w:rsid w:val="00A14D43"/>
    <w:rsid w:val="00A14D47"/>
    <w:rsid w:val="00A14DDB"/>
    <w:rsid w:val="00A14E02"/>
    <w:rsid w:val="00A14E27"/>
    <w:rsid w:val="00A14EA3"/>
    <w:rsid w:val="00A14FE1"/>
    <w:rsid w:val="00A14FE9"/>
    <w:rsid w:val="00A150E3"/>
    <w:rsid w:val="00A150F0"/>
    <w:rsid w:val="00A15165"/>
    <w:rsid w:val="00A151CA"/>
    <w:rsid w:val="00A151EA"/>
    <w:rsid w:val="00A15230"/>
    <w:rsid w:val="00A15309"/>
    <w:rsid w:val="00A15403"/>
    <w:rsid w:val="00A15517"/>
    <w:rsid w:val="00A1553D"/>
    <w:rsid w:val="00A155BA"/>
    <w:rsid w:val="00A155F0"/>
    <w:rsid w:val="00A1562E"/>
    <w:rsid w:val="00A15637"/>
    <w:rsid w:val="00A15640"/>
    <w:rsid w:val="00A15672"/>
    <w:rsid w:val="00A15746"/>
    <w:rsid w:val="00A1575A"/>
    <w:rsid w:val="00A157B5"/>
    <w:rsid w:val="00A1580F"/>
    <w:rsid w:val="00A158B0"/>
    <w:rsid w:val="00A158E8"/>
    <w:rsid w:val="00A159D4"/>
    <w:rsid w:val="00A159F1"/>
    <w:rsid w:val="00A15A35"/>
    <w:rsid w:val="00A15A5B"/>
    <w:rsid w:val="00A15A79"/>
    <w:rsid w:val="00A15AB3"/>
    <w:rsid w:val="00A15B19"/>
    <w:rsid w:val="00A15B5D"/>
    <w:rsid w:val="00A15B6C"/>
    <w:rsid w:val="00A15BBE"/>
    <w:rsid w:val="00A15BDC"/>
    <w:rsid w:val="00A15C47"/>
    <w:rsid w:val="00A15C5F"/>
    <w:rsid w:val="00A15C67"/>
    <w:rsid w:val="00A15CA7"/>
    <w:rsid w:val="00A15D64"/>
    <w:rsid w:val="00A15DE0"/>
    <w:rsid w:val="00A15E18"/>
    <w:rsid w:val="00A15E8C"/>
    <w:rsid w:val="00A15F06"/>
    <w:rsid w:val="00A15F19"/>
    <w:rsid w:val="00A15F76"/>
    <w:rsid w:val="00A16075"/>
    <w:rsid w:val="00A160C2"/>
    <w:rsid w:val="00A16182"/>
    <w:rsid w:val="00A161BB"/>
    <w:rsid w:val="00A161F5"/>
    <w:rsid w:val="00A16267"/>
    <w:rsid w:val="00A162A9"/>
    <w:rsid w:val="00A162CE"/>
    <w:rsid w:val="00A162F2"/>
    <w:rsid w:val="00A162FF"/>
    <w:rsid w:val="00A16304"/>
    <w:rsid w:val="00A16367"/>
    <w:rsid w:val="00A16420"/>
    <w:rsid w:val="00A16431"/>
    <w:rsid w:val="00A1645E"/>
    <w:rsid w:val="00A1649B"/>
    <w:rsid w:val="00A165FE"/>
    <w:rsid w:val="00A1660F"/>
    <w:rsid w:val="00A166CD"/>
    <w:rsid w:val="00A16764"/>
    <w:rsid w:val="00A16768"/>
    <w:rsid w:val="00A1677F"/>
    <w:rsid w:val="00A167AE"/>
    <w:rsid w:val="00A167BD"/>
    <w:rsid w:val="00A167BF"/>
    <w:rsid w:val="00A167DC"/>
    <w:rsid w:val="00A167F5"/>
    <w:rsid w:val="00A16905"/>
    <w:rsid w:val="00A16969"/>
    <w:rsid w:val="00A169E6"/>
    <w:rsid w:val="00A16AA7"/>
    <w:rsid w:val="00A16AAC"/>
    <w:rsid w:val="00A16AB8"/>
    <w:rsid w:val="00A16AF5"/>
    <w:rsid w:val="00A16B2F"/>
    <w:rsid w:val="00A16B77"/>
    <w:rsid w:val="00A16BD1"/>
    <w:rsid w:val="00A16BF5"/>
    <w:rsid w:val="00A16C93"/>
    <w:rsid w:val="00A16CE6"/>
    <w:rsid w:val="00A16CEB"/>
    <w:rsid w:val="00A16D0B"/>
    <w:rsid w:val="00A16D42"/>
    <w:rsid w:val="00A16D49"/>
    <w:rsid w:val="00A16D52"/>
    <w:rsid w:val="00A16D72"/>
    <w:rsid w:val="00A16E30"/>
    <w:rsid w:val="00A16E35"/>
    <w:rsid w:val="00A16F66"/>
    <w:rsid w:val="00A16F8C"/>
    <w:rsid w:val="00A16F9D"/>
    <w:rsid w:val="00A16FF8"/>
    <w:rsid w:val="00A1705B"/>
    <w:rsid w:val="00A170AE"/>
    <w:rsid w:val="00A171A5"/>
    <w:rsid w:val="00A171F6"/>
    <w:rsid w:val="00A17203"/>
    <w:rsid w:val="00A17238"/>
    <w:rsid w:val="00A17264"/>
    <w:rsid w:val="00A1740C"/>
    <w:rsid w:val="00A1743A"/>
    <w:rsid w:val="00A174D7"/>
    <w:rsid w:val="00A174EE"/>
    <w:rsid w:val="00A17546"/>
    <w:rsid w:val="00A17585"/>
    <w:rsid w:val="00A175AD"/>
    <w:rsid w:val="00A1766F"/>
    <w:rsid w:val="00A177F5"/>
    <w:rsid w:val="00A17838"/>
    <w:rsid w:val="00A17880"/>
    <w:rsid w:val="00A17921"/>
    <w:rsid w:val="00A17926"/>
    <w:rsid w:val="00A179C5"/>
    <w:rsid w:val="00A179D3"/>
    <w:rsid w:val="00A179F2"/>
    <w:rsid w:val="00A17A0A"/>
    <w:rsid w:val="00A17A17"/>
    <w:rsid w:val="00A17A28"/>
    <w:rsid w:val="00A17AB4"/>
    <w:rsid w:val="00A17B06"/>
    <w:rsid w:val="00A17B55"/>
    <w:rsid w:val="00A17B7F"/>
    <w:rsid w:val="00A17B94"/>
    <w:rsid w:val="00A17BCB"/>
    <w:rsid w:val="00A17C04"/>
    <w:rsid w:val="00A17CF3"/>
    <w:rsid w:val="00A17D9A"/>
    <w:rsid w:val="00A17DA4"/>
    <w:rsid w:val="00A17DFA"/>
    <w:rsid w:val="00A17E4C"/>
    <w:rsid w:val="00A17E57"/>
    <w:rsid w:val="00A17E63"/>
    <w:rsid w:val="00A17F35"/>
    <w:rsid w:val="00A17F70"/>
    <w:rsid w:val="00A17FB4"/>
    <w:rsid w:val="00A20066"/>
    <w:rsid w:val="00A20091"/>
    <w:rsid w:val="00A20092"/>
    <w:rsid w:val="00A200B9"/>
    <w:rsid w:val="00A200C8"/>
    <w:rsid w:val="00A20117"/>
    <w:rsid w:val="00A20160"/>
    <w:rsid w:val="00A20184"/>
    <w:rsid w:val="00A201F8"/>
    <w:rsid w:val="00A2020B"/>
    <w:rsid w:val="00A20262"/>
    <w:rsid w:val="00A20293"/>
    <w:rsid w:val="00A202A8"/>
    <w:rsid w:val="00A202FC"/>
    <w:rsid w:val="00A20325"/>
    <w:rsid w:val="00A2033A"/>
    <w:rsid w:val="00A20379"/>
    <w:rsid w:val="00A203AF"/>
    <w:rsid w:val="00A2044F"/>
    <w:rsid w:val="00A20460"/>
    <w:rsid w:val="00A20501"/>
    <w:rsid w:val="00A2055E"/>
    <w:rsid w:val="00A2059C"/>
    <w:rsid w:val="00A205BC"/>
    <w:rsid w:val="00A205E0"/>
    <w:rsid w:val="00A20617"/>
    <w:rsid w:val="00A2070B"/>
    <w:rsid w:val="00A20892"/>
    <w:rsid w:val="00A208A6"/>
    <w:rsid w:val="00A208C4"/>
    <w:rsid w:val="00A208E0"/>
    <w:rsid w:val="00A208E2"/>
    <w:rsid w:val="00A208E7"/>
    <w:rsid w:val="00A20901"/>
    <w:rsid w:val="00A2093F"/>
    <w:rsid w:val="00A209F2"/>
    <w:rsid w:val="00A20A28"/>
    <w:rsid w:val="00A20A48"/>
    <w:rsid w:val="00A20A5F"/>
    <w:rsid w:val="00A20B18"/>
    <w:rsid w:val="00A20B3B"/>
    <w:rsid w:val="00A20B7E"/>
    <w:rsid w:val="00A20BB4"/>
    <w:rsid w:val="00A20C13"/>
    <w:rsid w:val="00A20C26"/>
    <w:rsid w:val="00A20C3B"/>
    <w:rsid w:val="00A20C62"/>
    <w:rsid w:val="00A20C70"/>
    <w:rsid w:val="00A20D3E"/>
    <w:rsid w:val="00A20D4C"/>
    <w:rsid w:val="00A20D90"/>
    <w:rsid w:val="00A20DA2"/>
    <w:rsid w:val="00A20DBF"/>
    <w:rsid w:val="00A20DD6"/>
    <w:rsid w:val="00A20E30"/>
    <w:rsid w:val="00A20E6A"/>
    <w:rsid w:val="00A20E8F"/>
    <w:rsid w:val="00A20F1E"/>
    <w:rsid w:val="00A20FDA"/>
    <w:rsid w:val="00A21127"/>
    <w:rsid w:val="00A21158"/>
    <w:rsid w:val="00A21165"/>
    <w:rsid w:val="00A21179"/>
    <w:rsid w:val="00A2122F"/>
    <w:rsid w:val="00A21252"/>
    <w:rsid w:val="00A21268"/>
    <w:rsid w:val="00A212D3"/>
    <w:rsid w:val="00A212E3"/>
    <w:rsid w:val="00A212EE"/>
    <w:rsid w:val="00A212FC"/>
    <w:rsid w:val="00A21342"/>
    <w:rsid w:val="00A2138C"/>
    <w:rsid w:val="00A21391"/>
    <w:rsid w:val="00A213DA"/>
    <w:rsid w:val="00A21482"/>
    <w:rsid w:val="00A214D2"/>
    <w:rsid w:val="00A215F0"/>
    <w:rsid w:val="00A21644"/>
    <w:rsid w:val="00A216F0"/>
    <w:rsid w:val="00A216F7"/>
    <w:rsid w:val="00A2177F"/>
    <w:rsid w:val="00A2185F"/>
    <w:rsid w:val="00A218A4"/>
    <w:rsid w:val="00A218D4"/>
    <w:rsid w:val="00A218F1"/>
    <w:rsid w:val="00A2190D"/>
    <w:rsid w:val="00A21918"/>
    <w:rsid w:val="00A2197B"/>
    <w:rsid w:val="00A219AF"/>
    <w:rsid w:val="00A219C9"/>
    <w:rsid w:val="00A21AA1"/>
    <w:rsid w:val="00A21AE5"/>
    <w:rsid w:val="00A21B44"/>
    <w:rsid w:val="00A21B8E"/>
    <w:rsid w:val="00A21BDA"/>
    <w:rsid w:val="00A21BEA"/>
    <w:rsid w:val="00A21C15"/>
    <w:rsid w:val="00A21C5B"/>
    <w:rsid w:val="00A21C85"/>
    <w:rsid w:val="00A21C98"/>
    <w:rsid w:val="00A21C9E"/>
    <w:rsid w:val="00A21CDC"/>
    <w:rsid w:val="00A21D06"/>
    <w:rsid w:val="00A21D6B"/>
    <w:rsid w:val="00A21D98"/>
    <w:rsid w:val="00A21DCF"/>
    <w:rsid w:val="00A21EF1"/>
    <w:rsid w:val="00A21F51"/>
    <w:rsid w:val="00A220B2"/>
    <w:rsid w:val="00A22107"/>
    <w:rsid w:val="00A22153"/>
    <w:rsid w:val="00A22207"/>
    <w:rsid w:val="00A22280"/>
    <w:rsid w:val="00A2230F"/>
    <w:rsid w:val="00A223C7"/>
    <w:rsid w:val="00A2244F"/>
    <w:rsid w:val="00A224B9"/>
    <w:rsid w:val="00A224BB"/>
    <w:rsid w:val="00A224E1"/>
    <w:rsid w:val="00A2252C"/>
    <w:rsid w:val="00A22629"/>
    <w:rsid w:val="00A22683"/>
    <w:rsid w:val="00A226F7"/>
    <w:rsid w:val="00A2271A"/>
    <w:rsid w:val="00A2276F"/>
    <w:rsid w:val="00A227F5"/>
    <w:rsid w:val="00A22813"/>
    <w:rsid w:val="00A2283C"/>
    <w:rsid w:val="00A2283F"/>
    <w:rsid w:val="00A22843"/>
    <w:rsid w:val="00A2286A"/>
    <w:rsid w:val="00A22918"/>
    <w:rsid w:val="00A22931"/>
    <w:rsid w:val="00A22938"/>
    <w:rsid w:val="00A229A1"/>
    <w:rsid w:val="00A229A4"/>
    <w:rsid w:val="00A229F2"/>
    <w:rsid w:val="00A22A18"/>
    <w:rsid w:val="00A22A5C"/>
    <w:rsid w:val="00A22A77"/>
    <w:rsid w:val="00A22A81"/>
    <w:rsid w:val="00A22ABA"/>
    <w:rsid w:val="00A22AE2"/>
    <w:rsid w:val="00A22BDE"/>
    <w:rsid w:val="00A22C4F"/>
    <w:rsid w:val="00A22CD3"/>
    <w:rsid w:val="00A22D70"/>
    <w:rsid w:val="00A22D9F"/>
    <w:rsid w:val="00A22DC3"/>
    <w:rsid w:val="00A22E86"/>
    <w:rsid w:val="00A22EC1"/>
    <w:rsid w:val="00A22EDC"/>
    <w:rsid w:val="00A22F0E"/>
    <w:rsid w:val="00A22F50"/>
    <w:rsid w:val="00A22F8E"/>
    <w:rsid w:val="00A22F90"/>
    <w:rsid w:val="00A22FAE"/>
    <w:rsid w:val="00A23016"/>
    <w:rsid w:val="00A2305D"/>
    <w:rsid w:val="00A230F7"/>
    <w:rsid w:val="00A23101"/>
    <w:rsid w:val="00A2313E"/>
    <w:rsid w:val="00A23203"/>
    <w:rsid w:val="00A232E7"/>
    <w:rsid w:val="00A2337F"/>
    <w:rsid w:val="00A23400"/>
    <w:rsid w:val="00A23428"/>
    <w:rsid w:val="00A2342E"/>
    <w:rsid w:val="00A2343B"/>
    <w:rsid w:val="00A23461"/>
    <w:rsid w:val="00A234A6"/>
    <w:rsid w:val="00A234A7"/>
    <w:rsid w:val="00A234B2"/>
    <w:rsid w:val="00A23503"/>
    <w:rsid w:val="00A23573"/>
    <w:rsid w:val="00A235AC"/>
    <w:rsid w:val="00A235F4"/>
    <w:rsid w:val="00A23669"/>
    <w:rsid w:val="00A2366B"/>
    <w:rsid w:val="00A236D5"/>
    <w:rsid w:val="00A2370D"/>
    <w:rsid w:val="00A23778"/>
    <w:rsid w:val="00A2378D"/>
    <w:rsid w:val="00A23873"/>
    <w:rsid w:val="00A2393A"/>
    <w:rsid w:val="00A2398A"/>
    <w:rsid w:val="00A23A4B"/>
    <w:rsid w:val="00A23B2D"/>
    <w:rsid w:val="00A23B3A"/>
    <w:rsid w:val="00A23BC4"/>
    <w:rsid w:val="00A23BEE"/>
    <w:rsid w:val="00A23C18"/>
    <w:rsid w:val="00A23D24"/>
    <w:rsid w:val="00A23D4F"/>
    <w:rsid w:val="00A23D67"/>
    <w:rsid w:val="00A23DB7"/>
    <w:rsid w:val="00A23E13"/>
    <w:rsid w:val="00A23E21"/>
    <w:rsid w:val="00A23E4C"/>
    <w:rsid w:val="00A23E8E"/>
    <w:rsid w:val="00A23EBD"/>
    <w:rsid w:val="00A23ED8"/>
    <w:rsid w:val="00A23F7C"/>
    <w:rsid w:val="00A2403F"/>
    <w:rsid w:val="00A24054"/>
    <w:rsid w:val="00A2405A"/>
    <w:rsid w:val="00A24143"/>
    <w:rsid w:val="00A24152"/>
    <w:rsid w:val="00A24207"/>
    <w:rsid w:val="00A2426A"/>
    <w:rsid w:val="00A2428F"/>
    <w:rsid w:val="00A24294"/>
    <w:rsid w:val="00A24303"/>
    <w:rsid w:val="00A24334"/>
    <w:rsid w:val="00A24360"/>
    <w:rsid w:val="00A24365"/>
    <w:rsid w:val="00A243A1"/>
    <w:rsid w:val="00A243A3"/>
    <w:rsid w:val="00A24434"/>
    <w:rsid w:val="00A24495"/>
    <w:rsid w:val="00A244BD"/>
    <w:rsid w:val="00A2452B"/>
    <w:rsid w:val="00A24530"/>
    <w:rsid w:val="00A245E4"/>
    <w:rsid w:val="00A2471E"/>
    <w:rsid w:val="00A2478D"/>
    <w:rsid w:val="00A247F3"/>
    <w:rsid w:val="00A247F5"/>
    <w:rsid w:val="00A248B1"/>
    <w:rsid w:val="00A248BF"/>
    <w:rsid w:val="00A248E4"/>
    <w:rsid w:val="00A2492A"/>
    <w:rsid w:val="00A24964"/>
    <w:rsid w:val="00A24A44"/>
    <w:rsid w:val="00A24AB6"/>
    <w:rsid w:val="00A24AE6"/>
    <w:rsid w:val="00A24BA0"/>
    <w:rsid w:val="00A24BA1"/>
    <w:rsid w:val="00A24C08"/>
    <w:rsid w:val="00A24C40"/>
    <w:rsid w:val="00A24C4A"/>
    <w:rsid w:val="00A24C4F"/>
    <w:rsid w:val="00A24CC0"/>
    <w:rsid w:val="00A24CF5"/>
    <w:rsid w:val="00A24E15"/>
    <w:rsid w:val="00A24F5E"/>
    <w:rsid w:val="00A24F72"/>
    <w:rsid w:val="00A24FA6"/>
    <w:rsid w:val="00A24FCA"/>
    <w:rsid w:val="00A24FD0"/>
    <w:rsid w:val="00A24FDD"/>
    <w:rsid w:val="00A25133"/>
    <w:rsid w:val="00A2515A"/>
    <w:rsid w:val="00A25167"/>
    <w:rsid w:val="00A251EF"/>
    <w:rsid w:val="00A25290"/>
    <w:rsid w:val="00A252B6"/>
    <w:rsid w:val="00A25341"/>
    <w:rsid w:val="00A2534B"/>
    <w:rsid w:val="00A25374"/>
    <w:rsid w:val="00A253F7"/>
    <w:rsid w:val="00A2542E"/>
    <w:rsid w:val="00A25440"/>
    <w:rsid w:val="00A25442"/>
    <w:rsid w:val="00A25453"/>
    <w:rsid w:val="00A2549D"/>
    <w:rsid w:val="00A2551E"/>
    <w:rsid w:val="00A25608"/>
    <w:rsid w:val="00A25661"/>
    <w:rsid w:val="00A256E1"/>
    <w:rsid w:val="00A25762"/>
    <w:rsid w:val="00A257EA"/>
    <w:rsid w:val="00A2589A"/>
    <w:rsid w:val="00A2599E"/>
    <w:rsid w:val="00A259C1"/>
    <w:rsid w:val="00A25A10"/>
    <w:rsid w:val="00A25A7C"/>
    <w:rsid w:val="00A25A9A"/>
    <w:rsid w:val="00A25AEE"/>
    <w:rsid w:val="00A25BA5"/>
    <w:rsid w:val="00A25C17"/>
    <w:rsid w:val="00A25C81"/>
    <w:rsid w:val="00A25CDC"/>
    <w:rsid w:val="00A25D1D"/>
    <w:rsid w:val="00A25D1E"/>
    <w:rsid w:val="00A25D69"/>
    <w:rsid w:val="00A25DA4"/>
    <w:rsid w:val="00A25DB8"/>
    <w:rsid w:val="00A25EEA"/>
    <w:rsid w:val="00A25F2B"/>
    <w:rsid w:val="00A25F88"/>
    <w:rsid w:val="00A25FC8"/>
    <w:rsid w:val="00A25FF3"/>
    <w:rsid w:val="00A26007"/>
    <w:rsid w:val="00A260DB"/>
    <w:rsid w:val="00A26113"/>
    <w:rsid w:val="00A2613B"/>
    <w:rsid w:val="00A261C9"/>
    <w:rsid w:val="00A26232"/>
    <w:rsid w:val="00A26233"/>
    <w:rsid w:val="00A2624B"/>
    <w:rsid w:val="00A2625D"/>
    <w:rsid w:val="00A262B1"/>
    <w:rsid w:val="00A262D4"/>
    <w:rsid w:val="00A2632E"/>
    <w:rsid w:val="00A263DA"/>
    <w:rsid w:val="00A26464"/>
    <w:rsid w:val="00A26515"/>
    <w:rsid w:val="00A2653C"/>
    <w:rsid w:val="00A2655A"/>
    <w:rsid w:val="00A26576"/>
    <w:rsid w:val="00A26591"/>
    <w:rsid w:val="00A265F7"/>
    <w:rsid w:val="00A26677"/>
    <w:rsid w:val="00A266DF"/>
    <w:rsid w:val="00A266E2"/>
    <w:rsid w:val="00A26705"/>
    <w:rsid w:val="00A26709"/>
    <w:rsid w:val="00A26713"/>
    <w:rsid w:val="00A26775"/>
    <w:rsid w:val="00A267C4"/>
    <w:rsid w:val="00A267F3"/>
    <w:rsid w:val="00A26862"/>
    <w:rsid w:val="00A26973"/>
    <w:rsid w:val="00A269EA"/>
    <w:rsid w:val="00A26A4E"/>
    <w:rsid w:val="00A26AA4"/>
    <w:rsid w:val="00A26B33"/>
    <w:rsid w:val="00A26B76"/>
    <w:rsid w:val="00A26BA8"/>
    <w:rsid w:val="00A26C05"/>
    <w:rsid w:val="00A26C28"/>
    <w:rsid w:val="00A26C4E"/>
    <w:rsid w:val="00A26C68"/>
    <w:rsid w:val="00A26CC4"/>
    <w:rsid w:val="00A26D16"/>
    <w:rsid w:val="00A26D9C"/>
    <w:rsid w:val="00A26DAB"/>
    <w:rsid w:val="00A26EF2"/>
    <w:rsid w:val="00A26EF5"/>
    <w:rsid w:val="00A26F1F"/>
    <w:rsid w:val="00A26F42"/>
    <w:rsid w:val="00A26F56"/>
    <w:rsid w:val="00A26F5C"/>
    <w:rsid w:val="00A26F81"/>
    <w:rsid w:val="00A26FDF"/>
    <w:rsid w:val="00A26FF8"/>
    <w:rsid w:val="00A27002"/>
    <w:rsid w:val="00A27077"/>
    <w:rsid w:val="00A27111"/>
    <w:rsid w:val="00A27142"/>
    <w:rsid w:val="00A2723C"/>
    <w:rsid w:val="00A2724D"/>
    <w:rsid w:val="00A2728B"/>
    <w:rsid w:val="00A27293"/>
    <w:rsid w:val="00A273A3"/>
    <w:rsid w:val="00A273C0"/>
    <w:rsid w:val="00A274E9"/>
    <w:rsid w:val="00A27502"/>
    <w:rsid w:val="00A2755B"/>
    <w:rsid w:val="00A2755C"/>
    <w:rsid w:val="00A27560"/>
    <w:rsid w:val="00A2757F"/>
    <w:rsid w:val="00A2758A"/>
    <w:rsid w:val="00A27675"/>
    <w:rsid w:val="00A276C3"/>
    <w:rsid w:val="00A27757"/>
    <w:rsid w:val="00A277A5"/>
    <w:rsid w:val="00A277CB"/>
    <w:rsid w:val="00A277CF"/>
    <w:rsid w:val="00A277FD"/>
    <w:rsid w:val="00A27835"/>
    <w:rsid w:val="00A278AA"/>
    <w:rsid w:val="00A278B4"/>
    <w:rsid w:val="00A27994"/>
    <w:rsid w:val="00A279BB"/>
    <w:rsid w:val="00A279C6"/>
    <w:rsid w:val="00A279E8"/>
    <w:rsid w:val="00A27A17"/>
    <w:rsid w:val="00A27A40"/>
    <w:rsid w:val="00A27A7C"/>
    <w:rsid w:val="00A27ABF"/>
    <w:rsid w:val="00A27AF8"/>
    <w:rsid w:val="00A27B3F"/>
    <w:rsid w:val="00A27B8D"/>
    <w:rsid w:val="00A27C86"/>
    <w:rsid w:val="00A27C9D"/>
    <w:rsid w:val="00A27C9E"/>
    <w:rsid w:val="00A27CD6"/>
    <w:rsid w:val="00A27D44"/>
    <w:rsid w:val="00A27D80"/>
    <w:rsid w:val="00A27E50"/>
    <w:rsid w:val="00A27ECC"/>
    <w:rsid w:val="00A27F29"/>
    <w:rsid w:val="00A27FCC"/>
    <w:rsid w:val="00A27FF8"/>
    <w:rsid w:val="00A2BDFA"/>
    <w:rsid w:val="00A30103"/>
    <w:rsid w:val="00A30167"/>
    <w:rsid w:val="00A3018F"/>
    <w:rsid w:val="00A30203"/>
    <w:rsid w:val="00A3020A"/>
    <w:rsid w:val="00A30218"/>
    <w:rsid w:val="00A30286"/>
    <w:rsid w:val="00A3029A"/>
    <w:rsid w:val="00A303A2"/>
    <w:rsid w:val="00A303D8"/>
    <w:rsid w:val="00A3054A"/>
    <w:rsid w:val="00A3058B"/>
    <w:rsid w:val="00A305C7"/>
    <w:rsid w:val="00A306C3"/>
    <w:rsid w:val="00A30816"/>
    <w:rsid w:val="00A30818"/>
    <w:rsid w:val="00A3084A"/>
    <w:rsid w:val="00A30863"/>
    <w:rsid w:val="00A30868"/>
    <w:rsid w:val="00A3089A"/>
    <w:rsid w:val="00A30933"/>
    <w:rsid w:val="00A3093F"/>
    <w:rsid w:val="00A30954"/>
    <w:rsid w:val="00A309EC"/>
    <w:rsid w:val="00A30AD4"/>
    <w:rsid w:val="00A30BD4"/>
    <w:rsid w:val="00A30C02"/>
    <w:rsid w:val="00A30C2E"/>
    <w:rsid w:val="00A30C68"/>
    <w:rsid w:val="00A30CBE"/>
    <w:rsid w:val="00A30D17"/>
    <w:rsid w:val="00A30D3F"/>
    <w:rsid w:val="00A30DE3"/>
    <w:rsid w:val="00A30E22"/>
    <w:rsid w:val="00A30E35"/>
    <w:rsid w:val="00A30E85"/>
    <w:rsid w:val="00A30F7D"/>
    <w:rsid w:val="00A30FEA"/>
    <w:rsid w:val="00A31092"/>
    <w:rsid w:val="00A3110E"/>
    <w:rsid w:val="00A31159"/>
    <w:rsid w:val="00A311C0"/>
    <w:rsid w:val="00A311CD"/>
    <w:rsid w:val="00A311FB"/>
    <w:rsid w:val="00A31203"/>
    <w:rsid w:val="00A3129B"/>
    <w:rsid w:val="00A31369"/>
    <w:rsid w:val="00A31384"/>
    <w:rsid w:val="00A3138A"/>
    <w:rsid w:val="00A313E9"/>
    <w:rsid w:val="00A313F4"/>
    <w:rsid w:val="00A31400"/>
    <w:rsid w:val="00A31410"/>
    <w:rsid w:val="00A3142F"/>
    <w:rsid w:val="00A31470"/>
    <w:rsid w:val="00A31477"/>
    <w:rsid w:val="00A3147A"/>
    <w:rsid w:val="00A314FE"/>
    <w:rsid w:val="00A3154D"/>
    <w:rsid w:val="00A315B8"/>
    <w:rsid w:val="00A3160B"/>
    <w:rsid w:val="00A3162A"/>
    <w:rsid w:val="00A316A1"/>
    <w:rsid w:val="00A316A7"/>
    <w:rsid w:val="00A316EA"/>
    <w:rsid w:val="00A31751"/>
    <w:rsid w:val="00A31873"/>
    <w:rsid w:val="00A3187D"/>
    <w:rsid w:val="00A318A6"/>
    <w:rsid w:val="00A31953"/>
    <w:rsid w:val="00A31960"/>
    <w:rsid w:val="00A3198D"/>
    <w:rsid w:val="00A319B8"/>
    <w:rsid w:val="00A31A05"/>
    <w:rsid w:val="00A31A77"/>
    <w:rsid w:val="00A31AB4"/>
    <w:rsid w:val="00A31B03"/>
    <w:rsid w:val="00A31B74"/>
    <w:rsid w:val="00A31BA8"/>
    <w:rsid w:val="00A31BC6"/>
    <w:rsid w:val="00A31BD8"/>
    <w:rsid w:val="00A31C7D"/>
    <w:rsid w:val="00A31C86"/>
    <w:rsid w:val="00A31CE1"/>
    <w:rsid w:val="00A31CE3"/>
    <w:rsid w:val="00A31D1F"/>
    <w:rsid w:val="00A31D45"/>
    <w:rsid w:val="00A31D8B"/>
    <w:rsid w:val="00A31D9D"/>
    <w:rsid w:val="00A31DED"/>
    <w:rsid w:val="00A31E42"/>
    <w:rsid w:val="00A31E72"/>
    <w:rsid w:val="00A31EB7"/>
    <w:rsid w:val="00A31EC2"/>
    <w:rsid w:val="00A31F61"/>
    <w:rsid w:val="00A31F77"/>
    <w:rsid w:val="00A31FD8"/>
    <w:rsid w:val="00A3203B"/>
    <w:rsid w:val="00A32123"/>
    <w:rsid w:val="00A32172"/>
    <w:rsid w:val="00A321B3"/>
    <w:rsid w:val="00A321D0"/>
    <w:rsid w:val="00A321E3"/>
    <w:rsid w:val="00A322B7"/>
    <w:rsid w:val="00A322CE"/>
    <w:rsid w:val="00A322F3"/>
    <w:rsid w:val="00A32390"/>
    <w:rsid w:val="00A323BC"/>
    <w:rsid w:val="00A323F7"/>
    <w:rsid w:val="00A323FD"/>
    <w:rsid w:val="00A32438"/>
    <w:rsid w:val="00A3247F"/>
    <w:rsid w:val="00A32493"/>
    <w:rsid w:val="00A324BA"/>
    <w:rsid w:val="00A324D0"/>
    <w:rsid w:val="00A3250C"/>
    <w:rsid w:val="00A3250F"/>
    <w:rsid w:val="00A3252E"/>
    <w:rsid w:val="00A32574"/>
    <w:rsid w:val="00A32597"/>
    <w:rsid w:val="00A325D2"/>
    <w:rsid w:val="00A32661"/>
    <w:rsid w:val="00A32666"/>
    <w:rsid w:val="00A326EC"/>
    <w:rsid w:val="00A32775"/>
    <w:rsid w:val="00A3280B"/>
    <w:rsid w:val="00A32814"/>
    <w:rsid w:val="00A32854"/>
    <w:rsid w:val="00A32959"/>
    <w:rsid w:val="00A329BC"/>
    <w:rsid w:val="00A32A69"/>
    <w:rsid w:val="00A32A8F"/>
    <w:rsid w:val="00A32AAF"/>
    <w:rsid w:val="00A32AE4"/>
    <w:rsid w:val="00A32B5E"/>
    <w:rsid w:val="00A32B6C"/>
    <w:rsid w:val="00A32B8D"/>
    <w:rsid w:val="00A32C10"/>
    <w:rsid w:val="00A32C85"/>
    <w:rsid w:val="00A32C96"/>
    <w:rsid w:val="00A32CBC"/>
    <w:rsid w:val="00A32CFA"/>
    <w:rsid w:val="00A32D3C"/>
    <w:rsid w:val="00A32D80"/>
    <w:rsid w:val="00A32DC6"/>
    <w:rsid w:val="00A32DEF"/>
    <w:rsid w:val="00A32E7E"/>
    <w:rsid w:val="00A32E8E"/>
    <w:rsid w:val="00A32EA9"/>
    <w:rsid w:val="00A32ED7"/>
    <w:rsid w:val="00A32EFC"/>
    <w:rsid w:val="00A32F4F"/>
    <w:rsid w:val="00A32F66"/>
    <w:rsid w:val="00A32F96"/>
    <w:rsid w:val="00A32FA2"/>
    <w:rsid w:val="00A32FDA"/>
    <w:rsid w:val="00A32FEF"/>
    <w:rsid w:val="00A33029"/>
    <w:rsid w:val="00A3308A"/>
    <w:rsid w:val="00A330DA"/>
    <w:rsid w:val="00A330F0"/>
    <w:rsid w:val="00A33176"/>
    <w:rsid w:val="00A331A9"/>
    <w:rsid w:val="00A331BB"/>
    <w:rsid w:val="00A331EA"/>
    <w:rsid w:val="00A33218"/>
    <w:rsid w:val="00A33320"/>
    <w:rsid w:val="00A333F2"/>
    <w:rsid w:val="00A3345A"/>
    <w:rsid w:val="00A3346E"/>
    <w:rsid w:val="00A334F0"/>
    <w:rsid w:val="00A3352E"/>
    <w:rsid w:val="00A3355D"/>
    <w:rsid w:val="00A33580"/>
    <w:rsid w:val="00A335F6"/>
    <w:rsid w:val="00A33613"/>
    <w:rsid w:val="00A33689"/>
    <w:rsid w:val="00A33763"/>
    <w:rsid w:val="00A33784"/>
    <w:rsid w:val="00A337BD"/>
    <w:rsid w:val="00A337D2"/>
    <w:rsid w:val="00A337F8"/>
    <w:rsid w:val="00A3381D"/>
    <w:rsid w:val="00A338FF"/>
    <w:rsid w:val="00A3393F"/>
    <w:rsid w:val="00A33974"/>
    <w:rsid w:val="00A339BE"/>
    <w:rsid w:val="00A339F5"/>
    <w:rsid w:val="00A33A0D"/>
    <w:rsid w:val="00A33A8D"/>
    <w:rsid w:val="00A33AAF"/>
    <w:rsid w:val="00A33B82"/>
    <w:rsid w:val="00A33D01"/>
    <w:rsid w:val="00A33E46"/>
    <w:rsid w:val="00A33E4C"/>
    <w:rsid w:val="00A33E66"/>
    <w:rsid w:val="00A33F75"/>
    <w:rsid w:val="00A33F82"/>
    <w:rsid w:val="00A33FBD"/>
    <w:rsid w:val="00A33FCC"/>
    <w:rsid w:val="00A33FE1"/>
    <w:rsid w:val="00A33FE9"/>
    <w:rsid w:val="00A34096"/>
    <w:rsid w:val="00A34116"/>
    <w:rsid w:val="00A3416A"/>
    <w:rsid w:val="00A3422E"/>
    <w:rsid w:val="00A3439C"/>
    <w:rsid w:val="00A343AC"/>
    <w:rsid w:val="00A344A1"/>
    <w:rsid w:val="00A345AE"/>
    <w:rsid w:val="00A345C9"/>
    <w:rsid w:val="00A34641"/>
    <w:rsid w:val="00A3464E"/>
    <w:rsid w:val="00A3467A"/>
    <w:rsid w:val="00A346E1"/>
    <w:rsid w:val="00A34734"/>
    <w:rsid w:val="00A34737"/>
    <w:rsid w:val="00A347ED"/>
    <w:rsid w:val="00A34830"/>
    <w:rsid w:val="00A34839"/>
    <w:rsid w:val="00A34860"/>
    <w:rsid w:val="00A348C2"/>
    <w:rsid w:val="00A348D2"/>
    <w:rsid w:val="00A34944"/>
    <w:rsid w:val="00A3494C"/>
    <w:rsid w:val="00A34963"/>
    <w:rsid w:val="00A34A10"/>
    <w:rsid w:val="00A34A93"/>
    <w:rsid w:val="00A34ABE"/>
    <w:rsid w:val="00A34B00"/>
    <w:rsid w:val="00A34BA8"/>
    <w:rsid w:val="00A34BAC"/>
    <w:rsid w:val="00A34C3F"/>
    <w:rsid w:val="00A34C6D"/>
    <w:rsid w:val="00A34CCE"/>
    <w:rsid w:val="00A34CF8"/>
    <w:rsid w:val="00A34EDC"/>
    <w:rsid w:val="00A34EEE"/>
    <w:rsid w:val="00A34F3A"/>
    <w:rsid w:val="00A34F4E"/>
    <w:rsid w:val="00A34F5E"/>
    <w:rsid w:val="00A34FDB"/>
    <w:rsid w:val="00A35005"/>
    <w:rsid w:val="00A35008"/>
    <w:rsid w:val="00A3505D"/>
    <w:rsid w:val="00A350BC"/>
    <w:rsid w:val="00A35146"/>
    <w:rsid w:val="00A3517F"/>
    <w:rsid w:val="00A35183"/>
    <w:rsid w:val="00A351CA"/>
    <w:rsid w:val="00A351D4"/>
    <w:rsid w:val="00A3523A"/>
    <w:rsid w:val="00A352B2"/>
    <w:rsid w:val="00A352E6"/>
    <w:rsid w:val="00A35339"/>
    <w:rsid w:val="00A353E4"/>
    <w:rsid w:val="00A353F4"/>
    <w:rsid w:val="00A35400"/>
    <w:rsid w:val="00A35480"/>
    <w:rsid w:val="00A354CF"/>
    <w:rsid w:val="00A35535"/>
    <w:rsid w:val="00A35538"/>
    <w:rsid w:val="00A35553"/>
    <w:rsid w:val="00A35557"/>
    <w:rsid w:val="00A35580"/>
    <w:rsid w:val="00A35589"/>
    <w:rsid w:val="00A355AE"/>
    <w:rsid w:val="00A3560A"/>
    <w:rsid w:val="00A35699"/>
    <w:rsid w:val="00A3569D"/>
    <w:rsid w:val="00A356E4"/>
    <w:rsid w:val="00A35703"/>
    <w:rsid w:val="00A35771"/>
    <w:rsid w:val="00A35784"/>
    <w:rsid w:val="00A357F4"/>
    <w:rsid w:val="00A358AA"/>
    <w:rsid w:val="00A35970"/>
    <w:rsid w:val="00A3597D"/>
    <w:rsid w:val="00A3598B"/>
    <w:rsid w:val="00A359A6"/>
    <w:rsid w:val="00A359E4"/>
    <w:rsid w:val="00A35B07"/>
    <w:rsid w:val="00A35B72"/>
    <w:rsid w:val="00A35B75"/>
    <w:rsid w:val="00A35B9F"/>
    <w:rsid w:val="00A35C1C"/>
    <w:rsid w:val="00A35C4B"/>
    <w:rsid w:val="00A35CE7"/>
    <w:rsid w:val="00A35CF4"/>
    <w:rsid w:val="00A35CF6"/>
    <w:rsid w:val="00A35D0C"/>
    <w:rsid w:val="00A35D3F"/>
    <w:rsid w:val="00A35D4E"/>
    <w:rsid w:val="00A35D6D"/>
    <w:rsid w:val="00A35DB7"/>
    <w:rsid w:val="00A35DF0"/>
    <w:rsid w:val="00A35E43"/>
    <w:rsid w:val="00A35E8B"/>
    <w:rsid w:val="00A35F10"/>
    <w:rsid w:val="00A35FBF"/>
    <w:rsid w:val="00A35FE4"/>
    <w:rsid w:val="00A36025"/>
    <w:rsid w:val="00A3608E"/>
    <w:rsid w:val="00A360E7"/>
    <w:rsid w:val="00A3614B"/>
    <w:rsid w:val="00A3614E"/>
    <w:rsid w:val="00A36150"/>
    <w:rsid w:val="00A3618C"/>
    <w:rsid w:val="00A361C3"/>
    <w:rsid w:val="00A361F1"/>
    <w:rsid w:val="00A362BB"/>
    <w:rsid w:val="00A3630E"/>
    <w:rsid w:val="00A3632B"/>
    <w:rsid w:val="00A36343"/>
    <w:rsid w:val="00A363AF"/>
    <w:rsid w:val="00A363B9"/>
    <w:rsid w:val="00A36457"/>
    <w:rsid w:val="00A36461"/>
    <w:rsid w:val="00A3648E"/>
    <w:rsid w:val="00A364F3"/>
    <w:rsid w:val="00A36591"/>
    <w:rsid w:val="00A365B7"/>
    <w:rsid w:val="00A365DF"/>
    <w:rsid w:val="00A36677"/>
    <w:rsid w:val="00A36680"/>
    <w:rsid w:val="00A36843"/>
    <w:rsid w:val="00A368C3"/>
    <w:rsid w:val="00A369C3"/>
    <w:rsid w:val="00A369C9"/>
    <w:rsid w:val="00A36A72"/>
    <w:rsid w:val="00A36AD1"/>
    <w:rsid w:val="00A36B20"/>
    <w:rsid w:val="00A36B42"/>
    <w:rsid w:val="00A36BC7"/>
    <w:rsid w:val="00A36C47"/>
    <w:rsid w:val="00A36C57"/>
    <w:rsid w:val="00A36CFC"/>
    <w:rsid w:val="00A36D02"/>
    <w:rsid w:val="00A36D74"/>
    <w:rsid w:val="00A36D85"/>
    <w:rsid w:val="00A36DD0"/>
    <w:rsid w:val="00A36F58"/>
    <w:rsid w:val="00A36FBA"/>
    <w:rsid w:val="00A36FDA"/>
    <w:rsid w:val="00A36FE5"/>
    <w:rsid w:val="00A37034"/>
    <w:rsid w:val="00A370E2"/>
    <w:rsid w:val="00A370F5"/>
    <w:rsid w:val="00A370FF"/>
    <w:rsid w:val="00A3712D"/>
    <w:rsid w:val="00A371C0"/>
    <w:rsid w:val="00A371DA"/>
    <w:rsid w:val="00A3721B"/>
    <w:rsid w:val="00A3729F"/>
    <w:rsid w:val="00A372BE"/>
    <w:rsid w:val="00A3731E"/>
    <w:rsid w:val="00A373A1"/>
    <w:rsid w:val="00A373C4"/>
    <w:rsid w:val="00A3740D"/>
    <w:rsid w:val="00A3749B"/>
    <w:rsid w:val="00A37508"/>
    <w:rsid w:val="00A37720"/>
    <w:rsid w:val="00A37760"/>
    <w:rsid w:val="00A377FC"/>
    <w:rsid w:val="00A37853"/>
    <w:rsid w:val="00A3791D"/>
    <w:rsid w:val="00A379C2"/>
    <w:rsid w:val="00A37ACA"/>
    <w:rsid w:val="00A37B4B"/>
    <w:rsid w:val="00A37BC7"/>
    <w:rsid w:val="00A37C51"/>
    <w:rsid w:val="00A37C9D"/>
    <w:rsid w:val="00A37CE6"/>
    <w:rsid w:val="00A37CF2"/>
    <w:rsid w:val="00A37D1B"/>
    <w:rsid w:val="00A37D87"/>
    <w:rsid w:val="00A37E84"/>
    <w:rsid w:val="00A37EC6"/>
    <w:rsid w:val="00A37F15"/>
    <w:rsid w:val="00A37F1B"/>
    <w:rsid w:val="00A37F70"/>
    <w:rsid w:val="00A37FBB"/>
    <w:rsid w:val="00A37FC2"/>
    <w:rsid w:val="00A4010A"/>
    <w:rsid w:val="00A40131"/>
    <w:rsid w:val="00A40157"/>
    <w:rsid w:val="00A40247"/>
    <w:rsid w:val="00A40283"/>
    <w:rsid w:val="00A40295"/>
    <w:rsid w:val="00A40313"/>
    <w:rsid w:val="00A403AF"/>
    <w:rsid w:val="00A403B8"/>
    <w:rsid w:val="00A403E1"/>
    <w:rsid w:val="00A40440"/>
    <w:rsid w:val="00A4045F"/>
    <w:rsid w:val="00A4046E"/>
    <w:rsid w:val="00A404AE"/>
    <w:rsid w:val="00A404AF"/>
    <w:rsid w:val="00A404D3"/>
    <w:rsid w:val="00A4051F"/>
    <w:rsid w:val="00A4064E"/>
    <w:rsid w:val="00A4069B"/>
    <w:rsid w:val="00A406CB"/>
    <w:rsid w:val="00A406E3"/>
    <w:rsid w:val="00A40705"/>
    <w:rsid w:val="00A40751"/>
    <w:rsid w:val="00A40754"/>
    <w:rsid w:val="00A4077C"/>
    <w:rsid w:val="00A40780"/>
    <w:rsid w:val="00A40789"/>
    <w:rsid w:val="00A40795"/>
    <w:rsid w:val="00A407D2"/>
    <w:rsid w:val="00A4094D"/>
    <w:rsid w:val="00A409F6"/>
    <w:rsid w:val="00A40A00"/>
    <w:rsid w:val="00A40A0D"/>
    <w:rsid w:val="00A40A0F"/>
    <w:rsid w:val="00A40A26"/>
    <w:rsid w:val="00A40A3D"/>
    <w:rsid w:val="00A40A99"/>
    <w:rsid w:val="00A40AAC"/>
    <w:rsid w:val="00A40AC2"/>
    <w:rsid w:val="00A40C1B"/>
    <w:rsid w:val="00A40C36"/>
    <w:rsid w:val="00A40C4B"/>
    <w:rsid w:val="00A40C63"/>
    <w:rsid w:val="00A40CB5"/>
    <w:rsid w:val="00A40CE1"/>
    <w:rsid w:val="00A40CFD"/>
    <w:rsid w:val="00A40D0B"/>
    <w:rsid w:val="00A40D3B"/>
    <w:rsid w:val="00A40D9B"/>
    <w:rsid w:val="00A40E49"/>
    <w:rsid w:val="00A40E6E"/>
    <w:rsid w:val="00A40F96"/>
    <w:rsid w:val="00A40F98"/>
    <w:rsid w:val="00A41003"/>
    <w:rsid w:val="00A41023"/>
    <w:rsid w:val="00A41056"/>
    <w:rsid w:val="00A41057"/>
    <w:rsid w:val="00A41059"/>
    <w:rsid w:val="00A4105C"/>
    <w:rsid w:val="00A41095"/>
    <w:rsid w:val="00A410DF"/>
    <w:rsid w:val="00A41162"/>
    <w:rsid w:val="00A4117E"/>
    <w:rsid w:val="00A411F1"/>
    <w:rsid w:val="00A41228"/>
    <w:rsid w:val="00A4125A"/>
    <w:rsid w:val="00A4127D"/>
    <w:rsid w:val="00A41316"/>
    <w:rsid w:val="00A41342"/>
    <w:rsid w:val="00A4149C"/>
    <w:rsid w:val="00A414B9"/>
    <w:rsid w:val="00A414FB"/>
    <w:rsid w:val="00A415C6"/>
    <w:rsid w:val="00A415D1"/>
    <w:rsid w:val="00A4168B"/>
    <w:rsid w:val="00A416A8"/>
    <w:rsid w:val="00A41716"/>
    <w:rsid w:val="00A4174A"/>
    <w:rsid w:val="00A4179E"/>
    <w:rsid w:val="00A417B2"/>
    <w:rsid w:val="00A417E3"/>
    <w:rsid w:val="00A41867"/>
    <w:rsid w:val="00A41879"/>
    <w:rsid w:val="00A41896"/>
    <w:rsid w:val="00A4189E"/>
    <w:rsid w:val="00A41983"/>
    <w:rsid w:val="00A419CF"/>
    <w:rsid w:val="00A419FC"/>
    <w:rsid w:val="00A41A9E"/>
    <w:rsid w:val="00A41ADB"/>
    <w:rsid w:val="00A41B49"/>
    <w:rsid w:val="00A41B5E"/>
    <w:rsid w:val="00A41BC8"/>
    <w:rsid w:val="00A41CEC"/>
    <w:rsid w:val="00A41D4F"/>
    <w:rsid w:val="00A41DD0"/>
    <w:rsid w:val="00A41DDD"/>
    <w:rsid w:val="00A41E57"/>
    <w:rsid w:val="00A41EE0"/>
    <w:rsid w:val="00A41F2E"/>
    <w:rsid w:val="00A41F4D"/>
    <w:rsid w:val="00A41F73"/>
    <w:rsid w:val="00A41F91"/>
    <w:rsid w:val="00A41F9D"/>
    <w:rsid w:val="00A41FC8"/>
    <w:rsid w:val="00A42014"/>
    <w:rsid w:val="00A42049"/>
    <w:rsid w:val="00A42070"/>
    <w:rsid w:val="00A42158"/>
    <w:rsid w:val="00A42209"/>
    <w:rsid w:val="00A42262"/>
    <w:rsid w:val="00A423FE"/>
    <w:rsid w:val="00A42422"/>
    <w:rsid w:val="00A4242A"/>
    <w:rsid w:val="00A4247F"/>
    <w:rsid w:val="00A424BC"/>
    <w:rsid w:val="00A4256B"/>
    <w:rsid w:val="00A4259E"/>
    <w:rsid w:val="00A426DC"/>
    <w:rsid w:val="00A42723"/>
    <w:rsid w:val="00A42754"/>
    <w:rsid w:val="00A4279B"/>
    <w:rsid w:val="00A428C5"/>
    <w:rsid w:val="00A42935"/>
    <w:rsid w:val="00A4297C"/>
    <w:rsid w:val="00A429BD"/>
    <w:rsid w:val="00A42A55"/>
    <w:rsid w:val="00A42A5D"/>
    <w:rsid w:val="00A42A6F"/>
    <w:rsid w:val="00A42A71"/>
    <w:rsid w:val="00A42A87"/>
    <w:rsid w:val="00A42AC4"/>
    <w:rsid w:val="00A42B7C"/>
    <w:rsid w:val="00A42B9A"/>
    <w:rsid w:val="00A42BB3"/>
    <w:rsid w:val="00A42BF9"/>
    <w:rsid w:val="00A42C34"/>
    <w:rsid w:val="00A42C36"/>
    <w:rsid w:val="00A42C3B"/>
    <w:rsid w:val="00A42C5B"/>
    <w:rsid w:val="00A42CA3"/>
    <w:rsid w:val="00A42CF2"/>
    <w:rsid w:val="00A42E42"/>
    <w:rsid w:val="00A42E51"/>
    <w:rsid w:val="00A42E5B"/>
    <w:rsid w:val="00A42E5D"/>
    <w:rsid w:val="00A42E8D"/>
    <w:rsid w:val="00A42EC4"/>
    <w:rsid w:val="00A42EDE"/>
    <w:rsid w:val="00A430A7"/>
    <w:rsid w:val="00A43323"/>
    <w:rsid w:val="00A43329"/>
    <w:rsid w:val="00A4333E"/>
    <w:rsid w:val="00A4336A"/>
    <w:rsid w:val="00A43417"/>
    <w:rsid w:val="00A4346B"/>
    <w:rsid w:val="00A434AC"/>
    <w:rsid w:val="00A434E2"/>
    <w:rsid w:val="00A43614"/>
    <w:rsid w:val="00A43655"/>
    <w:rsid w:val="00A436B1"/>
    <w:rsid w:val="00A43704"/>
    <w:rsid w:val="00A437A4"/>
    <w:rsid w:val="00A437BC"/>
    <w:rsid w:val="00A437D9"/>
    <w:rsid w:val="00A4381F"/>
    <w:rsid w:val="00A4384A"/>
    <w:rsid w:val="00A43865"/>
    <w:rsid w:val="00A43873"/>
    <w:rsid w:val="00A438ED"/>
    <w:rsid w:val="00A43993"/>
    <w:rsid w:val="00A439C9"/>
    <w:rsid w:val="00A43BC8"/>
    <w:rsid w:val="00A43C29"/>
    <w:rsid w:val="00A43CCC"/>
    <w:rsid w:val="00A43CFB"/>
    <w:rsid w:val="00A43DCB"/>
    <w:rsid w:val="00A43E02"/>
    <w:rsid w:val="00A43EA8"/>
    <w:rsid w:val="00A43ED0"/>
    <w:rsid w:val="00A43EE8"/>
    <w:rsid w:val="00A43EFA"/>
    <w:rsid w:val="00A43F1A"/>
    <w:rsid w:val="00A44050"/>
    <w:rsid w:val="00A44114"/>
    <w:rsid w:val="00A4412A"/>
    <w:rsid w:val="00A4413A"/>
    <w:rsid w:val="00A4418F"/>
    <w:rsid w:val="00A441B0"/>
    <w:rsid w:val="00A44324"/>
    <w:rsid w:val="00A44341"/>
    <w:rsid w:val="00A44382"/>
    <w:rsid w:val="00A443E8"/>
    <w:rsid w:val="00A4442B"/>
    <w:rsid w:val="00A4443E"/>
    <w:rsid w:val="00A44501"/>
    <w:rsid w:val="00A445B3"/>
    <w:rsid w:val="00A446B8"/>
    <w:rsid w:val="00A446CC"/>
    <w:rsid w:val="00A446E9"/>
    <w:rsid w:val="00A447DB"/>
    <w:rsid w:val="00A4493C"/>
    <w:rsid w:val="00A44968"/>
    <w:rsid w:val="00A4498E"/>
    <w:rsid w:val="00A4499C"/>
    <w:rsid w:val="00A449C1"/>
    <w:rsid w:val="00A44A3A"/>
    <w:rsid w:val="00A44A68"/>
    <w:rsid w:val="00A44A8B"/>
    <w:rsid w:val="00A44AD1"/>
    <w:rsid w:val="00A44AD3"/>
    <w:rsid w:val="00A44ADB"/>
    <w:rsid w:val="00A44AEC"/>
    <w:rsid w:val="00A44B01"/>
    <w:rsid w:val="00A44BBF"/>
    <w:rsid w:val="00A44CB7"/>
    <w:rsid w:val="00A44CC4"/>
    <w:rsid w:val="00A44D4C"/>
    <w:rsid w:val="00A44E7F"/>
    <w:rsid w:val="00A44EAC"/>
    <w:rsid w:val="00A44EFC"/>
    <w:rsid w:val="00A44F6F"/>
    <w:rsid w:val="00A450EC"/>
    <w:rsid w:val="00A450FA"/>
    <w:rsid w:val="00A45103"/>
    <w:rsid w:val="00A45121"/>
    <w:rsid w:val="00A4512C"/>
    <w:rsid w:val="00A45139"/>
    <w:rsid w:val="00A451C7"/>
    <w:rsid w:val="00A451F8"/>
    <w:rsid w:val="00A45212"/>
    <w:rsid w:val="00A45218"/>
    <w:rsid w:val="00A45249"/>
    <w:rsid w:val="00A4528E"/>
    <w:rsid w:val="00A452D4"/>
    <w:rsid w:val="00A45305"/>
    <w:rsid w:val="00A453BA"/>
    <w:rsid w:val="00A45556"/>
    <w:rsid w:val="00A455A5"/>
    <w:rsid w:val="00A455B8"/>
    <w:rsid w:val="00A455D9"/>
    <w:rsid w:val="00A45662"/>
    <w:rsid w:val="00A456A7"/>
    <w:rsid w:val="00A456B1"/>
    <w:rsid w:val="00A45719"/>
    <w:rsid w:val="00A45742"/>
    <w:rsid w:val="00A4574C"/>
    <w:rsid w:val="00A457E3"/>
    <w:rsid w:val="00A457F3"/>
    <w:rsid w:val="00A45800"/>
    <w:rsid w:val="00A4588F"/>
    <w:rsid w:val="00A45909"/>
    <w:rsid w:val="00A4595F"/>
    <w:rsid w:val="00A45A21"/>
    <w:rsid w:val="00A45A2A"/>
    <w:rsid w:val="00A45A36"/>
    <w:rsid w:val="00A45AAF"/>
    <w:rsid w:val="00A45AB2"/>
    <w:rsid w:val="00A45AB5"/>
    <w:rsid w:val="00A45B25"/>
    <w:rsid w:val="00A45B85"/>
    <w:rsid w:val="00A45B9B"/>
    <w:rsid w:val="00A45C1C"/>
    <w:rsid w:val="00A45C5D"/>
    <w:rsid w:val="00A45CA8"/>
    <w:rsid w:val="00A45D26"/>
    <w:rsid w:val="00A45D76"/>
    <w:rsid w:val="00A45DF4"/>
    <w:rsid w:val="00A45E08"/>
    <w:rsid w:val="00A45EAE"/>
    <w:rsid w:val="00A45F22"/>
    <w:rsid w:val="00A45F5F"/>
    <w:rsid w:val="00A45F7E"/>
    <w:rsid w:val="00A45FF5"/>
    <w:rsid w:val="00A4611D"/>
    <w:rsid w:val="00A4617F"/>
    <w:rsid w:val="00A461C9"/>
    <w:rsid w:val="00A461F5"/>
    <w:rsid w:val="00A461FB"/>
    <w:rsid w:val="00A46222"/>
    <w:rsid w:val="00A4626F"/>
    <w:rsid w:val="00A46283"/>
    <w:rsid w:val="00A4628E"/>
    <w:rsid w:val="00A462F0"/>
    <w:rsid w:val="00A4632E"/>
    <w:rsid w:val="00A4638F"/>
    <w:rsid w:val="00A46551"/>
    <w:rsid w:val="00A4658B"/>
    <w:rsid w:val="00A46631"/>
    <w:rsid w:val="00A46664"/>
    <w:rsid w:val="00A46684"/>
    <w:rsid w:val="00A466E7"/>
    <w:rsid w:val="00A466EE"/>
    <w:rsid w:val="00A46762"/>
    <w:rsid w:val="00A4679B"/>
    <w:rsid w:val="00A467DB"/>
    <w:rsid w:val="00A46907"/>
    <w:rsid w:val="00A469AE"/>
    <w:rsid w:val="00A469D1"/>
    <w:rsid w:val="00A46A48"/>
    <w:rsid w:val="00A46A56"/>
    <w:rsid w:val="00A46A66"/>
    <w:rsid w:val="00A46A8D"/>
    <w:rsid w:val="00A46ADA"/>
    <w:rsid w:val="00A46AE4"/>
    <w:rsid w:val="00A46AE6"/>
    <w:rsid w:val="00A46AEB"/>
    <w:rsid w:val="00A46B11"/>
    <w:rsid w:val="00A46B49"/>
    <w:rsid w:val="00A46B4D"/>
    <w:rsid w:val="00A46B97"/>
    <w:rsid w:val="00A46BDC"/>
    <w:rsid w:val="00A46BEB"/>
    <w:rsid w:val="00A46C96"/>
    <w:rsid w:val="00A46DAE"/>
    <w:rsid w:val="00A46E54"/>
    <w:rsid w:val="00A46F6F"/>
    <w:rsid w:val="00A46F96"/>
    <w:rsid w:val="00A4702B"/>
    <w:rsid w:val="00A47044"/>
    <w:rsid w:val="00A47060"/>
    <w:rsid w:val="00A4708A"/>
    <w:rsid w:val="00A4710A"/>
    <w:rsid w:val="00A47161"/>
    <w:rsid w:val="00A47169"/>
    <w:rsid w:val="00A472B3"/>
    <w:rsid w:val="00A472C9"/>
    <w:rsid w:val="00A47307"/>
    <w:rsid w:val="00A47312"/>
    <w:rsid w:val="00A47320"/>
    <w:rsid w:val="00A47336"/>
    <w:rsid w:val="00A47343"/>
    <w:rsid w:val="00A47374"/>
    <w:rsid w:val="00A4737F"/>
    <w:rsid w:val="00A47475"/>
    <w:rsid w:val="00A474D3"/>
    <w:rsid w:val="00A47532"/>
    <w:rsid w:val="00A4760E"/>
    <w:rsid w:val="00A476F5"/>
    <w:rsid w:val="00A477FF"/>
    <w:rsid w:val="00A47848"/>
    <w:rsid w:val="00A4787D"/>
    <w:rsid w:val="00A479B3"/>
    <w:rsid w:val="00A479D5"/>
    <w:rsid w:val="00A47A5F"/>
    <w:rsid w:val="00A47AEB"/>
    <w:rsid w:val="00A47B13"/>
    <w:rsid w:val="00A47B32"/>
    <w:rsid w:val="00A47B51"/>
    <w:rsid w:val="00A47C1A"/>
    <w:rsid w:val="00A47C34"/>
    <w:rsid w:val="00A47D2E"/>
    <w:rsid w:val="00A47D58"/>
    <w:rsid w:val="00A47D63"/>
    <w:rsid w:val="00A47DE5"/>
    <w:rsid w:val="00A47E5A"/>
    <w:rsid w:val="00A47E85"/>
    <w:rsid w:val="00A47ED5"/>
    <w:rsid w:val="00A47EDC"/>
    <w:rsid w:val="00A47F19"/>
    <w:rsid w:val="00A47F28"/>
    <w:rsid w:val="00A47F69"/>
    <w:rsid w:val="00A47F8F"/>
    <w:rsid w:val="00A50116"/>
    <w:rsid w:val="00A5012E"/>
    <w:rsid w:val="00A5012F"/>
    <w:rsid w:val="00A50172"/>
    <w:rsid w:val="00A5017B"/>
    <w:rsid w:val="00A501F5"/>
    <w:rsid w:val="00A50234"/>
    <w:rsid w:val="00A5026A"/>
    <w:rsid w:val="00A502E2"/>
    <w:rsid w:val="00A5036B"/>
    <w:rsid w:val="00A50396"/>
    <w:rsid w:val="00A503DE"/>
    <w:rsid w:val="00A5044A"/>
    <w:rsid w:val="00A504DD"/>
    <w:rsid w:val="00A504E9"/>
    <w:rsid w:val="00A504FC"/>
    <w:rsid w:val="00A505A8"/>
    <w:rsid w:val="00A505E4"/>
    <w:rsid w:val="00A5061B"/>
    <w:rsid w:val="00A506B4"/>
    <w:rsid w:val="00A50815"/>
    <w:rsid w:val="00A50838"/>
    <w:rsid w:val="00A50839"/>
    <w:rsid w:val="00A50852"/>
    <w:rsid w:val="00A50862"/>
    <w:rsid w:val="00A50955"/>
    <w:rsid w:val="00A50997"/>
    <w:rsid w:val="00A509E5"/>
    <w:rsid w:val="00A50AEE"/>
    <w:rsid w:val="00A50C1F"/>
    <w:rsid w:val="00A50C3A"/>
    <w:rsid w:val="00A50D74"/>
    <w:rsid w:val="00A50D88"/>
    <w:rsid w:val="00A50DF3"/>
    <w:rsid w:val="00A50DF6"/>
    <w:rsid w:val="00A50DFB"/>
    <w:rsid w:val="00A50E50"/>
    <w:rsid w:val="00A50E6A"/>
    <w:rsid w:val="00A50F93"/>
    <w:rsid w:val="00A51085"/>
    <w:rsid w:val="00A51092"/>
    <w:rsid w:val="00A51093"/>
    <w:rsid w:val="00A510B7"/>
    <w:rsid w:val="00A51156"/>
    <w:rsid w:val="00A511A6"/>
    <w:rsid w:val="00A511D1"/>
    <w:rsid w:val="00A51246"/>
    <w:rsid w:val="00A5129A"/>
    <w:rsid w:val="00A512A7"/>
    <w:rsid w:val="00A512ED"/>
    <w:rsid w:val="00A51363"/>
    <w:rsid w:val="00A5136F"/>
    <w:rsid w:val="00A514CF"/>
    <w:rsid w:val="00A514D9"/>
    <w:rsid w:val="00A51631"/>
    <w:rsid w:val="00A51658"/>
    <w:rsid w:val="00A516EB"/>
    <w:rsid w:val="00A516F9"/>
    <w:rsid w:val="00A517CF"/>
    <w:rsid w:val="00A51811"/>
    <w:rsid w:val="00A518FB"/>
    <w:rsid w:val="00A5197F"/>
    <w:rsid w:val="00A51992"/>
    <w:rsid w:val="00A51B40"/>
    <w:rsid w:val="00A51B46"/>
    <w:rsid w:val="00A51BA0"/>
    <w:rsid w:val="00A51BBC"/>
    <w:rsid w:val="00A51C37"/>
    <w:rsid w:val="00A51C66"/>
    <w:rsid w:val="00A51C96"/>
    <w:rsid w:val="00A51D45"/>
    <w:rsid w:val="00A51D7A"/>
    <w:rsid w:val="00A51DC9"/>
    <w:rsid w:val="00A51DD7"/>
    <w:rsid w:val="00A51EFE"/>
    <w:rsid w:val="00A51F25"/>
    <w:rsid w:val="00A51FA1"/>
    <w:rsid w:val="00A5205A"/>
    <w:rsid w:val="00A52088"/>
    <w:rsid w:val="00A520A5"/>
    <w:rsid w:val="00A520F0"/>
    <w:rsid w:val="00A52131"/>
    <w:rsid w:val="00A52183"/>
    <w:rsid w:val="00A521D7"/>
    <w:rsid w:val="00A52233"/>
    <w:rsid w:val="00A5224D"/>
    <w:rsid w:val="00A52280"/>
    <w:rsid w:val="00A5231A"/>
    <w:rsid w:val="00A52373"/>
    <w:rsid w:val="00A523D2"/>
    <w:rsid w:val="00A523E5"/>
    <w:rsid w:val="00A52423"/>
    <w:rsid w:val="00A52478"/>
    <w:rsid w:val="00A52530"/>
    <w:rsid w:val="00A525A4"/>
    <w:rsid w:val="00A525C3"/>
    <w:rsid w:val="00A52618"/>
    <w:rsid w:val="00A52689"/>
    <w:rsid w:val="00A526BE"/>
    <w:rsid w:val="00A526E0"/>
    <w:rsid w:val="00A526EB"/>
    <w:rsid w:val="00A526F7"/>
    <w:rsid w:val="00A5272B"/>
    <w:rsid w:val="00A52767"/>
    <w:rsid w:val="00A527AA"/>
    <w:rsid w:val="00A527CF"/>
    <w:rsid w:val="00A52810"/>
    <w:rsid w:val="00A52814"/>
    <w:rsid w:val="00A52846"/>
    <w:rsid w:val="00A52849"/>
    <w:rsid w:val="00A5286E"/>
    <w:rsid w:val="00A5291C"/>
    <w:rsid w:val="00A5293A"/>
    <w:rsid w:val="00A5294F"/>
    <w:rsid w:val="00A52964"/>
    <w:rsid w:val="00A5296C"/>
    <w:rsid w:val="00A5296D"/>
    <w:rsid w:val="00A529CD"/>
    <w:rsid w:val="00A52A25"/>
    <w:rsid w:val="00A52ABA"/>
    <w:rsid w:val="00A52B0F"/>
    <w:rsid w:val="00A52B3C"/>
    <w:rsid w:val="00A52B51"/>
    <w:rsid w:val="00A52B8A"/>
    <w:rsid w:val="00A52B8E"/>
    <w:rsid w:val="00A52BBD"/>
    <w:rsid w:val="00A52C31"/>
    <w:rsid w:val="00A52C93"/>
    <w:rsid w:val="00A52CCD"/>
    <w:rsid w:val="00A52D20"/>
    <w:rsid w:val="00A52D21"/>
    <w:rsid w:val="00A52D6A"/>
    <w:rsid w:val="00A52D75"/>
    <w:rsid w:val="00A52DA5"/>
    <w:rsid w:val="00A52E1C"/>
    <w:rsid w:val="00A52F33"/>
    <w:rsid w:val="00A52F67"/>
    <w:rsid w:val="00A52F87"/>
    <w:rsid w:val="00A52FC1"/>
    <w:rsid w:val="00A52FF8"/>
    <w:rsid w:val="00A53018"/>
    <w:rsid w:val="00A530FF"/>
    <w:rsid w:val="00A53150"/>
    <w:rsid w:val="00A53292"/>
    <w:rsid w:val="00A53298"/>
    <w:rsid w:val="00A532C8"/>
    <w:rsid w:val="00A53342"/>
    <w:rsid w:val="00A5334C"/>
    <w:rsid w:val="00A53383"/>
    <w:rsid w:val="00A533B8"/>
    <w:rsid w:val="00A53411"/>
    <w:rsid w:val="00A534A6"/>
    <w:rsid w:val="00A534CF"/>
    <w:rsid w:val="00A534DD"/>
    <w:rsid w:val="00A5353D"/>
    <w:rsid w:val="00A5365B"/>
    <w:rsid w:val="00A53680"/>
    <w:rsid w:val="00A53710"/>
    <w:rsid w:val="00A5376A"/>
    <w:rsid w:val="00A537BB"/>
    <w:rsid w:val="00A537D5"/>
    <w:rsid w:val="00A5386F"/>
    <w:rsid w:val="00A538B4"/>
    <w:rsid w:val="00A538BB"/>
    <w:rsid w:val="00A538C4"/>
    <w:rsid w:val="00A538DA"/>
    <w:rsid w:val="00A538EB"/>
    <w:rsid w:val="00A53914"/>
    <w:rsid w:val="00A53929"/>
    <w:rsid w:val="00A53B13"/>
    <w:rsid w:val="00A53BD1"/>
    <w:rsid w:val="00A53BF5"/>
    <w:rsid w:val="00A53BFD"/>
    <w:rsid w:val="00A53C52"/>
    <w:rsid w:val="00A53CB0"/>
    <w:rsid w:val="00A53CF2"/>
    <w:rsid w:val="00A53D12"/>
    <w:rsid w:val="00A53DC2"/>
    <w:rsid w:val="00A53DFC"/>
    <w:rsid w:val="00A53E43"/>
    <w:rsid w:val="00A53E80"/>
    <w:rsid w:val="00A53F3E"/>
    <w:rsid w:val="00A53FB0"/>
    <w:rsid w:val="00A54004"/>
    <w:rsid w:val="00A5401D"/>
    <w:rsid w:val="00A5409A"/>
    <w:rsid w:val="00A540A7"/>
    <w:rsid w:val="00A540CC"/>
    <w:rsid w:val="00A5413B"/>
    <w:rsid w:val="00A5419A"/>
    <w:rsid w:val="00A541EE"/>
    <w:rsid w:val="00A54244"/>
    <w:rsid w:val="00A54259"/>
    <w:rsid w:val="00A5427F"/>
    <w:rsid w:val="00A54356"/>
    <w:rsid w:val="00A543D8"/>
    <w:rsid w:val="00A5443A"/>
    <w:rsid w:val="00A54477"/>
    <w:rsid w:val="00A5447A"/>
    <w:rsid w:val="00A54564"/>
    <w:rsid w:val="00A5456B"/>
    <w:rsid w:val="00A545D2"/>
    <w:rsid w:val="00A5462F"/>
    <w:rsid w:val="00A54654"/>
    <w:rsid w:val="00A54679"/>
    <w:rsid w:val="00A5467C"/>
    <w:rsid w:val="00A54681"/>
    <w:rsid w:val="00A54707"/>
    <w:rsid w:val="00A5477B"/>
    <w:rsid w:val="00A54799"/>
    <w:rsid w:val="00A547D2"/>
    <w:rsid w:val="00A5487F"/>
    <w:rsid w:val="00A548B1"/>
    <w:rsid w:val="00A5493A"/>
    <w:rsid w:val="00A5494E"/>
    <w:rsid w:val="00A549C7"/>
    <w:rsid w:val="00A54A73"/>
    <w:rsid w:val="00A54AE1"/>
    <w:rsid w:val="00A54AE2"/>
    <w:rsid w:val="00A54B36"/>
    <w:rsid w:val="00A54CB4"/>
    <w:rsid w:val="00A54D34"/>
    <w:rsid w:val="00A54D37"/>
    <w:rsid w:val="00A54DB8"/>
    <w:rsid w:val="00A54E6B"/>
    <w:rsid w:val="00A54F0F"/>
    <w:rsid w:val="00A54F2F"/>
    <w:rsid w:val="00A54F41"/>
    <w:rsid w:val="00A5502E"/>
    <w:rsid w:val="00A5506E"/>
    <w:rsid w:val="00A55078"/>
    <w:rsid w:val="00A550CE"/>
    <w:rsid w:val="00A550E3"/>
    <w:rsid w:val="00A551B0"/>
    <w:rsid w:val="00A551D1"/>
    <w:rsid w:val="00A551E1"/>
    <w:rsid w:val="00A552B0"/>
    <w:rsid w:val="00A552E7"/>
    <w:rsid w:val="00A55312"/>
    <w:rsid w:val="00A55342"/>
    <w:rsid w:val="00A553AE"/>
    <w:rsid w:val="00A553BA"/>
    <w:rsid w:val="00A55400"/>
    <w:rsid w:val="00A55428"/>
    <w:rsid w:val="00A5544E"/>
    <w:rsid w:val="00A55575"/>
    <w:rsid w:val="00A555A6"/>
    <w:rsid w:val="00A555C6"/>
    <w:rsid w:val="00A555DC"/>
    <w:rsid w:val="00A55789"/>
    <w:rsid w:val="00A557D1"/>
    <w:rsid w:val="00A55835"/>
    <w:rsid w:val="00A55865"/>
    <w:rsid w:val="00A55913"/>
    <w:rsid w:val="00A55A0E"/>
    <w:rsid w:val="00A55ADC"/>
    <w:rsid w:val="00A55B1C"/>
    <w:rsid w:val="00A55B3A"/>
    <w:rsid w:val="00A55B3F"/>
    <w:rsid w:val="00A55BD4"/>
    <w:rsid w:val="00A55BFB"/>
    <w:rsid w:val="00A55BFD"/>
    <w:rsid w:val="00A55C20"/>
    <w:rsid w:val="00A55CE5"/>
    <w:rsid w:val="00A55D07"/>
    <w:rsid w:val="00A55D16"/>
    <w:rsid w:val="00A55D33"/>
    <w:rsid w:val="00A55D63"/>
    <w:rsid w:val="00A55D67"/>
    <w:rsid w:val="00A55D89"/>
    <w:rsid w:val="00A55D8A"/>
    <w:rsid w:val="00A55E95"/>
    <w:rsid w:val="00A55EF5"/>
    <w:rsid w:val="00A55F9B"/>
    <w:rsid w:val="00A55FD4"/>
    <w:rsid w:val="00A55FEB"/>
    <w:rsid w:val="00A5600B"/>
    <w:rsid w:val="00A560F6"/>
    <w:rsid w:val="00A561C0"/>
    <w:rsid w:val="00A56227"/>
    <w:rsid w:val="00A5623B"/>
    <w:rsid w:val="00A562D3"/>
    <w:rsid w:val="00A562E8"/>
    <w:rsid w:val="00A56301"/>
    <w:rsid w:val="00A5633F"/>
    <w:rsid w:val="00A56386"/>
    <w:rsid w:val="00A5639F"/>
    <w:rsid w:val="00A563CC"/>
    <w:rsid w:val="00A564B2"/>
    <w:rsid w:val="00A56529"/>
    <w:rsid w:val="00A5655B"/>
    <w:rsid w:val="00A566AE"/>
    <w:rsid w:val="00A5676B"/>
    <w:rsid w:val="00A56771"/>
    <w:rsid w:val="00A5682E"/>
    <w:rsid w:val="00A5686A"/>
    <w:rsid w:val="00A56895"/>
    <w:rsid w:val="00A5689B"/>
    <w:rsid w:val="00A568A9"/>
    <w:rsid w:val="00A568C3"/>
    <w:rsid w:val="00A568F2"/>
    <w:rsid w:val="00A56900"/>
    <w:rsid w:val="00A5691C"/>
    <w:rsid w:val="00A56923"/>
    <w:rsid w:val="00A569C8"/>
    <w:rsid w:val="00A56A47"/>
    <w:rsid w:val="00A56ACA"/>
    <w:rsid w:val="00A56BC7"/>
    <w:rsid w:val="00A56BE7"/>
    <w:rsid w:val="00A56C1D"/>
    <w:rsid w:val="00A56C20"/>
    <w:rsid w:val="00A56C75"/>
    <w:rsid w:val="00A56CB4"/>
    <w:rsid w:val="00A56D1D"/>
    <w:rsid w:val="00A56D3B"/>
    <w:rsid w:val="00A56D62"/>
    <w:rsid w:val="00A56DCA"/>
    <w:rsid w:val="00A56DEE"/>
    <w:rsid w:val="00A56E95"/>
    <w:rsid w:val="00A56EAC"/>
    <w:rsid w:val="00A56EC7"/>
    <w:rsid w:val="00A56ECA"/>
    <w:rsid w:val="00A56F27"/>
    <w:rsid w:val="00A56F61"/>
    <w:rsid w:val="00A56F77"/>
    <w:rsid w:val="00A56FB9"/>
    <w:rsid w:val="00A56FD8"/>
    <w:rsid w:val="00A57017"/>
    <w:rsid w:val="00A570C5"/>
    <w:rsid w:val="00A570F8"/>
    <w:rsid w:val="00A57100"/>
    <w:rsid w:val="00A571E0"/>
    <w:rsid w:val="00A5722D"/>
    <w:rsid w:val="00A57280"/>
    <w:rsid w:val="00A572EB"/>
    <w:rsid w:val="00A5730D"/>
    <w:rsid w:val="00A57349"/>
    <w:rsid w:val="00A573F2"/>
    <w:rsid w:val="00A573F4"/>
    <w:rsid w:val="00A574AD"/>
    <w:rsid w:val="00A574EE"/>
    <w:rsid w:val="00A5750A"/>
    <w:rsid w:val="00A5755B"/>
    <w:rsid w:val="00A575C9"/>
    <w:rsid w:val="00A57717"/>
    <w:rsid w:val="00A57778"/>
    <w:rsid w:val="00A577CB"/>
    <w:rsid w:val="00A5780F"/>
    <w:rsid w:val="00A5785A"/>
    <w:rsid w:val="00A5785E"/>
    <w:rsid w:val="00A57890"/>
    <w:rsid w:val="00A578AA"/>
    <w:rsid w:val="00A57913"/>
    <w:rsid w:val="00A579B0"/>
    <w:rsid w:val="00A57A98"/>
    <w:rsid w:val="00A57A9F"/>
    <w:rsid w:val="00A57AE6"/>
    <w:rsid w:val="00A57B12"/>
    <w:rsid w:val="00A57BCE"/>
    <w:rsid w:val="00A57C6B"/>
    <w:rsid w:val="00A57CE2"/>
    <w:rsid w:val="00A57D23"/>
    <w:rsid w:val="00A57D3C"/>
    <w:rsid w:val="00A57E27"/>
    <w:rsid w:val="00A57E44"/>
    <w:rsid w:val="00A57EB7"/>
    <w:rsid w:val="00A57F81"/>
    <w:rsid w:val="00A57F94"/>
    <w:rsid w:val="00A57FAD"/>
    <w:rsid w:val="00A60025"/>
    <w:rsid w:val="00A600C1"/>
    <w:rsid w:val="00A600EB"/>
    <w:rsid w:val="00A60110"/>
    <w:rsid w:val="00A60270"/>
    <w:rsid w:val="00A60287"/>
    <w:rsid w:val="00A602A7"/>
    <w:rsid w:val="00A602E6"/>
    <w:rsid w:val="00A6031B"/>
    <w:rsid w:val="00A603EC"/>
    <w:rsid w:val="00A6047F"/>
    <w:rsid w:val="00A60482"/>
    <w:rsid w:val="00A60509"/>
    <w:rsid w:val="00A6059A"/>
    <w:rsid w:val="00A605AB"/>
    <w:rsid w:val="00A6064A"/>
    <w:rsid w:val="00A60672"/>
    <w:rsid w:val="00A60686"/>
    <w:rsid w:val="00A60743"/>
    <w:rsid w:val="00A6074B"/>
    <w:rsid w:val="00A60764"/>
    <w:rsid w:val="00A607C7"/>
    <w:rsid w:val="00A607FD"/>
    <w:rsid w:val="00A60819"/>
    <w:rsid w:val="00A60850"/>
    <w:rsid w:val="00A60947"/>
    <w:rsid w:val="00A6099C"/>
    <w:rsid w:val="00A60B7A"/>
    <w:rsid w:val="00A60BEB"/>
    <w:rsid w:val="00A60C32"/>
    <w:rsid w:val="00A60C7E"/>
    <w:rsid w:val="00A60C8A"/>
    <w:rsid w:val="00A60CDF"/>
    <w:rsid w:val="00A60E0F"/>
    <w:rsid w:val="00A60E15"/>
    <w:rsid w:val="00A60E65"/>
    <w:rsid w:val="00A60E74"/>
    <w:rsid w:val="00A60E9A"/>
    <w:rsid w:val="00A60F06"/>
    <w:rsid w:val="00A60F3E"/>
    <w:rsid w:val="00A60F6D"/>
    <w:rsid w:val="00A60F96"/>
    <w:rsid w:val="00A60F99"/>
    <w:rsid w:val="00A61018"/>
    <w:rsid w:val="00A61053"/>
    <w:rsid w:val="00A61071"/>
    <w:rsid w:val="00A610FC"/>
    <w:rsid w:val="00A611FF"/>
    <w:rsid w:val="00A61222"/>
    <w:rsid w:val="00A612D0"/>
    <w:rsid w:val="00A61329"/>
    <w:rsid w:val="00A61366"/>
    <w:rsid w:val="00A613A8"/>
    <w:rsid w:val="00A613D0"/>
    <w:rsid w:val="00A6140B"/>
    <w:rsid w:val="00A614C0"/>
    <w:rsid w:val="00A614CD"/>
    <w:rsid w:val="00A61522"/>
    <w:rsid w:val="00A61525"/>
    <w:rsid w:val="00A61613"/>
    <w:rsid w:val="00A61751"/>
    <w:rsid w:val="00A6177F"/>
    <w:rsid w:val="00A61812"/>
    <w:rsid w:val="00A61883"/>
    <w:rsid w:val="00A618D5"/>
    <w:rsid w:val="00A618DF"/>
    <w:rsid w:val="00A6194E"/>
    <w:rsid w:val="00A61962"/>
    <w:rsid w:val="00A6198F"/>
    <w:rsid w:val="00A619C3"/>
    <w:rsid w:val="00A61A07"/>
    <w:rsid w:val="00A61A25"/>
    <w:rsid w:val="00A61A48"/>
    <w:rsid w:val="00A61A4F"/>
    <w:rsid w:val="00A61ABC"/>
    <w:rsid w:val="00A61AF6"/>
    <w:rsid w:val="00A61B1A"/>
    <w:rsid w:val="00A61BDD"/>
    <w:rsid w:val="00A61C13"/>
    <w:rsid w:val="00A61C24"/>
    <w:rsid w:val="00A61C45"/>
    <w:rsid w:val="00A61D38"/>
    <w:rsid w:val="00A61D3B"/>
    <w:rsid w:val="00A61D51"/>
    <w:rsid w:val="00A61D5F"/>
    <w:rsid w:val="00A61D86"/>
    <w:rsid w:val="00A61E21"/>
    <w:rsid w:val="00A61E41"/>
    <w:rsid w:val="00A61E47"/>
    <w:rsid w:val="00A61E4C"/>
    <w:rsid w:val="00A61E67"/>
    <w:rsid w:val="00A61E82"/>
    <w:rsid w:val="00A61F1A"/>
    <w:rsid w:val="00A61F49"/>
    <w:rsid w:val="00A61F72"/>
    <w:rsid w:val="00A61FC4"/>
    <w:rsid w:val="00A62096"/>
    <w:rsid w:val="00A620BA"/>
    <w:rsid w:val="00A620EE"/>
    <w:rsid w:val="00A6211B"/>
    <w:rsid w:val="00A62141"/>
    <w:rsid w:val="00A62195"/>
    <w:rsid w:val="00A621C2"/>
    <w:rsid w:val="00A62283"/>
    <w:rsid w:val="00A6229F"/>
    <w:rsid w:val="00A622A4"/>
    <w:rsid w:val="00A622BE"/>
    <w:rsid w:val="00A6230B"/>
    <w:rsid w:val="00A62321"/>
    <w:rsid w:val="00A62365"/>
    <w:rsid w:val="00A623B1"/>
    <w:rsid w:val="00A6248D"/>
    <w:rsid w:val="00A62492"/>
    <w:rsid w:val="00A624D0"/>
    <w:rsid w:val="00A624D6"/>
    <w:rsid w:val="00A62522"/>
    <w:rsid w:val="00A625E4"/>
    <w:rsid w:val="00A62622"/>
    <w:rsid w:val="00A6263F"/>
    <w:rsid w:val="00A6269E"/>
    <w:rsid w:val="00A626ED"/>
    <w:rsid w:val="00A62725"/>
    <w:rsid w:val="00A62766"/>
    <w:rsid w:val="00A62779"/>
    <w:rsid w:val="00A6285D"/>
    <w:rsid w:val="00A628BE"/>
    <w:rsid w:val="00A628E5"/>
    <w:rsid w:val="00A629A2"/>
    <w:rsid w:val="00A62A24"/>
    <w:rsid w:val="00A62A29"/>
    <w:rsid w:val="00A62A60"/>
    <w:rsid w:val="00A62AAA"/>
    <w:rsid w:val="00A62BA7"/>
    <w:rsid w:val="00A62BB9"/>
    <w:rsid w:val="00A62BE1"/>
    <w:rsid w:val="00A62C81"/>
    <w:rsid w:val="00A62CF3"/>
    <w:rsid w:val="00A62CFD"/>
    <w:rsid w:val="00A62E42"/>
    <w:rsid w:val="00A62E5A"/>
    <w:rsid w:val="00A62F89"/>
    <w:rsid w:val="00A62FBE"/>
    <w:rsid w:val="00A630DB"/>
    <w:rsid w:val="00A63199"/>
    <w:rsid w:val="00A631F3"/>
    <w:rsid w:val="00A631F4"/>
    <w:rsid w:val="00A631F5"/>
    <w:rsid w:val="00A63224"/>
    <w:rsid w:val="00A63290"/>
    <w:rsid w:val="00A632D6"/>
    <w:rsid w:val="00A6338A"/>
    <w:rsid w:val="00A6338C"/>
    <w:rsid w:val="00A63418"/>
    <w:rsid w:val="00A634C3"/>
    <w:rsid w:val="00A634FA"/>
    <w:rsid w:val="00A6355D"/>
    <w:rsid w:val="00A6358C"/>
    <w:rsid w:val="00A635CC"/>
    <w:rsid w:val="00A635F8"/>
    <w:rsid w:val="00A636A9"/>
    <w:rsid w:val="00A6373E"/>
    <w:rsid w:val="00A637C6"/>
    <w:rsid w:val="00A63893"/>
    <w:rsid w:val="00A638CA"/>
    <w:rsid w:val="00A638E6"/>
    <w:rsid w:val="00A63902"/>
    <w:rsid w:val="00A639B5"/>
    <w:rsid w:val="00A639C3"/>
    <w:rsid w:val="00A639F4"/>
    <w:rsid w:val="00A63A09"/>
    <w:rsid w:val="00A63A63"/>
    <w:rsid w:val="00A63A76"/>
    <w:rsid w:val="00A63A9D"/>
    <w:rsid w:val="00A63BE0"/>
    <w:rsid w:val="00A63C7D"/>
    <w:rsid w:val="00A63C7E"/>
    <w:rsid w:val="00A63C82"/>
    <w:rsid w:val="00A63C95"/>
    <w:rsid w:val="00A63CCB"/>
    <w:rsid w:val="00A63CE1"/>
    <w:rsid w:val="00A63D3E"/>
    <w:rsid w:val="00A63E47"/>
    <w:rsid w:val="00A63E4A"/>
    <w:rsid w:val="00A63F0D"/>
    <w:rsid w:val="00A63F6C"/>
    <w:rsid w:val="00A63FD2"/>
    <w:rsid w:val="00A63FD8"/>
    <w:rsid w:val="00A64046"/>
    <w:rsid w:val="00A64066"/>
    <w:rsid w:val="00A640C6"/>
    <w:rsid w:val="00A64122"/>
    <w:rsid w:val="00A64176"/>
    <w:rsid w:val="00A641AD"/>
    <w:rsid w:val="00A64236"/>
    <w:rsid w:val="00A64247"/>
    <w:rsid w:val="00A642A8"/>
    <w:rsid w:val="00A642EA"/>
    <w:rsid w:val="00A643B3"/>
    <w:rsid w:val="00A64429"/>
    <w:rsid w:val="00A6442D"/>
    <w:rsid w:val="00A64526"/>
    <w:rsid w:val="00A64538"/>
    <w:rsid w:val="00A6454D"/>
    <w:rsid w:val="00A645E3"/>
    <w:rsid w:val="00A646B0"/>
    <w:rsid w:val="00A64723"/>
    <w:rsid w:val="00A64759"/>
    <w:rsid w:val="00A647A0"/>
    <w:rsid w:val="00A647AA"/>
    <w:rsid w:val="00A647D7"/>
    <w:rsid w:val="00A647F4"/>
    <w:rsid w:val="00A648A5"/>
    <w:rsid w:val="00A648D1"/>
    <w:rsid w:val="00A649AA"/>
    <w:rsid w:val="00A64A71"/>
    <w:rsid w:val="00A64ADA"/>
    <w:rsid w:val="00A64B43"/>
    <w:rsid w:val="00A64BF9"/>
    <w:rsid w:val="00A64C14"/>
    <w:rsid w:val="00A64C22"/>
    <w:rsid w:val="00A64C7D"/>
    <w:rsid w:val="00A64CC4"/>
    <w:rsid w:val="00A64DA6"/>
    <w:rsid w:val="00A64EB6"/>
    <w:rsid w:val="00A64FBE"/>
    <w:rsid w:val="00A65033"/>
    <w:rsid w:val="00A65138"/>
    <w:rsid w:val="00A6517A"/>
    <w:rsid w:val="00A651A6"/>
    <w:rsid w:val="00A65200"/>
    <w:rsid w:val="00A6524B"/>
    <w:rsid w:val="00A6527B"/>
    <w:rsid w:val="00A652FC"/>
    <w:rsid w:val="00A65386"/>
    <w:rsid w:val="00A653F0"/>
    <w:rsid w:val="00A65446"/>
    <w:rsid w:val="00A6549D"/>
    <w:rsid w:val="00A65549"/>
    <w:rsid w:val="00A6556D"/>
    <w:rsid w:val="00A655A8"/>
    <w:rsid w:val="00A6566A"/>
    <w:rsid w:val="00A656C0"/>
    <w:rsid w:val="00A6583B"/>
    <w:rsid w:val="00A65840"/>
    <w:rsid w:val="00A658B6"/>
    <w:rsid w:val="00A65957"/>
    <w:rsid w:val="00A65A98"/>
    <w:rsid w:val="00A65AA8"/>
    <w:rsid w:val="00A65ABA"/>
    <w:rsid w:val="00A65AE1"/>
    <w:rsid w:val="00A65AF4"/>
    <w:rsid w:val="00A65AF9"/>
    <w:rsid w:val="00A65B37"/>
    <w:rsid w:val="00A65BA6"/>
    <w:rsid w:val="00A65C5E"/>
    <w:rsid w:val="00A65CF1"/>
    <w:rsid w:val="00A65D2F"/>
    <w:rsid w:val="00A65D53"/>
    <w:rsid w:val="00A65E8A"/>
    <w:rsid w:val="00A65E93"/>
    <w:rsid w:val="00A65EAF"/>
    <w:rsid w:val="00A65F1B"/>
    <w:rsid w:val="00A65F3F"/>
    <w:rsid w:val="00A65F99"/>
    <w:rsid w:val="00A65FE9"/>
    <w:rsid w:val="00A65FF4"/>
    <w:rsid w:val="00A660EC"/>
    <w:rsid w:val="00A660FF"/>
    <w:rsid w:val="00A66178"/>
    <w:rsid w:val="00A661D0"/>
    <w:rsid w:val="00A66205"/>
    <w:rsid w:val="00A66236"/>
    <w:rsid w:val="00A66266"/>
    <w:rsid w:val="00A66274"/>
    <w:rsid w:val="00A6628A"/>
    <w:rsid w:val="00A6632D"/>
    <w:rsid w:val="00A6637F"/>
    <w:rsid w:val="00A663C3"/>
    <w:rsid w:val="00A663EF"/>
    <w:rsid w:val="00A6641B"/>
    <w:rsid w:val="00A66455"/>
    <w:rsid w:val="00A6648E"/>
    <w:rsid w:val="00A6649F"/>
    <w:rsid w:val="00A664F9"/>
    <w:rsid w:val="00A66510"/>
    <w:rsid w:val="00A6657F"/>
    <w:rsid w:val="00A6658E"/>
    <w:rsid w:val="00A665D7"/>
    <w:rsid w:val="00A665F1"/>
    <w:rsid w:val="00A66613"/>
    <w:rsid w:val="00A6661A"/>
    <w:rsid w:val="00A6662F"/>
    <w:rsid w:val="00A66638"/>
    <w:rsid w:val="00A666B4"/>
    <w:rsid w:val="00A666D0"/>
    <w:rsid w:val="00A66762"/>
    <w:rsid w:val="00A66784"/>
    <w:rsid w:val="00A66791"/>
    <w:rsid w:val="00A667EC"/>
    <w:rsid w:val="00A668C7"/>
    <w:rsid w:val="00A6694B"/>
    <w:rsid w:val="00A6696A"/>
    <w:rsid w:val="00A66996"/>
    <w:rsid w:val="00A66A82"/>
    <w:rsid w:val="00A66AF9"/>
    <w:rsid w:val="00A66B29"/>
    <w:rsid w:val="00A66B64"/>
    <w:rsid w:val="00A66B74"/>
    <w:rsid w:val="00A66B96"/>
    <w:rsid w:val="00A66B9D"/>
    <w:rsid w:val="00A66BDF"/>
    <w:rsid w:val="00A66C58"/>
    <w:rsid w:val="00A66CB6"/>
    <w:rsid w:val="00A66CF4"/>
    <w:rsid w:val="00A66D15"/>
    <w:rsid w:val="00A66D8F"/>
    <w:rsid w:val="00A66DD9"/>
    <w:rsid w:val="00A66DE5"/>
    <w:rsid w:val="00A66E4F"/>
    <w:rsid w:val="00A66E68"/>
    <w:rsid w:val="00A66ED1"/>
    <w:rsid w:val="00A66F75"/>
    <w:rsid w:val="00A66FD2"/>
    <w:rsid w:val="00A6707B"/>
    <w:rsid w:val="00A670FD"/>
    <w:rsid w:val="00A67135"/>
    <w:rsid w:val="00A671A0"/>
    <w:rsid w:val="00A671CE"/>
    <w:rsid w:val="00A67223"/>
    <w:rsid w:val="00A67297"/>
    <w:rsid w:val="00A67302"/>
    <w:rsid w:val="00A6730F"/>
    <w:rsid w:val="00A6732C"/>
    <w:rsid w:val="00A67387"/>
    <w:rsid w:val="00A6738E"/>
    <w:rsid w:val="00A673C6"/>
    <w:rsid w:val="00A6749F"/>
    <w:rsid w:val="00A675F9"/>
    <w:rsid w:val="00A676AD"/>
    <w:rsid w:val="00A676F7"/>
    <w:rsid w:val="00A6778E"/>
    <w:rsid w:val="00A67805"/>
    <w:rsid w:val="00A6781B"/>
    <w:rsid w:val="00A6786E"/>
    <w:rsid w:val="00A678AB"/>
    <w:rsid w:val="00A678EA"/>
    <w:rsid w:val="00A67998"/>
    <w:rsid w:val="00A679E0"/>
    <w:rsid w:val="00A67A17"/>
    <w:rsid w:val="00A67ACB"/>
    <w:rsid w:val="00A67AE2"/>
    <w:rsid w:val="00A67B4D"/>
    <w:rsid w:val="00A67B9B"/>
    <w:rsid w:val="00A67BC7"/>
    <w:rsid w:val="00A67C06"/>
    <w:rsid w:val="00A67C44"/>
    <w:rsid w:val="00A67C6D"/>
    <w:rsid w:val="00A67D1C"/>
    <w:rsid w:val="00A67DC7"/>
    <w:rsid w:val="00A67F30"/>
    <w:rsid w:val="00A70046"/>
    <w:rsid w:val="00A700ED"/>
    <w:rsid w:val="00A7010C"/>
    <w:rsid w:val="00A7016A"/>
    <w:rsid w:val="00A701A4"/>
    <w:rsid w:val="00A7023D"/>
    <w:rsid w:val="00A702D6"/>
    <w:rsid w:val="00A702F7"/>
    <w:rsid w:val="00A70308"/>
    <w:rsid w:val="00A70378"/>
    <w:rsid w:val="00A703DC"/>
    <w:rsid w:val="00A703F0"/>
    <w:rsid w:val="00A70405"/>
    <w:rsid w:val="00A7040C"/>
    <w:rsid w:val="00A70463"/>
    <w:rsid w:val="00A7046E"/>
    <w:rsid w:val="00A704F5"/>
    <w:rsid w:val="00A70501"/>
    <w:rsid w:val="00A7051C"/>
    <w:rsid w:val="00A70586"/>
    <w:rsid w:val="00A7058B"/>
    <w:rsid w:val="00A7064C"/>
    <w:rsid w:val="00A70686"/>
    <w:rsid w:val="00A70728"/>
    <w:rsid w:val="00A7075B"/>
    <w:rsid w:val="00A7079C"/>
    <w:rsid w:val="00A7085C"/>
    <w:rsid w:val="00A708AA"/>
    <w:rsid w:val="00A7099C"/>
    <w:rsid w:val="00A709B7"/>
    <w:rsid w:val="00A709E3"/>
    <w:rsid w:val="00A70A4F"/>
    <w:rsid w:val="00A70A63"/>
    <w:rsid w:val="00A70AEF"/>
    <w:rsid w:val="00A70B5D"/>
    <w:rsid w:val="00A70B84"/>
    <w:rsid w:val="00A70BA8"/>
    <w:rsid w:val="00A70C21"/>
    <w:rsid w:val="00A70C84"/>
    <w:rsid w:val="00A70CCB"/>
    <w:rsid w:val="00A70D68"/>
    <w:rsid w:val="00A70D6E"/>
    <w:rsid w:val="00A70DBB"/>
    <w:rsid w:val="00A70E1B"/>
    <w:rsid w:val="00A70E22"/>
    <w:rsid w:val="00A70EF4"/>
    <w:rsid w:val="00A70FA2"/>
    <w:rsid w:val="00A70FFB"/>
    <w:rsid w:val="00A71036"/>
    <w:rsid w:val="00A71075"/>
    <w:rsid w:val="00A7109C"/>
    <w:rsid w:val="00A710A7"/>
    <w:rsid w:val="00A7113E"/>
    <w:rsid w:val="00A7126D"/>
    <w:rsid w:val="00A712B4"/>
    <w:rsid w:val="00A713DC"/>
    <w:rsid w:val="00A71485"/>
    <w:rsid w:val="00A7149F"/>
    <w:rsid w:val="00A714C9"/>
    <w:rsid w:val="00A714D3"/>
    <w:rsid w:val="00A714D6"/>
    <w:rsid w:val="00A714E5"/>
    <w:rsid w:val="00A714E8"/>
    <w:rsid w:val="00A71576"/>
    <w:rsid w:val="00A7157B"/>
    <w:rsid w:val="00A715D5"/>
    <w:rsid w:val="00A71630"/>
    <w:rsid w:val="00A71644"/>
    <w:rsid w:val="00A71679"/>
    <w:rsid w:val="00A71723"/>
    <w:rsid w:val="00A71728"/>
    <w:rsid w:val="00A71784"/>
    <w:rsid w:val="00A7179B"/>
    <w:rsid w:val="00A717E5"/>
    <w:rsid w:val="00A718A7"/>
    <w:rsid w:val="00A718C9"/>
    <w:rsid w:val="00A718FE"/>
    <w:rsid w:val="00A719A2"/>
    <w:rsid w:val="00A719E0"/>
    <w:rsid w:val="00A71A50"/>
    <w:rsid w:val="00A71AC4"/>
    <w:rsid w:val="00A71B45"/>
    <w:rsid w:val="00A71B46"/>
    <w:rsid w:val="00A71B63"/>
    <w:rsid w:val="00A71BAD"/>
    <w:rsid w:val="00A71BD5"/>
    <w:rsid w:val="00A71C9B"/>
    <w:rsid w:val="00A71CCE"/>
    <w:rsid w:val="00A71CE2"/>
    <w:rsid w:val="00A71D15"/>
    <w:rsid w:val="00A71D61"/>
    <w:rsid w:val="00A71D75"/>
    <w:rsid w:val="00A71D8F"/>
    <w:rsid w:val="00A71DAD"/>
    <w:rsid w:val="00A71DBC"/>
    <w:rsid w:val="00A71E0E"/>
    <w:rsid w:val="00A71EBE"/>
    <w:rsid w:val="00A71F1F"/>
    <w:rsid w:val="00A71FAC"/>
    <w:rsid w:val="00A71FAE"/>
    <w:rsid w:val="00A72153"/>
    <w:rsid w:val="00A7220C"/>
    <w:rsid w:val="00A72219"/>
    <w:rsid w:val="00A7222C"/>
    <w:rsid w:val="00A72230"/>
    <w:rsid w:val="00A72241"/>
    <w:rsid w:val="00A7231C"/>
    <w:rsid w:val="00A72328"/>
    <w:rsid w:val="00A7236C"/>
    <w:rsid w:val="00A723A5"/>
    <w:rsid w:val="00A7244D"/>
    <w:rsid w:val="00A724EA"/>
    <w:rsid w:val="00A72518"/>
    <w:rsid w:val="00A72574"/>
    <w:rsid w:val="00A7257D"/>
    <w:rsid w:val="00A725F7"/>
    <w:rsid w:val="00A72624"/>
    <w:rsid w:val="00A7267F"/>
    <w:rsid w:val="00A72684"/>
    <w:rsid w:val="00A727E8"/>
    <w:rsid w:val="00A72835"/>
    <w:rsid w:val="00A728C1"/>
    <w:rsid w:val="00A728C8"/>
    <w:rsid w:val="00A7294F"/>
    <w:rsid w:val="00A72960"/>
    <w:rsid w:val="00A72994"/>
    <w:rsid w:val="00A729F4"/>
    <w:rsid w:val="00A72A60"/>
    <w:rsid w:val="00A72A6D"/>
    <w:rsid w:val="00A72AF1"/>
    <w:rsid w:val="00A72B04"/>
    <w:rsid w:val="00A72B21"/>
    <w:rsid w:val="00A72C30"/>
    <w:rsid w:val="00A72C42"/>
    <w:rsid w:val="00A72C85"/>
    <w:rsid w:val="00A72CA2"/>
    <w:rsid w:val="00A72CCA"/>
    <w:rsid w:val="00A72CF8"/>
    <w:rsid w:val="00A72D25"/>
    <w:rsid w:val="00A72D5C"/>
    <w:rsid w:val="00A72D8F"/>
    <w:rsid w:val="00A72DF0"/>
    <w:rsid w:val="00A72E3E"/>
    <w:rsid w:val="00A72E60"/>
    <w:rsid w:val="00A72F0E"/>
    <w:rsid w:val="00A72F67"/>
    <w:rsid w:val="00A72FA1"/>
    <w:rsid w:val="00A73086"/>
    <w:rsid w:val="00A730DE"/>
    <w:rsid w:val="00A73129"/>
    <w:rsid w:val="00A73136"/>
    <w:rsid w:val="00A73146"/>
    <w:rsid w:val="00A73169"/>
    <w:rsid w:val="00A73171"/>
    <w:rsid w:val="00A73185"/>
    <w:rsid w:val="00A731A6"/>
    <w:rsid w:val="00A73262"/>
    <w:rsid w:val="00A732FA"/>
    <w:rsid w:val="00A73322"/>
    <w:rsid w:val="00A733CB"/>
    <w:rsid w:val="00A733CF"/>
    <w:rsid w:val="00A7342C"/>
    <w:rsid w:val="00A73476"/>
    <w:rsid w:val="00A734FC"/>
    <w:rsid w:val="00A73567"/>
    <w:rsid w:val="00A73582"/>
    <w:rsid w:val="00A73583"/>
    <w:rsid w:val="00A73593"/>
    <w:rsid w:val="00A735D1"/>
    <w:rsid w:val="00A735F5"/>
    <w:rsid w:val="00A73633"/>
    <w:rsid w:val="00A7368D"/>
    <w:rsid w:val="00A7369C"/>
    <w:rsid w:val="00A73700"/>
    <w:rsid w:val="00A737FE"/>
    <w:rsid w:val="00A73811"/>
    <w:rsid w:val="00A738AC"/>
    <w:rsid w:val="00A738BA"/>
    <w:rsid w:val="00A738C9"/>
    <w:rsid w:val="00A738D5"/>
    <w:rsid w:val="00A738FF"/>
    <w:rsid w:val="00A73917"/>
    <w:rsid w:val="00A739B3"/>
    <w:rsid w:val="00A73A1A"/>
    <w:rsid w:val="00A73A69"/>
    <w:rsid w:val="00A73A93"/>
    <w:rsid w:val="00A73A9E"/>
    <w:rsid w:val="00A73AC7"/>
    <w:rsid w:val="00A73B85"/>
    <w:rsid w:val="00A73BBF"/>
    <w:rsid w:val="00A73C70"/>
    <w:rsid w:val="00A73C74"/>
    <w:rsid w:val="00A73C75"/>
    <w:rsid w:val="00A73CF7"/>
    <w:rsid w:val="00A73CFE"/>
    <w:rsid w:val="00A73D47"/>
    <w:rsid w:val="00A73D4F"/>
    <w:rsid w:val="00A73D73"/>
    <w:rsid w:val="00A73D9D"/>
    <w:rsid w:val="00A73E7F"/>
    <w:rsid w:val="00A73E89"/>
    <w:rsid w:val="00A73E9E"/>
    <w:rsid w:val="00A73EDF"/>
    <w:rsid w:val="00A73EFD"/>
    <w:rsid w:val="00A73F82"/>
    <w:rsid w:val="00A73FC5"/>
    <w:rsid w:val="00A74038"/>
    <w:rsid w:val="00A7403C"/>
    <w:rsid w:val="00A740BB"/>
    <w:rsid w:val="00A740E6"/>
    <w:rsid w:val="00A74176"/>
    <w:rsid w:val="00A741C9"/>
    <w:rsid w:val="00A74463"/>
    <w:rsid w:val="00A7469F"/>
    <w:rsid w:val="00A746D8"/>
    <w:rsid w:val="00A7470E"/>
    <w:rsid w:val="00A74736"/>
    <w:rsid w:val="00A747C9"/>
    <w:rsid w:val="00A74815"/>
    <w:rsid w:val="00A7485E"/>
    <w:rsid w:val="00A7489C"/>
    <w:rsid w:val="00A748B6"/>
    <w:rsid w:val="00A7491F"/>
    <w:rsid w:val="00A74931"/>
    <w:rsid w:val="00A7496F"/>
    <w:rsid w:val="00A74980"/>
    <w:rsid w:val="00A74988"/>
    <w:rsid w:val="00A749C9"/>
    <w:rsid w:val="00A74A13"/>
    <w:rsid w:val="00A74A22"/>
    <w:rsid w:val="00A74A94"/>
    <w:rsid w:val="00A74ACD"/>
    <w:rsid w:val="00A74AD0"/>
    <w:rsid w:val="00A74AD9"/>
    <w:rsid w:val="00A74AF4"/>
    <w:rsid w:val="00A74B54"/>
    <w:rsid w:val="00A74BDF"/>
    <w:rsid w:val="00A74BF8"/>
    <w:rsid w:val="00A74C32"/>
    <w:rsid w:val="00A74D31"/>
    <w:rsid w:val="00A74D36"/>
    <w:rsid w:val="00A74DF5"/>
    <w:rsid w:val="00A74DF8"/>
    <w:rsid w:val="00A74E4A"/>
    <w:rsid w:val="00A74EC0"/>
    <w:rsid w:val="00A74F02"/>
    <w:rsid w:val="00A74F08"/>
    <w:rsid w:val="00A74F4C"/>
    <w:rsid w:val="00A75005"/>
    <w:rsid w:val="00A75052"/>
    <w:rsid w:val="00A7508E"/>
    <w:rsid w:val="00A750C3"/>
    <w:rsid w:val="00A75119"/>
    <w:rsid w:val="00A751A3"/>
    <w:rsid w:val="00A751CC"/>
    <w:rsid w:val="00A752CB"/>
    <w:rsid w:val="00A7535E"/>
    <w:rsid w:val="00A75459"/>
    <w:rsid w:val="00A754A1"/>
    <w:rsid w:val="00A754EC"/>
    <w:rsid w:val="00A7550B"/>
    <w:rsid w:val="00A755F4"/>
    <w:rsid w:val="00A75620"/>
    <w:rsid w:val="00A75715"/>
    <w:rsid w:val="00A75784"/>
    <w:rsid w:val="00A757B5"/>
    <w:rsid w:val="00A7583C"/>
    <w:rsid w:val="00A758D0"/>
    <w:rsid w:val="00A759DF"/>
    <w:rsid w:val="00A75A3C"/>
    <w:rsid w:val="00A75B02"/>
    <w:rsid w:val="00A75B14"/>
    <w:rsid w:val="00A75B65"/>
    <w:rsid w:val="00A75B67"/>
    <w:rsid w:val="00A75B77"/>
    <w:rsid w:val="00A75BAC"/>
    <w:rsid w:val="00A75C20"/>
    <w:rsid w:val="00A75C9F"/>
    <w:rsid w:val="00A75D9E"/>
    <w:rsid w:val="00A75DDA"/>
    <w:rsid w:val="00A75DEC"/>
    <w:rsid w:val="00A75E6B"/>
    <w:rsid w:val="00A75EC8"/>
    <w:rsid w:val="00A75EE3"/>
    <w:rsid w:val="00A75EEC"/>
    <w:rsid w:val="00A75F3F"/>
    <w:rsid w:val="00A75F78"/>
    <w:rsid w:val="00A75FA4"/>
    <w:rsid w:val="00A75FD8"/>
    <w:rsid w:val="00A75FE6"/>
    <w:rsid w:val="00A76045"/>
    <w:rsid w:val="00A76058"/>
    <w:rsid w:val="00A760D4"/>
    <w:rsid w:val="00A76162"/>
    <w:rsid w:val="00A7619A"/>
    <w:rsid w:val="00A761AA"/>
    <w:rsid w:val="00A761C5"/>
    <w:rsid w:val="00A7627F"/>
    <w:rsid w:val="00A762B4"/>
    <w:rsid w:val="00A76388"/>
    <w:rsid w:val="00A76463"/>
    <w:rsid w:val="00A764CB"/>
    <w:rsid w:val="00A764DA"/>
    <w:rsid w:val="00A76560"/>
    <w:rsid w:val="00A765B6"/>
    <w:rsid w:val="00A765BE"/>
    <w:rsid w:val="00A7670B"/>
    <w:rsid w:val="00A7672B"/>
    <w:rsid w:val="00A76794"/>
    <w:rsid w:val="00A7679E"/>
    <w:rsid w:val="00A767D6"/>
    <w:rsid w:val="00A76941"/>
    <w:rsid w:val="00A7698E"/>
    <w:rsid w:val="00A76A96"/>
    <w:rsid w:val="00A76ABE"/>
    <w:rsid w:val="00A76B9D"/>
    <w:rsid w:val="00A76BF7"/>
    <w:rsid w:val="00A76C0F"/>
    <w:rsid w:val="00A76C52"/>
    <w:rsid w:val="00A76C58"/>
    <w:rsid w:val="00A76C8A"/>
    <w:rsid w:val="00A76C8B"/>
    <w:rsid w:val="00A76D14"/>
    <w:rsid w:val="00A76D30"/>
    <w:rsid w:val="00A76E97"/>
    <w:rsid w:val="00A76EA1"/>
    <w:rsid w:val="00A76EEC"/>
    <w:rsid w:val="00A76F95"/>
    <w:rsid w:val="00A76F97"/>
    <w:rsid w:val="00A77010"/>
    <w:rsid w:val="00A77049"/>
    <w:rsid w:val="00A77081"/>
    <w:rsid w:val="00A770D4"/>
    <w:rsid w:val="00A770D5"/>
    <w:rsid w:val="00A77194"/>
    <w:rsid w:val="00A771BC"/>
    <w:rsid w:val="00A77224"/>
    <w:rsid w:val="00A77252"/>
    <w:rsid w:val="00A77280"/>
    <w:rsid w:val="00A772A6"/>
    <w:rsid w:val="00A772E1"/>
    <w:rsid w:val="00A7731F"/>
    <w:rsid w:val="00A77323"/>
    <w:rsid w:val="00A77331"/>
    <w:rsid w:val="00A773A6"/>
    <w:rsid w:val="00A773B9"/>
    <w:rsid w:val="00A773C1"/>
    <w:rsid w:val="00A77410"/>
    <w:rsid w:val="00A77461"/>
    <w:rsid w:val="00A77487"/>
    <w:rsid w:val="00A7754F"/>
    <w:rsid w:val="00A77599"/>
    <w:rsid w:val="00A775B4"/>
    <w:rsid w:val="00A775E2"/>
    <w:rsid w:val="00A77655"/>
    <w:rsid w:val="00A776A7"/>
    <w:rsid w:val="00A776EE"/>
    <w:rsid w:val="00A776F5"/>
    <w:rsid w:val="00A77819"/>
    <w:rsid w:val="00A77953"/>
    <w:rsid w:val="00A77955"/>
    <w:rsid w:val="00A7796D"/>
    <w:rsid w:val="00A779CE"/>
    <w:rsid w:val="00A77A26"/>
    <w:rsid w:val="00A77ADC"/>
    <w:rsid w:val="00A77B12"/>
    <w:rsid w:val="00A77C58"/>
    <w:rsid w:val="00A77C8C"/>
    <w:rsid w:val="00A77CC2"/>
    <w:rsid w:val="00A77D3D"/>
    <w:rsid w:val="00A77D45"/>
    <w:rsid w:val="00A77D70"/>
    <w:rsid w:val="00A77DE3"/>
    <w:rsid w:val="00A77E21"/>
    <w:rsid w:val="00A77E34"/>
    <w:rsid w:val="00A77E8A"/>
    <w:rsid w:val="00A77EED"/>
    <w:rsid w:val="00A77F2F"/>
    <w:rsid w:val="00A80053"/>
    <w:rsid w:val="00A800D6"/>
    <w:rsid w:val="00A80176"/>
    <w:rsid w:val="00A801EB"/>
    <w:rsid w:val="00A8021F"/>
    <w:rsid w:val="00A802D4"/>
    <w:rsid w:val="00A802D7"/>
    <w:rsid w:val="00A80358"/>
    <w:rsid w:val="00A803AB"/>
    <w:rsid w:val="00A803AF"/>
    <w:rsid w:val="00A803C2"/>
    <w:rsid w:val="00A80415"/>
    <w:rsid w:val="00A80460"/>
    <w:rsid w:val="00A80461"/>
    <w:rsid w:val="00A804CE"/>
    <w:rsid w:val="00A804D3"/>
    <w:rsid w:val="00A805C7"/>
    <w:rsid w:val="00A8063C"/>
    <w:rsid w:val="00A8063E"/>
    <w:rsid w:val="00A80799"/>
    <w:rsid w:val="00A80850"/>
    <w:rsid w:val="00A808F1"/>
    <w:rsid w:val="00A808FD"/>
    <w:rsid w:val="00A809C8"/>
    <w:rsid w:val="00A80A0E"/>
    <w:rsid w:val="00A80A1E"/>
    <w:rsid w:val="00A80A44"/>
    <w:rsid w:val="00A80A47"/>
    <w:rsid w:val="00A80A50"/>
    <w:rsid w:val="00A80BD8"/>
    <w:rsid w:val="00A80C4D"/>
    <w:rsid w:val="00A80C85"/>
    <w:rsid w:val="00A80D08"/>
    <w:rsid w:val="00A80D0F"/>
    <w:rsid w:val="00A80D65"/>
    <w:rsid w:val="00A80FB1"/>
    <w:rsid w:val="00A80FD3"/>
    <w:rsid w:val="00A81007"/>
    <w:rsid w:val="00A8103A"/>
    <w:rsid w:val="00A81102"/>
    <w:rsid w:val="00A81112"/>
    <w:rsid w:val="00A81117"/>
    <w:rsid w:val="00A8113F"/>
    <w:rsid w:val="00A8117F"/>
    <w:rsid w:val="00A811BA"/>
    <w:rsid w:val="00A811FC"/>
    <w:rsid w:val="00A81238"/>
    <w:rsid w:val="00A81278"/>
    <w:rsid w:val="00A812E0"/>
    <w:rsid w:val="00A81342"/>
    <w:rsid w:val="00A81370"/>
    <w:rsid w:val="00A813E5"/>
    <w:rsid w:val="00A813EC"/>
    <w:rsid w:val="00A81507"/>
    <w:rsid w:val="00A81585"/>
    <w:rsid w:val="00A81611"/>
    <w:rsid w:val="00A8164E"/>
    <w:rsid w:val="00A81695"/>
    <w:rsid w:val="00A8182F"/>
    <w:rsid w:val="00A81860"/>
    <w:rsid w:val="00A81894"/>
    <w:rsid w:val="00A818DD"/>
    <w:rsid w:val="00A81964"/>
    <w:rsid w:val="00A819D0"/>
    <w:rsid w:val="00A81A1F"/>
    <w:rsid w:val="00A81A4F"/>
    <w:rsid w:val="00A81BBA"/>
    <w:rsid w:val="00A81BED"/>
    <w:rsid w:val="00A81C18"/>
    <w:rsid w:val="00A81C36"/>
    <w:rsid w:val="00A81C4A"/>
    <w:rsid w:val="00A81C7D"/>
    <w:rsid w:val="00A81C98"/>
    <w:rsid w:val="00A81CB4"/>
    <w:rsid w:val="00A81CEA"/>
    <w:rsid w:val="00A81DAF"/>
    <w:rsid w:val="00A81DC0"/>
    <w:rsid w:val="00A81DD5"/>
    <w:rsid w:val="00A81E2B"/>
    <w:rsid w:val="00A81E6F"/>
    <w:rsid w:val="00A81EFE"/>
    <w:rsid w:val="00A81F12"/>
    <w:rsid w:val="00A81FC3"/>
    <w:rsid w:val="00A81FEE"/>
    <w:rsid w:val="00A821AE"/>
    <w:rsid w:val="00A821C4"/>
    <w:rsid w:val="00A8224C"/>
    <w:rsid w:val="00A82279"/>
    <w:rsid w:val="00A8227E"/>
    <w:rsid w:val="00A822C6"/>
    <w:rsid w:val="00A822ED"/>
    <w:rsid w:val="00A82373"/>
    <w:rsid w:val="00A82392"/>
    <w:rsid w:val="00A8248A"/>
    <w:rsid w:val="00A824AD"/>
    <w:rsid w:val="00A8269C"/>
    <w:rsid w:val="00A826B6"/>
    <w:rsid w:val="00A826D9"/>
    <w:rsid w:val="00A826F1"/>
    <w:rsid w:val="00A8274F"/>
    <w:rsid w:val="00A8275F"/>
    <w:rsid w:val="00A82765"/>
    <w:rsid w:val="00A8276D"/>
    <w:rsid w:val="00A827AC"/>
    <w:rsid w:val="00A827BA"/>
    <w:rsid w:val="00A827FF"/>
    <w:rsid w:val="00A82808"/>
    <w:rsid w:val="00A82865"/>
    <w:rsid w:val="00A828A0"/>
    <w:rsid w:val="00A828A1"/>
    <w:rsid w:val="00A82927"/>
    <w:rsid w:val="00A82A4D"/>
    <w:rsid w:val="00A82A67"/>
    <w:rsid w:val="00A82A7C"/>
    <w:rsid w:val="00A82A94"/>
    <w:rsid w:val="00A82ACE"/>
    <w:rsid w:val="00A82AFB"/>
    <w:rsid w:val="00A82B26"/>
    <w:rsid w:val="00A82BAB"/>
    <w:rsid w:val="00A82BBD"/>
    <w:rsid w:val="00A82BF3"/>
    <w:rsid w:val="00A82C36"/>
    <w:rsid w:val="00A82CC1"/>
    <w:rsid w:val="00A82CF6"/>
    <w:rsid w:val="00A82D08"/>
    <w:rsid w:val="00A82D16"/>
    <w:rsid w:val="00A82D73"/>
    <w:rsid w:val="00A82DFB"/>
    <w:rsid w:val="00A82E40"/>
    <w:rsid w:val="00A82E5F"/>
    <w:rsid w:val="00A82EA2"/>
    <w:rsid w:val="00A82F4A"/>
    <w:rsid w:val="00A82FF0"/>
    <w:rsid w:val="00A8300F"/>
    <w:rsid w:val="00A8306C"/>
    <w:rsid w:val="00A8308F"/>
    <w:rsid w:val="00A830F1"/>
    <w:rsid w:val="00A830FB"/>
    <w:rsid w:val="00A83194"/>
    <w:rsid w:val="00A831C4"/>
    <w:rsid w:val="00A831DE"/>
    <w:rsid w:val="00A8330B"/>
    <w:rsid w:val="00A83319"/>
    <w:rsid w:val="00A8338C"/>
    <w:rsid w:val="00A833A7"/>
    <w:rsid w:val="00A833E9"/>
    <w:rsid w:val="00A8344B"/>
    <w:rsid w:val="00A834E3"/>
    <w:rsid w:val="00A834E6"/>
    <w:rsid w:val="00A83583"/>
    <w:rsid w:val="00A835D6"/>
    <w:rsid w:val="00A83604"/>
    <w:rsid w:val="00A83645"/>
    <w:rsid w:val="00A83658"/>
    <w:rsid w:val="00A8366A"/>
    <w:rsid w:val="00A8369C"/>
    <w:rsid w:val="00A836AC"/>
    <w:rsid w:val="00A836C8"/>
    <w:rsid w:val="00A8374E"/>
    <w:rsid w:val="00A837D5"/>
    <w:rsid w:val="00A838AC"/>
    <w:rsid w:val="00A838BA"/>
    <w:rsid w:val="00A838CE"/>
    <w:rsid w:val="00A838F5"/>
    <w:rsid w:val="00A83953"/>
    <w:rsid w:val="00A83955"/>
    <w:rsid w:val="00A8395E"/>
    <w:rsid w:val="00A83965"/>
    <w:rsid w:val="00A83A57"/>
    <w:rsid w:val="00A83A8C"/>
    <w:rsid w:val="00A83AC5"/>
    <w:rsid w:val="00A83B4B"/>
    <w:rsid w:val="00A83B4F"/>
    <w:rsid w:val="00A83B52"/>
    <w:rsid w:val="00A83B74"/>
    <w:rsid w:val="00A83B7C"/>
    <w:rsid w:val="00A83BAE"/>
    <w:rsid w:val="00A83BFC"/>
    <w:rsid w:val="00A83C03"/>
    <w:rsid w:val="00A83C0E"/>
    <w:rsid w:val="00A83C34"/>
    <w:rsid w:val="00A83C5D"/>
    <w:rsid w:val="00A83C92"/>
    <w:rsid w:val="00A83CC6"/>
    <w:rsid w:val="00A83D0F"/>
    <w:rsid w:val="00A83D84"/>
    <w:rsid w:val="00A83ED8"/>
    <w:rsid w:val="00A83F00"/>
    <w:rsid w:val="00A83FBF"/>
    <w:rsid w:val="00A83FD5"/>
    <w:rsid w:val="00A84026"/>
    <w:rsid w:val="00A840B6"/>
    <w:rsid w:val="00A840D6"/>
    <w:rsid w:val="00A8418F"/>
    <w:rsid w:val="00A841A8"/>
    <w:rsid w:val="00A84258"/>
    <w:rsid w:val="00A842BD"/>
    <w:rsid w:val="00A842C4"/>
    <w:rsid w:val="00A84336"/>
    <w:rsid w:val="00A8442F"/>
    <w:rsid w:val="00A844A9"/>
    <w:rsid w:val="00A84574"/>
    <w:rsid w:val="00A845B5"/>
    <w:rsid w:val="00A84682"/>
    <w:rsid w:val="00A846D9"/>
    <w:rsid w:val="00A84713"/>
    <w:rsid w:val="00A84736"/>
    <w:rsid w:val="00A84787"/>
    <w:rsid w:val="00A84922"/>
    <w:rsid w:val="00A84938"/>
    <w:rsid w:val="00A8494A"/>
    <w:rsid w:val="00A849DB"/>
    <w:rsid w:val="00A84A35"/>
    <w:rsid w:val="00A84A45"/>
    <w:rsid w:val="00A84A73"/>
    <w:rsid w:val="00A84AE6"/>
    <w:rsid w:val="00A84B9A"/>
    <w:rsid w:val="00A84BED"/>
    <w:rsid w:val="00A84C90"/>
    <w:rsid w:val="00A84D35"/>
    <w:rsid w:val="00A84E34"/>
    <w:rsid w:val="00A84ECB"/>
    <w:rsid w:val="00A84EEE"/>
    <w:rsid w:val="00A84F2D"/>
    <w:rsid w:val="00A84FC7"/>
    <w:rsid w:val="00A84FFA"/>
    <w:rsid w:val="00A85042"/>
    <w:rsid w:val="00A85090"/>
    <w:rsid w:val="00A850C3"/>
    <w:rsid w:val="00A85109"/>
    <w:rsid w:val="00A85177"/>
    <w:rsid w:val="00A851C2"/>
    <w:rsid w:val="00A851D4"/>
    <w:rsid w:val="00A851EC"/>
    <w:rsid w:val="00A85334"/>
    <w:rsid w:val="00A85337"/>
    <w:rsid w:val="00A8537F"/>
    <w:rsid w:val="00A85392"/>
    <w:rsid w:val="00A8540E"/>
    <w:rsid w:val="00A85417"/>
    <w:rsid w:val="00A85441"/>
    <w:rsid w:val="00A8545C"/>
    <w:rsid w:val="00A85496"/>
    <w:rsid w:val="00A85569"/>
    <w:rsid w:val="00A85570"/>
    <w:rsid w:val="00A855DC"/>
    <w:rsid w:val="00A85615"/>
    <w:rsid w:val="00A8567E"/>
    <w:rsid w:val="00A8569E"/>
    <w:rsid w:val="00A856D4"/>
    <w:rsid w:val="00A8577C"/>
    <w:rsid w:val="00A857A7"/>
    <w:rsid w:val="00A858C4"/>
    <w:rsid w:val="00A858E1"/>
    <w:rsid w:val="00A858F0"/>
    <w:rsid w:val="00A858FA"/>
    <w:rsid w:val="00A85971"/>
    <w:rsid w:val="00A85972"/>
    <w:rsid w:val="00A859E4"/>
    <w:rsid w:val="00A859F4"/>
    <w:rsid w:val="00A85A09"/>
    <w:rsid w:val="00A85AA8"/>
    <w:rsid w:val="00A85AB4"/>
    <w:rsid w:val="00A85ACE"/>
    <w:rsid w:val="00A85AD1"/>
    <w:rsid w:val="00A85C75"/>
    <w:rsid w:val="00A85D0F"/>
    <w:rsid w:val="00A85D61"/>
    <w:rsid w:val="00A85DC0"/>
    <w:rsid w:val="00A85E2E"/>
    <w:rsid w:val="00A85E5B"/>
    <w:rsid w:val="00A85F77"/>
    <w:rsid w:val="00A85FB2"/>
    <w:rsid w:val="00A85FDA"/>
    <w:rsid w:val="00A86092"/>
    <w:rsid w:val="00A86095"/>
    <w:rsid w:val="00A860A7"/>
    <w:rsid w:val="00A860E9"/>
    <w:rsid w:val="00A86110"/>
    <w:rsid w:val="00A86118"/>
    <w:rsid w:val="00A86215"/>
    <w:rsid w:val="00A86292"/>
    <w:rsid w:val="00A86298"/>
    <w:rsid w:val="00A8645A"/>
    <w:rsid w:val="00A864C4"/>
    <w:rsid w:val="00A8650E"/>
    <w:rsid w:val="00A86582"/>
    <w:rsid w:val="00A865C4"/>
    <w:rsid w:val="00A865F1"/>
    <w:rsid w:val="00A86606"/>
    <w:rsid w:val="00A86643"/>
    <w:rsid w:val="00A866D6"/>
    <w:rsid w:val="00A86730"/>
    <w:rsid w:val="00A867C5"/>
    <w:rsid w:val="00A86864"/>
    <w:rsid w:val="00A86898"/>
    <w:rsid w:val="00A869D1"/>
    <w:rsid w:val="00A86A1F"/>
    <w:rsid w:val="00A86A72"/>
    <w:rsid w:val="00A86AAB"/>
    <w:rsid w:val="00A86AB3"/>
    <w:rsid w:val="00A86AE8"/>
    <w:rsid w:val="00A86B1F"/>
    <w:rsid w:val="00A86B82"/>
    <w:rsid w:val="00A86B93"/>
    <w:rsid w:val="00A86B9C"/>
    <w:rsid w:val="00A86BBA"/>
    <w:rsid w:val="00A86BFE"/>
    <w:rsid w:val="00A86C00"/>
    <w:rsid w:val="00A86CFE"/>
    <w:rsid w:val="00A86DE8"/>
    <w:rsid w:val="00A86DFB"/>
    <w:rsid w:val="00A86E3A"/>
    <w:rsid w:val="00A86E57"/>
    <w:rsid w:val="00A86E6F"/>
    <w:rsid w:val="00A86EF3"/>
    <w:rsid w:val="00A86EF6"/>
    <w:rsid w:val="00A86F12"/>
    <w:rsid w:val="00A86F42"/>
    <w:rsid w:val="00A86F58"/>
    <w:rsid w:val="00A86F64"/>
    <w:rsid w:val="00A87014"/>
    <w:rsid w:val="00A8708B"/>
    <w:rsid w:val="00A871B6"/>
    <w:rsid w:val="00A871DF"/>
    <w:rsid w:val="00A87228"/>
    <w:rsid w:val="00A872D0"/>
    <w:rsid w:val="00A872D6"/>
    <w:rsid w:val="00A872F1"/>
    <w:rsid w:val="00A873C8"/>
    <w:rsid w:val="00A8744D"/>
    <w:rsid w:val="00A874B1"/>
    <w:rsid w:val="00A874EF"/>
    <w:rsid w:val="00A874F6"/>
    <w:rsid w:val="00A87528"/>
    <w:rsid w:val="00A87572"/>
    <w:rsid w:val="00A87598"/>
    <w:rsid w:val="00A875A5"/>
    <w:rsid w:val="00A875BA"/>
    <w:rsid w:val="00A875C3"/>
    <w:rsid w:val="00A8763F"/>
    <w:rsid w:val="00A87760"/>
    <w:rsid w:val="00A877A0"/>
    <w:rsid w:val="00A8798E"/>
    <w:rsid w:val="00A879D4"/>
    <w:rsid w:val="00A879EC"/>
    <w:rsid w:val="00A87A14"/>
    <w:rsid w:val="00A87A81"/>
    <w:rsid w:val="00A87A8B"/>
    <w:rsid w:val="00A87B4B"/>
    <w:rsid w:val="00A87CA7"/>
    <w:rsid w:val="00A87CC1"/>
    <w:rsid w:val="00A87CD9"/>
    <w:rsid w:val="00A87E6B"/>
    <w:rsid w:val="00A87EE7"/>
    <w:rsid w:val="00A87F36"/>
    <w:rsid w:val="00A87F38"/>
    <w:rsid w:val="00A87FA2"/>
    <w:rsid w:val="00A87FBD"/>
    <w:rsid w:val="00A87FF9"/>
    <w:rsid w:val="00A90005"/>
    <w:rsid w:val="00A90058"/>
    <w:rsid w:val="00A900FC"/>
    <w:rsid w:val="00A9016B"/>
    <w:rsid w:val="00A9017C"/>
    <w:rsid w:val="00A90191"/>
    <w:rsid w:val="00A90240"/>
    <w:rsid w:val="00A9029C"/>
    <w:rsid w:val="00A902E1"/>
    <w:rsid w:val="00A90327"/>
    <w:rsid w:val="00A90375"/>
    <w:rsid w:val="00A90483"/>
    <w:rsid w:val="00A904F6"/>
    <w:rsid w:val="00A90538"/>
    <w:rsid w:val="00A905D9"/>
    <w:rsid w:val="00A90624"/>
    <w:rsid w:val="00A90638"/>
    <w:rsid w:val="00A906C0"/>
    <w:rsid w:val="00A906E8"/>
    <w:rsid w:val="00A90718"/>
    <w:rsid w:val="00A9076A"/>
    <w:rsid w:val="00A9077B"/>
    <w:rsid w:val="00A90815"/>
    <w:rsid w:val="00A90881"/>
    <w:rsid w:val="00A908F6"/>
    <w:rsid w:val="00A909BC"/>
    <w:rsid w:val="00A909D4"/>
    <w:rsid w:val="00A909DC"/>
    <w:rsid w:val="00A90C85"/>
    <w:rsid w:val="00A90CA0"/>
    <w:rsid w:val="00A90CDB"/>
    <w:rsid w:val="00A90E4B"/>
    <w:rsid w:val="00A90F54"/>
    <w:rsid w:val="00A90FE6"/>
    <w:rsid w:val="00A91035"/>
    <w:rsid w:val="00A91051"/>
    <w:rsid w:val="00A910BF"/>
    <w:rsid w:val="00A9111F"/>
    <w:rsid w:val="00A91210"/>
    <w:rsid w:val="00A912FB"/>
    <w:rsid w:val="00A9137E"/>
    <w:rsid w:val="00A913B8"/>
    <w:rsid w:val="00A913CC"/>
    <w:rsid w:val="00A913D6"/>
    <w:rsid w:val="00A91493"/>
    <w:rsid w:val="00A914B0"/>
    <w:rsid w:val="00A914D2"/>
    <w:rsid w:val="00A91539"/>
    <w:rsid w:val="00A9153E"/>
    <w:rsid w:val="00A91606"/>
    <w:rsid w:val="00A9160F"/>
    <w:rsid w:val="00A9161D"/>
    <w:rsid w:val="00A916CD"/>
    <w:rsid w:val="00A916D5"/>
    <w:rsid w:val="00A91713"/>
    <w:rsid w:val="00A91724"/>
    <w:rsid w:val="00A9178A"/>
    <w:rsid w:val="00A91861"/>
    <w:rsid w:val="00A9187B"/>
    <w:rsid w:val="00A918E7"/>
    <w:rsid w:val="00A918F6"/>
    <w:rsid w:val="00A918FA"/>
    <w:rsid w:val="00A919AA"/>
    <w:rsid w:val="00A91A84"/>
    <w:rsid w:val="00A91B47"/>
    <w:rsid w:val="00A91B8A"/>
    <w:rsid w:val="00A91BF0"/>
    <w:rsid w:val="00A91C52"/>
    <w:rsid w:val="00A91D39"/>
    <w:rsid w:val="00A91DAA"/>
    <w:rsid w:val="00A91DAC"/>
    <w:rsid w:val="00A91E14"/>
    <w:rsid w:val="00A91E2F"/>
    <w:rsid w:val="00A91EBA"/>
    <w:rsid w:val="00A92047"/>
    <w:rsid w:val="00A920E1"/>
    <w:rsid w:val="00A9211F"/>
    <w:rsid w:val="00A9213F"/>
    <w:rsid w:val="00A92170"/>
    <w:rsid w:val="00A92188"/>
    <w:rsid w:val="00A92201"/>
    <w:rsid w:val="00A92225"/>
    <w:rsid w:val="00A922D4"/>
    <w:rsid w:val="00A9233D"/>
    <w:rsid w:val="00A92416"/>
    <w:rsid w:val="00A9241A"/>
    <w:rsid w:val="00A92450"/>
    <w:rsid w:val="00A9246B"/>
    <w:rsid w:val="00A92561"/>
    <w:rsid w:val="00A9261D"/>
    <w:rsid w:val="00A92655"/>
    <w:rsid w:val="00A9266C"/>
    <w:rsid w:val="00A9267F"/>
    <w:rsid w:val="00A92686"/>
    <w:rsid w:val="00A92744"/>
    <w:rsid w:val="00A927A5"/>
    <w:rsid w:val="00A928BF"/>
    <w:rsid w:val="00A9291D"/>
    <w:rsid w:val="00A9292B"/>
    <w:rsid w:val="00A92943"/>
    <w:rsid w:val="00A929BE"/>
    <w:rsid w:val="00A92AFF"/>
    <w:rsid w:val="00A92B81"/>
    <w:rsid w:val="00A92BE2"/>
    <w:rsid w:val="00A92C10"/>
    <w:rsid w:val="00A92C59"/>
    <w:rsid w:val="00A92DB5"/>
    <w:rsid w:val="00A92E0D"/>
    <w:rsid w:val="00A92EF1"/>
    <w:rsid w:val="00A92F03"/>
    <w:rsid w:val="00A92F0E"/>
    <w:rsid w:val="00A92F4C"/>
    <w:rsid w:val="00A92F4F"/>
    <w:rsid w:val="00A92FD5"/>
    <w:rsid w:val="00A92FF4"/>
    <w:rsid w:val="00A93043"/>
    <w:rsid w:val="00A9306E"/>
    <w:rsid w:val="00A930BD"/>
    <w:rsid w:val="00A930C5"/>
    <w:rsid w:val="00A930CC"/>
    <w:rsid w:val="00A9315F"/>
    <w:rsid w:val="00A9316C"/>
    <w:rsid w:val="00A9317D"/>
    <w:rsid w:val="00A9322E"/>
    <w:rsid w:val="00A93264"/>
    <w:rsid w:val="00A9329C"/>
    <w:rsid w:val="00A932E0"/>
    <w:rsid w:val="00A9336A"/>
    <w:rsid w:val="00A93382"/>
    <w:rsid w:val="00A93383"/>
    <w:rsid w:val="00A93401"/>
    <w:rsid w:val="00A93430"/>
    <w:rsid w:val="00A93525"/>
    <w:rsid w:val="00A935FE"/>
    <w:rsid w:val="00A9365A"/>
    <w:rsid w:val="00A936CD"/>
    <w:rsid w:val="00A936D1"/>
    <w:rsid w:val="00A93745"/>
    <w:rsid w:val="00A93785"/>
    <w:rsid w:val="00A937B9"/>
    <w:rsid w:val="00A9384D"/>
    <w:rsid w:val="00A93890"/>
    <w:rsid w:val="00A938C6"/>
    <w:rsid w:val="00A938F8"/>
    <w:rsid w:val="00A93923"/>
    <w:rsid w:val="00A93966"/>
    <w:rsid w:val="00A939F7"/>
    <w:rsid w:val="00A93A26"/>
    <w:rsid w:val="00A93AB8"/>
    <w:rsid w:val="00A93C3F"/>
    <w:rsid w:val="00A93CAA"/>
    <w:rsid w:val="00A93CD7"/>
    <w:rsid w:val="00A93D14"/>
    <w:rsid w:val="00A93DE6"/>
    <w:rsid w:val="00A93E45"/>
    <w:rsid w:val="00A93F87"/>
    <w:rsid w:val="00A93F9E"/>
    <w:rsid w:val="00A94019"/>
    <w:rsid w:val="00A94111"/>
    <w:rsid w:val="00A941A9"/>
    <w:rsid w:val="00A941B9"/>
    <w:rsid w:val="00A94286"/>
    <w:rsid w:val="00A94297"/>
    <w:rsid w:val="00A942C6"/>
    <w:rsid w:val="00A942F4"/>
    <w:rsid w:val="00A94328"/>
    <w:rsid w:val="00A9432B"/>
    <w:rsid w:val="00A943EC"/>
    <w:rsid w:val="00A94442"/>
    <w:rsid w:val="00A9455E"/>
    <w:rsid w:val="00A94582"/>
    <w:rsid w:val="00A94636"/>
    <w:rsid w:val="00A9463A"/>
    <w:rsid w:val="00A946C5"/>
    <w:rsid w:val="00A9479A"/>
    <w:rsid w:val="00A947A8"/>
    <w:rsid w:val="00A947B9"/>
    <w:rsid w:val="00A947BB"/>
    <w:rsid w:val="00A9484A"/>
    <w:rsid w:val="00A9485D"/>
    <w:rsid w:val="00A94890"/>
    <w:rsid w:val="00A948BD"/>
    <w:rsid w:val="00A94960"/>
    <w:rsid w:val="00A94A1E"/>
    <w:rsid w:val="00A94C1A"/>
    <w:rsid w:val="00A94C63"/>
    <w:rsid w:val="00A94CA6"/>
    <w:rsid w:val="00A94CCC"/>
    <w:rsid w:val="00A94CEC"/>
    <w:rsid w:val="00A94D20"/>
    <w:rsid w:val="00A94D27"/>
    <w:rsid w:val="00A94DC5"/>
    <w:rsid w:val="00A94DF0"/>
    <w:rsid w:val="00A94E52"/>
    <w:rsid w:val="00A94FAF"/>
    <w:rsid w:val="00A950A0"/>
    <w:rsid w:val="00A950ED"/>
    <w:rsid w:val="00A95118"/>
    <w:rsid w:val="00A95186"/>
    <w:rsid w:val="00A951CB"/>
    <w:rsid w:val="00A95217"/>
    <w:rsid w:val="00A952F1"/>
    <w:rsid w:val="00A953A1"/>
    <w:rsid w:val="00A95473"/>
    <w:rsid w:val="00A95534"/>
    <w:rsid w:val="00A9553D"/>
    <w:rsid w:val="00A956CD"/>
    <w:rsid w:val="00A95716"/>
    <w:rsid w:val="00A95731"/>
    <w:rsid w:val="00A95756"/>
    <w:rsid w:val="00A957D4"/>
    <w:rsid w:val="00A957E3"/>
    <w:rsid w:val="00A9581D"/>
    <w:rsid w:val="00A95835"/>
    <w:rsid w:val="00A95894"/>
    <w:rsid w:val="00A958CA"/>
    <w:rsid w:val="00A9592D"/>
    <w:rsid w:val="00A9597E"/>
    <w:rsid w:val="00A9598E"/>
    <w:rsid w:val="00A959C4"/>
    <w:rsid w:val="00A959D6"/>
    <w:rsid w:val="00A95A1F"/>
    <w:rsid w:val="00A95AAB"/>
    <w:rsid w:val="00A95ADA"/>
    <w:rsid w:val="00A95B31"/>
    <w:rsid w:val="00A95BBC"/>
    <w:rsid w:val="00A95BEE"/>
    <w:rsid w:val="00A95C07"/>
    <w:rsid w:val="00A95C36"/>
    <w:rsid w:val="00A95C4F"/>
    <w:rsid w:val="00A95C52"/>
    <w:rsid w:val="00A95C77"/>
    <w:rsid w:val="00A95C9E"/>
    <w:rsid w:val="00A95CD3"/>
    <w:rsid w:val="00A95D39"/>
    <w:rsid w:val="00A95E50"/>
    <w:rsid w:val="00A95EB6"/>
    <w:rsid w:val="00A95F97"/>
    <w:rsid w:val="00A95FB8"/>
    <w:rsid w:val="00A96093"/>
    <w:rsid w:val="00A96177"/>
    <w:rsid w:val="00A961CD"/>
    <w:rsid w:val="00A96247"/>
    <w:rsid w:val="00A9626C"/>
    <w:rsid w:val="00A96279"/>
    <w:rsid w:val="00A9627F"/>
    <w:rsid w:val="00A96298"/>
    <w:rsid w:val="00A962C4"/>
    <w:rsid w:val="00A962C5"/>
    <w:rsid w:val="00A96332"/>
    <w:rsid w:val="00A963BD"/>
    <w:rsid w:val="00A9642A"/>
    <w:rsid w:val="00A96437"/>
    <w:rsid w:val="00A96539"/>
    <w:rsid w:val="00A96579"/>
    <w:rsid w:val="00A96583"/>
    <w:rsid w:val="00A965C3"/>
    <w:rsid w:val="00A965D4"/>
    <w:rsid w:val="00A9662A"/>
    <w:rsid w:val="00A9662C"/>
    <w:rsid w:val="00A9669E"/>
    <w:rsid w:val="00A966D8"/>
    <w:rsid w:val="00A96744"/>
    <w:rsid w:val="00A96772"/>
    <w:rsid w:val="00A9677B"/>
    <w:rsid w:val="00A967BF"/>
    <w:rsid w:val="00A967D9"/>
    <w:rsid w:val="00A967E5"/>
    <w:rsid w:val="00A9687C"/>
    <w:rsid w:val="00A968A8"/>
    <w:rsid w:val="00A968C7"/>
    <w:rsid w:val="00A96916"/>
    <w:rsid w:val="00A96996"/>
    <w:rsid w:val="00A96B2B"/>
    <w:rsid w:val="00A96C99"/>
    <w:rsid w:val="00A96CCA"/>
    <w:rsid w:val="00A96CE9"/>
    <w:rsid w:val="00A96D28"/>
    <w:rsid w:val="00A96D2B"/>
    <w:rsid w:val="00A96D63"/>
    <w:rsid w:val="00A96D6B"/>
    <w:rsid w:val="00A96E09"/>
    <w:rsid w:val="00A96E2A"/>
    <w:rsid w:val="00A96EA3"/>
    <w:rsid w:val="00A96EC2"/>
    <w:rsid w:val="00A96F91"/>
    <w:rsid w:val="00A97042"/>
    <w:rsid w:val="00A9708B"/>
    <w:rsid w:val="00A97090"/>
    <w:rsid w:val="00A970E9"/>
    <w:rsid w:val="00A970F5"/>
    <w:rsid w:val="00A97118"/>
    <w:rsid w:val="00A97129"/>
    <w:rsid w:val="00A97160"/>
    <w:rsid w:val="00A97251"/>
    <w:rsid w:val="00A9735F"/>
    <w:rsid w:val="00A9736C"/>
    <w:rsid w:val="00A97376"/>
    <w:rsid w:val="00A973B8"/>
    <w:rsid w:val="00A973FC"/>
    <w:rsid w:val="00A9758A"/>
    <w:rsid w:val="00A9763E"/>
    <w:rsid w:val="00A97643"/>
    <w:rsid w:val="00A97655"/>
    <w:rsid w:val="00A97659"/>
    <w:rsid w:val="00A976D6"/>
    <w:rsid w:val="00A976EE"/>
    <w:rsid w:val="00A97734"/>
    <w:rsid w:val="00A9776F"/>
    <w:rsid w:val="00A9785C"/>
    <w:rsid w:val="00A978C6"/>
    <w:rsid w:val="00A979FE"/>
    <w:rsid w:val="00A97A5D"/>
    <w:rsid w:val="00A97A63"/>
    <w:rsid w:val="00A97AA7"/>
    <w:rsid w:val="00A97B1D"/>
    <w:rsid w:val="00A97B53"/>
    <w:rsid w:val="00A97B66"/>
    <w:rsid w:val="00A97C3B"/>
    <w:rsid w:val="00A97C4C"/>
    <w:rsid w:val="00A97CC1"/>
    <w:rsid w:val="00A97CD6"/>
    <w:rsid w:val="00A97CFE"/>
    <w:rsid w:val="00A97D15"/>
    <w:rsid w:val="00A97D3F"/>
    <w:rsid w:val="00A97D5A"/>
    <w:rsid w:val="00A97DA8"/>
    <w:rsid w:val="00A97DCF"/>
    <w:rsid w:val="00A97E5A"/>
    <w:rsid w:val="00A97EF6"/>
    <w:rsid w:val="00A97F2C"/>
    <w:rsid w:val="00A97F9F"/>
    <w:rsid w:val="00A97FC6"/>
    <w:rsid w:val="00A97FDD"/>
    <w:rsid w:val="00AA0035"/>
    <w:rsid w:val="00AA006C"/>
    <w:rsid w:val="00AA0196"/>
    <w:rsid w:val="00AA019D"/>
    <w:rsid w:val="00AA01C0"/>
    <w:rsid w:val="00AA01E1"/>
    <w:rsid w:val="00AA01FF"/>
    <w:rsid w:val="00AA0278"/>
    <w:rsid w:val="00AA0290"/>
    <w:rsid w:val="00AA03B8"/>
    <w:rsid w:val="00AA0499"/>
    <w:rsid w:val="00AA04D6"/>
    <w:rsid w:val="00AA0547"/>
    <w:rsid w:val="00AA0558"/>
    <w:rsid w:val="00AA05DD"/>
    <w:rsid w:val="00AA067C"/>
    <w:rsid w:val="00AA070D"/>
    <w:rsid w:val="00AA078A"/>
    <w:rsid w:val="00AA07E4"/>
    <w:rsid w:val="00AA0965"/>
    <w:rsid w:val="00AA09E0"/>
    <w:rsid w:val="00AA09EF"/>
    <w:rsid w:val="00AA0ADA"/>
    <w:rsid w:val="00AA0B69"/>
    <w:rsid w:val="00AA0BCC"/>
    <w:rsid w:val="00AA0C65"/>
    <w:rsid w:val="00AA0C8F"/>
    <w:rsid w:val="00AA0C90"/>
    <w:rsid w:val="00AA0C93"/>
    <w:rsid w:val="00AA0D61"/>
    <w:rsid w:val="00AA0DD2"/>
    <w:rsid w:val="00AA1020"/>
    <w:rsid w:val="00AA1024"/>
    <w:rsid w:val="00AA1065"/>
    <w:rsid w:val="00AA1109"/>
    <w:rsid w:val="00AA11A5"/>
    <w:rsid w:val="00AA11CD"/>
    <w:rsid w:val="00AA11D4"/>
    <w:rsid w:val="00AA11E1"/>
    <w:rsid w:val="00AA11E9"/>
    <w:rsid w:val="00AA1236"/>
    <w:rsid w:val="00AA1241"/>
    <w:rsid w:val="00AA1246"/>
    <w:rsid w:val="00AA1259"/>
    <w:rsid w:val="00AA1284"/>
    <w:rsid w:val="00AA129E"/>
    <w:rsid w:val="00AA12C3"/>
    <w:rsid w:val="00AA1305"/>
    <w:rsid w:val="00AA1377"/>
    <w:rsid w:val="00AA1404"/>
    <w:rsid w:val="00AA14F7"/>
    <w:rsid w:val="00AA15F7"/>
    <w:rsid w:val="00AA1616"/>
    <w:rsid w:val="00AA1699"/>
    <w:rsid w:val="00AA1778"/>
    <w:rsid w:val="00AA17B0"/>
    <w:rsid w:val="00AA17E2"/>
    <w:rsid w:val="00AA180E"/>
    <w:rsid w:val="00AA191E"/>
    <w:rsid w:val="00AA19BC"/>
    <w:rsid w:val="00AA19C5"/>
    <w:rsid w:val="00AA19E1"/>
    <w:rsid w:val="00AA1A66"/>
    <w:rsid w:val="00AA1B1A"/>
    <w:rsid w:val="00AA1B51"/>
    <w:rsid w:val="00AA1B75"/>
    <w:rsid w:val="00AA1C7F"/>
    <w:rsid w:val="00AA1C86"/>
    <w:rsid w:val="00AA1CD9"/>
    <w:rsid w:val="00AA1CDC"/>
    <w:rsid w:val="00AA1CFA"/>
    <w:rsid w:val="00AA1D00"/>
    <w:rsid w:val="00AA1D51"/>
    <w:rsid w:val="00AA1DED"/>
    <w:rsid w:val="00AA1E31"/>
    <w:rsid w:val="00AA1E5B"/>
    <w:rsid w:val="00AA1E66"/>
    <w:rsid w:val="00AA1E88"/>
    <w:rsid w:val="00AA1F30"/>
    <w:rsid w:val="00AA1F34"/>
    <w:rsid w:val="00AA1F78"/>
    <w:rsid w:val="00AA2041"/>
    <w:rsid w:val="00AA2051"/>
    <w:rsid w:val="00AA20A5"/>
    <w:rsid w:val="00AA20B0"/>
    <w:rsid w:val="00AA20E4"/>
    <w:rsid w:val="00AA2135"/>
    <w:rsid w:val="00AA213C"/>
    <w:rsid w:val="00AA2144"/>
    <w:rsid w:val="00AA21E8"/>
    <w:rsid w:val="00AA235A"/>
    <w:rsid w:val="00AA2361"/>
    <w:rsid w:val="00AA237F"/>
    <w:rsid w:val="00AA238C"/>
    <w:rsid w:val="00AA23E2"/>
    <w:rsid w:val="00AA2403"/>
    <w:rsid w:val="00AA2425"/>
    <w:rsid w:val="00AA2483"/>
    <w:rsid w:val="00AA24F9"/>
    <w:rsid w:val="00AA2510"/>
    <w:rsid w:val="00AA25E3"/>
    <w:rsid w:val="00AA262C"/>
    <w:rsid w:val="00AA267A"/>
    <w:rsid w:val="00AA26A7"/>
    <w:rsid w:val="00AA26FC"/>
    <w:rsid w:val="00AA27C1"/>
    <w:rsid w:val="00AA27C4"/>
    <w:rsid w:val="00AA284A"/>
    <w:rsid w:val="00AA289B"/>
    <w:rsid w:val="00AA2900"/>
    <w:rsid w:val="00AA29DC"/>
    <w:rsid w:val="00AA29DF"/>
    <w:rsid w:val="00AA2A47"/>
    <w:rsid w:val="00AA2A8B"/>
    <w:rsid w:val="00AA2AEA"/>
    <w:rsid w:val="00AA2BA1"/>
    <w:rsid w:val="00AA2BB6"/>
    <w:rsid w:val="00AA2BEE"/>
    <w:rsid w:val="00AA2C03"/>
    <w:rsid w:val="00AA2C33"/>
    <w:rsid w:val="00AA2C50"/>
    <w:rsid w:val="00AA2CAC"/>
    <w:rsid w:val="00AA2CF9"/>
    <w:rsid w:val="00AA2D57"/>
    <w:rsid w:val="00AA2DB2"/>
    <w:rsid w:val="00AA2E40"/>
    <w:rsid w:val="00AA2E72"/>
    <w:rsid w:val="00AA2EF4"/>
    <w:rsid w:val="00AA2F03"/>
    <w:rsid w:val="00AA2F26"/>
    <w:rsid w:val="00AA2F9D"/>
    <w:rsid w:val="00AA2FA3"/>
    <w:rsid w:val="00AA3011"/>
    <w:rsid w:val="00AA30B7"/>
    <w:rsid w:val="00AA30C4"/>
    <w:rsid w:val="00AA30F9"/>
    <w:rsid w:val="00AA310C"/>
    <w:rsid w:val="00AA3130"/>
    <w:rsid w:val="00AA3138"/>
    <w:rsid w:val="00AA3199"/>
    <w:rsid w:val="00AA320C"/>
    <w:rsid w:val="00AA323C"/>
    <w:rsid w:val="00AA341A"/>
    <w:rsid w:val="00AA3442"/>
    <w:rsid w:val="00AA34EB"/>
    <w:rsid w:val="00AA3529"/>
    <w:rsid w:val="00AA3568"/>
    <w:rsid w:val="00AA35F3"/>
    <w:rsid w:val="00AA3608"/>
    <w:rsid w:val="00AA361C"/>
    <w:rsid w:val="00AA363B"/>
    <w:rsid w:val="00AA36CC"/>
    <w:rsid w:val="00AA36EA"/>
    <w:rsid w:val="00AA3706"/>
    <w:rsid w:val="00AA3745"/>
    <w:rsid w:val="00AA374A"/>
    <w:rsid w:val="00AA3762"/>
    <w:rsid w:val="00AA378B"/>
    <w:rsid w:val="00AA37D2"/>
    <w:rsid w:val="00AA37E2"/>
    <w:rsid w:val="00AA3807"/>
    <w:rsid w:val="00AA385E"/>
    <w:rsid w:val="00AA38BB"/>
    <w:rsid w:val="00AA3919"/>
    <w:rsid w:val="00AA393A"/>
    <w:rsid w:val="00AA3966"/>
    <w:rsid w:val="00AA3977"/>
    <w:rsid w:val="00AA39AB"/>
    <w:rsid w:val="00AA39C2"/>
    <w:rsid w:val="00AA39D6"/>
    <w:rsid w:val="00AA3A0A"/>
    <w:rsid w:val="00AA3A36"/>
    <w:rsid w:val="00AA3ABC"/>
    <w:rsid w:val="00AA3B1C"/>
    <w:rsid w:val="00AA3B5B"/>
    <w:rsid w:val="00AA3B6C"/>
    <w:rsid w:val="00AA3BC5"/>
    <w:rsid w:val="00AA3C84"/>
    <w:rsid w:val="00AA3D28"/>
    <w:rsid w:val="00AA3E58"/>
    <w:rsid w:val="00AA3E63"/>
    <w:rsid w:val="00AA3E99"/>
    <w:rsid w:val="00AA3F24"/>
    <w:rsid w:val="00AA3F59"/>
    <w:rsid w:val="00AA3FB0"/>
    <w:rsid w:val="00AA406C"/>
    <w:rsid w:val="00AA409A"/>
    <w:rsid w:val="00AA419B"/>
    <w:rsid w:val="00AA4234"/>
    <w:rsid w:val="00AA42A4"/>
    <w:rsid w:val="00AA4309"/>
    <w:rsid w:val="00AA43A8"/>
    <w:rsid w:val="00AA43EF"/>
    <w:rsid w:val="00AA4517"/>
    <w:rsid w:val="00AA4528"/>
    <w:rsid w:val="00AA45B5"/>
    <w:rsid w:val="00AA45CB"/>
    <w:rsid w:val="00AA473E"/>
    <w:rsid w:val="00AA4747"/>
    <w:rsid w:val="00AA47E5"/>
    <w:rsid w:val="00AA47EE"/>
    <w:rsid w:val="00AA481A"/>
    <w:rsid w:val="00AA4837"/>
    <w:rsid w:val="00AA484B"/>
    <w:rsid w:val="00AA48AC"/>
    <w:rsid w:val="00AA492B"/>
    <w:rsid w:val="00AA4957"/>
    <w:rsid w:val="00AA498D"/>
    <w:rsid w:val="00AA49DB"/>
    <w:rsid w:val="00AA4A4D"/>
    <w:rsid w:val="00AA4A4F"/>
    <w:rsid w:val="00AA4AF7"/>
    <w:rsid w:val="00AA4BFB"/>
    <w:rsid w:val="00AA4DF1"/>
    <w:rsid w:val="00AA4E0F"/>
    <w:rsid w:val="00AA4EA9"/>
    <w:rsid w:val="00AA4ED2"/>
    <w:rsid w:val="00AA4EE0"/>
    <w:rsid w:val="00AA4F33"/>
    <w:rsid w:val="00AA4F72"/>
    <w:rsid w:val="00AA5022"/>
    <w:rsid w:val="00AA503A"/>
    <w:rsid w:val="00AA510F"/>
    <w:rsid w:val="00AA5192"/>
    <w:rsid w:val="00AA51A2"/>
    <w:rsid w:val="00AA52D2"/>
    <w:rsid w:val="00AA5389"/>
    <w:rsid w:val="00AA54BC"/>
    <w:rsid w:val="00AA5545"/>
    <w:rsid w:val="00AA5601"/>
    <w:rsid w:val="00AA5658"/>
    <w:rsid w:val="00AA566B"/>
    <w:rsid w:val="00AA5677"/>
    <w:rsid w:val="00AA56AC"/>
    <w:rsid w:val="00AA56D5"/>
    <w:rsid w:val="00AA572B"/>
    <w:rsid w:val="00AA5794"/>
    <w:rsid w:val="00AA57D3"/>
    <w:rsid w:val="00AA57F1"/>
    <w:rsid w:val="00AA5855"/>
    <w:rsid w:val="00AA58F7"/>
    <w:rsid w:val="00AA5903"/>
    <w:rsid w:val="00AA590C"/>
    <w:rsid w:val="00AA5949"/>
    <w:rsid w:val="00AA59A0"/>
    <w:rsid w:val="00AA5A20"/>
    <w:rsid w:val="00AA5A8C"/>
    <w:rsid w:val="00AA5A9D"/>
    <w:rsid w:val="00AA5B16"/>
    <w:rsid w:val="00AA5B2D"/>
    <w:rsid w:val="00AA5C7B"/>
    <w:rsid w:val="00AA5C8C"/>
    <w:rsid w:val="00AA5C90"/>
    <w:rsid w:val="00AA5C96"/>
    <w:rsid w:val="00AA5CA7"/>
    <w:rsid w:val="00AA5CF3"/>
    <w:rsid w:val="00AA5DDE"/>
    <w:rsid w:val="00AA5E48"/>
    <w:rsid w:val="00AA5E90"/>
    <w:rsid w:val="00AA5F9B"/>
    <w:rsid w:val="00AA6037"/>
    <w:rsid w:val="00AA606B"/>
    <w:rsid w:val="00AA60DF"/>
    <w:rsid w:val="00AA6102"/>
    <w:rsid w:val="00AA610C"/>
    <w:rsid w:val="00AA6131"/>
    <w:rsid w:val="00AA61C2"/>
    <w:rsid w:val="00AA6202"/>
    <w:rsid w:val="00AA623D"/>
    <w:rsid w:val="00AA629C"/>
    <w:rsid w:val="00AA62C8"/>
    <w:rsid w:val="00AA6325"/>
    <w:rsid w:val="00AA637C"/>
    <w:rsid w:val="00AA63A0"/>
    <w:rsid w:val="00AA63CF"/>
    <w:rsid w:val="00AA640D"/>
    <w:rsid w:val="00AA64D7"/>
    <w:rsid w:val="00AA650F"/>
    <w:rsid w:val="00AA6512"/>
    <w:rsid w:val="00AA654E"/>
    <w:rsid w:val="00AA655D"/>
    <w:rsid w:val="00AA65DD"/>
    <w:rsid w:val="00AA65EA"/>
    <w:rsid w:val="00AA65FB"/>
    <w:rsid w:val="00AA6647"/>
    <w:rsid w:val="00AA6795"/>
    <w:rsid w:val="00AA679D"/>
    <w:rsid w:val="00AA67F4"/>
    <w:rsid w:val="00AA68CB"/>
    <w:rsid w:val="00AA68FB"/>
    <w:rsid w:val="00AA699E"/>
    <w:rsid w:val="00AA69EB"/>
    <w:rsid w:val="00AA6A61"/>
    <w:rsid w:val="00AA6A6F"/>
    <w:rsid w:val="00AA6AAE"/>
    <w:rsid w:val="00AA6AB4"/>
    <w:rsid w:val="00AA6B41"/>
    <w:rsid w:val="00AA6B43"/>
    <w:rsid w:val="00AA6BC3"/>
    <w:rsid w:val="00AA6BD8"/>
    <w:rsid w:val="00AA6CA5"/>
    <w:rsid w:val="00AA6CC2"/>
    <w:rsid w:val="00AA6CE7"/>
    <w:rsid w:val="00AA6CFF"/>
    <w:rsid w:val="00AA6D2D"/>
    <w:rsid w:val="00AA6DED"/>
    <w:rsid w:val="00AA6E58"/>
    <w:rsid w:val="00AA6F40"/>
    <w:rsid w:val="00AA6F85"/>
    <w:rsid w:val="00AA6F9A"/>
    <w:rsid w:val="00AA704A"/>
    <w:rsid w:val="00AA71CF"/>
    <w:rsid w:val="00AA71DF"/>
    <w:rsid w:val="00AA71ED"/>
    <w:rsid w:val="00AA727A"/>
    <w:rsid w:val="00AA7286"/>
    <w:rsid w:val="00AA72C8"/>
    <w:rsid w:val="00AA72FF"/>
    <w:rsid w:val="00AA7314"/>
    <w:rsid w:val="00AA735C"/>
    <w:rsid w:val="00AA7369"/>
    <w:rsid w:val="00AA7408"/>
    <w:rsid w:val="00AA740A"/>
    <w:rsid w:val="00AA7419"/>
    <w:rsid w:val="00AA7421"/>
    <w:rsid w:val="00AA7438"/>
    <w:rsid w:val="00AA7474"/>
    <w:rsid w:val="00AA7489"/>
    <w:rsid w:val="00AA74DC"/>
    <w:rsid w:val="00AA7503"/>
    <w:rsid w:val="00AA7515"/>
    <w:rsid w:val="00AA7559"/>
    <w:rsid w:val="00AA7569"/>
    <w:rsid w:val="00AA756B"/>
    <w:rsid w:val="00AA7577"/>
    <w:rsid w:val="00AA75BB"/>
    <w:rsid w:val="00AA7616"/>
    <w:rsid w:val="00AA7681"/>
    <w:rsid w:val="00AA7849"/>
    <w:rsid w:val="00AA7859"/>
    <w:rsid w:val="00AA7866"/>
    <w:rsid w:val="00AA788F"/>
    <w:rsid w:val="00AA7946"/>
    <w:rsid w:val="00AA79DE"/>
    <w:rsid w:val="00AA7A1F"/>
    <w:rsid w:val="00AA7A56"/>
    <w:rsid w:val="00AA7AA9"/>
    <w:rsid w:val="00AA7ABF"/>
    <w:rsid w:val="00AA7AF0"/>
    <w:rsid w:val="00AA7B2A"/>
    <w:rsid w:val="00AA7B42"/>
    <w:rsid w:val="00AA7B6C"/>
    <w:rsid w:val="00AA7B9A"/>
    <w:rsid w:val="00AA7C05"/>
    <w:rsid w:val="00AA7C50"/>
    <w:rsid w:val="00AA7C9F"/>
    <w:rsid w:val="00AA7DAD"/>
    <w:rsid w:val="00AA7DBD"/>
    <w:rsid w:val="00AA7DE7"/>
    <w:rsid w:val="00AA7E75"/>
    <w:rsid w:val="00AA7ED9"/>
    <w:rsid w:val="00AA7F04"/>
    <w:rsid w:val="00AA7F1D"/>
    <w:rsid w:val="00AA7F65"/>
    <w:rsid w:val="00AB0025"/>
    <w:rsid w:val="00AB0095"/>
    <w:rsid w:val="00AB009A"/>
    <w:rsid w:val="00AB00E3"/>
    <w:rsid w:val="00AB012F"/>
    <w:rsid w:val="00AB015C"/>
    <w:rsid w:val="00AB01BF"/>
    <w:rsid w:val="00AB0269"/>
    <w:rsid w:val="00AB0270"/>
    <w:rsid w:val="00AB02A2"/>
    <w:rsid w:val="00AB02C6"/>
    <w:rsid w:val="00AB03A8"/>
    <w:rsid w:val="00AB03D6"/>
    <w:rsid w:val="00AB03EF"/>
    <w:rsid w:val="00AB03F1"/>
    <w:rsid w:val="00AB03F8"/>
    <w:rsid w:val="00AB042C"/>
    <w:rsid w:val="00AB0468"/>
    <w:rsid w:val="00AB047B"/>
    <w:rsid w:val="00AB04E6"/>
    <w:rsid w:val="00AB0655"/>
    <w:rsid w:val="00AB06BA"/>
    <w:rsid w:val="00AB06E2"/>
    <w:rsid w:val="00AB0744"/>
    <w:rsid w:val="00AB0897"/>
    <w:rsid w:val="00AB08C6"/>
    <w:rsid w:val="00AB08E7"/>
    <w:rsid w:val="00AB0977"/>
    <w:rsid w:val="00AB0983"/>
    <w:rsid w:val="00AB0A37"/>
    <w:rsid w:val="00AB0A85"/>
    <w:rsid w:val="00AB0ABC"/>
    <w:rsid w:val="00AB0B10"/>
    <w:rsid w:val="00AB0BCA"/>
    <w:rsid w:val="00AB0BF5"/>
    <w:rsid w:val="00AB0C02"/>
    <w:rsid w:val="00AB0DA0"/>
    <w:rsid w:val="00AB0E00"/>
    <w:rsid w:val="00AB0E27"/>
    <w:rsid w:val="00AB0F72"/>
    <w:rsid w:val="00AB0FB6"/>
    <w:rsid w:val="00AB0FF2"/>
    <w:rsid w:val="00AB102B"/>
    <w:rsid w:val="00AB108B"/>
    <w:rsid w:val="00AB10C0"/>
    <w:rsid w:val="00AB10E3"/>
    <w:rsid w:val="00AB124F"/>
    <w:rsid w:val="00AB127A"/>
    <w:rsid w:val="00AB137C"/>
    <w:rsid w:val="00AB1401"/>
    <w:rsid w:val="00AB1470"/>
    <w:rsid w:val="00AB15A5"/>
    <w:rsid w:val="00AB15FF"/>
    <w:rsid w:val="00AB162B"/>
    <w:rsid w:val="00AB1658"/>
    <w:rsid w:val="00AB165A"/>
    <w:rsid w:val="00AB1662"/>
    <w:rsid w:val="00AB169E"/>
    <w:rsid w:val="00AB16DC"/>
    <w:rsid w:val="00AB173A"/>
    <w:rsid w:val="00AB1744"/>
    <w:rsid w:val="00AB175E"/>
    <w:rsid w:val="00AB180A"/>
    <w:rsid w:val="00AB188E"/>
    <w:rsid w:val="00AB18E3"/>
    <w:rsid w:val="00AB1931"/>
    <w:rsid w:val="00AB1949"/>
    <w:rsid w:val="00AB1955"/>
    <w:rsid w:val="00AB19E5"/>
    <w:rsid w:val="00AB1A98"/>
    <w:rsid w:val="00AB1AA9"/>
    <w:rsid w:val="00AB1ABB"/>
    <w:rsid w:val="00AB1ADC"/>
    <w:rsid w:val="00AB1AE2"/>
    <w:rsid w:val="00AB1B0D"/>
    <w:rsid w:val="00AB1B3F"/>
    <w:rsid w:val="00AB1B59"/>
    <w:rsid w:val="00AB1B5F"/>
    <w:rsid w:val="00AB1B6D"/>
    <w:rsid w:val="00AB1B7D"/>
    <w:rsid w:val="00AB1B8C"/>
    <w:rsid w:val="00AB1BF1"/>
    <w:rsid w:val="00AB1C6E"/>
    <w:rsid w:val="00AB1C8B"/>
    <w:rsid w:val="00AB1D45"/>
    <w:rsid w:val="00AB1D82"/>
    <w:rsid w:val="00AB1E19"/>
    <w:rsid w:val="00AB1E3D"/>
    <w:rsid w:val="00AB1E75"/>
    <w:rsid w:val="00AB1E87"/>
    <w:rsid w:val="00AB1F9B"/>
    <w:rsid w:val="00AB1FA9"/>
    <w:rsid w:val="00AB20D9"/>
    <w:rsid w:val="00AB2149"/>
    <w:rsid w:val="00AB21A5"/>
    <w:rsid w:val="00AB21B2"/>
    <w:rsid w:val="00AB21B5"/>
    <w:rsid w:val="00AB2256"/>
    <w:rsid w:val="00AB22B3"/>
    <w:rsid w:val="00AB232D"/>
    <w:rsid w:val="00AB23F7"/>
    <w:rsid w:val="00AB2432"/>
    <w:rsid w:val="00AB24F8"/>
    <w:rsid w:val="00AB25B1"/>
    <w:rsid w:val="00AB26DA"/>
    <w:rsid w:val="00AB26F4"/>
    <w:rsid w:val="00AB26F6"/>
    <w:rsid w:val="00AB272F"/>
    <w:rsid w:val="00AB2782"/>
    <w:rsid w:val="00AB280C"/>
    <w:rsid w:val="00AB2876"/>
    <w:rsid w:val="00AB2882"/>
    <w:rsid w:val="00AB28F8"/>
    <w:rsid w:val="00AB2974"/>
    <w:rsid w:val="00AB2997"/>
    <w:rsid w:val="00AB299E"/>
    <w:rsid w:val="00AB2A1B"/>
    <w:rsid w:val="00AB2A8B"/>
    <w:rsid w:val="00AB2AD6"/>
    <w:rsid w:val="00AB2B81"/>
    <w:rsid w:val="00AB2BB2"/>
    <w:rsid w:val="00AB2BD9"/>
    <w:rsid w:val="00AB2D07"/>
    <w:rsid w:val="00AB2D8F"/>
    <w:rsid w:val="00AB2DC1"/>
    <w:rsid w:val="00AB2DE2"/>
    <w:rsid w:val="00AB2DF2"/>
    <w:rsid w:val="00AB2EC0"/>
    <w:rsid w:val="00AB2EC4"/>
    <w:rsid w:val="00AB2ECB"/>
    <w:rsid w:val="00AB2EE7"/>
    <w:rsid w:val="00AB2F48"/>
    <w:rsid w:val="00AB3025"/>
    <w:rsid w:val="00AB303B"/>
    <w:rsid w:val="00AB305B"/>
    <w:rsid w:val="00AB3093"/>
    <w:rsid w:val="00AB310D"/>
    <w:rsid w:val="00AB3212"/>
    <w:rsid w:val="00AB3243"/>
    <w:rsid w:val="00AB326C"/>
    <w:rsid w:val="00AB334D"/>
    <w:rsid w:val="00AB3373"/>
    <w:rsid w:val="00AB337C"/>
    <w:rsid w:val="00AB33B6"/>
    <w:rsid w:val="00AB33DF"/>
    <w:rsid w:val="00AB33ED"/>
    <w:rsid w:val="00AB3432"/>
    <w:rsid w:val="00AB351A"/>
    <w:rsid w:val="00AB3554"/>
    <w:rsid w:val="00AB355C"/>
    <w:rsid w:val="00AB357F"/>
    <w:rsid w:val="00AB35AD"/>
    <w:rsid w:val="00AB35D1"/>
    <w:rsid w:val="00AB35D9"/>
    <w:rsid w:val="00AB3612"/>
    <w:rsid w:val="00AB3638"/>
    <w:rsid w:val="00AB3681"/>
    <w:rsid w:val="00AB3683"/>
    <w:rsid w:val="00AB36F4"/>
    <w:rsid w:val="00AB3738"/>
    <w:rsid w:val="00AB3748"/>
    <w:rsid w:val="00AB3768"/>
    <w:rsid w:val="00AB37B0"/>
    <w:rsid w:val="00AB37D5"/>
    <w:rsid w:val="00AB37D7"/>
    <w:rsid w:val="00AB37DD"/>
    <w:rsid w:val="00AB380E"/>
    <w:rsid w:val="00AB383E"/>
    <w:rsid w:val="00AB38D1"/>
    <w:rsid w:val="00AB38D2"/>
    <w:rsid w:val="00AB3915"/>
    <w:rsid w:val="00AB3966"/>
    <w:rsid w:val="00AB39AE"/>
    <w:rsid w:val="00AB3ACF"/>
    <w:rsid w:val="00AB3AF7"/>
    <w:rsid w:val="00AB3BB4"/>
    <w:rsid w:val="00AB3C3C"/>
    <w:rsid w:val="00AB3C50"/>
    <w:rsid w:val="00AB3C9D"/>
    <w:rsid w:val="00AB3CA5"/>
    <w:rsid w:val="00AB3CF2"/>
    <w:rsid w:val="00AB3D06"/>
    <w:rsid w:val="00AB3D35"/>
    <w:rsid w:val="00AB3D81"/>
    <w:rsid w:val="00AB3DBB"/>
    <w:rsid w:val="00AB3E16"/>
    <w:rsid w:val="00AB3F30"/>
    <w:rsid w:val="00AB3F61"/>
    <w:rsid w:val="00AB4050"/>
    <w:rsid w:val="00AB4070"/>
    <w:rsid w:val="00AB4125"/>
    <w:rsid w:val="00AB41DF"/>
    <w:rsid w:val="00AB421E"/>
    <w:rsid w:val="00AB42FC"/>
    <w:rsid w:val="00AB4351"/>
    <w:rsid w:val="00AB437A"/>
    <w:rsid w:val="00AB43C7"/>
    <w:rsid w:val="00AB44F3"/>
    <w:rsid w:val="00AB4695"/>
    <w:rsid w:val="00AB478A"/>
    <w:rsid w:val="00AB47AD"/>
    <w:rsid w:val="00AB47F0"/>
    <w:rsid w:val="00AB4895"/>
    <w:rsid w:val="00AB48F1"/>
    <w:rsid w:val="00AB490C"/>
    <w:rsid w:val="00AB496D"/>
    <w:rsid w:val="00AB49DA"/>
    <w:rsid w:val="00AB4A77"/>
    <w:rsid w:val="00AB4B06"/>
    <w:rsid w:val="00AB4B78"/>
    <w:rsid w:val="00AB4BC4"/>
    <w:rsid w:val="00AB4BFB"/>
    <w:rsid w:val="00AB4C0D"/>
    <w:rsid w:val="00AB4C1A"/>
    <w:rsid w:val="00AB4C5C"/>
    <w:rsid w:val="00AB4C69"/>
    <w:rsid w:val="00AB4C80"/>
    <w:rsid w:val="00AB4C88"/>
    <w:rsid w:val="00AB4CF6"/>
    <w:rsid w:val="00AB4D16"/>
    <w:rsid w:val="00AB4D3F"/>
    <w:rsid w:val="00AB4DDC"/>
    <w:rsid w:val="00AB4DED"/>
    <w:rsid w:val="00AB4E7C"/>
    <w:rsid w:val="00AB4FC5"/>
    <w:rsid w:val="00AB4FD1"/>
    <w:rsid w:val="00AB4FE7"/>
    <w:rsid w:val="00AB4FF1"/>
    <w:rsid w:val="00AB5005"/>
    <w:rsid w:val="00AB501E"/>
    <w:rsid w:val="00AB501F"/>
    <w:rsid w:val="00AB5061"/>
    <w:rsid w:val="00AB5071"/>
    <w:rsid w:val="00AB510D"/>
    <w:rsid w:val="00AB511A"/>
    <w:rsid w:val="00AB5141"/>
    <w:rsid w:val="00AB5164"/>
    <w:rsid w:val="00AB5176"/>
    <w:rsid w:val="00AB5194"/>
    <w:rsid w:val="00AB5225"/>
    <w:rsid w:val="00AB5293"/>
    <w:rsid w:val="00AB52BB"/>
    <w:rsid w:val="00AB531C"/>
    <w:rsid w:val="00AB536F"/>
    <w:rsid w:val="00AB53EC"/>
    <w:rsid w:val="00AB5402"/>
    <w:rsid w:val="00AB546E"/>
    <w:rsid w:val="00AB54B7"/>
    <w:rsid w:val="00AB54D5"/>
    <w:rsid w:val="00AB5500"/>
    <w:rsid w:val="00AB5559"/>
    <w:rsid w:val="00AB55E4"/>
    <w:rsid w:val="00AB561C"/>
    <w:rsid w:val="00AB563B"/>
    <w:rsid w:val="00AB567B"/>
    <w:rsid w:val="00AB56BD"/>
    <w:rsid w:val="00AB56CA"/>
    <w:rsid w:val="00AB56E4"/>
    <w:rsid w:val="00AB56F2"/>
    <w:rsid w:val="00AB5813"/>
    <w:rsid w:val="00AB58AC"/>
    <w:rsid w:val="00AB5935"/>
    <w:rsid w:val="00AB5941"/>
    <w:rsid w:val="00AB59C0"/>
    <w:rsid w:val="00AB5A0E"/>
    <w:rsid w:val="00AB5A30"/>
    <w:rsid w:val="00AB5A44"/>
    <w:rsid w:val="00AB5AD5"/>
    <w:rsid w:val="00AB5AEC"/>
    <w:rsid w:val="00AB5B8E"/>
    <w:rsid w:val="00AB5BAE"/>
    <w:rsid w:val="00AB5BB5"/>
    <w:rsid w:val="00AB5BDC"/>
    <w:rsid w:val="00AB5BDD"/>
    <w:rsid w:val="00AB5C7A"/>
    <w:rsid w:val="00AB5DE2"/>
    <w:rsid w:val="00AB5DFB"/>
    <w:rsid w:val="00AB5DFC"/>
    <w:rsid w:val="00AB5E08"/>
    <w:rsid w:val="00AB5E9A"/>
    <w:rsid w:val="00AB5EAE"/>
    <w:rsid w:val="00AB5ECA"/>
    <w:rsid w:val="00AB5FDF"/>
    <w:rsid w:val="00AB6050"/>
    <w:rsid w:val="00AB6051"/>
    <w:rsid w:val="00AB605D"/>
    <w:rsid w:val="00AB607E"/>
    <w:rsid w:val="00AB6088"/>
    <w:rsid w:val="00AB60C4"/>
    <w:rsid w:val="00AB6187"/>
    <w:rsid w:val="00AB6196"/>
    <w:rsid w:val="00AB61A8"/>
    <w:rsid w:val="00AB61EA"/>
    <w:rsid w:val="00AB6230"/>
    <w:rsid w:val="00AB627B"/>
    <w:rsid w:val="00AB6299"/>
    <w:rsid w:val="00AB62B4"/>
    <w:rsid w:val="00AB6339"/>
    <w:rsid w:val="00AB639D"/>
    <w:rsid w:val="00AB63EE"/>
    <w:rsid w:val="00AB647A"/>
    <w:rsid w:val="00AB648B"/>
    <w:rsid w:val="00AB648C"/>
    <w:rsid w:val="00AB651F"/>
    <w:rsid w:val="00AB65B2"/>
    <w:rsid w:val="00AB661E"/>
    <w:rsid w:val="00AB66D7"/>
    <w:rsid w:val="00AB679F"/>
    <w:rsid w:val="00AB68B9"/>
    <w:rsid w:val="00AB69DE"/>
    <w:rsid w:val="00AB69E8"/>
    <w:rsid w:val="00AB6A07"/>
    <w:rsid w:val="00AB6A5C"/>
    <w:rsid w:val="00AB6A6D"/>
    <w:rsid w:val="00AB6A74"/>
    <w:rsid w:val="00AB6ABE"/>
    <w:rsid w:val="00AB6B1B"/>
    <w:rsid w:val="00AB6B40"/>
    <w:rsid w:val="00AB6C98"/>
    <w:rsid w:val="00AB6CC6"/>
    <w:rsid w:val="00AB6DA4"/>
    <w:rsid w:val="00AB6DC9"/>
    <w:rsid w:val="00AB6DE4"/>
    <w:rsid w:val="00AB6E0A"/>
    <w:rsid w:val="00AB6E18"/>
    <w:rsid w:val="00AB6E53"/>
    <w:rsid w:val="00AB6E77"/>
    <w:rsid w:val="00AB6EEA"/>
    <w:rsid w:val="00AB6F02"/>
    <w:rsid w:val="00AB6F1F"/>
    <w:rsid w:val="00AB6F47"/>
    <w:rsid w:val="00AB6F51"/>
    <w:rsid w:val="00AB6F53"/>
    <w:rsid w:val="00AB6FE8"/>
    <w:rsid w:val="00AB7009"/>
    <w:rsid w:val="00AB7082"/>
    <w:rsid w:val="00AB70A9"/>
    <w:rsid w:val="00AB7146"/>
    <w:rsid w:val="00AB71E2"/>
    <w:rsid w:val="00AB7284"/>
    <w:rsid w:val="00AB728F"/>
    <w:rsid w:val="00AB7338"/>
    <w:rsid w:val="00AB73C8"/>
    <w:rsid w:val="00AB7461"/>
    <w:rsid w:val="00AB7464"/>
    <w:rsid w:val="00AB7493"/>
    <w:rsid w:val="00AB760A"/>
    <w:rsid w:val="00AB762D"/>
    <w:rsid w:val="00AB7699"/>
    <w:rsid w:val="00AB77E9"/>
    <w:rsid w:val="00AB78A7"/>
    <w:rsid w:val="00AB78DF"/>
    <w:rsid w:val="00AB78FF"/>
    <w:rsid w:val="00AB7913"/>
    <w:rsid w:val="00AB791F"/>
    <w:rsid w:val="00AB7922"/>
    <w:rsid w:val="00AB79F9"/>
    <w:rsid w:val="00AB7A6D"/>
    <w:rsid w:val="00AB7A85"/>
    <w:rsid w:val="00AB7A9D"/>
    <w:rsid w:val="00AB7AA9"/>
    <w:rsid w:val="00AB7AAF"/>
    <w:rsid w:val="00AB7B0B"/>
    <w:rsid w:val="00AB7BB8"/>
    <w:rsid w:val="00AB7C33"/>
    <w:rsid w:val="00AB7CC1"/>
    <w:rsid w:val="00AB7D63"/>
    <w:rsid w:val="00AB7E75"/>
    <w:rsid w:val="00AB7F34"/>
    <w:rsid w:val="00AB7F55"/>
    <w:rsid w:val="00AB7FAF"/>
    <w:rsid w:val="00AB7FD8"/>
    <w:rsid w:val="00AC0021"/>
    <w:rsid w:val="00AC0023"/>
    <w:rsid w:val="00AC0029"/>
    <w:rsid w:val="00AC006F"/>
    <w:rsid w:val="00AC010C"/>
    <w:rsid w:val="00AC0119"/>
    <w:rsid w:val="00AC016C"/>
    <w:rsid w:val="00AC01DB"/>
    <w:rsid w:val="00AC02C9"/>
    <w:rsid w:val="00AC0309"/>
    <w:rsid w:val="00AC0363"/>
    <w:rsid w:val="00AC0395"/>
    <w:rsid w:val="00AC03CA"/>
    <w:rsid w:val="00AC0426"/>
    <w:rsid w:val="00AC0438"/>
    <w:rsid w:val="00AC054D"/>
    <w:rsid w:val="00AC0572"/>
    <w:rsid w:val="00AC05BF"/>
    <w:rsid w:val="00AC0705"/>
    <w:rsid w:val="00AC07E0"/>
    <w:rsid w:val="00AC0866"/>
    <w:rsid w:val="00AC0896"/>
    <w:rsid w:val="00AC0960"/>
    <w:rsid w:val="00AC096A"/>
    <w:rsid w:val="00AC0AB1"/>
    <w:rsid w:val="00AC0AFA"/>
    <w:rsid w:val="00AC0B2F"/>
    <w:rsid w:val="00AC0B52"/>
    <w:rsid w:val="00AC0BA0"/>
    <w:rsid w:val="00AC0C97"/>
    <w:rsid w:val="00AC0CD1"/>
    <w:rsid w:val="00AC0D9B"/>
    <w:rsid w:val="00AC0DBC"/>
    <w:rsid w:val="00AC0DE5"/>
    <w:rsid w:val="00AC0EA1"/>
    <w:rsid w:val="00AC0EFD"/>
    <w:rsid w:val="00AC0F17"/>
    <w:rsid w:val="00AC0F72"/>
    <w:rsid w:val="00AC0FB5"/>
    <w:rsid w:val="00AC0FE2"/>
    <w:rsid w:val="00AC110C"/>
    <w:rsid w:val="00AC110F"/>
    <w:rsid w:val="00AC1158"/>
    <w:rsid w:val="00AC1194"/>
    <w:rsid w:val="00AC11D1"/>
    <w:rsid w:val="00AC1230"/>
    <w:rsid w:val="00AC1263"/>
    <w:rsid w:val="00AC12F3"/>
    <w:rsid w:val="00AC134C"/>
    <w:rsid w:val="00AC1393"/>
    <w:rsid w:val="00AC13F3"/>
    <w:rsid w:val="00AC1498"/>
    <w:rsid w:val="00AC1532"/>
    <w:rsid w:val="00AC1533"/>
    <w:rsid w:val="00AC1591"/>
    <w:rsid w:val="00AC15A8"/>
    <w:rsid w:val="00AC15AF"/>
    <w:rsid w:val="00AC15EA"/>
    <w:rsid w:val="00AC1646"/>
    <w:rsid w:val="00AC1653"/>
    <w:rsid w:val="00AC167E"/>
    <w:rsid w:val="00AC16B8"/>
    <w:rsid w:val="00AC16CB"/>
    <w:rsid w:val="00AC1744"/>
    <w:rsid w:val="00AC1766"/>
    <w:rsid w:val="00AC17CA"/>
    <w:rsid w:val="00AC180E"/>
    <w:rsid w:val="00AC191C"/>
    <w:rsid w:val="00AC1922"/>
    <w:rsid w:val="00AC195C"/>
    <w:rsid w:val="00AC1A07"/>
    <w:rsid w:val="00AC1C3B"/>
    <w:rsid w:val="00AC1C8F"/>
    <w:rsid w:val="00AC1CEB"/>
    <w:rsid w:val="00AC1D09"/>
    <w:rsid w:val="00AC1D1B"/>
    <w:rsid w:val="00AC1D27"/>
    <w:rsid w:val="00AC1D84"/>
    <w:rsid w:val="00AC1E14"/>
    <w:rsid w:val="00AC1E43"/>
    <w:rsid w:val="00AC1E8C"/>
    <w:rsid w:val="00AC1EE9"/>
    <w:rsid w:val="00AC202C"/>
    <w:rsid w:val="00AC2039"/>
    <w:rsid w:val="00AC20A2"/>
    <w:rsid w:val="00AC20AE"/>
    <w:rsid w:val="00AC20DC"/>
    <w:rsid w:val="00AC213F"/>
    <w:rsid w:val="00AC2141"/>
    <w:rsid w:val="00AC2176"/>
    <w:rsid w:val="00AC218C"/>
    <w:rsid w:val="00AC2218"/>
    <w:rsid w:val="00AC222D"/>
    <w:rsid w:val="00AC225C"/>
    <w:rsid w:val="00AC2362"/>
    <w:rsid w:val="00AC249C"/>
    <w:rsid w:val="00AC251A"/>
    <w:rsid w:val="00AC259B"/>
    <w:rsid w:val="00AC25AE"/>
    <w:rsid w:val="00AC25F9"/>
    <w:rsid w:val="00AC2643"/>
    <w:rsid w:val="00AC26D7"/>
    <w:rsid w:val="00AC26E0"/>
    <w:rsid w:val="00AC27DD"/>
    <w:rsid w:val="00AC28FB"/>
    <w:rsid w:val="00AC290C"/>
    <w:rsid w:val="00AC2A28"/>
    <w:rsid w:val="00AC2A6D"/>
    <w:rsid w:val="00AC2A6F"/>
    <w:rsid w:val="00AC2AB0"/>
    <w:rsid w:val="00AC2AC3"/>
    <w:rsid w:val="00AC2B21"/>
    <w:rsid w:val="00AC2B9A"/>
    <w:rsid w:val="00AC2C1B"/>
    <w:rsid w:val="00AC2C21"/>
    <w:rsid w:val="00AC2D4F"/>
    <w:rsid w:val="00AC2D67"/>
    <w:rsid w:val="00AC2D73"/>
    <w:rsid w:val="00AC2DBC"/>
    <w:rsid w:val="00AC2DE4"/>
    <w:rsid w:val="00AC2ED3"/>
    <w:rsid w:val="00AC2EE1"/>
    <w:rsid w:val="00AC2F36"/>
    <w:rsid w:val="00AC2F3C"/>
    <w:rsid w:val="00AC2F62"/>
    <w:rsid w:val="00AC2F63"/>
    <w:rsid w:val="00AC2FA5"/>
    <w:rsid w:val="00AC2FB1"/>
    <w:rsid w:val="00AC307B"/>
    <w:rsid w:val="00AC30D1"/>
    <w:rsid w:val="00AC30D6"/>
    <w:rsid w:val="00AC30F5"/>
    <w:rsid w:val="00AC310C"/>
    <w:rsid w:val="00AC3116"/>
    <w:rsid w:val="00AC318D"/>
    <w:rsid w:val="00AC3196"/>
    <w:rsid w:val="00AC3233"/>
    <w:rsid w:val="00AC3293"/>
    <w:rsid w:val="00AC3306"/>
    <w:rsid w:val="00AC3368"/>
    <w:rsid w:val="00AC3406"/>
    <w:rsid w:val="00AC345C"/>
    <w:rsid w:val="00AC34D3"/>
    <w:rsid w:val="00AC3535"/>
    <w:rsid w:val="00AC3585"/>
    <w:rsid w:val="00AC3626"/>
    <w:rsid w:val="00AC3647"/>
    <w:rsid w:val="00AC36A3"/>
    <w:rsid w:val="00AC36EA"/>
    <w:rsid w:val="00AC3713"/>
    <w:rsid w:val="00AC375E"/>
    <w:rsid w:val="00AC379A"/>
    <w:rsid w:val="00AC37A6"/>
    <w:rsid w:val="00AC37CC"/>
    <w:rsid w:val="00AC37E2"/>
    <w:rsid w:val="00AC37F6"/>
    <w:rsid w:val="00AC3960"/>
    <w:rsid w:val="00AC3AAB"/>
    <w:rsid w:val="00AC3BD2"/>
    <w:rsid w:val="00AC3C12"/>
    <w:rsid w:val="00AC3C1C"/>
    <w:rsid w:val="00AC3C50"/>
    <w:rsid w:val="00AC3C80"/>
    <w:rsid w:val="00AC3C8D"/>
    <w:rsid w:val="00AC3CC9"/>
    <w:rsid w:val="00AC3CE0"/>
    <w:rsid w:val="00AC3CEA"/>
    <w:rsid w:val="00AC3D16"/>
    <w:rsid w:val="00AC3D31"/>
    <w:rsid w:val="00AC3DA8"/>
    <w:rsid w:val="00AC3DC2"/>
    <w:rsid w:val="00AC3EFD"/>
    <w:rsid w:val="00AC3F30"/>
    <w:rsid w:val="00AC3F36"/>
    <w:rsid w:val="00AC402E"/>
    <w:rsid w:val="00AC4036"/>
    <w:rsid w:val="00AC4065"/>
    <w:rsid w:val="00AC4072"/>
    <w:rsid w:val="00AC4122"/>
    <w:rsid w:val="00AC4142"/>
    <w:rsid w:val="00AC425A"/>
    <w:rsid w:val="00AC42B0"/>
    <w:rsid w:val="00AC42E1"/>
    <w:rsid w:val="00AC439E"/>
    <w:rsid w:val="00AC43B6"/>
    <w:rsid w:val="00AC43E7"/>
    <w:rsid w:val="00AC452E"/>
    <w:rsid w:val="00AC453B"/>
    <w:rsid w:val="00AC4545"/>
    <w:rsid w:val="00AC4548"/>
    <w:rsid w:val="00AC4587"/>
    <w:rsid w:val="00AC4599"/>
    <w:rsid w:val="00AC463E"/>
    <w:rsid w:val="00AC467E"/>
    <w:rsid w:val="00AC4741"/>
    <w:rsid w:val="00AC4814"/>
    <w:rsid w:val="00AC48AF"/>
    <w:rsid w:val="00AC4986"/>
    <w:rsid w:val="00AC499D"/>
    <w:rsid w:val="00AC4A2F"/>
    <w:rsid w:val="00AC4A7B"/>
    <w:rsid w:val="00AC4AA7"/>
    <w:rsid w:val="00AC4B0A"/>
    <w:rsid w:val="00AC4B55"/>
    <w:rsid w:val="00AC4B68"/>
    <w:rsid w:val="00AC4B70"/>
    <w:rsid w:val="00AC4B87"/>
    <w:rsid w:val="00AC4BC5"/>
    <w:rsid w:val="00AC4C59"/>
    <w:rsid w:val="00AC4C67"/>
    <w:rsid w:val="00AC4CC3"/>
    <w:rsid w:val="00AC4CE3"/>
    <w:rsid w:val="00AC4DC3"/>
    <w:rsid w:val="00AC4ECE"/>
    <w:rsid w:val="00AC4EEB"/>
    <w:rsid w:val="00AC4EF2"/>
    <w:rsid w:val="00AC4F2B"/>
    <w:rsid w:val="00AC4F34"/>
    <w:rsid w:val="00AC4F48"/>
    <w:rsid w:val="00AC4F90"/>
    <w:rsid w:val="00AC4FC2"/>
    <w:rsid w:val="00AC5062"/>
    <w:rsid w:val="00AC50CF"/>
    <w:rsid w:val="00AC5123"/>
    <w:rsid w:val="00AC51D8"/>
    <w:rsid w:val="00AC529F"/>
    <w:rsid w:val="00AC52AB"/>
    <w:rsid w:val="00AC52C1"/>
    <w:rsid w:val="00AC52CA"/>
    <w:rsid w:val="00AC52CD"/>
    <w:rsid w:val="00AC5377"/>
    <w:rsid w:val="00AC53AD"/>
    <w:rsid w:val="00AC53F6"/>
    <w:rsid w:val="00AC5410"/>
    <w:rsid w:val="00AC5560"/>
    <w:rsid w:val="00AC55F4"/>
    <w:rsid w:val="00AC561D"/>
    <w:rsid w:val="00AC5657"/>
    <w:rsid w:val="00AC569B"/>
    <w:rsid w:val="00AC56B5"/>
    <w:rsid w:val="00AC5708"/>
    <w:rsid w:val="00AC5740"/>
    <w:rsid w:val="00AC57A8"/>
    <w:rsid w:val="00AC57AF"/>
    <w:rsid w:val="00AC580F"/>
    <w:rsid w:val="00AC58A1"/>
    <w:rsid w:val="00AC58FC"/>
    <w:rsid w:val="00AC5946"/>
    <w:rsid w:val="00AC59A7"/>
    <w:rsid w:val="00AC59E6"/>
    <w:rsid w:val="00AC59EA"/>
    <w:rsid w:val="00AC59F7"/>
    <w:rsid w:val="00AC5A13"/>
    <w:rsid w:val="00AC5A1F"/>
    <w:rsid w:val="00AC5A35"/>
    <w:rsid w:val="00AC5A60"/>
    <w:rsid w:val="00AC5B19"/>
    <w:rsid w:val="00AC5B31"/>
    <w:rsid w:val="00AC5B92"/>
    <w:rsid w:val="00AC5B93"/>
    <w:rsid w:val="00AC5BAB"/>
    <w:rsid w:val="00AC5BF7"/>
    <w:rsid w:val="00AC5C60"/>
    <w:rsid w:val="00AC5C72"/>
    <w:rsid w:val="00AC5CEE"/>
    <w:rsid w:val="00AC5D05"/>
    <w:rsid w:val="00AC5D6A"/>
    <w:rsid w:val="00AC5DCD"/>
    <w:rsid w:val="00AC5DDE"/>
    <w:rsid w:val="00AC5E4F"/>
    <w:rsid w:val="00AC5E99"/>
    <w:rsid w:val="00AC5F14"/>
    <w:rsid w:val="00AC5F31"/>
    <w:rsid w:val="00AC5F80"/>
    <w:rsid w:val="00AC5FB6"/>
    <w:rsid w:val="00AC5FF3"/>
    <w:rsid w:val="00AC60EF"/>
    <w:rsid w:val="00AC615A"/>
    <w:rsid w:val="00AC61BD"/>
    <w:rsid w:val="00AC6243"/>
    <w:rsid w:val="00AC6354"/>
    <w:rsid w:val="00AC63A0"/>
    <w:rsid w:val="00AC63E9"/>
    <w:rsid w:val="00AC64CF"/>
    <w:rsid w:val="00AC6617"/>
    <w:rsid w:val="00AC6635"/>
    <w:rsid w:val="00AC66A2"/>
    <w:rsid w:val="00AC6788"/>
    <w:rsid w:val="00AC6809"/>
    <w:rsid w:val="00AC6812"/>
    <w:rsid w:val="00AC681A"/>
    <w:rsid w:val="00AC6832"/>
    <w:rsid w:val="00AC6937"/>
    <w:rsid w:val="00AC6A73"/>
    <w:rsid w:val="00AC6B3C"/>
    <w:rsid w:val="00AC6B6B"/>
    <w:rsid w:val="00AC6BF2"/>
    <w:rsid w:val="00AC6C48"/>
    <w:rsid w:val="00AC6C88"/>
    <w:rsid w:val="00AC6CDC"/>
    <w:rsid w:val="00AC6CEA"/>
    <w:rsid w:val="00AC6D61"/>
    <w:rsid w:val="00AC6D68"/>
    <w:rsid w:val="00AC6D9A"/>
    <w:rsid w:val="00AC6F0D"/>
    <w:rsid w:val="00AC6F84"/>
    <w:rsid w:val="00AC6FA9"/>
    <w:rsid w:val="00AC6FF7"/>
    <w:rsid w:val="00AC70B7"/>
    <w:rsid w:val="00AC7102"/>
    <w:rsid w:val="00AC710C"/>
    <w:rsid w:val="00AC711A"/>
    <w:rsid w:val="00AC712A"/>
    <w:rsid w:val="00AC71AF"/>
    <w:rsid w:val="00AC71D4"/>
    <w:rsid w:val="00AC7227"/>
    <w:rsid w:val="00AC72E9"/>
    <w:rsid w:val="00AC7331"/>
    <w:rsid w:val="00AC73DE"/>
    <w:rsid w:val="00AC743B"/>
    <w:rsid w:val="00AC7473"/>
    <w:rsid w:val="00AC747C"/>
    <w:rsid w:val="00AC748F"/>
    <w:rsid w:val="00AC74B2"/>
    <w:rsid w:val="00AC7521"/>
    <w:rsid w:val="00AC75E2"/>
    <w:rsid w:val="00AC764F"/>
    <w:rsid w:val="00AC7691"/>
    <w:rsid w:val="00AC76B8"/>
    <w:rsid w:val="00AC76BA"/>
    <w:rsid w:val="00AC770A"/>
    <w:rsid w:val="00AC7733"/>
    <w:rsid w:val="00AC77E0"/>
    <w:rsid w:val="00AC77FC"/>
    <w:rsid w:val="00AC78B0"/>
    <w:rsid w:val="00AC797C"/>
    <w:rsid w:val="00AC79EF"/>
    <w:rsid w:val="00AC7A05"/>
    <w:rsid w:val="00AC7A63"/>
    <w:rsid w:val="00AC7AA3"/>
    <w:rsid w:val="00AC7AC2"/>
    <w:rsid w:val="00AC7AED"/>
    <w:rsid w:val="00AC7B59"/>
    <w:rsid w:val="00AC7B97"/>
    <w:rsid w:val="00AC7C0A"/>
    <w:rsid w:val="00AC7CDD"/>
    <w:rsid w:val="00AC7CF9"/>
    <w:rsid w:val="00AC7D28"/>
    <w:rsid w:val="00AC7E30"/>
    <w:rsid w:val="00AC7EDA"/>
    <w:rsid w:val="00AC7EFD"/>
    <w:rsid w:val="00AC7F6F"/>
    <w:rsid w:val="00AD0111"/>
    <w:rsid w:val="00AD0116"/>
    <w:rsid w:val="00AD012C"/>
    <w:rsid w:val="00AD013C"/>
    <w:rsid w:val="00AD01EB"/>
    <w:rsid w:val="00AD02B5"/>
    <w:rsid w:val="00AD02C3"/>
    <w:rsid w:val="00AD02FC"/>
    <w:rsid w:val="00AD02FF"/>
    <w:rsid w:val="00AD032C"/>
    <w:rsid w:val="00AD034E"/>
    <w:rsid w:val="00AD03DD"/>
    <w:rsid w:val="00AD03FD"/>
    <w:rsid w:val="00AD042D"/>
    <w:rsid w:val="00AD0438"/>
    <w:rsid w:val="00AD048F"/>
    <w:rsid w:val="00AD055D"/>
    <w:rsid w:val="00AD0667"/>
    <w:rsid w:val="00AD06BA"/>
    <w:rsid w:val="00AD06C0"/>
    <w:rsid w:val="00AD06D7"/>
    <w:rsid w:val="00AD06E4"/>
    <w:rsid w:val="00AD073B"/>
    <w:rsid w:val="00AD073C"/>
    <w:rsid w:val="00AD0753"/>
    <w:rsid w:val="00AD07A8"/>
    <w:rsid w:val="00AD07BE"/>
    <w:rsid w:val="00AD07D7"/>
    <w:rsid w:val="00AD0853"/>
    <w:rsid w:val="00AD08F7"/>
    <w:rsid w:val="00AD0911"/>
    <w:rsid w:val="00AD0940"/>
    <w:rsid w:val="00AD09D0"/>
    <w:rsid w:val="00AD0AB6"/>
    <w:rsid w:val="00AD0B4E"/>
    <w:rsid w:val="00AD0B92"/>
    <w:rsid w:val="00AD0BEB"/>
    <w:rsid w:val="00AD0BEF"/>
    <w:rsid w:val="00AD0C4B"/>
    <w:rsid w:val="00AD0D8D"/>
    <w:rsid w:val="00AD0DB5"/>
    <w:rsid w:val="00AD0DCF"/>
    <w:rsid w:val="00AD0E33"/>
    <w:rsid w:val="00AD0F68"/>
    <w:rsid w:val="00AD1083"/>
    <w:rsid w:val="00AD1124"/>
    <w:rsid w:val="00AD11B2"/>
    <w:rsid w:val="00AD122D"/>
    <w:rsid w:val="00AD137A"/>
    <w:rsid w:val="00AD139E"/>
    <w:rsid w:val="00AD13F5"/>
    <w:rsid w:val="00AD1425"/>
    <w:rsid w:val="00AD146A"/>
    <w:rsid w:val="00AD1479"/>
    <w:rsid w:val="00AD14D0"/>
    <w:rsid w:val="00AD14E4"/>
    <w:rsid w:val="00AD1530"/>
    <w:rsid w:val="00AD1578"/>
    <w:rsid w:val="00AD1598"/>
    <w:rsid w:val="00AD162B"/>
    <w:rsid w:val="00AD1636"/>
    <w:rsid w:val="00AD1649"/>
    <w:rsid w:val="00AD1668"/>
    <w:rsid w:val="00AD16A4"/>
    <w:rsid w:val="00AD17D1"/>
    <w:rsid w:val="00AD17EE"/>
    <w:rsid w:val="00AD1846"/>
    <w:rsid w:val="00AD18CA"/>
    <w:rsid w:val="00AD1915"/>
    <w:rsid w:val="00AD191D"/>
    <w:rsid w:val="00AD1929"/>
    <w:rsid w:val="00AD19A2"/>
    <w:rsid w:val="00AD19D4"/>
    <w:rsid w:val="00AD1A8A"/>
    <w:rsid w:val="00AD1B21"/>
    <w:rsid w:val="00AD1B7B"/>
    <w:rsid w:val="00AD1BBA"/>
    <w:rsid w:val="00AD1BC5"/>
    <w:rsid w:val="00AD1C85"/>
    <w:rsid w:val="00AD1CEA"/>
    <w:rsid w:val="00AD1D91"/>
    <w:rsid w:val="00AD1DE2"/>
    <w:rsid w:val="00AD1E2D"/>
    <w:rsid w:val="00AD1E3E"/>
    <w:rsid w:val="00AD1E68"/>
    <w:rsid w:val="00AD1E7E"/>
    <w:rsid w:val="00AD1F49"/>
    <w:rsid w:val="00AD1FCF"/>
    <w:rsid w:val="00AD1FFB"/>
    <w:rsid w:val="00AD204D"/>
    <w:rsid w:val="00AD209C"/>
    <w:rsid w:val="00AD20F8"/>
    <w:rsid w:val="00AD211F"/>
    <w:rsid w:val="00AD2128"/>
    <w:rsid w:val="00AD2164"/>
    <w:rsid w:val="00AD2165"/>
    <w:rsid w:val="00AD21A7"/>
    <w:rsid w:val="00AD2227"/>
    <w:rsid w:val="00AD235C"/>
    <w:rsid w:val="00AD2370"/>
    <w:rsid w:val="00AD23C5"/>
    <w:rsid w:val="00AD2494"/>
    <w:rsid w:val="00AD24C9"/>
    <w:rsid w:val="00AD2522"/>
    <w:rsid w:val="00AD252D"/>
    <w:rsid w:val="00AD25B4"/>
    <w:rsid w:val="00AD2679"/>
    <w:rsid w:val="00AD26E5"/>
    <w:rsid w:val="00AD2730"/>
    <w:rsid w:val="00AD2772"/>
    <w:rsid w:val="00AD27D6"/>
    <w:rsid w:val="00AD280F"/>
    <w:rsid w:val="00AD284A"/>
    <w:rsid w:val="00AD28D4"/>
    <w:rsid w:val="00AD28F3"/>
    <w:rsid w:val="00AD291B"/>
    <w:rsid w:val="00AD2924"/>
    <w:rsid w:val="00AD2951"/>
    <w:rsid w:val="00AD295F"/>
    <w:rsid w:val="00AD2A6C"/>
    <w:rsid w:val="00AD2A93"/>
    <w:rsid w:val="00AD2AF6"/>
    <w:rsid w:val="00AD2B5A"/>
    <w:rsid w:val="00AD2BF7"/>
    <w:rsid w:val="00AD2C68"/>
    <w:rsid w:val="00AD2C77"/>
    <w:rsid w:val="00AD2CAD"/>
    <w:rsid w:val="00AD2CB1"/>
    <w:rsid w:val="00AD2CB8"/>
    <w:rsid w:val="00AD2CD3"/>
    <w:rsid w:val="00AD2D8E"/>
    <w:rsid w:val="00AD2DB0"/>
    <w:rsid w:val="00AD2DF2"/>
    <w:rsid w:val="00AD2DF9"/>
    <w:rsid w:val="00AD2E00"/>
    <w:rsid w:val="00AD2E3D"/>
    <w:rsid w:val="00AD2E83"/>
    <w:rsid w:val="00AD2E8C"/>
    <w:rsid w:val="00AD2F28"/>
    <w:rsid w:val="00AD2F8A"/>
    <w:rsid w:val="00AD2FB2"/>
    <w:rsid w:val="00AD3024"/>
    <w:rsid w:val="00AD3046"/>
    <w:rsid w:val="00AD310F"/>
    <w:rsid w:val="00AD3116"/>
    <w:rsid w:val="00AD3121"/>
    <w:rsid w:val="00AD3158"/>
    <w:rsid w:val="00AD3178"/>
    <w:rsid w:val="00AD3199"/>
    <w:rsid w:val="00AD325C"/>
    <w:rsid w:val="00AD32AB"/>
    <w:rsid w:val="00AD3375"/>
    <w:rsid w:val="00AD33A6"/>
    <w:rsid w:val="00AD3406"/>
    <w:rsid w:val="00AD3492"/>
    <w:rsid w:val="00AD34C1"/>
    <w:rsid w:val="00AD3554"/>
    <w:rsid w:val="00AD3565"/>
    <w:rsid w:val="00AD369F"/>
    <w:rsid w:val="00AD36B5"/>
    <w:rsid w:val="00AD36C2"/>
    <w:rsid w:val="00AD36D8"/>
    <w:rsid w:val="00AD3735"/>
    <w:rsid w:val="00AD377C"/>
    <w:rsid w:val="00AD3819"/>
    <w:rsid w:val="00AD385B"/>
    <w:rsid w:val="00AD38D6"/>
    <w:rsid w:val="00AD38E4"/>
    <w:rsid w:val="00AD3932"/>
    <w:rsid w:val="00AD3958"/>
    <w:rsid w:val="00AD3A75"/>
    <w:rsid w:val="00AD3AD2"/>
    <w:rsid w:val="00AD3B01"/>
    <w:rsid w:val="00AD3BA8"/>
    <w:rsid w:val="00AD3BE7"/>
    <w:rsid w:val="00AD3C07"/>
    <w:rsid w:val="00AD3C86"/>
    <w:rsid w:val="00AD3CC7"/>
    <w:rsid w:val="00AD3CE0"/>
    <w:rsid w:val="00AD3D12"/>
    <w:rsid w:val="00AD3EEE"/>
    <w:rsid w:val="00AD3F7B"/>
    <w:rsid w:val="00AD3FDF"/>
    <w:rsid w:val="00AD3FFE"/>
    <w:rsid w:val="00AD4001"/>
    <w:rsid w:val="00AD4035"/>
    <w:rsid w:val="00AD4053"/>
    <w:rsid w:val="00AD4057"/>
    <w:rsid w:val="00AD4089"/>
    <w:rsid w:val="00AD41A7"/>
    <w:rsid w:val="00AD423D"/>
    <w:rsid w:val="00AD42C9"/>
    <w:rsid w:val="00AD42FF"/>
    <w:rsid w:val="00AD439E"/>
    <w:rsid w:val="00AD43E3"/>
    <w:rsid w:val="00AD4443"/>
    <w:rsid w:val="00AD445C"/>
    <w:rsid w:val="00AD44C9"/>
    <w:rsid w:val="00AD44E5"/>
    <w:rsid w:val="00AD44FE"/>
    <w:rsid w:val="00AD452A"/>
    <w:rsid w:val="00AD4540"/>
    <w:rsid w:val="00AD46DD"/>
    <w:rsid w:val="00AD46E3"/>
    <w:rsid w:val="00AD46F5"/>
    <w:rsid w:val="00AD477C"/>
    <w:rsid w:val="00AD47E5"/>
    <w:rsid w:val="00AD481B"/>
    <w:rsid w:val="00AD4873"/>
    <w:rsid w:val="00AD48C6"/>
    <w:rsid w:val="00AD492A"/>
    <w:rsid w:val="00AD4951"/>
    <w:rsid w:val="00AD49A3"/>
    <w:rsid w:val="00AD49E0"/>
    <w:rsid w:val="00AD4AB5"/>
    <w:rsid w:val="00AD4AE6"/>
    <w:rsid w:val="00AD4B18"/>
    <w:rsid w:val="00AD4B7E"/>
    <w:rsid w:val="00AD4C99"/>
    <w:rsid w:val="00AD4D8C"/>
    <w:rsid w:val="00AD4EC6"/>
    <w:rsid w:val="00AD4ECF"/>
    <w:rsid w:val="00AD4EE0"/>
    <w:rsid w:val="00AD4F4C"/>
    <w:rsid w:val="00AD4F57"/>
    <w:rsid w:val="00AD5021"/>
    <w:rsid w:val="00AD5038"/>
    <w:rsid w:val="00AD509E"/>
    <w:rsid w:val="00AD50CD"/>
    <w:rsid w:val="00AD50DF"/>
    <w:rsid w:val="00AD512D"/>
    <w:rsid w:val="00AD5191"/>
    <w:rsid w:val="00AD5193"/>
    <w:rsid w:val="00AD520C"/>
    <w:rsid w:val="00AD521E"/>
    <w:rsid w:val="00AD52A1"/>
    <w:rsid w:val="00AD52EB"/>
    <w:rsid w:val="00AD532E"/>
    <w:rsid w:val="00AD53E4"/>
    <w:rsid w:val="00AD5477"/>
    <w:rsid w:val="00AD547A"/>
    <w:rsid w:val="00AD54EE"/>
    <w:rsid w:val="00AD5511"/>
    <w:rsid w:val="00AD554B"/>
    <w:rsid w:val="00AD5558"/>
    <w:rsid w:val="00AD56DE"/>
    <w:rsid w:val="00AD5720"/>
    <w:rsid w:val="00AD5747"/>
    <w:rsid w:val="00AD5791"/>
    <w:rsid w:val="00AD581A"/>
    <w:rsid w:val="00AD581E"/>
    <w:rsid w:val="00AD5854"/>
    <w:rsid w:val="00AD58FB"/>
    <w:rsid w:val="00AD5914"/>
    <w:rsid w:val="00AD59C1"/>
    <w:rsid w:val="00AD59CF"/>
    <w:rsid w:val="00AD59E1"/>
    <w:rsid w:val="00AD5AA9"/>
    <w:rsid w:val="00AD5ACA"/>
    <w:rsid w:val="00AD5ADA"/>
    <w:rsid w:val="00AD5BA7"/>
    <w:rsid w:val="00AD5C9E"/>
    <w:rsid w:val="00AD5CDD"/>
    <w:rsid w:val="00AD5DFF"/>
    <w:rsid w:val="00AD5E5D"/>
    <w:rsid w:val="00AD5E7E"/>
    <w:rsid w:val="00AD5EAC"/>
    <w:rsid w:val="00AD5F45"/>
    <w:rsid w:val="00AD5F6F"/>
    <w:rsid w:val="00AD5FC1"/>
    <w:rsid w:val="00AD6009"/>
    <w:rsid w:val="00AD600E"/>
    <w:rsid w:val="00AD602B"/>
    <w:rsid w:val="00AD603C"/>
    <w:rsid w:val="00AD6110"/>
    <w:rsid w:val="00AD6116"/>
    <w:rsid w:val="00AD611A"/>
    <w:rsid w:val="00AD616E"/>
    <w:rsid w:val="00AD61F3"/>
    <w:rsid w:val="00AD6208"/>
    <w:rsid w:val="00AD62E2"/>
    <w:rsid w:val="00AD6338"/>
    <w:rsid w:val="00AD634E"/>
    <w:rsid w:val="00AD635D"/>
    <w:rsid w:val="00AD635E"/>
    <w:rsid w:val="00AD636A"/>
    <w:rsid w:val="00AD6431"/>
    <w:rsid w:val="00AD644B"/>
    <w:rsid w:val="00AD6465"/>
    <w:rsid w:val="00AD64A5"/>
    <w:rsid w:val="00AD64C1"/>
    <w:rsid w:val="00AD6555"/>
    <w:rsid w:val="00AD657E"/>
    <w:rsid w:val="00AD65B9"/>
    <w:rsid w:val="00AD6644"/>
    <w:rsid w:val="00AD6650"/>
    <w:rsid w:val="00AD66B0"/>
    <w:rsid w:val="00AD66D5"/>
    <w:rsid w:val="00AD67BA"/>
    <w:rsid w:val="00AD684C"/>
    <w:rsid w:val="00AD6888"/>
    <w:rsid w:val="00AD689E"/>
    <w:rsid w:val="00AD68C5"/>
    <w:rsid w:val="00AD68CD"/>
    <w:rsid w:val="00AD6945"/>
    <w:rsid w:val="00AD6949"/>
    <w:rsid w:val="00AD6A86"/>
    <w:rsid w:val="00AD6ABB"/>
    <w:rsid w:val="00AD6AED"/>
    <w:rsid w:val="00AD6B44"/>
    <w:rsid w:val="00AD6B59"/>
    <w:rsid w:val="00AD6B69"/>
    <w:rsid w:val="00AD6BB5"/>
    <w:rsid w:val="00AD6BEA"/>
    <w:rsid w:val="00AD6C12"/>
    <w:rsid w:val="00AD6C48"/>
    <w:rsid w:val="00AD6D7B"/>
    <w:rsid w:val="00AD6DAF"/>
    <w:rsid w:val="00AD6DB3"/>
    <w:rsid w:val="00AD6E85"/>
    <w:rsid w:val="00AD6ECC"/>
    <w:rsid w:val="00AD6F29"/>
    <w:rsid w:val="00AD6F2C"/>
    <w:rsid w:val="00AD6F75"/>
    <w:rsid w:val="00AD6FDF"/>
    <w:rsid w:val="00AD7009"/>
    <w:rsid w:val="00AD703B"/>
    <w:rsid w:val="00AD70B0"/>
    <w:rsid w:val="00AD70BB"/>
    <w:rsid w:val="00AD7139"/>
    <w:rsid w:val="00AD7191"/>
    <w:rsid w:val="00AD71CF"/>
    <w:rsid w:val="00AD722B"/>
    <w:rsid w:val="00AD722E"/>
    <w:rsid w:val="00AD728D"/>
    <w:rsid w:val="00AD72A3"/>
    <w:rsid w:val="00AD7398"/>
    <w:rsid w:val="00AD73B8"/>
    <w:rsid w:val="00AD73BD"/>
    <w:rsid w:val="00AD73FE"/>
    <w:rsid w:val="00AD743B"/>
    <w:rsid w:val="00AD74EE"/>
    <w:rsid w:val="00AD75E4"/>
    <w:rsid w:val="00AD7609"/>
    <w:rsid w:val="00AD7648"/>
    <w:rsid w:val="00AD769C"/>
    <w:rsid w:val="00AD76A1"/>
    <w:rsid w:val="00AD77B1"/>
    <w:rsid w:val="00AD77D7"/>
    <w:rsid w:val="00AD7820"/>
    <w:rsid w:val="00AD782B"/>
    <w:rsid w:val="00AD785E"/>
    <w:rsid w:val="00AD786C"/>
    <w:rsid w:val="00AD78BD"/>
    <w:rsid w:val="00AD7934"/>
    <w:rsid w:val="00AD7946"/>
    <w:rsid w:val="00AD79BE"/>
    <w:rsid w:val="00AD7A68"/>
    <w:rsid w:val="00AD7A72"/>
    <w:rsid w:val="00AD7AE0"/>
    <w:rsid w:val="00AD7AF7"/>
    <w:rsid w:val="00AD7C84"/>
    <w:rsid w:val="00AD7CA1"/>
    <w:rsid w:val="00AD7D09"/>
    <w:rsid w:val="00AD7DC3"/>
    <w:rsid w:val="00AD7EAD"/>
    <w:rsid w:val="00AD7ED0"/>
    <w:rsid w:val="00AD7EFB"/>
    <w:rsid w:val="00AD7F7F"/>
    <w:rsid w:val="00AD7FCB"/>
    <w:rsid w:val="00AE001B"/>
    <w:rsid w:val="00AE0045"/>
    <w:rsid w:val="00AE0066"/>
    <w:rsid w:val="00AE00E1"/>
    <w:rsid w:val="00AE018F"/>
    <w:rsid w:val="00AE01C8"/>
    <w:rsid w:val="00AE01CA"/>
    <w:rsid w:val="00AE01EF"/>
    <w:rsid w:val="00AE01FA"/>
    <w:rsid w:val="00AE020A"/>
    <w:rsid w:val="00AE022E"/>
    <w:rsid w:val="00AE0245"/>
    <w:rsid w:val="00AE024E"/>
    <w:rsid w:val="00AE0275"/>
    <w:rsid w:val="00AE0292"/>
    <w:rsid w:val="00AE02AE"/>
    <w:rsid w:val="00AE02B8"/>
    <w:rsid w:val="00AE0306"/>
    <w:rsid w:val="00AE03A7"/>
    <w:rsid w:val="00AE0463"/>
    <w:rsid w:val="00AE0474"/>
    <w:rsid w:val="00AE04AB"/>
    <w:rsid w:val="00AE04CD"/>
    <w:rsid w:val="00AE0571"/>
    <w:rsid w:val="00AE0592"/>
    <w:rsid w:val="00AE06C0"/>
    <w:rsid w:val="00AE06C7"/>
    <w:rsid w:val="00AE0728"/>
    <w:rsid w:val="00AE0762"/>
    <w:rsid w:val="00AE0770"/>
    <w:rsid w:val="00AE07CB"/>
    <w:rsid w:val="00AE0892"/>
    <w:rsid w:val="00AE08E1"/>
    <w:rsid w:val="00AE092A"/>
    <w:rsid w:val="00AE09B7"/>
    <w:rsid w:val="00AE0A06"/>
    <w:rsid w:val="00AE0A26"/>
    <w:rsid w:val="00AE0A2B"/>
    <w:rsid w:val="00AE0A9E"/>
    <w:rsid w:val="00AE0AD1"/>
    <w:rsid w:val="00AE0AF6"/>
    <w:rsid w:val="00AE0B9C"/>
    <w:rsid w:val="00AE0BE8"/>
    <w:rsid w:val="00AE0C59"/>
    <w:rsid w:val="00AE0CB8"/>
    <w:rsid w:val="00AE0D4C"/>
    <w:rsid w:val="00AE0E2D"/>
    <w:rsid w:val="00AE0E38"/>
    <w:rsid w:val="00AE0E42"/>
    <w:rsid w:val="00AE0F16"/>
    <w:rsid w:val="00AE0F2E"/>
    <w:rsid w:val="00AE0F47"/>
    <w:rsid w:val="00AE0F64"/>
    <w:rsid w:val="00AE1020"/>
    <w:rsid w:val="00AE1074"/>
    <w:rsid w:val="00AE109D"/>
    <w:rsid w:val="00AE10B9"/>
    <w:rsid w:val="00AE10E5"/>
    <w:rsid w:val="00AE1113"/>
    <w:rsid w:val="00AE11DA"/>
    <w:rsid w:val="00AE11EF"/>
    <w:rsid w:val="00AE11FA"/>
    <w:rsid w:val="00AE125D"/>
    <w:rsid w:val="00AE1298"/>
    <w:rsid w:val="00AE12CD"/>
    <w:rsid w:val="00AE12D0"/>
    <w:rsid w:val="00AE1314"/>
    <w:rsid w:val="00AE1334"/>
    <w:rsid w:val="00AE1355"/>
    <w:rsid w:val="00AE138B"/>
    <w:rsid w:val="00AE13D4"/>
    <w:rsid w:val="00AE141A"/>
    <w:rsid w:val="00AE1430"/>
    <w:rsid w:val="00AE145B"/>
    <w:rsid w:val="00AE14E3"/>
    <w:rsid w:val="00AE151A"/>
    <w:rsid w:val="00AE154B"/>
    <w:rsid w:val="00AE1579"/>
    <w:rsid w:val="00AE161B"/>
    <w:rsid w:val="00AE1639"/>
    <w:rsid w:val="00AE16D1"/>
    <w:rsid w:val="00AE1739"/>
    <w:rsid w:val="00AE1777"/>
    <w:rsid w:val="00AE17E1"/>
    <w:rsid w:val="00AE1896"/>
    <w:rsid w:val="00AE18A4"/>
    <w:rsid w:val="00AE18E0"/>
    <w:rsid w:val="00AE1906"/>
    <w:rsid w:val="00AE1982"/>
    <w:rsid w:val="00AE1A1C"/>
    <w:rsid w:val="00AE1A4B"/>
    <w:rsid w:val="00AE1AA2"/>
    <w:rsid w:val="00AE1AE0"/>
    <w:rsid w:val="00AE1AE8"/>
    <w:rsid w:val="00AE1B19"/>
    <w:rsid w:val="00AE1B53"/>
    <w:rsid w:val="00AE1C6A"/>
    <w:rsid w:val="00AE1D29"/>
    <w:rsid w:val="00AE1E76"/>
    <w:rsid w:val="00AE1E7F"/>
    <w:rsid w:val="00AE1EAE"/>
    <w:rsid w:val="00AE1F89"/>
    <w:rsid w:val="00AE1FD4"/>
    <w:rsid w:val="00AE2046"/>
    <w:rsid w:val="00AE206A"/>
    <w:rsid w:val="00AE2082"/>
    <w:rsid w:val="00AE20DE"/>
    <w:rsid w:val="00AE211D"/>
    <w:rsid w:val="00AE218D"/>
    <w:rsid w:val="00AE21E0"/>
    <w:rsid w:val="00AE21F3"/>
    <w:rsid w:val="00AE220D"/>
    <w:rsid w:val="00AE2223"/>
    <w:rsid w:val="00AE22BC"/>
    <w:rsid w:val="00AE2303"/>
    <w:rsid w:val="00AE238E"/>
    <w:rsid w:val="00AE23E8"/>
    <w:rsid w:val="00AE23F5"/>
    <w:rsid w:val="00AE2630"/>
    <w:rsid w:val="00AE2712"/>
    <w:rsid w:val="00AE2741"/>
    <w:rsid w:val="00AE2779"/>
    <w:rsid w:val="00AE27B7"/>
    <w:rsid w:val="00AE27CF"/>
    <w:rsid w:val="00AE282B"/>
    <w:rsid w:val="00AE28A7"/>
    <w:rsid w:val="00AE28DD"/>
    <w:rsid w:val="00AE28FE"/>
    <w:rsid w:val="00AE2923"/>
    <w:rsid w:val="00AE2935"/>
    <w:rsid w:val="00AE2993"/>
    <w:rsid w:val="00AE29A9"/>
    <w:rsid w:val="00AE29EE"/>
    <w:rsid w:val="00AE2A80"/>
    <w:rsid w:val="00AE2AAC"/>
    <w:rsid w:val="00AE2AE2"/>
    <w:rsid w:val="00AE2BF0"/>
    <w:rsid w:val="00AE2C01"/>
    <w:rsid w:val="00AE2C35"/>
    <w:rsid w:val="00AE2C5A"/>
    <w:rsid w:val="00AE2CF0"/>
    <w:rsid w:val="00AE2DDC"/>
    <w:rsid w:val="00AE2EF6"/>
    <w:rsid w:val="00AE2F39"/>
    <w:rsid w:val="00AE2F5A"/>
    <w:rsid w:val="00AE2F90"/>
    <w:rsid w:val="00AE30F1"/>
    <w:rsid w:val="00AE3126"/>
    <w:rsid w:val="00AE32F2"/>
    <w:rsid w:val="00AE32F4"/>
    <w:rsid w:val="00AE330D"/>
    <w:rsid w:val="00AE34AD"/>
    <w:rsid w:val="00AE34D4"/>
    <w:rsid w:val="00AE35BC"/>
    <w:rsid w:val="00AE35DB"/>
    <w:rsid w:val="00AE378B"/>
    <w:rsid w:val="00AE3850"/>
    <w:rsid w:val="00AE388D"/>
    <w:rsid w:val="00AE38B3"/>
    <w:rsid w:val="00AE3925"/>
    <w:rsid w:val="00AE393C"/>
    <w:rsid w:val="00AE39C6"/>
    <w:rsid w:val="00AE39C9"/>
    <w:rsid w:val="00AE39F5"/>
    <w:rsid w:val="00AE3A09"/>
    <w:rsid w:val="00AE3AAA"/>
    <w:rsid w:val="00AE3AD8"/>
    <w:rsid w:val="00AE3B1B"/>
    <w:rsid w:val="00AE3CD8"/>
    <w:rsid w:val="00AE3D53"/>
    <w:rsid w:val="00AE3D6D"/>
    <w:rsid w:val="00AE3DD3"/>
    <w:rsid w:val="00AE3E67"/>
    <w:rsid w:val="00AE3EE8"/>
    <w:rsid w:val="00AE3FAB"/>
    <w:rsid w:val="00AE3FE4"/>
    <w:rsid w:val="00AE4002"/>
    <w:rsid w:val="00AE403B"/>
    <w:rsid w:val="00AE4045"/>
    <w:rsid w:val="00AE4057"/>
    <w:rsid w:val="00AE406A"/>
    <w:rsid w:val="00AE40BF"/>
    <w:rsid w:val="00AE412F"/>
    <w:rsid w:val="00AE415B"/>
    <w:rsid w:val="00AE41DD"/>
    <w:rsid w:val="00AE420D"/>
    <w:rsid w:val="00AE428F"/>
    <w:rsid w:val="00AE42E3"/>
    <w:rsid w:val="00AE433F"/>
    <w:rsid w:val="00AE4396"/>
    <w:rsid w:val="00AE43B7"/>
    <w:rsid w:val="00AE4421"/>
    <w:rsid w:val="00AE445E"/>
    <w:rsid w:val="00AE44E7"/>
    <w:rsid w:val="00AE4534"/>
    <w:rsid w:val="00AE4550"/>
    <w:rsid w:val="00AE458B"/>
    <w:rsid w:val="00AE4657"/>
    <w:rsid w:val="00AE46CC"/>
    <w:rsid w:val="00AE46DF"/>
    <w:rsid w:val="00AE477A"/>
    <w:rsid w:val="00AE47A8"/>
    <w:rsid w:val="00AE4802"/>
    <w:rsid w:val="00AE4820"/>
    <w:rsid w:val="00AE4831"/>
    <w:rsid w:val="00AE484A"/>
    <w:rsid w:val="00AE4888"/>
    <w:rsid w:val="00AE48B4"/>
    <w:rsid w:val="00AE4959"/>
    <w:rsid w:val="00AE49BF"/>
    <w:rsid w:val="00AE49FD"/>
    <w:rsid w:val="00AE4A4C"/>
    <w:rsid w:val="00AE4A51"/>
    <w:rsid w:val="00AE4A7D"/>
    <w:rsid w:val="00AE4ABC"/>
    <w:rsid w:val="00AE4AFE"/>
    <w:rsid w:val="00AE4B2C"/>
    <w:rsid w:val="00AE4BDD"/>
    <w:rsid w:val="00AE4C3D"/>
    <w:rsid w:val="00AE4C50"/>
    <w:rsid w:val="00AE4CED"/>
    <w:rsid w:val="00AE4E04"/>
    <w:rsid w:val="00AE4E27"/>
    <w:rsid w:val="00AE4E44"/>
    <w:rsid w:val="00AE4E45"/>
    <w:rsid w:val="00AE4EAA"/>
    <w:rsid w:val="00AE4F06"/>
    <w:rsid w:val="00AE4F07"/>
    <w:rsid w:val="00AE4F23"/>
    <w:rsid w:val="00AE4F2B"/>
    <w:rsid w:val="00AE4FC9"/>
    <w:rsid w:val="00AE4FE2"/>
    <w:rsid w:val="00AE515D"/>
    <w:rsid w:val="00AE51A6"/>
    <w:rsid w:val="00AE522A"/>
    <w:rsid w:val="00AE5236"/>
    <w:rsid w:val="00AE523D"/>
    <w:rsid w:val="00AE526E"/>
    <w:rsid w:val="00AE5288"/>
    <w:rsid w:val="00AE53AC"/>
    <w:rsid w:val="00AE5423"/>
    <w:rsid w:val="00AE5467"/>
    <w:rsid w:val="00AE5569"/>
    <w:rsid w:val="00AE564E"/>
    <w:rsid w:val="00AE56A3"/>
    <w:rsid w:val="00AE5701"/>
    <w:rsid w:val="00AE5763"/>
    <w:rsid w:val="00AE5775"/>
    <w:rsid w:val="00AE57F0"/>
    <w:rsid w:val="00AE580B"/>
    <w:rsid w:val="00AE58A4"/>
    <w:rsid w:val="00AE58E3"/>
    <w:rsid w:val="00AE58ED"/>
    <w:rsid w:val="00AE5929"/>
    <w:rsid w:val="00AE5938"/>
    <w:rsid w:val="00AE59AF"/>
    <w:rsid w:val="00AE5AD1"/>
    <w:rsid w:val="00AE5AE2"/>
    <w:rsid w:val="00AE5AEA"/>
    <w:rsid w:val="00AE5AF3"/>
    <w:rsid w:val="00AE5B13"/>
    <w:rsid w:val="00AE5B7C"/>
    <w:rsid w:val="00AE5BE0"/>
    <w:rsid w:val="00AE5C0C"/>
    <w:rsid w:val="00AE5CA7"/>
    <w:rsid w:val="00AE5CCF"/>
    <w:rsid w:val="00AE5CD7"/>
    <w:rsid w:val="00AE5DB8"/>
    <w:rsid w:val="00AE5F05"/>
    <w:rsid w:val="00AE5F0E"/>
    <w:rsid w:val="00AE5F2D"/>
    <w:rsid w:val="00AE5FCD"/>
    <w:rsid w:val="00AE5FF5"/>
    <w:rsid w:val="00AE602D"/>
    <w:rsid w:val="00AE6034"/>
    <w:rsid w:val="00AE61A1"/>
    <w:rsid w:val="00AE61E4"/>
    <w:rsid w:val="00AE61F8"/>
    <w:rsid w:val="00AE6222"/>
    <w:rsid w:val="00AE6261"/>
    <w:rsid w:val="00AE6267"/>
    <w:rsid w:val="00AE62B3"/>
    <w:rsid w:val="00AE62EC"/>
    <w:rsid w:val="00AE6348"/>
    <w:rsid w:val="00AE6407"/>
    <w:rsid w:val="00AE6433"/>
    <w:rsid w:val="00AE645D"/>
    <w:rsid w:val="00AE6478"/>
    <w:rsid w:val="00AE64EE"/>
    <w:rsid w:val="00AE64F0"/>
    <w:rsid w:val="00AE6570"/>
    <w:rsid w:val="00AE6576"/>
    <w:rsid w:val="00AE660B"/>
    <w:rsid w:val="00AE6642"/>
    <w:rsid w:val="00AE666D"/>
    <w:rsid w:val="00AE66E4"/>
    <w:rsid w:val="00AE6706"/>
    <w:rsid w:val="00AE6779"/>
    <w:rsid w:val="00AE67A4"/>
    <w:rsid w:val="00AE6898"/>
    <w:rsid w:val="00AE68D2"/>
    <w:rsid w:val="00AE6948"/>
    <w:rsid w:val="00AE6A4A"/>
    <w:rsid w:val="00AE6A69"/>
    <w:rsid w:val="00AE6B05"/>
    <w:rsid w:val="00AE6BE0"/>
    <w:rsid w:val="00AE6C1B"/>
    <w:rsid w:val="00AE6CD6"/>
    <w:rsid w:val="00AE6D4B"/>
    <w:rsid w:val="00AE6D9B"/>
    <w:rsid w:val="00AE6F35"/>
    <w:rsid w:val="00AE6F40"/>
    <w:rsid w:val="00AE6F44"/>
    <w:rsid w:val="00AE6FE1"/>
    <w:rsid w:val="00AE7076"/>
    <w:rsid w:val="00AE70B6"/>
    <w:rsid w:val="00AE70F5"/>
    <w:rsid w:val="00AE714E"/>
    <w:rsid w:val="00AE718B"/>
    <w:rsid w:val="00AE71D8"/>
    <w:rsid w:val="00AE7212"/>
    <w:rsid w:val="00AE7279"/>
    <w:rsid w:val="00AE7290"/>
    <w:rsid w:val="00AE72D6"/>
    <w:rsid w:val="00AE73D3"/>
    <w:rsid w:val="00AE73EA"/>
    <w:rsid w:val="00AE73F0"/>
    <w:rsid w:val="00AE743E"/>
    <w:rsid w:val="00AE74EE"/>
    <w:rsid w:val="00AE74FF"/>
    <w:rsid w:val="00AE7554"/>
    <w:rsid w:val="00AE75AD"/>
    <w:rsid w:val="00AE75BE"/>
    <w:rsid w:val="00AE75E4"/>
    <w:rsid w:val="00AE7605"/>
    <w:rsid w:val="00AE7643"/>
    <w:rsid w:val="00AE767D"/>
    <w:rsid w:val="00AE7681"/>
    <w:rsid w:val="00AE76D2"/>
    <w:rsid w:val="00AE7712"/>
    <w:rsid w:val="00AE771B"/>
    <w:rsid w:val="00AE773E"/>
    <w:rsid w:val="00AE7837"/>
    <w:rsid w:val="00AE7842"/>
    <w:rsid w:val="00AE7852"/>
    <w:rsid w:val="00AE790A"/>
    <w:rsid w:val="00AE7A6B"/>
    <w:rsid w:val="00AE7AF4"/>
    <w:rsid w:val="00AE7B10"/>
    <w:rsid w:val="00AE7B2A"/>
    <w:rsid w:val="00AE7B2C"/>
    <w:rsid w:val="00AE7B37"/>
    <w:rsid w:val="00AE7B66"/>
    <w:rsid w:val="00AE7BFD"/>
    <w:rsid w:val="00AE7CA0"/>
    <w:rsid w:val="00AE7CD9"/>
    <w:rsid w:val="00AE7CF6"/>
    <w:rsid w:val="00AE7D1A"/>
    <w:rsid w:val="00AE7D53"/>
    <w:rsid w:val="00AE7E03"/>
    <w:rsid w:val="00AE7E3B"/>
    <w:rsid w:val="00AE7E91"/>
    <w:rsid w:val="00AE7E94"/>
    <w:rsid w:val="00AE7EF4"/>
    <w:rsid w:val="00AE7F2F"/>
    <w:rsid w:val="00AE7F45"/>
    <w:rsid w:val="00AE7F88"/>
    <w:rsid w:val="00AE7FEF"/>
    <w:rsid w:val="00AF0008"/>
    <w:rsid w:val="00AF0086"/>
    <w:rsid w:val="00AF00B4"/>
    <w:rsid w:val="00AF01A8"/>
    <w:rsid w:val="00AF01D7"/>
    <w:rsid w:val="00AF02BC"/>
    <w:rsid w:val="00AF02F7"/>
    <w:rsid w:val="00AF032E"/>
    <w:rsid w:val="00AF0349"/>
    <w:rsid w:val="00AF0399"/>
    <w:rsid w:val="00AF03BE"/>
    <w:rsid w:val="00AF03CF"/>
    <w:rsid w:val="00AF03F9"/>
    <w:rsid w:val="00AF0475"/>
    <w:rsid w:val="00AF048D"/>
    <w:rsid w:val="00AF04A2"/>
    <w:rsid w:val="00AF0510"/>
    <w:rsid w:val="00AF0522"/>
    <w:rsid w:val="00AF0581"/>
    <w:rsid w:val="00AF058E"/>
    <w:rsid w:val="00AF05EB"/>
    <w:rsid w:val="00AF05FE"/>
    <w:rsid w:val="00AF0638"/>
    <w:rsid w:val="00AF06FF"/>
    <w:rsid w:val="00AF0795"/>
    <w:rsid w:val="00AF07C0"/>
    <w:rsid w:val="00AF07CF"/>
    <w:rsid w:val="00AF07F7"/>
    <w:rsid w:val="00AF0819"/>
    <w:rsid w:val="00AF086C"/>
    <w:rsid w:val="00AF092F"/>
    <w:rsid w:val="00AF0959"/>
    <w:rsid w:val="00AF0982"/>
    <w:rsid w:val="00AF099D"/>
    <w:rsid w:val="00AF0A0E"/>
    <w:rsid w:val="00AF0A21"/>
    <w:rsid w:val="00AF0A9F"/>
    <w:rsid w:val="00AF0AAE"/>
    <w:rsid w:val="00AF0CD4"/>
    <w:rsid w:val="00AF0D0A"/>
    <w:rsid w:val="00AF0D60"/>
    <w:rsid w:val="00AF0D64"/>
    <w:rsid w:val="00AF0D89"/>
    <w:rsid w:val="00AF0D99"/>
    <w:rsid w:val="00AF0D9B"/>
    <w:rsid w:val="00AF0DE6"/>
    <w:rsid w:val="00AF0E60"/>
    <w:rsid w:val="00AF0E68"/>
    <w:rsid w:val="00AF0EA8"/>
    <w:rsid w:val="00AF0EDC"/>
    <w:rsid w:val="00AF0EF7"/>
    <w:rsid w:val="00AF0F50"/>
    <w:rsid w:val="00AF0F5F"/>
    <w:rsid w:val="00AF10A6"/>
    <w:rsid w:val="00AF10A9"/>
    <w:rsid w:val="00AF10B2"/>
    <w:rsid w:val="00AF10D2"/>
    <w:rsid w:val="00AF113A"/>
    <w:rsid w:val="00AF1150"/>
    <w:rsid w:val="00AF1162"/>
    <w:rsid w:val="00AF1286"/>
    <w:rsid w:val="00AF1298"/>
    <w:rsid w:val="00AF12C4"/>
    <w:rsid w:val="00AF1387"/>
    <w:rsid w:val="00AF13BF"/>
    <w:rsid w:val="00AF141F"/>
    <w:rsid w:val="00AF1459"/>
    <w:rsid w:val="00AF155B"/>
    <w:rsid w:val="00AF15AB"/>
    <w:rsid w:val="00AF160A"/>
    <w:rsid w:val="00AF165B"/>
    <w:rsid w:val="00AF165F"/>
    <w:rsid w:val="00AF16A5"/>
    <w:rsid w:val="00AF16C9"/>
    <w:rsid w:val="00AF16DF"/>
    <w:rsid w:val="00AF1751"/>
    <w:rsid w:val="00AF177D"/>
    <w:rsid w:val="00AF178C"/>
    <w:rsid w:val="00AF17B6"/>
    <w:rsid w:val="00AF17BF"/>
    <w:rsid w:val="00AF17DB"/>
    <w:rsid w:val="00AF1856"/>
    <w:rsid w:val="00AF18E6"/>
    <w:rsid w:val="00AF1953"/>
    <w:rsid w:val="00AF1976"/>
    <w:rsid w:val="00AF1988"/>
    <w:rsid w:val="00AF1AB8"/>
    <w:rsid w:val="00AF1ABB"/>
    <w:rsid w:val="00AF1AC1"/>
    <w:rsid w:val="00AF1AF2"/>
    <w:rsid w:val="00AF1B0F"/>
    <w:rsid w:val="00AF1BA5"/>
    <w:rsid w:val="00AF1C0D"/>
    <w:rsid w:val="00AF1CBD"/>
    <w:rsid w:val="00AF1E2D"/>
    <w:rsid w:val="00AF1E3E"/>
    <w:rsid w:val="00AF1F44"/>
    <w:rsid w:val="00AF1F52"/>
    <w:rsid w:val="00AF1F76"/>
    <w:rsid w:val="00AF1FD5"/>
    <w:rsid w:val="00AF1FF8"/>
    <w:rsid w:val="00AF2009"/>
    <w:rsid w:val="00AF200D"/>
    <w:rsid w:val="00AF2054"/>
    <w:rsid w:val="00AF20B8"/>
    <w:rsid w:val="00AF2104"/>
    <w:rsid w:val="00AF2129"/>
    <w:rsid w:val="00AF21EC"/>
    <w:rsid w:val="00AF2241"/>
    <w:rsid w:val="00AF2278"/>
    <w:rsid w:val="00AF22C7"/>
    <w:rsid w:val="00AF22D8"/>
    <w:rsid w:val="00AF22FE"/>
    <w:rsid w:val="00AF237E"/>
    <w:rsid w:val="00AF23D3"/>
    <w:rsid w:val="00AF23ED"/>
    <w:rsid w:val="00AF2455"/>
    <w:rsid w:val="00AF24A1"/>
    <w:rsid w:val="00AF24D4"/>
    <w:rsid w:val="00AF2552"/>
    <w:rsid w:val="00AF25F9"/>
    <w:rsid w:val="00AF2683"/>
    <w:rsid w:val="00AF2755"/>
    <w:rsid w:val="00AF2756"/>
    <w:rsid w:val="00AF27CB"/>
    <w:rsid w:val="00AF280E"/>
    <w:rsid w:val="00AF2926"/>
    <w:rsid w:val="00AF29DA"/>
    <w:rsid w:val="00AF29E2"/>
    <w:rsid w:val="00AF2A17"/>
    <w:rsid w:val="00AF2ABC"/>
    <w:rsid w:val="00AF2AFE"/>
    <w:rsid w:val="00AF2B2E"/>
    <w:rsid w:val="00AF2BD3"/>
    <w:rsid w:val="00AF2BFD"/>
    <w:rsid w:val="00AF2C54"/>
    <w:rsid w:val="00AF2C80"/>
    <w:rsid w:val="00AF2C9D"/>
    <w:rsid w:val="00AF2CE9"/>
    <w:rsid w:val="00AF2D3B"/>
    <w:rsid w:val="00AF2D65"/>
    <w:rsid w:val="00AF2E15"/>
    <w:rsid w:val="00AF2E62"/>
    <w:rsid w:val="00AF2EAE"/>
    <w:rsid w:val="00AF2EB3"/>
    <w:rsid w:val="00AF2EB4"/>
    <w:rsid w:val="00AF2EF7"/>
    <w:rsid w:val="00AF2F21"/>
    <w:rsid w:val="00AF2F45"/>
    <w:rsid w:val="00AF2F50"/>
    <w:rsid w:val="00AF2F9D"/>
    <w:rsid w:val="00AF2F9E"/>
    <w:rsid w:val="00AF3007"/>
    <w:rsid w:val="00AF3025"/>
    <w:rsid w:val="00AF303B"/>
    <w:rsid w:val="00AF3075"/>
    <w:rsid w:val="00AF30B7"/>
    <w:rsid w:val="00AF30C4"/>
    <w:rsid w:val="00AF30CF"/>
    <w:rsid w:val="00AF3109"/>
    <w:rsid w:val="00AF3126"/>
    <w:rsid w:val="00AF31A5"/>
    <w:rsid w:val="00AF31AD"/>
    <w:rsid w:val="00AF334E"/>
    <w:rsid w:val="00AF3387"/>
    <w:rsid w:val="00AF33A3"/>
    <w:rsid w:val="00AF33B2"/>
    <w:rsid w:val="00AF33BF"/>
    <w:rsid w:val="00AF3425"/>
    <w:rsid w:val="00AF344B"/>
    <w:rsid w:val="00AF3561"/>
    <w:rsid w:val="00AF3565"/>
    <w:rsid w:val="00AF35D9"/>
    <w:rsid w:val="00AF3667"/>
    <w:rsid w:val="00AF3672"/>
    <w:rsid w:val="00AF369F"/>
    <w:rsid w:val="00AF36CF"/>
    <w:rsid w:val="00AF370D"/>
    <w:rsid w:val="00AF37D8"/>
    <w:rsid w:val="00AF3855"/>
    <w:rsid w:val="00AF389E"/>
    <w:rsid w:val="00AF389F"/>
    <w:rsid w:val="00AF38BD"/>
    <w:rsid w:val="00AF3957"/>
    <w:rsid w:val="00AF397E"/>
    <w:rsid w:val="00AF3984"/>
    <w:rsid w:val="00AF399B"/>
    <w:rsid w:val="00AF39E8"/>
    <w:rsid w:val="00AF3A22"/>
    <w:rsid w:val="00AF3A3C"/>
    <w:rsid w:val="00AF3ABF"/>
    <w:rsid w:val="00AF3AC9"/>
    <w:rsid w:val="00AF3B53"/>
    <w:rsid w:val="00AF3B8D"/>
    <w:rsid w:val="00AF3B95"/>
    <w:rsid w:val="00AF3BA7"/>
    <w:rsid w:val="00AF3BD9"/>
    <w:rsid w:val="00AF3C8D"/>
    <w:rsid w:val="00AF3D09"/>
    <w:rsid w:val="00AF3D34"/>
    <w:rsid w:val="00AF3D62"/>
    <w:rsid w:val="00AF3E43"/>
    <w:rsid w:val="00AF3EA1"/>
    <w:rsid w:val="00AF3F2C"/>
    <w:rsid w:val="00AF3F4D"/>
    <w:rsid w:val="00AF402C"/>
    <w:rsid w:val="00AF4053"/>
    <w:rsid w:val="00AF40C9"/>
    <w:rsid w:val="00AF40E1"/>
    <w:rsid w:val="00AF4139"/>
    <w:rsid w:val="00AF413E"/>
    <w:rsid w:val="00AF4170"/>
    <w:rsid w:val="00AF4179"/>
    <w:rsid w:val="00AF41DA"/>
    <w:rsid w:val="00AF4356"/>
    <w:rsid w:val="00AF443C"/>
    <w:rsid w:val="00AF4458"/>
    <w:rsid w:val="00AF44C3"/>
    <w:rsid w:val="00AF45AA"/>
    <w:rsid w:val="00AF45AF"/>
    <w:rsid w:val="00AF4605"/>
    <w:rsid w:val="00AF4616"/>
    <w:rsid w:val="00AF4617"/>
    <w:rsid w:val="00AF461B"/>
    <w:rsid w:val="00AF4667"/>
    <w:rsid w:val="00AF4692"/>
    <w:rsid w:val="00AF47F8"/>
    <w:rsid w:val="00AF47FA"/>
    <w:rsid w:val="00AF48BD"/>
    <w:rsid w:val="00AF4903"/>
    <w:rsid w:val="00AF49A5"/>
    <w:rsid w:val="00AF49C0"/>
    <w:rsid w:val="00AF4A31"/>
    <w:rsid w:val="00AF4AA5"/>
    <w:rsid w:val="00AF4AF2"/>
    <w:rsid w:val="00AF4B15"/>
    <w:rsid w:val="00AF4B5D"/>
    <w:rsid w:val="00AF4B8D"/>
    <w:rsid w:val="00AF4BBC"/>
    <w:rsid w:val="00AF4C95"/>
    <w:rsid w:val="00AF4C99"/>
    <w:rsid w:val="00AF4CEF"/>
    <w:rsid w:val="00AF4D37"/>
    <w:rsid w:val="00AF4D47"/>
    <w:rsid w:val="00AF4D6C"/>
    <w:rsid w:val="00AF4D81"/>
    <w:rsid w:val="00AF4DE3"/>
    <w:rsid w:val="00AF4E25"/>
    <w:rsid w:val="00AF4EF9"/>
    <w:rsid w:val="00AF4F1F"/>
    <w:rsid w:val="00AF4F8D"/>
    <w:rsid w:val="00AF4FA0"/>
    <w:rsid w:val="00AF4FFF"/>
    <w:rsid w:val="00AF500D"/>
    <w:rsid w:val="00AF502D"/>
    <w:rsid w:val="00AF503A"/>
    <w:rsid w:val="00AF504C"/>
    <w:rsid w:val="00AF50A6"/>
    <w:rsid w:val="00AF50BF"/>
    <w:rsid w:val="00AF5178"/>
    <w:rsid w:val="00AF5241"/>
    <w:rsid w:val="00AF537D"/>
    <w:rsid w:val="00AF538F"/>
    <w:rsid w:val="00AF53A8"/>
    <w:rsid w:val="00AF53E7"/>
    <w:rsid w:val="00AF53EC"/>
    <w:rsid w:val="00AF5457"/>
    <w:rsid w:val="00AF54C0"/>
    <w:rsid w:val="00AF54E8"/>
    <w:rsid w:val="00AF54FC"/>
    <w:rsid w:val="00AF55E1"/>
    <w:rsid w:val="00AF55E9"/>
    <w:rsid w:val="00AF55EA"/>
    <w:rsid w:val="00AF55F5"/>
    <w:rsid w:val="00AF561E"/>
    <w:rsid w:val="00AF562B"/>
    <w:rsid w:val="00AF5666"/>
    <w:rsid w:val="00AF567A"/>
    <w:rsid w:val="00AF5757"/>
    <w:rsid w:val="00AF5766"/>
    <w:rsid w:val="00AF5821"/>
    <w:rsid w:val="00AF5825"/>
    <w:rsid w:val="00AF59B6"/>
    <w:rsid w:val="00AF5A91"/>
    <w:rsid w:val="00AF5B1D"/>
    <w:rsid w:val="00AF5B54"/>
    <w:rsid w:val="00AF5B96"/>
    <w:rsid w:val="00AF5B97"/>
    <w:rsid w:val="00AF5BC6"/>
    <w:rsid w:val="00AF5C0C"/>
    <w:rsid w:val="00AF5C1C"/>
    <w:rsid w:val="00AF5C7C"/>
    <w:rsid w:val="00AF5C81"/>
    <w:rsid w:val="00AF5C99"/>
    <w:rsid w:val="00AF5CAA"/>
    <w:rsid w:val="00AF5D09"/>
    <w:rsid w:val="00AF5D56"/>
    <w:rsid w:val="00AF5DF3"/>
    <w:rsid w:val="00AF5E4D"/>
    <w:rsid w:val="00AF5EA5"/>
    <w:rsid w:val="00AF5EC5"/>
    <w:rsid w:val="00AF5ED4"/>
    <w:rsid w:val="00AF6028"/>
    <w:rsid w:val="00AF606F"/>
    <w:rsid w:val="00AF615D"/>
    <w:rsid w:val="00AF6196"/>
    <w:rsid w:val="00AF61C8"/>
    <w:rsid w:val="00AF61F1"/>
    <w:rsid w:val="00AF6221"/>
    <w:rsid w:val="00AF6225"/>
    <w:rsid w:val="00AF6236"/>
    <w:rsid w:val="00AF6416"/>
    <w:rsid w:val="00AF641F"/>
    <w:rsid w:val="00AF6444"/>
    <w:rsid w:val="00AF647D"/>
    <w:rsid w:val="00AF64B8"/>
    <w:rsid w:val="00AF6518"/>
    <w:rsid w:val="00AF652B"/>
    <w:rsid w:val="00AF6558"/>
    <w:rsid w:val="00AF65A0"/>
    <w:rsid w:val="00AF65FC"/>
    <w:rsid w:val="00AF670F"/>
    <w:rsid w:val="00AF6715"/>
    <w:rsid w:val="00AF6814"/>
    <w:rsid w:val="00AF682C"/>
    <w:rsid w:val="00AF68BC"/>
    <w:rsid w:val="00AF68F8"/>
    <w:rsid w:val="00AF6A6D"/>
    <w:rsid w:val="00AF6AA6"/>
    <w:rsid w:val="00AF6AAC"/>
    <w:rsid w:val="00AF6AAD"/>
    <w:rsid w:val="00AF6B44"/>
    <w:rsid w:val="00AF6BC3"/>
    <w:rsid w:val="00AF6BE4"/>
    <w:rsid w:val="00AF6C05"/>
    <w:rsid w:val="00AF6CC2"/>
    <w:rsid w:val="00AF6D3E"/>
    <w:rsid w:val="00AF6DA0"/>
    <w:rsid w:val="00AF6DB6"/>
    <w:rsid w:val="00AF6E91"/>
    <w:rsid w:val="00AF6E98"/>
    <w:rsid w:val="00AF6E9D"/>
    <w:rsid w:val="00AF6EEB"/>
    <w:rsid w:val="00AF6FE0"/>
    <w:rsid w:val="00AF701F"/>
    <w:rsid w:val="00AF702A"/>
    <w:rsid w:val="00AF704E"/>
    <w:rsid w:val="00AF708D"/>
    <w:rsid w:val="00AF70C3"/>
    <w:rsid w:val="00AF70F3"/>
    <w:rsid w:val="00AF7139"/>
    <w:rsid w:val="00AF7157"/>
    <w:rsid w:val="00AF715D"/>
    <w:rsid w:val="00AF7188"/>
    <w:rsid w:val="00AF71B5"/>
    <w:rsid w:val="00AF71DC"/>
    <w:rsid w:val="00AF71EE"/>
    <w:rsid w:val="00AF7206"/>
    <w:rsid w:val="00AF722D"/>
    <w:rsid w:val="00AF723A"/>
    <w:rsid w:val="00AF727C"/>
    <w:rsid w:val="00AF72FF"/>
    <w:rsid w:val="00AF73FD"/>
    <w:rsid w:val="00AF743F"/>
    <w:rsid w:val="00AF74D7"/>
    <w:rsid w:val="00AF7501"/>
    <w:rsid w:val="00AF755C"/>
    <w:rsid w:val="00AF756D"/>
    <w:rsid w:val="00AF75A3"/>
    <w:rsid w:val="00AF75A4"/>
    <w:rsid w:val="00AF7611"/>
    <w:rsid w:val="00AF7700"/>
    <w:rsid w:val="00AF7724"/>
    <w:rsid w:val="00AF7725"/>
    <w:rsid w:val="00AF7733"/>
    <w:rsid w:val="00AF775C"/>
    <w:rsid w:val="00AF77BB"/>
    <w:rsid w:val="00AF77F4"/>
    <w:rsid w:val="00AF7849"/>
    <w:rsid w:val="00AF78A9"/>
    <w:rsid w:val="00AF78E7"/>
    <w:rsid w:val="00AF791A"/>
    <w:rsid w:val="00AF7975"/>
    <w:rsid w:val="00AF798D"/>
    <w:rsid w:val="00AF798F"/>
    <w:rsid w:val="00AF79B9"/>
    <w:rsid w:val="00AF79BD"/>
    <w:rsid w:val="00AF7A35"/>
    <w:rsid w:val="00AF7A4A"/>
    <w:rsid w:val="00AF7B2D"/>
    <w:rsid w:val="00AF7BDC"/>
    <w:rsid w:val="00AF7C55"/>
    <w:rsid w:val="00AF7D52"/>
    <w:rsid w:val="00AF7E41"/>
    <w:rsid w:val="00AF7E94"/>
    <w:rsid w:val="00AF7EB2"/>
    <w:rsid w:val="00AF7FA7"/>
    <w:rsid w:val="00B00016"/>
    <w:rsid w:val="00B0001C"/>
    <w:rsid w:val="00B00094"/>
    <w:rsid w:val="00B000AA"/>
    <w:rsid w:val="00B000CD"/>
    <w:rsid w:val="00B0014B"/>
    <w:rsid w:val="00B001BA"/>
    <w:rsid w:val="00B00226"/>
    <w:rsid w:val="00B0026D"/>
    <w:rsid w:val="00B00278"/>
    <w:rsid w:val="00B0027D"/>
    <w:rsid w:val="00B0030D"/>
    <w:rsid w:val="00B00313"/>
    <w:rsid w:val="00B00323"/>
    <w:rsid w:val="00B0039F"/>
    <w:rsid w:val="00B00439"/>
    <w:rsid w:val="00B00566"/>
    <w:rsid w:val="00B005E9"/>
    <w:rsid w:val="00B00608"/>
    <w:rsid w:val="00B00619"/>
    <w:rsid w:val="00B00690"/>
    <w:rsid w:val="00B0075B"/>
    <w:rsid w:val="00B007B5"/>
    <w:rsid w:val="00B00807"/>
    <w:rsid w:val="00B00938"/>
    <w:rsid w:val="00B009AF"/>
    <w:rsid w:val="00B009C4"/>
    <w:rsid w:val="00B009D8"/>
    <w:rsid w:val="00B00B14"/>
    <w:rsid w:val="00B00B2D"/>
    <w:rsid w:val="00B00B32"/>
    <w:rsid w:val="00B00B3E"/>
    <w:rsid w:val="00B00BA6"/>
    <w:rsid w:val="00B00BD1"/>
    <w:rsid w:val="00B00C4D"/>
    <w:rsid w:val="00B00C9E"/>
    <w:rsid w:val="00B00CE0"/>
    <w:rsid w:val="00B00D15"/>
    <w:rsid w:val="00B00D87"/>
    <w:rsid w:val="00B00F11"/>
    <w:rsid w:val="00B00F4B"/>
    <w:rsid w:val="00B00F57"/>
    <w:rsid w:val="00B00F7F"/>
    <w:rsid w:val="00B00F90"/>
    <w:rsid w:val="00B00FBB"/>
    <w:rsid w:val="00B0107A"/>
    <w:rsid w:val="00B01094"/>
    <w:rsid w:val="00B01117"/>
    <w:rsid w:val="00B0114E"/>
    <w:rsid w:val="00B01186"/>
    <w:rsid w:val="00B011C1"/>
    <w:rsid w:val="00B011E6"/>
    <w:rsid w:val="00B013B2"/>
    <w:rsid w:val="00B013E6"/>
    <w:rsid w:val="00B013F3"/>
    <w:rsid w:val="00B01419"/>
    <w:rsid w:val="00B01460"/>
    <w:rsid w:val="00B014DF"/>
    <w:rsid w:val="00B0154C"/>
    <w:rsid w:val="00B01557"/>
    <w:rsid w:val="00B015A5"/>
    <w:rsid w:val="00B015D2"/>
    <w:rsid w:val="00B01667"/>
    <w:rsid w:val="00B016EA"/>
    <w:rsid w:val="00B016F7"/>
    <w:rsid w:val="00B016FC"/>
    <w:rsid w:val="00B0171D"/>
    <w:rsid w:val="00B01745"/>
    <w:rsid w:val="00B0176C"/>
    <w:rsid w:val="00B01780"/>
    <w:rsid w:val="00B01796"/>
    <w:rsid w:val="00B017D7"/>
    <w:rsid w:val="00B01853"/>
    <w:rsid w:val="00B018B5"/>
    <w:rsid w:val="00B0192B"/>
    <w:rsid w:val="00B0198F"/>
    <w:rsid w:val="00B0199C"/>
    <w:rsid w:val="00B01A5A"/>
    <w:rsid w:val="00B01B4C"/>
    <w:rsid w:val="00B01B80"/>
    <w:rsid w:val="00B01B97"/>
    <w:rsid w:val="00B01C4C"/>
    <w:rsid w:val="00B01C9D"/>
    <w:rsid w:val="00B01D4B"/>
    <w:rsid w:val="00B01D5C"/>
    <w:rsid w:val="00B01E18"/>
    <w:rsid w:val="00B01E61"/>
    <w:rsid w:val="00B0210B"/>
    <w:rsid w:val="00B02143"/>
    <w:rsid w:val="00B02176"/>
    <w:rsid w:val="00B021B1"/>
    <w:rsid w:val="00B021B2"/>
    <w:rsid w:val="00B02254"/>
    <w:rsid w:val="00B0230E"/>
    <w:rsid w:val="00B02390"/>
    <w:rsid w:val="00B02440"/>
    <w:rsid w:val="00B02459"/>
    <w:rsid w:val="00B02463"/>
    <w:rsid w:val="00B024E5"/>
    <w:rsid w:val="00B02530"/>
    <w:rsid w:val="00B02551"/>
    <w:rsid w:val="00B025A6"/>
    <w:rsid w:val="00B02625"/>
    <w:rsid w:val="00B02665"/>
    <w:rsid w:val="00B026A1"/>
    <w:rsid w:val="00B0270F"/>
    <w:rsid w:val="00B027B8"/>
    <w:rsid w:val="00B027BE"/>
    <w:rsid w:val="00B02807"/>
    <w:rsid w:val="00B0283D"/>
    <w:rsid w:val="00B02895"/>
    <w:rsid w:val="00B02A5A"/>
    <w:rsid w:val="00B02AD0"/>
    <w:rsid w:val="00B02B46"/>
    <w:rsid w:val="00B02B72"/>
    <w:rsid w:val="00B02C6A"/>
    <w:rsid w:val="00B02CC2"/>
    <w:rsid w:val="00B02CDD"/>
    <w:rsid w:val="00B02D98"/>
    <w:rsid w:val="00B02DAA"/>
    <w:rsid w:val="00B02E42"/>
    <w:rsid w:val="00B02E97"/>
    <w:rsid w:val="00B02EFC"/>
    <w:rsid w:val="00B02F23"/>
    <w:rsid w:val="00B02F91"/>
    <w:rsid w:val="00B0307F"/>
    <w:rsid w:val="00B03084"/>
    <w:rsid w:val="00B03119"/>
    <w:rsid w:val="00B03131"/>
    <w:rsid w:val="00B031D6"/>
    <w:rsid w:val="00B03244"/>
    <w:rsid w:val="00B032D6"/>
    <w:rsid w:val="00B032F1"/>
    <w:rsid w:val="00B0333C"/>
    <w:rsid w:val="00B03341"/>
    <w:rsid w:val="00B03342"/>
    <w:rsid w:val="00B0338D"/>
    <w:rsid w:val="00B033F7"/>
    <w:rsid w:val="00B033FF"/>
    <w:rsid w:val="00B03413"/>
    <w:rsid w:val="00B03420"/>
    <w:rsid w:val="00B03444"/>
    <w:rsid w:val="00B034CB"/>
    <w:rsid w:val="00B03564"/>
    <w:rsid w:val="00B0358B"/>
    <w:rsid w:val="00B0360E"/>
    <w:rsid w:val="00B03619"/>
    <w:rsid w:val="00B03624"/>
    <w:rsid w:val="00B0362E"/>
    <w:rsid w:val="00B0367A"/>
    <w:rsid w:val="00B036E4"/>
    <w:rsid w:val="00B03788"/>
    <w:rsid w:val="00B03791"/>
    <w:rsid w:val="00B037B5"/>
    <w:rsid w:val="00B0380D"/>
    <w:rsid w:val="00B038C3"/>
    <w:rsid w:val="00B038E9"/>
    <w:rsid w:val="00B03909"/>
    <w:rsid w:val="00B03979"/>
    <w:rsid w:val="00B03A07"/>
    <w:rsid w:val="00B03A0D"/>
    <w:rsid w:val="00B03A5D"/>
    <w:rsid w:val="00B03A85"/>
    <w:rsid w:val="00B03A92"/>
    <w:rsid w:val="00B03AE4"/>
    <w:rsid w:val="00B03B38"/>
    <w:rsid w:val="00B03BB0"/>
    <w:rsid w:val="00B03BBD"/>
    <w:rsid w:val="00B03BE5"/>
    <w:rsid w:val="00B03BF3"/>
    <w:rsid w:val="00B03CB4"/>
    <w:rsid w:val="00B03CBA"/>
    <w:rsid w:val="00B03CEC"/>
    <w:rsid w:val="00B03D76"/>
    <w:rsid w:val="00B03DD6"/>
    <w:rsid w:val="00B03DEE"/>
    <w:rsid w:val="00B03E5C"/>
    <w:rsid w:val="00B03EB7"/>
    <w:rsid w:val="00B03ECF"/>
    <w:rsid w:val="00B03EF8"/>
    <w:rsid w:val="00B03F67"/>
    <w:rsid w:val="00B03F77"/>
    <w:rsid w:val="00B03F93"/>
    <w:rsid w:val="00B03FEC"/>
    <w:rsid w:val="00B0400F"/>
    <w:rsid w:val="00B040EE"/>
    <w:rsid w:val="00B0410E"/>
    <w:rsid w:val="00B0413A"/>
    <w:rsid w:val="00B042CB"/>
    <w:rsid w:val="00B042CF"/>
    <w:rsid w:val="00B0434A"/>
    <w:rsid w:val="00B043D9"/>
    <w:rsid w:val="00B04417"/>
    <w:rsid w:val="00B044A0"/>
    <w:rsid w:val="00B04532"/>
    <w:rsid w:val="00B045C6"/>
    <w:rsid w:val="00B046CB"/>
    <w:rsid w:val="00B0473B"/>
    <w:rsid w:val="00B04795"/>
    <w:rsid w:val="00B047DE"/>
    <w:rsid w:val="00B04889"/>
    <w:rsid w:val="00B048A6"/>
    <w:rsid w:val="00B048C6"/>
    <w:rsid w:val="00B0496F"/>
    <w:rsid w:val="00B049A5"/>
    <w:rsid w:val="00B049A9"/>
    <w:rsid w:val="00B049CE"/>
    <w:rsid w:val="00B04A06"/>
    <w:rsid w:val="00B04A0F"/>
    <w:rsid w:val="00B04B68"/>
    <w:rsid w:val="00B04D54"/>
    <w:rsid w:val="00B04D63"/>
    <w:rsid w:val="00B04D90"/>
    <w:rsid w:val="00B04D95"/>
    <w:rsid w:val="00B04DAF"/>
    <w:rsid w:val="00B04DDD"/>
    <w:rsid w:val="00B04E0B"/>
    <w:rsid w:val="00B04F6D"/>
    <w:rsid w:val="00B04FAC"/>
    <w:rsid w:val="00B04FF3"/>
    <w:rsid w:val="00B0501F"/>
    <w:rsid w:val="00B05136"/>
    <w:rsid w:val="00B05176"/>
    <w:rsid w:val="00B0527F"/>
    <w:rsid w:val="00B052CF"/>
    <w:rsid w:val="00B052D4"/>
    <w:rsid w:val="00B05306"/>
    <w:rsid w:val="00B05318"/>
    <w:rsid w:val="00B0532B"/>
    <w:rsid w:val="00B0536F"/>
    <w:rsid w:val="00B053C9"/>
    <w:rsid w:val="00B05415"/>
    <w:rsid w:val="00B05440"/>
    <w:rsid w:val="00B05499"/>
    <w:rsid w:val="00B055B1"/>
    <w:rsid w:val="00B0562E"/>
    <w:rsid w:val="00B05679"/>
    <w:rsid w:val="00B0567D"/>
    <w:rsid w:val="00B0574E"/>
    <w:rsid w:val="00B0575D"/>
    <w:rsid w:val="00B057A8"/>
    <w:rsid w:val="00B058E3"/>
    <w:rsid w:val="00B05905"/>
    <w:rsid w:val="00B05A17"/>
    <w:rsid w:val="00B05AF3"/>
    <w:rsid w:val="00B05B20"/>
    <w:rsid w:val="00B05BB2"/>
    <w:rsid w:val="00B05BBC"/>
    <w:rsid w:val="00B05BE5"/>
    <w:rsid w:val="00B05C40"/>
    <w:rsid w:val="00B05CB3"/>
    <w:rsid w:val="00B05CCC"/>
    <w:rsid w:val="00B05CE0"/>
    <w:rsid w:val="00B05D39"/>
    <w:rsid w:val="00B05DF3"/>
    <w:rsid w:val="00B05E0B"/>
    <w:rsid w:val="00B05E7D"/>
    <w:rsid w:val="00B05EDE"/>
    <w:rsid w:val="00B05F6C"/>
    <w:rsid w:val="00B06039"/>
    <w:rsid w:val="00B0608A"/>
    <w:rsid w:val="00B060C2"/>
    <w:rsid w:val="00B061F1"/>
    <w:rsid w:val="00B06200"/>
    <w:rsid w:val="00B0621E"/>
    <w:rsid w:val="00B0625D"/>
    <w:rsid w:val="00B06262"/>
    <w:rsid w:val="00B0628E"/>
    <w:rsid w:val="00B0629D"/>
    <w:rsid w:val="00B062F0"/>
    <w:rsid w:val="00B063D4"/>
    <w:rsid w:val="00B063EB"/>
    <w:rsid w:val="00B06414"/>
    <w:rsid w:val="00B0646A"/>
    <w:rsid w:val="00B06472"/>
    <w:rsid w:val="00B06491"/>
    <w:rsid w:val="00B06497"/>
    <w:rsid w:val="00B0659B"/>
    <w:rsid w:val="00B065A1"/>
    <w:rsid w:val="00B065E3"/>
    <w:rsid w:val="00B065EB"/>
    <w:rsid w:val="00B0676A"/>
    <w:rsid w:val="00B06796"/>
    <w:rsid w:val="00B067ED"/>
    <w:rsid w:val="00B0681A"/>
    <w:rsid w:val="00B068BC"/>
    <w:rsid w:val="00B068C8"/>
    <w:rsid w:val="00B068CD"/>
    <w:rsid w:val="00B06950"/>
    <w:rsid w:val="00B069E1"/>
    <w:rsid w:val="00B06A38"/>
    <w:rsid w:val="00B06AA2"/>
    <w:rsid w:val="00B06AB6"/>
    <w:rsid w:val="00B06BDA"/>
    <w:rsid w:val="00B06C1A"/>
    <w:rsid w:val="00B06D12"/>
    <w:rsid w:val="00B06D15"/>
    <w:rsid w:val="00B06DFF"/>
    <w:rsid w:val="00B06F57"/>
    <w:rsid w:val="00B06FAE"/>
    <w:rsid w:val="00B0705A"/>
    <w:rsid w:val="00B07089"/>
    <w:rsid w:val="00B070FB"/>
    <w:rsid w:val="00B07148"/>
    <w:rsid w:val="00B0715E"/>
    <w:rsid w:val="00B07160"/>
    <w:rsid w:val="00B0716D"/>
    <w:rsid w:val="00B07338"/>
    <w:rsid w:val="00B0735E"/>
    <w:rsid w:val="00B0747B"/>
    <w:rsid w:val="00B075E8"/>
    <w:rsid w:val="00B07620"/>
    <w:rsid w:val="00B07638"/>
    <w:rsid w:val="00B076C3"/>
    <w:rsid w:val="00B076C8"/>
    <w:rsid w:val="00B076E5"/>
    <w:rsid w:val="00B07709"/>
    <w:rsid w:val="00B07714"/>
    <w:rsid w:val="00B07738"/>
    <w:rsid w:val="00B07814"/>
    <w:rsid w:val="00B078D0"/>
    <w:rsid w:val="00B07947"/>
    <w:rsid w:val="00B07962"/>
    <w:rsid w:val="00B079F9"/>
    <w:rsid w:val="00B07A8C"/>
    <w:rsid w:val="00B07B00"/>
    <w:rsid w:val="00B07BA4"/>
    <w:rsid w:val="00B07BB7"/>
    <w:rsid w:val="00B07BCA"/>
    <w:rsid w:val="00B07C06"/>
    <w:rsid w:val="00B07C1C"/>
    <w:rsid w:val="00B07C36"/>
    <w:rsid w:val="00B07C41"/>
    <w:rsid w:val="00B07C49"/>
    <w:rsid w:val="00B07CDA"/>
    <w:rsid w:val="00B07D4F"/>
    <w:rsid w:val="00B07D97"/>
    <w:rsid w:val="00B07DD4"/>
    <w:rsid w:val="00B07E4D"/>
    <w:rsid w:val="00B07E55"/>
    <w:rsid w:val="00B07F29"/>
    <w:rsid w:val="00B07F5F"/>
    <w:rsid w:val="00B07F7D"/>
    <w:rsid w:val="00B07FD9"/>
    <w:rsid w:val="00B07FF8"/>
    <w:rsid w:val="00B100B5"/>
    <w:rsid w:val="00B10193"/>
    <w:rsid w:val="00B101A3"/>
    <w:rsid w:val="00B101CE"/>
    <w:rsid w:val="00B1021D"/>
    <w:rsid w:val="00B1023B"/>
    <w:rsid w:val="00B102A2"/>
    <w:rsid w:val="00B102BB"/>
    <w:rsid w:val="00B102C7"/>
    <w:rsid w:val="00B102E9"/>
    <w:rsid w:val="00B1030E"/>
    <w:rsid w:val="00B103FA"/>
    <w:rsid w:val="00B1046E"/>
    <w:rsid w:val="00B10477"/>
    <w:rsid w:val="00B10545"/>
    <w:rsid w:val="00B10550"/>
    <w:rsid w:val="00B105AE"/>
    <w:rsid w:val="00B105E5"/>
    <w:rsid w:val="00B1062A"/>
    <w:rsid w:val="00B106EC"/>
    <w:rsid w:val="00B10715"/>
    <w:rsid w:val="00B107C0"/>
    <w:rsid w:val="00B107CD"/>
    <w:rsid w:val="00B1096C"/>
    <w:rsid w:val="00B10989"/>
    <w:rsid w:val="00B109F5"/>
    <w:rsid w:val="00B10A18"/>
    <w:rsid w:val="00B10A45"/>
    <w:rsid w:val="00B10AEA"/>
    <w:rsid w:val="00B10C04"/>
    <w:rsid w:val="00B10CAE"/>
    <w:rsid w:val="00B10CDE"/>
    <w:rsid w:val="00B10CEB"/>
    <w:rsid w:val="00B10DCB"/>
    <w:rsid w:val="00B10DF9"/>
    <w:rsid w:val="00B10E1B"/>
    <w:rsid w:val="00B10E3A"/>
    <w:rsid w:val="00B10E48"/>
    <w:rsid w:val="00B10E87"/>
    <w:rsid w:val="00B10EA1"/>
    <w:rsid w:val="00B10EC1"/>
    <w:rsid w:val="00B10ECC"/>
    <w:rsid w:val="00B10F85"/>
    <w:rsid w:val="00B10FF3"/>
    <w:rsid w:val="00B11027"/>
    <w:rsid w:val="00B11038"/>
    <w:rsid w:val="00B110ED"/>
    <w:rsid w:val="00B11137"/>
    <w:rsid w:val="00B111A5"/>
    <w:rsid w:val="00B111C7"/>
    <w:rsid w:val="00B11247"/>
    <w:rsid w:val="00B1126C"/>
    <w:rsid w:val="00B11280"/>
    <w:rsid w:val="00B112F6"/>
    <w:rsid w:val="00B112FF"/>
    <w:rsid w:val="00B11326"/>
    <w:rsid w:val="00B11385"/>
    <w:rsid w:val="00B113B9"/>
    <w:rsid w:val="00B113D7"/>
    <w:rsid w:val="00B113E1"/>
    <w:rsid w:val="00B11415"/>
    <w:rsid w:val="00B11430"/>
    <w:rsid w:val="00B114B6"/>
    <w:rsid w:val="00B114F3"/>
    <w:rsid w:val="00B11508"/>
    <w:rsid w:val="00B11535"/>
    <w:rsid w:val="00B11564"/>
    <w:rsid w:val="00B115D2"/>
    <w:rsid w:val="00B11604"/>
    <w:rsid w:val="00B11665"/>
    <w:rsid w:val="00B116CA"/>
    <w:rsid w:val="00B11774"/>
    <w:rsid w:val="00B117F8"/>
    <w:rsid w:val="00B1183C"/>
    <w:rsid w:val="00B1185B"/>
    <w:rsid w:val="00B1185E"/>
    <w:rsid w:val="00B118CE"/>
    <w:rsid w:val="00B118DA"/>
    <w:rsid w:val="00B118E5"/>
    <w:rsid w:val="00B11911"/>
    <w:rsid w:val="00B11958"/>
    <w:rsid w:val="00B119DB"/>
    <w:rsid w:val="00B11C43"/>
    <w:rsid w:val="00B11C4F"/>
    <w:rsid w:val="00B11CB5"/>
    <w:rsid w:val="00B11CF1"/>
    <w:rsid w:val="00B11CFE"/>
    <w:rsid w:val="00B11E01"/>
    <w:rsid w:val="00B11E92"/>
    <w:rsid w:val="00B11ECB"/>
    <w:rsid w:val="00B11EE5"/>
    <w:rsid w:val="00B11F07"/>
    <w:rsid w:val="00B11FCE"/>
    <w:rsid w:val="00B11FEB"/>
    <w:rsid w:val="00B1206A"/>
    <w:rsid w:val="00B120D8"/>
    <w:rsid w:val="00B1212B"/>
    <w:rsid w:val="00B1218D"/>
    <w:rsid w:val="00B121A7"/>
    <w:rsid w:val="00B121B1"/>
    <w:rsid w:val="00B121CD"/>
    <w:rsid w:val="00B12259"/>
    <w:rsid w:val="00B12288"/>
    <w:rsid w:val="00B122D8"/>
    <w:rsid w:val="00B1236C"/>
    <w:rsid w:val="00B1241E"/>
    <w:rsid w:val="00B12491"/>
    <w:rsid w:val="00B124F5"/>
    <w:rsid w:val="00B1256C"/>
    <w:rsid w:val="00B12578"/>
    <w:rsid w:val="00B125B9"/>
    <w:rsid w:val="00B12606"/>
    <w:rsid w:val="00B12608"/>
    <w:rsid w:val="00B12630"/>
    <w:rsid w:val="00B126A7"/>
    <w:rsid w:val="00B126D0"/>
    <w:rsid w:val="00B126D8"/>
    <w:rsid w:val="00B126ED"/>
    <w:rsid w:val="00B12764"/>
    <w:rsid w:val="00B127A2"/>
    <w:rsid w:val="00B1297F"/>
    <w:rsid w:val="00B129F4"/>
    <w:rsid w:val="00B12A13"/>
    <w:rsid w:val="00B12A44"/>
    <w:rsid w:val="00B12ACB"/>
    <w:rsid w:val="00B12ACE"/>
    <w:rsid w:val="00B12B25"/>
    <w:rsid w:val="00B12B49"/>
    <w:rsid w:val="00B12B54"/>
    <w:rsid w:val="00B12BD2"/>
    <w:rsid w:val="00B12C0D"/>
    <w:rsid w:val="00B12C29"/>
    <w:rsid w:val="00B12C32"/>
    <w:rsid w:val="00B12C9D"/>
    <w:rsid w:val="00B12CA2"/>
    <w:rsid w:val="00B12CB5"/>
    <w:rsid w:val="00B12D0C"/>
    <w:rsid w:val="00B12D5A"/>
    <w:rsid w:val="00B12D74"/>
    <w:rsid w:val="00B12D8B"/>
    <w:rsid w:val="00B12DEE"/>
    <w:rsid w:val="00B12F1D"/>
    <w:rsid w:val="00B12FE3"/>
    <w:rsid w:val="00B130A6"/>
    <w:rsid w:val="00B13130"/>
    <w:rsid w:val="00B13253"/>
    <w:rsid w:val="00B13294"/>
    <w:rsid w:val="00B132BA"/>
    <w:rsid w:val="00B132E4"/>
    <w:rsid w:val="00B13314"/>
    <w:rsid w:val="00B13336"/>
    <w:rsid w:val="00B133CB"/>
    <w:rsid w:val="00B133D5"/>
    <w:rsid w:val="00B13439"/>
    <w:rsid w:val="00B1346B"/>
    <w:rsid w:val="00B134B8"/>
    <w:rsid w:val="00B135FF"/>
    <w:rsid w:val="00B136CD"/>
    <w:rsid w:val="00B13709"/>
    <w:rsid w:val="00B13825"/>
    <w:rsid w:val="00B13832"/>
    <w:rsid w:val="00B138A4"/>
    <w:rsid w:val="00B138AB"/>
    <w:rsid w:val="00B138DA"/>
    <w:rsid w:val="00B138F3"/>
    <w:rsid w:val="00B139AC"/>
    <w:rsid w:val="00B139DB"/>
    <w:rsid w:val="00B139FA"/>
    <w:rsid w:val="00B13A54"/>
    <w:rsid w:val="00B13B37"/>
    <w:rsid w:val="00B13B42"/>
    <w:rsid w:val="00B13B5C"/>
    <w:rsid w:val="00B13C15"/>
    <w:rsid w:val="00B13C52"/>
    <w:rsid w:val="00B13C90"/>
    <w:rsid w:val="00B13CA6"/>
    <w:rsid w:val="00B13D08"/>
    <w:rsid w:val="00B13D35"/>
    <w:rsid w:val="00B13D4F"/>
    <w:rsid w:val="00B13DB6"/>
    <w:rsid w:val="00B13DCE"/>
    <w:rsid w:val="00B13E0B"/>
    <w:rsid w:val="00B13E24"/>
    <w:rsid w:val="00B13E37"/>
    <w:rsid w:val="00B13EB5"/>
    <w:rsid w:val="00B13EF6"/>
    <w:rsid w:val="00B13EFA"/>
    <w:rsid w:val="00B13F7E"/>
    <w:rsid w:val="00B13FAE"/>
    <w:rsid w:val="00B140FA"/>
    <w:rsid w:val="00B141DD"/>
    <w:rsid w:val="00B14212"/>
    <w:rsid w:val="00B14218"/>
    <w:rsid w:val="00B14255"/>
    <w:rsid w:val="00B14304"/>
    <w:rsid w:val="00B14378"/>
    <w:rsid w:val="00B143AF"/>
    <w:rsid w:val="00B1446E"/>
    <w:rsid w:val="00B1452B"/>
    <w:rsid w:val="00B1455A"/>
    <w:rsid w:val="00B145EE"/>
    <w:rsid w:val="00B145FE"/>
    <w:rsid w:val="00B146BA"/>
    <w:rsid w:val="00B14711"/>
    <w:rsid w:val="00B1471B"/>
    <w:rsid w:val="00B14839"/>
    <w:rsid w:val="00B1484F"/>
    <w:rsid w:val="00B14853"/>
    <w:rsid w:val="00B14876"/>
    <w:rsid w:val="00B1487D"/>
    <w:rsid w:val="00B14916"/>
    <w:rsid w:val="00B1497D"/>
    <w:rsid w:val="00B14999"/>
    <w:rsid w:val="00B149E9"/>
    <w:rsid w:val="00B149F6"/>
    <w:rsid w:val="00B14A06"/>
    <w:rsid w:val="00B14A07"/>
    <w:rsid w:val="00B14A26"/>
    <w:rsid w:val="00B14A7C"/>
    <w:rsid w:val="00B14AB1"/>
    <w:rsid w:val="00B14AE0"/>
    <w:rsid w:val="00B14BED"/>
    <w:rsid w:val="00B14C9C"/>
    <w:rsid w:val="00B14CC3"/>
    <w:rsid w:val="00B14DB0"/>
    <w:rsid w:val="00B14DF8"/>
    <w:rsid w:val="00B14E0D"/>
    <w:rsid w:val="00B14E1B"/>
    <w:rsid w:val="00B14E56"/>
    <w:rsid w:val="00B14E62"/>
    <w:rsid w:val="00B14EAC"/>
    <w:rsid w:val="00B14F4B"/>
    <w:rsid w:val="00B14F74"/>
    <w:rsid w:val="00B14F7D"/>
    <w:rsid w:val="00B15017"/>
    <w:rsid w:val="00B150AE"/>
    <w:rsid w:val="00B150D6"/>
    <w:rsid w:val="00B150EE"/>
    <w:rsid w:val="00B1514B"/>
    <w:rsid w:val="00B151AD"/>
    <w:rsid w:val="00B151AF"/>
    <w:rsid w:val="00B152F4"/>
    <w:rsid w:val="00B1538B"/>
    <w:rsid w:val="00B153BA"/>
    <w:rsid w:val="00B15448"/>
    <w:rsid w:val="00B15459"/>
    <w:rsid w:val="00B15475"/>
    <w:rsid w:val="00B1548E"/>
    <w:rsid w:val="00B1554D"/>
    <w:rsid w:val="00B155AA"/>
    <w:rsid w:val="00B15666"/>
    <w:rsid w:val="00B156E2"/>
    <w:rsid w:val="00B156F1"/>
    <w:rsid w:val="00B15760"/>
    <w:rsid w:val="00B157B9"/>
    <w:rsid w:val="00B15859"/>
    <w:rsid w:val="00B15A80"/>
    <w:rsid w:val="00B15B5F"/>
    <w:rsid w:val="00B15C31"/>
    <w:rsid w:val="00B15DDF"/>
    <w:rsid w:val="00B15E53"/>
    <w:rsid w:val="00B15ED4"/>
    <w:rsid w:val="00B15EF7"/>
    <w:rsid w:val="00B15FBD"/>
    <w:rsid w:val="00B1604D"/>
    <w:rsid w:val="00B16052"/>
    <w:rsid w:val="00B160EA"/>
    <w:rsid w:val="00B1619D"/>
    <w:rsid w:val="00B161C5"/>
    <w:rsid w:val="00B161FB"/>
    <w:rsid w:val="00B16257"/>
    <w:rsid w:val="00B162F3"/>
    <w:rsid w:val="00B1632D"/>
    <w:rsid w:val="00B1636B"/>
    <w:rsid w:val="00B16384"/>
    <w:rsid w:val="00B163B9"/>
    <w:rsid w:val="00B163D3"/>
    <w:rsid w:val="00B16418"/>
    <w:rsid w:val="00B1647D"/>
    <w:rsid w:val="00B16528"/>
    <w:rsid w:val="00B165F0"/>
    <w:rsid w:val="00B166D6"/>
    <w:rsid w:val="00B1679E"/>
    <w:rsid w:val="00B16954"/>
    <w:rsid w:val="00B16979"/>
    <w:rsid w:val="00B16987"/>
    <w:rsid w:val="00B1698D"/>
    <w:rsid w:val="00B16998"/>
    <w:rsid w:val="00B169F4"/>
    <w:rsid w:val="00B16AE9"/>
    <w:rsid w:val="00B16AF0"/>
    <w:rsid w:val="00B16B1F"/>
    <w:rsid w:val="00B16B25"/>
    <w:rsid w:val="00B16B68"/>
    <w:rsid w:val="00B16B6A"/>
    <w:rsid w:val="00B16BB9"/>
    <w:rsid w:val="00B16C41"/>
    <w:rsid w:val="00B16C8A"/>
    <w:rsid w:val="00B16CD7"/>
    <w:rsid w:val="00B16D27"/>
    <w:rsid w:val="00B16D7C"/>
    <w:rsid w:val="00B16D83"/>
    <w:rsid w:val="00B16D8F"/>
    <w:rsid w:val="00B16DEE"/>
    <w:rsid w:val="00B16E09"/>
    <w:rsid w:val="00B16E44"/>
    <w:rsid w:val="00B16E7A"/>
    <w:rsid w:val="00B16E92"/>
    <w:rsid w:val="00B16EFF"/>
    <w:rsid w:val="00B16F11"/>
    <w:rsid w:val="00B16F78"/>
    <w:rsid w:val="00B1702F"/>
    <w:rsid w:val="00B1706F"/>
    <w:rsid w:val="00B17137"/>
    <w:rsid w:val="00B17150"/>
    <w:rsid w:val="00B171F5"/>
    <w:rsid w:val="00B172D6"/>
    <w:rsid w:val="00B173A5"/>
    <w:rsid w:val="00B173AB"/>
    <w:rsid w:val="00B17487"/>
    <w:rsid w:val="00B174D5"/>
    <w:rsid w:val="00B17510"/>
    <w:rsid w:val="00B17579"/>
    <w:rsid w:val="00B175AD"/>
    <w:rsid w:val="00B1763D"/>
    <w:rsid w:val="00B1764B"/>
    <w:rsid w:val="00B176E6"/>
    <w:rsid w:val="00B17748"/>
    <w:rsid w:val="00B1780C"/>
    <w:rsid w:val="00B17849"/>
    <w:rsid w:val="00B1787D"/>
    <w:rsid w:val="00B17897"/>
    <w:rsid w:val="00B17917"/>
    <w:rsid w:val="00B17919"/>
    <w:rsid w:val="00B17938"/>
    <w:rsid w:val="00B17991"/>
    <w:rsid w:val="00B17994"/>
    <w:rsid w:val="00B179D0"/>
    <w:rsid w:val="00B17A6D"/>
    <w:rsid w:val="00B17AC5"/>
    <w:rsid w:val="00B17B16"/>
    <w:rsid w:val="00B17B8E"/>
    <w:rsid w:val="00B17BFF"/>
    <w:rsid w:val="00B17C37"/>
    <w:rsid w:val="00B17CD5"/>
    <w:rsid w:val="00B17D39"/>
    <w:rsid w:val="00B17D4A"/>
    <w:rsid w:val="00B17DC9"/>
    <w:rsid w:val="00B17DE4"/>
    <w:rsid w:val="00B17DF3"/>
    <w:rsid w:val="00B17E27"/>
    <w:rsid w:val="00B17E58"/>
    <w:rsid w:val="00B17EA8"/>
    <w:rsid w:val="00B17EC7"/>
    <w:rsid w:val="00B17F53"/>
    <w:rsid w:val="00B17F75"/>
    <w:rsid w:val="00B17F7D"/>
    <w:rsid w:val="00B17FD0"/>
    <w:rsid w:val="00B17FDB"/>
    <w:rsid w:val="00B20061"/>
    <w:rsid w:val="00B20097"/>
    <w:rsid w:val="00B2011D"/>
    <w:rsid w:val="00B2013C"/>
    <w:rsid w:val="00B2015E"/>
    <w:rsid w:val="00B2019D"/>
    <w:rsid w:val="00B201A2"/>
    <w:rsid w:val="00B201AA"/>
    <w:rsid w:val="00B201D3"/>
    <w:rsid w:val="00B20200"/>
    <w:rsid w:val="00B2020B"/>
    <w:rsid w:val="00B202B1"/>
    <w:rsid w:val="00B202D0"/>
    <w:rsid w:val="00B20378"/>
    <w:rsid w:val="00B20383"/>
    <w:rsid w:val="00B203F1"/>
    <w:rsid w:val="00B20455"/>
    <w:rsid w:val="00B204A4"/>
    <w:rsid w:val="00B204EE"/>
    <w:rsid w:val="00B20556"/>
    <w:rsid w:val="00B2056B"/>
    <w:rsid w:val="00B205F7"/>
    <w:rsid w:val="00B20608"/>
    <w:rsid w:val="00B206CB"/>
    <w:rsid w:val="00B206ED"/>
    <w:rsid w:val="00B20706"/>
    <w:rsid w:val="00B2079F"/>
    <w:rsid w:val="00B207BC"/>
    <w:rsid w:val="00B20832"/>
    <w:rsid w:val="00B20867"/>
    <w:rsid w:val="00B20879"/>
    <w:rsid w:val="00B208CD"/>
    <w:rsid w:val="00B20976"/>
    <w:rsid w:val="00B20A9E"/>
    <w:rsid w:val="00B20B85"/>
    <w:rsid w:val="00B20B86"/>
    <w:rsid w:val="00B20B8A"/>
    <w:rsid w:val="00B20C12"/>
    <w:rsid w:val="00B20C67"/>
    <w:rsid w:val="00B20CBA"/>
    <w:rsid w:val="00B20CC5"/>
    <w:rsid w:val="00B20E51"/>
    <w:rsid w:val="00B20E7E"/>
    <w:rsid w:val="00B20EA2"/>
    <w:rsid w:val="00B20EEB"/>
    <w:rsid w:val="00B20F0B"/>
    <w:rsid w:val="00B20F36"/>
    <w:rsid w:val="00B20F49"/>
    <w:rsid w:val="00B20F62"/>
    <w:rsid w:val="00B21040"/>
    <w:rsid w:val="00B2105E"/>
    <w:rsid w:val="00B210F5"/>
    <w:rsid w:val="00B210F7"/>
    <w:rsid w:val="00B21266"/>
    <w:rsid w:val="00B2129C"/>
    <w:rsid w:val="00B212C9"/>
    <w:rsid w:val="00B213B3"/>
    <w:rsid w:val="00B213D7"/>
    <w:rsid w:val="00B21401"/>
    <w:rsid w:val="00B21429"/>
    <w:rsid w:val="00B2148F"/>
    <w:rsid w:val="00B214C1"/>
    <w:rsid w:val="00B214C6"/>
    <w:rsid w:val="00B2154A"/>
    <w:rsid w:val="00B21555"/>
    <w:rsid w:val="00B2155D"/>
    <w:rsid w:val="00B21606"/>
    <w:rsid w:val="00B2178F"/>
    <w:rsid w:val="00B2180C"/>
    <w:rsid w:val="00B2182A"/>
    <w:rsid w:val="00B218D8"/>
    <w:rsid w:val="00B218DC"/>
    <w:rsid w:val="00B21976"/>
    <w:rsid w:val="00B219C3"/>
    <w:rsid w:val="00B219C5"/>
    <w:rsid w:val="00B219F8"/>
    <w:rsid w:val="00B219FA"/>
    <w:rsid w:val="00B21A3A"/>
    <w:rsid w:val="00B21A6D"/>
    <w:rsid w:val="00B21AD6"/>
    <w:rsid w:val="00B21B4C"/>
    <w:rsid w:val="00B21B59"/>
    <w:rsid w:val="00B21B63"/>
    <w:rsid w:val="00B21BFB"/>
    <w:rsid w:val="00B21C27"/>
    <w:rsid w:val="00B21C59"/>
    <w:rsid w:val="00B21C79"/>
    <w:rsid w:val="00B21CCF"/>
    <w:rsid w:val="00B21CF3"/>
    <w:rsid w:val="00B21D19"/>
    <w:rsid w:val="00B21D4C"/>
    <w:rsid w:val="00B21D50"/>
    <w:rsid w:val="00B21D7A"/>
    <w:rsid w:val="00B21DB7"/>
    <w:rsid w:val="00B21E22"/>
    <w:rsid w:val="00B21EA3"/>
    <w:rsid w:val="00B21EC7"/>
    <w:rsid w:val="00B21EFF"/>
    <w:rsid w:val="00B21F1F"/>
    <w:rsid w:val="00B21F28"/>
    <w:rsid w:val="00B21F81"/>
    <w:rsid w:val="00B21FF7"/>
    <w:rsid w:val="00B2200E"/>
    <w:rsid w:val="00B22043"/>
    <w:rsid w:val="00B22103"/>
    <w:rsid w:val="00B22151"/>
    <w:rsid w:val="00B221C9"/>
    <w:rsid w:val="00B221DF"/>
    <w:rsid w:val="00B221F6"/>
    <w:rsid w:val="00B22221"/>
    <w:rsid w:val="00B2228B"/>
    <w:rsid w:val="00B22321"/>
    <w:rsid w:val="00B2233C"/>
    <w:rsid w:val="00B2240E"/>
    <w:rsid w:val="00B22465"/>
    <w:rsid w:val="00B2247F"/>
    <w:rsid w:val="00B2248C"/>
    <w:rsid w:val="00B22490"/>
    <w:rsid w:val="00B22563"/>
    <w:rsid w:val="00B22581"/>
    <w:rsid w:val="00B225F2"/>
    <w:rsid w:val="00B22630"/>
    <w:rsid w:val="00B2263C"/>
    <w:rsid w:val="00B226F1"/>
    <w:rsid w:val="00B2279A"/>
    <w:rsid w:val="00B2280A"/>
    <w:rsid w:val="00B22853"/>
    <w:rsid w:val="00B228B4"/>
    <w:rsid w:val="00B228CA"/>
    <w:rsid w:val="00B2291D"/>
    <w:rsid w:val="00B22924"/>
    <w:rsid w:val="00B2294D"/>
    <w:rsid w:val="00B229CE"/>
    <w:rsid w:val="00B229D9"/>
    <w:rsid w:val="00B22A39"/>
    <w:rsid w:val="00B22A4D"/>
    <w:rsid w:val="00B22A8E"/>
    <w:rsid w:val="00B22AD0"/>
    <w:rsid w:val="00B22B63"/>
    <w:rsid w:val="00B22BC3"/>
    <w:rsid w:val="00B22BFE"/>
    <w:rsid w:val="00B22C7F"/>
    <w:rsid w:val="00B22C95"/>
    <w:rsid w:val="00B22C98"/>
    <w:rsid w:val="00B22D6D"/>
    <w:rsid w:val="00B22D91"/>
    <w:rsid w:val="00B22D99"/>
    <w:rsid w:val="00B22DFF"/>
    <w:rsid w:val="00B22E89"/>
    <w:rsid w:val="00B22F31"/>
    <w:rsid w:val="00B22F6D"/>
    <w:rsid w:val="00B22F72"/>
    <w:rsid w:val="00B22F97"/>
    <w:rsid w:val="00B230B2"/>
    <w:rsid w:val="00B230EB"/>
    <w:rsid w:val="00B23175"/>
    <w:rsid w:val="00B23178"/>
    <w:rsid w:val="00B2318F"/>
    <w:rsid w:val="00B231D1"/>
    <w:rsid w:val="00B231DB"/>
    <w:rsid w:val="00B23238"/>
    <w:rsid w:val="00B2327F"/>
    <w:rsid w:val="00B2329A"/>
    <w:rsid w:val="00B232CB"/>
    <w:rsid w:val="00B233FE"/>
    <w:rsid w:val="00B23471"/>
    <w:rsid w:val="00B23486"/>
    <w:rsid w:val="00B234C5"/>
    <w:rsid w:val="00B234FC"/>
    <w:rsid w:val="00B23559"/>
    <w:rsid w:val="00B23561"/>
    <w:rsid w:val="00B23563"/>
    <w:rsid w:val="00B23574"/>
    <w:rsid w:val="00B235A8"/>
    <w:rsid w:val="00B235B7"/>
    <w:rsid w:val="00B235E0"/>
    <w:rsid w:val="00B235EC"/>
    <w:rsid w:val="00B23648"/>
    <w:rsid w:val="00B23676"/>
    <w:rsid w:val="00B23700"/>
    <w:rsid w:val="00B23733"/>
    <w:rsid w:val="00B23759"/>
    <w:rsid w:val="00B237CB"/>
    <w:rsid w:val="00B23803"/>
    <w:rsid w:val="00B2381B"/>
    <w:rsid w:val="00B2398D"/>
    <w:rsid w:val="00B239A1"/>
    <w:rsid w:val="00B239A6"/>
    <w:rsid w:val="00B239BB"/>
    <w:rsid w:val="00B23A0F"/>
    <w:rsid w:val="00B23A32"/>
    <w:rsid w:val="00B23A3C"/>
    <w:rsid w:val="00B23A9E"/>
    <w:rsid w:val="00B23BAB"/>
    <w:rsid w:val="00B23BB6"/>
    <w:rsid w:val="00B23C3A"/>
    <w:rsid w:val="00B23C3E"/>
    <w:rsid w:val="00B23C6F"/>
    <w:rsid w:val="00B23D4F"/>
    <w:rsid w:val="00B23DAD"/>
    <w:rsid w:val="00B23E1E"/>
    <w:rsid w:val="00B23F13"/>
    <w:rsid w:val="00B23FD0"/>
    <w:rsid w:val="00B24038"/>
    <w:rsid w:val="00B24081"/>
    <w:rsid w:val="00B24091"/>
    <w:rsid w:val="00B240B3"/>
    <w:rsid w:val="00B240CC"/>
    <w:rsid w:val="00B240DC"/>
    <w:rsid w:val="00B240FF"/>
    <w:rsid w:val="00B24120"/>
    <w:rsid w:val="00B24170"/>
    <w:rsid w:val="00B24174"/>
    <w:rsid w:val="00B2418F"/>
    <w:rsid w:val="00B241FB"/>
    <w:rsid w:val="00B24207"/>
    <w:rsid w:val="00B24242"/>
    <w:rsid w:val="00B24293"/>
    <w:rsid w:val="00B242E8"/>
    <w:rsid w:val="00B2432E"/>
    <w:rsid w:val="00B243B7"/>
    <w:rsid w:val="00B2440C"/>
    <w:rsid w:val="00B24413"/>
    <w:rsid w:val="00B24495"/>
    <w:rsid w:val="00B244B9"/>
    <w:rsid w:val="00B244BA"/>
    <w:rsid w:val="00B2458E"/>
    <w:rsid w:val="00B24637"/>
    <w:rsid w:val="00B24718"/>
    <w:rsid w:val="00B248CB"/>
    <w:rsid w:val="00B249BD"/>
    <w:rsid w:val="00B249DE"/>
    <w:rsid w:val="00B24A2E"/>
    <w:rsid w:val="00B24A9A"/>
    <w:rsid w:val="00B24AF7"/>
    <w:rsid w:val="00B24B0C"/>
    <w:rsid w:val="00B24B50"/>
    <w:rsid w:val="00B24C44"/>
    <w:rsid w:val="00B24CB2"/>
    <w:rsid w:val="00B24CF2"/>
    <w:rsid w:val="00B24CF7"/>
    <w:rsid w:val="00B24D0C"/>
    <w:rsid w:val="00B24E61"/>
    <w:rsid w:val="00B24F9C"/>
    <w:rsid w:val="00B24FC5"/>
    <w:rsid w:val="00B25013"/>
    <w:rsid w:val="00B25057"/>
    <w:rsid w:val="00B25096"/>
    <w:rsid w:val="00B250D7"/>
    <w:rsid w:val="00B25157"/>
    <w:rsid w:val="00B25160"/>
    <w:rsid w:val="00B251C9"/>
    <w:rsid w:val="00B25219"/>
    <w:rsid w:val="00B252AF"/>
    <w:rsid w:val="00B252F3"/>
    <w:rsid w:val="00B2534D"/>
    <w:rsid w:val="00B2536A"/>
    <w:rsid w:val="00B25411"/>
    <w:rsid w:val="00B25486"/>
    <w:rsid w:val="00B2554D"/>
    <w:rsid w:val="00B2556D"/>
    <w:rsid w:val="00B25687"/>
    <w:rsid w:val="00B256B5"/>
    <w:rsid w:val="00B256D0"/>
    <w:rsid w:val="00B2574C"/>
    <w:rsid w:val="00B25751"/>
    <w:rsid w:val="00B2577D"/>
    <w:rsid w:val="00B2578C"/>
    <w:rsid w:val="00B2582C"/>
    <w:rsid w:val="00B2588F"/>
    <w:rsid w:val="00B258EF"/>
    <w:rsid w:val="00B25929"/>
    <w:rsid w:val="00B25970"/>
    <w:rsid w:val="00B259BA"/>
    <w:rsid w:val="00B259BD"/>
    <w:rsid w:val="00B259BF"/>
    <w:rsid w:val="00B25A27"/>
    <w:rsid w:val="00B25ABD"/>
    <w:rsid w:val="00B25BF5"/>
    <w:rsid w:val="00B25C49"/>
    <w:rsid w:val="00B25D5C"/>
    <w:rsid w:val="00B25D62"/>
    <w:rsid w:val="00B25D94"/>
    <w:rsid w:val="00B25DB1"/>
    <w:rsid w:val="00B25DE2"/>
    <w:rsid w:val="00B25E2B"/>
    <w:rsid w:val="00B25F4B"/>
    <w:rsid w:val="00B25F57"/>
    <w:rsid w:val="00B25F65"/>
    <w:rsid w:val="00B25F97"/>
    <w:rsid w:val="00B25FB7"/>
    <w:rsid w:val="00B26051"/>
    <w:rsid w:val="00B26067"/>
    <w:rsid w:val="00B26087"/>
    <w:rsid w:val="00B2608E"/>
    <w:rsid w:val="00B260A2"/>
    <w:rsid w:val="00B2613F"/>
    <w:rsid w:val="00B2616B"/>
    <w:rsid w:val="00B261BC"/>
    <w:rsid w:val="00B261E8"/>
    <w:rsid w:val="00B261EC"/>
    <w:rsid w:val="00B26229"/>
    <w:rsid w:val="00B26277"/>
    <w:rsid w:val="00B26356"/>
    <w:rsid w:val="00B26366"/>
    <w:rsid w:val="00B263CA"/>
    <w:rsid w:val="00B26493"/>
    <w:rsid w:val="00B264E5"/>
    <w:rsid w:val="00B2656A"/>
    <w:rsid w:val="00B2659E"/>
    <w:rsid w:val="00B265A1"/>
    <w:rsid w:val="00B266B3"/>
    <w:rsid w:val="00B267CD"/>
    <w:rsid w:val="00B267E3"/>
    <w:rsid w:val="00B26831"/>
    <w:rsid w:val="00B26880"/>
    <w:rsid w:val="00B2688D"/>
    <w:rsid w:val="00B26895"/>
    <w:rsid w:val="00B2689F"/>
    <w:rsid w:val="00B268A6"/>
    <w:rsid w:val="00B268AE"/>
    <w:rsid w:val="00B268D9"/>
    <w:rsid w:val="00B26955"/>
    <w:rsid w:val="00B2696B"/>
    <w:rsid w:val="00B2696D"/>
    <w:rsid w:val="00B26974"/>
    <w:rsid w:val="00B26988"/>
    <w:rsid w:val="00B269A6"/>
    <w:rsid w:val="00B26A2F"/>
    <w:rsid w:val="00B26A5C"/>
    <w:rsid w:val="00B26A99"/>
    <w:rsid w:val="00B26B02"/>
    <w:rsid w:val="00B26BDD"/>
    <w:rsid w:val="00B26C33"/>
    <w:rsid w:val="00B26C46"/>
    <w:rsid w:val="00B26C4D"/>
    <w:rsid w:val="00B26C7D"/>
    <w:rsid w:val="00B26C9A"/>
    <w:rsid w:val="00B26CEB"/>
    <w:rsid w:val="00B26D27"/>
    <w:rsid w:val="00B26D8B"/>
    <w:rsid w:val="00B26E57"/>
    <w:rsid w:val="00B26EA5"/>
    <w:rsid w:val="00B26EB0"/>
    <w:rsid w:val="00B26EE0"/>
    <w:rsid w:val="00B26F27"/>
    <w:rsid w:val="00B26F9D"/>
    <w:rsid w:val="00B27010"/>
    <w:rsid w:val="00B2708E"/>
    <w:rsid w:val="00B270B4"/>
    <w:rsid w:val="00B27178"/>
    <w:rsid w:val="00B271BA"/>
    <w:rsid w:val="00B271CA"/>
    <w:rsid w:val="00B271D2"/>
    <w:rsid w:val="00B272D7"/>
    <w:rsid w:val="00B272ED"/>
    <w:rsid w:val="00B272F3"/>
    <w:rsid w:val="00B27301"/>
    <w:rsid w:val="00B27326"/>
    <w:rsid w:val="00B27335"/>
    <w:rsid w:val="00B2735F"/>
    <w:rsid w:val="00B27388"/>
    <w:rsid w:val="00B273AC"/>
    <w:rsid w:val="00B273E0"/>
    <w:rsid w:val="00B273FD"/>
    <w:rsid w:val="00B2748B"/>
    <w:rsid w:val="00B274F6"/>
    <w:rsid w:val="00B27515"/>
    <w:rsid w:val="00B2751C"/>
    <w:rsid w:val="00B27529"/>
    <w:rsid w:val="00B2753E"/>
    <w:rsid w:val="00B27576"/>
    <w:rsid w:val="00B275C7"/>
    <w:rsid w:val="00B275E3"/>
    <w:rsid w:val="00B2776E"/>
    <w:rsid w:val="00B277A4"/>
    <w:rsid w:val="00B277AA"/>
    <w:rsid w:val="00B2784A"/>
    <w:rsid w:val="00B278BB"/>
    <w:rsid w:val="00B278C2"/>
    <w:rsid w:val="00B2799A"/>
    <w:rsid w:val="00B2799F"/>
    <w:rsid w:val="00B27A53"/>
    <w:rsid w:val="00B27B2C"/>
    <w:rsid w:val="00B27B65"/>
    <w:rsid w:val="00B27C36"/>
    <w:rsid w:val="00B27D4B"/>
    <w:rsid w:val="00B27D9A"/>
    <w:rsid w:val="00B27DA3"/>
    <w:rsid w:val="00B27ED1"/>
    <w:rsid w:val="00B27F66"/>
    <w:rsid w:val="00B27F87"/>
    <w:rsid w:val="00B30023"/>
    <w:rsid w:val="00B3003A"/>
    <w:rsid w:val="00B30043"/>
    <w:rsid w:val="00B3007D"/>
    <w:rsid w:val="00B300EB"/>
    <w:rsid w:val="00B30111"/>
    <w:rsid w:val="00B30173"/>
    <w:rsid w:val="00B301F8"/>
    <w:rsid w:val="00B3020D"/>
    <w:rsid w:val="00B30331"/>
    <w:rsid w:val="00B30338"/>
    <w:rsid w:val="00B3038B"/>
    <w:rsid w:val="00B304C8"/>
    <w:rsid w:val="00B304D0"/>
    <w:rsid w:val="00B304F1"/>
    <w:rsid w:val="00B30589"/>
    <w:rsid w:val="00B3073C"/>
    <w:rsid w:val="00B3074D"/>
    <w:rsid w:val="00B30790"/>
    <w:rsid w:val="00B307BA"/>
    <w:rsid w:val="00B307BD"/>
    <w:rsid w:val="00B3083C"/>
    <w:rsid w:val="00B3088D"/>
    <w:rsid w:val="00B308B2"/>
    <w:rsid w:val="00B30911"/>
    <w:rsid w:val="00B30918"/>
    <w:rsid w:val="00B3093C"/>
    <w:rsid w:val="00B30976"/>
    <w:rsid w:val="00B3097C"/>
    <w:rsid w:val="00B30995"/>
    <w:rsid w:val="00B309AF"/>
    <w:rsid w:val="00B30A6C"/>
    <w:rsid w:val="00B30AB4"/>
    <w:rsid w:val="00B30ABC"/>
    <w:rsid w:val="00B30AE3"/>
    <w:rsid w:val="00B30B18"/>
    <w:rsid w:val="00B30B4A"/>
    <w:rsid w:val="00B30C3A"/>
    <w:rsid w:val="00B30C4E"/>
    <w:rsid w:val="00B30CA2"/>
    <w:rsid w:val="00B30CA6"/>
    <w:rsid w:val="00B30CAD"/>
    <w:rsid w:val="00B30D34"/>
    <w:rsid w:val="00B30D74"/>
    <w:rsid w:val="00B30D9D"/>
    <w:rsid w:val="00B30E58"/>
    <w:rsid w:val="00B30F35"/>
    <w:rsid w:val="00B30F49"/>
    <w:rsid w:val="00B30F66"/>
    <w:rsid w:val="00B31197"/>
    <w:rsid w:val="00B311C6"/>
    <w:rsid w:val="00B311DE"/>
    <w:rsid w:val="00B31202"/>
    <w:rsid w:val="00B3124F"/>
    <w:rsid w:val="00B31280"/>
    <w:rsid w:val="00B312AA"/>
    <w:rsid w:val="00B312F8"/>
    <w:rsid w:val="00B3133E"/>
    <w:rsid w:val="00B3136B"/>
    <w:rsid w:val="00B31384"/>
    <w:rsid w:val="00B3139F"/>
    <w:rsid w:val="00B314F8"/>
    <w:rsid w:val="00B31548"/>
    <w:rsid w:val="00B31564"/>
    <w:rsid w:val="00B31574"/>
    <w:rsid w:val="00B315EA"/>
    <w:rsid w:val="00B3162D"/>
    <w:rsid w:val="00B31682"/>
    <w:rsid w:val="00B316A6"/>
    <w:rsid w:val="00B316E9"/>
    <w:rsid w:val="00B317F2"/>
    <w:rsid w:val="00B317F8"/>
    <w:rsid w:val="00B3180C"/>
    <w:rsid w:val="00B3194F"/>
    <w:rsid w:val="00B31956"/>
    <w:rsid w:val="00B31969"/>
    <w:rsid w:val="00B3199A"/>
    <w:rsid w:val="00B319D4"/>
    <w:rsid w:val="00B31A66"/>
    <w:rsid w:val="00B31B33"/>
    <w:rsid w:val="00B31B44"/>
    <w:rsid w:val="00B31C36"/>
    <w:rsid w:val="00B31C38"/>
    <w:rsid w:val="00B31C55"/>
    <w:rsid w:val="00B31D30"/>
    <w:rsid w:val="00B31E8E"/>
    <w:rsid w:val="00B31F27"/>
    <w:rsid w:val="00B31F33"/>
    <w:rsid w:val="00B31F84"/>
    <w:rsid w:val="00B31FFA"/>
    <w:rsid w:val="00B32043"/>
    <w:rsid w:val="00B3214D"/>
    <w:rsid w:val="00B3218E"/>
    <w:rsid w:val="00B32221"/>
    <w:rsid w:val="00B3244B"/>
    <w:rsid w:val="00B3245A"/>
    <w:rsid w:val="00B32460"/>
    <w:rsid w:val="00B32464"/>
    <w:rsid w:val="00B324AC"/>
    <w:rsid w:val="00B324DF"/>
    <w:rsid w:val="00B3250B"/>
    <w:rsid w:val="00B32776"/>
    <w:rsid w:val="00B327FC"/>
    <w:rsid w:val="00B32843"/>
    <w:rsid w:val="00B32867"/>
    <w:rsid w:val="00B32885"/>
    <w:rsid w:val="00B32893"/>
    <w:rsid w:val="00B328D6"/>
    <w:rsid w:val="00B328ED"/>
    <w:rsid w:val="00B32955"/>
    <w:rsid w:val="00B329F7"/>
    <w:rsid w:val="00B32A3D"/>
    <w:rsid w:val="00B32B0E"/>
    <w:rsid w:val="00B32B52"/>
    <w:rsid w:val="00B32B6E"/>
    <w:rsid w:val="00B32BC7"/>
    <w:rsid w:val="00B32BED"/>
    <w:rsid w:val="00B32BEE"/>
    <w:rsid w:val="00B32C98"/>
    <w:rsid w:val="00B32C9E"/>
    <w:rsid w:val="00B32CB2"/>
    <w:rsid w:val="00B32CBD"/>
    <w:rsid w:val="00B32D13"/>
    <w:rsid w:val="00B32D86"/>
    <w:rsid w:val="00B32DCA"/>
    <w:rsid w:val="00B32EE8"/>
    <w:rsid w:val="00B32EF0"/>
    <w:rsid w:val="00B32F18"/>
    <w:rsid w:val="00B32F5E"/>
    <w:rsid w:val="00B32FAF"/>
    <w:rsid w:val="00B33023"/>
    <w:rsid w:val="00B330F7"/>
    <w:rsid w:val="00B33109"/>
    <w:rsid w:val="00B3318E"/>
    <w:rsid w:val="00B331C6"/>
    <w:rsid w:val="00B3322A"/>
    <w:rsid w:val="00B332D5"/>
    <w:rsid w:val="00B3333C"/>
    <w:rsid w:val="00B33346"/>
    <w:rsid w:val="00B333EF"/>
    <w:rsid w:val="00B33441"/>
    <w:rsid w:val="00B3344E"/>
    <w:rsid w:val="00B334C2"/>
    <w:rsid w:val="00B33506"/>
    <w:rsid w:val="00B3359A"/>
    <w:rsid w:val="00B33621"/>
    <w:rsid w:val="00B336B1"/>
    <w:rsid w:val="00B336C3"/>
    <w:rsid w:val="00B336E0"/>
    <w:rsid w:val="00B33752"/>
    <w:rsid w:val="00B3376A"/>
    <w:rsid w:val="00B337B8"/>
    <w:rsid w:val="00B337F0"/>
    <w:rsid w:val="00B3384B"/>
    <w:rsid w:val="00B33869"/>
    <w:rsid w:val="00B338DE"/>
    <w:rsid w:val="00B33982"/>
    <w:rsid w:val="00B339AC"/>
    <w:rsid w:val="00B33A33"/>
    <w:rsid w:val="00B33A44"/>
    <w:rsid w:val="00B33B4E"/>
    <w:rsid w:val="00B33B9C"/>
    <w:rsid w:val="00B33C9C"/>
    <w:rsid w:val="00B33CC4"/>
    <w:rsid w:val="00B33CEC"/>
    <w:rsid w:val="00B33CF6"/>
    <w:rsid w:val="00B33D07"/>
    <w:rsid w:val="00B33D91"/>
    <w:rsid w:val="00B33DE9"/>
    <w:rsid w:val="00B33E01"/>
    <w:rsid w:val="00B33E67"/>
    <w:rsid w:val="00B33F12"/>
    <w:rsid w:val="00B33F78"/>
    <w:rsid w:val="00B340E4"/>
    <w:rsid w:val="00B340F8"/>
    <w:rsid w:val="00B34160"/>
    <w:rsid w:val="00B34163"/>
    <w:rsid w:val="00B34201"/>
    <w:rsid w:val="00B34205"/>
    <w:rsid w:val="00B3424C"/>
    <w:rsid w:val="00B34275"/>
    <w:rsid w:val="00B342A7"/>
    <w:rsid w:val="00B342B4"/>
    <w:rsid w:val="00B342F8"/>
    <w:rsid w:val="00B34345"/>
    <w:rsid w:val="00B343F7"/>
    <w:rsid w:val="00B343FC"/>
    <w:rsid w:val="00B3455D"/>
    <w:rsid w:val="00B345A3"/>
    <w:rsid w:val="00B34659"/>
    <w:rsid w:val="00B34685"/>
    <w:rsid w:val="00B34707"/>
    <w:rsid w:val="00B3478A"/>
    <w:rsid w:val="00B347BC"/>
    <w:rsid w:val="00B347D4"/>
    <w:rsid w:val="00B347F1"/>
    <w:rsid w:val="00B34857"/>
    <w:rsid w:val="00B34883"/>
    <w:rsid w:val="00B348A2"/>
    <w:rsid w:val="00B348DA"/>
    <w:rsid w:val="00B34975"/>
    <w:rsid w:val="00B349EF"/>
    <w:rsid w:val="00B34A66"/>
    <w:rsid w:val="00B34A91"/>
    <w:rsid w:val="00B34AB5"/>
    <w:rsid w:val="00B34B1E"/>
    <w:rsid w:val="00B34B32"/>
    <w:rsid w:val="00B34BAA"/>
    <w:rsid w:val="00B34BC6"/>
    <w:rsid w:val="00B34BD2"/>
    <w:rsid w:val="00B34C44"/>
    <w:rsid w:val="00B34C6F"/>
    <w:rsid w:val="00B34D2C"/>
    <w:rsid w:val="00B34D45"/>
    <w:rsid w:val="00B34F6B"/>
    <w:rsid w:val="00B34F9E"/>
    <w:rsid w:val="00B34FAA"/>
    <w:rsid w:val="00B34FB0"/>
    <w:rsid w:val="00B34FDC"/>
    <w:rsid w:val="00B3507B"/>
    <w:rsid w:val="00B35139"/>
    <w:rsid w:val="00B35179"/>
    <w:rsid w:val="00B351B8"/>
    <w:rsid w:val="00B351D9"/>
    <w:rsid w:val="00B35273"/>
    <w:rsid w:val="00B352CC"/>
    <w:rsid w:val="00B352F3"/>
    <w:rsid w:val="00B35420"/>
    <w:rsid w:val="00B354DB"/>
    <w:rsid w:val="00B35541"/>
    <w:rsid w:val="00B3556F"/>
    <w:rsid w:val="00B35624"/>
    <w:rsid w:val="00B3562F"/>
    <w:rsid w:val="00B3568C"/>
    <w:rsid w:val="00B356CC"/>
    <w:rsid w:val="00B35728"/>
    <w:rsid w:val="00B357A7"/>
    <w:rsid w:val="00B35801"/>
    <w:rsid w:val="00B3583B"/>
    <w:rsid w:val="00B35885"/>
    <w:rsid w:val="00B358AF"/>
    <w:rsid w:val="00B35942"/>
    <w:rsid w:val="00B3599E"/>
    <w:rsid w:val="00B359C2"/>
    <w:rsid w:val="00B35A1E"/>
    <w:rsid w:val="00B35A5D"/>
    <w:rsid w:val="00B35A76"/>
    <w:rsid w:val="00B35AAB"/>
    <w:rsid w:val="00B35B0B"/>
    <w:rsid w:val="00B35B87"/>
    <w:rsid w:val="00B35BDD"/>
    <w:rsid w:val="00B35C07"/>
    <w:rsid w:val="00B35C3B"/>
    <w:rsid w:val="00B35C82"/>
    <w:rsid w:val="00B35C91"/>
    <w:rsid w:val="00B35D26"/>
    <w:rsid w:val="00B35D39"/>
    <w:rsid w:val="00B35D3D"/>
    <w:rsid w:val="00B35D9A"/>
    <w:rsid w:val="00B35DC4"/>
    <w:rsid w:val="00B35E97"/>
    <w:rsid w:val="00B35F2C"/>
    <w:rsid w:val="00B36024"/>
    <w:rsid w:val="00B36079"/>
    <w:rsid w:val="00B360E9"/>
    <w:rsid w:val="00B3610B"/>
    <w:rsid w:val="00B36145"/>
    <w:rsid w:val="00B361B6"/>
    <w:rsid w:val="00B3620A"/>
    <w:rsid w:val="00B3622C"/>
    <w:rsid w:val="00B36349"/>
    <w:rsid w:val="00B363B6"/>
    <w:rsid w:val="00B363E4"/>
    <w:rsid w:val="00B363F4"/>
    <w:rsid w:val="00B36440"/>
    <w:rsid w:val="00B364BF"/>
    <w:rsid w:val="00B364F9"/>
    <w:rsid w:val="00B3651C"/>
    <w:rsid w:val="00B36560"/>
    <w:rsid w:val="00B365F4"/>
    <w:rsid w:val="00B36601"/>
    <w:rsid w:val="00B36651"/>
    <w:rsid w:val="00B36655"/>
    <w:rsid w:val="00B3666C"/>
    <w:rsid w:val="00B366A2"/>
    <w:rsid w:val="00B366E2"/>
    <w:rsid w:val="00B36780"/>
    <w:rsid w:val="00B367A9"/>
    <w:rsid w:val="00B367E6"/>
    <w:rsid w:val="00B36803"/>
    <w:rsid w:val="00B3681C"/>
    <w:rsid w:val="00B3682E"/>
    <w:rsid w:val="00B36852"/>
    <w:rsid w:val="00B36864"/>
    <w:rsid w:val="00B3694F"/>
    <w:rsid w:val="00B369C1"/>
    <w:rsid w:val="00B36A77"/>
    <w:rsid w:val="00B36A87"/>
    <w:rsid w:val="00B36B3F"/>
    <w:rsid w:val="00B36B47"/>
    <w:rsid w:val="00B36BB6"/>
    <w:rsid w:val="00B36C10"/>
    <w:rsid w:val="00B36C9C"/>
    <w:rsid w:val="00B36CC5"/>
    <w:rsid w:val="00B36D05"/>
    <w:rsid w:val="00B36D11"/>
    <w:rsid w:val="00B36D18"/>
    <w:rsid w:val="00B36D48"/>
    <w:rsid w:val="00B36D4D"/>
    <w:rsid w:val="00B36D96"/>
    <w:rsid w:val="00B36E27"/>
    <w:rsid w:val="00B36E4C"/>
    <w:rsid w:val="00B36E50"/>
    <w:rsid w:val="00B36EEC"/>
    <w:rsid w:val="00B36EF5"/>
    <w:rsid w:val="00B36EFB"/>
    <w:rsid w:val="00B36FB0"/>
    <w:rsid w:val="00B37050"/>
    <w:rsid w:val="00B37078"/>
    <w:rsid w:val="00B370A2"/>
    <w:rsid w:val="00B370E1"/>
    <w:rsid w:val="00B370F1"/>
    <w:rsid w:val="00B370F3"/>
    <w:rsid w:val="00B37115"/>
    <w:rsid w:val="00B37129"/>
    <w:rsid w:val="00B37137"/>
    <w:rsid w:val="00B37176"/>
    <w:rsid w:val="00B37178"/>
    <w:rsid w:val="00B371FE"/>
    <w:rsid w:val="00B3722D"/>
    <w:rsid w:val="00B3725C"/>
    <w:rsid w:val="00B37264"/>
    <w:rsid w:val="00B372C4"/>
    <w:rsid w:val="00B37359"/>
    <w:rsid w:val="00B373C5"/>
    <w:rsid w:val="00B37414"/>
    <w:rsid w:val="00B37434"/>
    <w:rsid w:val="00B37437"/>
    <w:rsid w:val="00B3744B"/>
    <w:rsid w:val="00B3744E"/>
    <w:rsid w:val="00B37459"/>
    <w:rsid w:val="00B374C3"/>
    <w:rsid w:val="00B374FA"/>
    <w:rsid w:val="00B375A7"/>
    <w:rsid w:val="00B375DE"/>
    <w:rsid w:val="00B37684"/>
    <w:rsid w:val="00B376E2"/>
    <w:rsid w:val="00B376EC"/>
    <w:rsid w:val="00B37717"/>
    <w:rsid w:val="00B3771B"/>
    <w:rsid w:val="00B3779F"/>
    <w:rsid w:val="00B377CC"/>
    <w:rsid w:val="00B3780A"/>
    <w:rsid w:val="00B3780E"/>
    <w:rsid w:val="00B37879"/>
    <w:rsid w:val="00B378A4"/>
    <w:rsid w:val="00B379C1"/>
    <w:rsid w:val="00B379F2"/>
    <w:rsid w:val="00B37A8F"/>
    <w:rsid w:val="00B37AE5"/>
    <w:rsid w:val="00B37B40"/>
    <w:rsid w:val="00B37BD1"/>
    <w:rsid w:val="00B37C7C"/>
    <w:rsid w:val="00B37CAB"/>
    <w:rsid w:val="00B37D23"/>
    <w:rsid w:val="00B37D59"/>
    <w:rsid w:val="00B37DD6"/>
    <w:rsid w:val="00B37E0A"/>
    <w:rsid w:val="00B37E29"/>
    <w:rsid w:val="00B37E2A"/>
    <w:rsid w:val="00B37F1E"/>
    <w:rsid w:val="00B37F62"/>
    <w:rsid w:val="00B37F68"/>
    <w:rsid w:val="00B37F77"/>
    <w:rsid w:val="00B4003A"/>
    <w:rsid w:val="00B40095"/>
    <w:rsid w:val="00B4009A"/>
    <w:rsid w:val="00B400A4"/>
    <w:rsid w:val="00B400C7"/>
    <w:rsid w:val="00B40107"/>
    <w:rsid w:val="00B40187"/>
    <w:rsid w:val="00B40246"/>
    <w:rsid w:val="00B402E7"/>
    <w:rsid w:val="00B40416"/>
    <w:rsid w:val="00B4041A"/>
    <w:rsid w:val="00B4041C"/>
    <w:rsid w:val="00B40484"/>
    <w:rsid w:val="00B404DE"/>
    <w:rsid w:val="00B404F3"/>
    <w:rsid w:val="00B4055D"/>
    <w:rsid w:val="00B40594"/>
    <w:rsid w:val="00B405D1"/>
    <w:rsid w:val="00B4060F"/>
    <w:rsid w:val="00B40757"/>
    <w:rsid w:val="00B4075F"/>
    <w:rsid w:val="00B407A7"/>
    <w:rsid w:val="00B407F3"/>
    <w:rsid w:val="00B40814"/>
    <w:rsid w:val="00B409B6"/>
    <w:rsid w:val="00B409C6"/>
    <w:rsid w:val="00B40A76"/>
    <w:rsid w:val="00B40AAC"/>
    <w:rsid w:val="00B40ABF"/>
    <w:rsid w:val="00B40AD6"/>
    <w:rsid w:val="00B40B0F"/>
    <w:rsid w:val="00B40B1A"/>
    <w:rsid w:val="00B40BC0"/>
    <w:rsid w:val="00B40BD5"/>
    <w:rsid w:val="00B40BDD"/>
    <w:rsid w:val="00B40BEF"/>
    <w:rsid w:val="00B40C26"/>
    <w:rsid w:val="00B40C41"/>
    <w:rsid w:val="00B40C6C"/>
    <w:rsid w:val="00B40CA4"/>
    <w:rsid w:val="00B40CA6"/>
    <w:rsid w:val="00B40D01"/>
    <w:rsid w:val="00B40D5D"/>
    <w:rsid w:val="00B40E5B"/>
    <w:rsid w:val="00B40E6C"/>
    <w:rsid w:val="00B40E94"/>
    <w:rsid w:val="00B40ED2"/>
    <w:rsid w:val="00B40EF7"/>
    <w:rsid w:val="00B40F15"/>
    <w:rsid w:val="00B40F43"/>
    <w:rsid w:val="00B40F8F"/>
    <w:rsid w:val="00B40FAF"/>
    <w:rsid w:val="00B41092"/>
    <w:rsid w:val="00B410C8"/>
    <w:rsid w:val="00B41109"/>
    <w:rsid w:val="00B411E2"/>
    <w:rsid w:val="00B412C4"/>
    <w:rsid w:val="00B41309"/>
    <w:rsid w:val="00B413E3"/>
    <w:rsid w:val="00B415A8"/>
    <w:rsid w:val="00B415BC"/>
    <w:rsid w:val="00B416B0"/>
    <w:rsid w:val="00B416BB"/>
    <w:rsid w:val="00B416ED"/>
    <w:rsid w:val="00B41712"/>
    <w:rsid w:val="00B41713"/>
    <w:rsid w:val="00B4174A"/>
    <w:rsid w:val="00B417BA"/>
    <w:rsid w:val="00B41845"/>
    <w:rsid w:val="00B41872"/>
    <w:rsid w:val="00B41885"/>
    <w:rsid w:val="00B41909"/>
    <w:rsid w:val="00B419E5"/>
    <w:rsid w:val="00B419FD"/>
    <w:rsid w:val="00B41A07"/>
    <w:rsid w:val="00B41A7E"/>
    <w:rsid w:val="00B41A8A"/>
    <w:rsid w:val="00B41AB3"/>
    <w:rsid w:val="00B41AF0"/>
    <w:rsid w:val="00B41B51"/>
    <w:rsid w:val="00B41C28"/>
    <w:rsid w:val="00B41CBB"/>
    <w:rsid w:val="00B41CDB"/>
    <w:rsid w:val="00B41DE8"/>
    <w:rsid w:val="00B41F92"/>
    <w:rsid w:val="00B41FAC"/>
    <w:rsid w:val="00B42170"/>
    <w:rsid w:val="00B4217D"/>
    <w:rsid w:val="00B421C5"/>
    <w:rsid w:val="00B4223B"/>
    <w:rsid w:val="00B42274"/>
    <w:rsid w:val="00B4228F"/>
    <w:rsid w:val="00B422CE"/>
    <w:rsid w:val="00B4239C"/>
    <w:rsid w:val="00B423DB"/>
    <w:rsid w:val="00B42404"/>
    <w:rsid w:val="00B42423"/>
    <w:rsid w:val="00B424A6"/>
    <w:rsid w:val="00B424EE"/>
    <w:rsid w:val="00B425AC"/>
    <w:rsid w:val="00B425C0"/>
    <w:rsid w:val="00B4265B"/>
    <w:rsid w:val="00B42689"/>
    <w:rsid w:val="00B426B5"/>
    <w:rsid w:val="00B427F9"/>
    <w:rsid w:val="00B42854"/>
    <w:rsid w:val="00B42899"/>
    <w:rsid w:val="00B42B7D"/>
    <w:rsid w:val="00B42BC9"/>
    <w:rsid w:val="00B42BF0"/>
    <w:rsid w:val="00B42BFF"/>
    <w:rsid w:val="00B42C25"/>
    <w:rsid w:val="00B42D1B"/>
    <w:rsid w:val="00B42D22"/>
    <w:rsid w:val="00B42D4D"/>
    <w:rsid w:val="00B42D62"/>
    <w:rsid w:val="00B42DAF"/>
    <w:rsid w:val="00B42E41"/>
    <w:rsid w:val="00B42E62"/>
    <w:rsid w:val="00B42E75"/>
    <w:rsid w:val="00B42E79"/>
    <w:rsid w:val="00B42F40"/>
    <w:rsid w:val="00B43040"/>
    <w:rsid w:val="00B4309F"/>
    <w:rsid w:val="00B430A7"/>
    <w:rsid w:val="00B430FC"/>
    <w:rsid w:val="00B43125"/>
    <w:rsid w:val="00B43165"/>
    <w:rsid w:val="00B4316D"/>
    <w:rsid w:val="00B43182"/>
    <w:rsid w:val="00B431BD"/>
    <w:rsid w:val="00B432A2"/>
    <w:rsid w:val="00B432EB"/>
    <w:rsid w:val="00B43367"/>
    <w:rsid w:val="00B43383"/>
    <w:rsid w:val="00B433A1"/>
    <w:rsid w:val="00B433AB"/>
    <w:rsid w:val="00B433C0"/>
    <w:rsid w:val="00B4344B"/>
    <w:rsid w:val="00B43516"/>
    <w:rsid w:val="00B43538"/>
    <w:rsid w:val="00B4359D"/>
    <w:rsid w:val="00B435FF"/>
    <w:rsid w:val="00B436D3"/>
    <w:rsid w:val="00B436F1"/>
    <w:rsid w:val="00B437ED"/>
    <w:rsid w:val="00B43838"/>
    <w:rsid w:val="00B43863"/>
    <w:rsid w:val="00B438CD"/>
    <w:rsid w:val="00B438E7"/>
    <w:rsid w:val="00B43909"/>
    <w:rsid w:val="00B43932"/>
    <w:rsid w:val="00B43998"/>
    <w:rsid w:val="00B43A5F"/>
    <w:rsid w:val="00B43A89"/>
    <w:rsid w:val="00B43B69"/>
    <w:rsid w:val="00B43CBC"/>
    <w:rsid w:val="00B43D13"/>
    <w:rsid w:val="00B43D18"/>
    <w:rsid w:val="00B43D8F"/>
    <w:rsid w:val="00B43DFE"/>
    <w:rsid w:val="00B43E38"/>
    <w:rsid w:val="00B43E4B"/>
    <w:rsid w:val="00B43EC7"/>
    <w:rsid w:val="00B43F29"/>
    <w:rsid w:val="00B43F58"/>
    <w:rsid w:val="00B43FBA"/>
    <w:rsid w:val="00B4405B"/>
    <w:rsid w:val="00B440AC"/>
    <w:rsid w:val="00B441E3"/>
    <w:rsid w:val="00B441F1"/>
    <w:rsid w:val="00B442CE"/>
    <w:rsid w:val="00B442F2"/>
    <w:rsid w:val="00B44333"/>
    <w:rsid w:val="00B4434E"/>
    <w:rsid w:val="00B4437C"/>
    <w:rsid w:val="00B4447F"/>
    <w:rsid w:val="00B4449F"/>
    <w:rsid w:val="00B444BC"/>
    <w:rsid w:val="00B444EA"/>
    <w:rsid w:val="00B444F9"/>
    <w:rsid w:val="00B4453C"/>
    <w:rsid w:val="00B4464E"/>
    <w:rsid w:val="00B446A2"/>
    <w:rsid w:val="00B446C8"/>
    <w:rsid w:val="00B446CF"/>
    <w:rsid w:val="00B446D3"/>
    <w:rsid w:val="00B447E3"/>
    <w:rsid w:val="00B44850"/>
    <w:rsid w:val="00B4488E"/>
    <w:rsid w:val="00B44901"/>
    <w:rsid w:val="00B44915"/>
    <w:rsid w:val="00B449C7"/>
    <w:rsid w:val="00B449F1"/>
    <w:rsid w:val="00B44B1C"/>
    <w:rsid w:val="00B44BB9"/>
    <w:rsid w:val="00B44C9A"/>
    <w:rsid w:val="00B44CE2"/>
    <w:rsid w:val="00B44D10"/>
    <w:rsid w:val="00B44D42"/>
    <w:rsid w:val="00B44E01"/>
    <w:rsid w:val="00B44E1C"/>
    <w:rsid w:val="00B44E41"/>
    <w:rsid w:val="00B44E4E"/>
    <w:rsid w:val="00B44E66"/>
    <w:rsid w:val="00B44E78"/>
    <w:rsid w:val="00B44EA2"/>
    <w:rsid w:val="00B44EC8"/>
    <w:rsid w:val="00B44EE0"/>
    <w:rsid w:val="00B44EFA"/>
    <w:rsid w:val="00B44EFF"/>
    <w:rsid w:val="00B44F4B"/>
    <w:rsid w:val="00B44F78"/>
    <w:rsid w:val="00B44FC7"/>
    <w:rsid w:val="00B44FED"/>
    <w:rsid w:val="00B45007"/>
    <w:rsid w:val="00B45051"/>
    <w:rsid w:val="00B45076"/>
    <w:rsid w:val="00B450A6"/>
    <w:rsid w:val="00B450C5"/>
    <w:rsid w:val="00B450CE"/>
    <w:rsid w:val="00B45130"/>
    <w:rsid w:val="00B451A9"/>
    <w:rsid w:val="00B451BE"/>
    <w:rsid w:val="00B45274"/>
    <w:rsid w:val="00B45287"/>
    <w:rsid w:val="00B4532D"/>
    <w:rsid w:val="00B45374"/>
    <w:rsid w:val="00B453C8"/>
    <w:rsid w:val="00B454E1"/>
    <w:rsid w:val="00B45527"/>
    <w:rsid w:val="00B455E5"/>
    <w:rsid w:val="00B455EB"/>
    <w:rsid w:val="00B45654"/>
    <w:rsid w:val="00B456C5"/>
    <w:rsid w:val="00B456E0"/>
    <w:rsid w:val="00B45756"/>
    <w:rsid w:val="00B4580E"/>
    <w:rsid w:val="00B4584F"/>
    <w:rsid w:val="00B458B2"/>
    <w:rsid w:val="00B458B4"/>
    <w:rsid w:val="00B458DF"/>
    <w:rsid w:val="00B459E2"/>
    <w:rsid w:val="00B459EF"/>
    <w:rsid w:val="00B45A94"/>
    <w:rsid w:val="00B45A9B"/>
    <w:rsid w:val="00B45B70"/>
    <w:rsid w:val="00B45B7F"/>
    <w:rsid w:val="00B45BD2"/>
    <w:rsid w:val="00B45BDB"/>
    <w:rsid w:val="00B45BF3"/>
    <w:rsid w:val="00B45BF5"/>
    <w:rsid w:val="00B45C26"/>
    <w:rsid w:val="00B45CA1"/>
    <w:rsid w:val="00B45DA1"/>
    <w:rsid w:val="00B45DBA"/>
    <w:rsid w:val="00B45DE5"/>
    <w:rsid w:val="00B45E70"/>
    <w:rsid w:val="00B45F49"/>
    <w:rsid w:val="00B45F6C"/>
    <w:rsid w:val="00B45FF3"/>
    <w:rsid w:val="00B46029"/>
    <w:rsid w:val="00B46051"/>
    <w:rsid w:val="00B4609C"/>
    <w:rsid w:val="00B460E4"/>
    <w:rsid w:val="00B461AC"/>
    <w:rsid w:val="00B461E4"/>
    <w:rsid w:val="00B46205"/>
    <w:rsid w:val="00B46211"/>
    <w:rsid w:val="00B4624C"/>
    <w:rsid w:val="00B46288"/>
    <w:rsid w:val="00B4628B"/>
    <w:rsid w:val="00B4632E"/>
    <w:rsid w:val="00B463BE"/>
    <w:rsid w:val="00B46445"/>
    <w:rsid w:val="00B46476"/>
    <w:rsid w:val="00B465FB"/>
    <w:rsid w:val="00B46615"/>
    <w:rsid w:val="00B46656"/>
    <w:rsid w:val="00B4669F"/>
    <w:rsid w:val="00B466A2"/>
    <w:rsid w:val="00B4671B"/>
    <w:rsid w:val="00B46743"/>
    <w:rsid w:val="00B4675A"/>
    <w:rsid w:val="00B467E3"/>
    <w:rsid w:val="00B467FF"/>
    <w:rsid w:val="00B4680C"/>
    <w:rsid w:val="00B46816"/>
    <w:rsid w:val="00B469A0"/>
    <w:rsid w:val="00B469F0"/>
    <w:rsid w:val="00B469F4"/>
    <w:rsid w:val="00B46AFF"/>
    <w:rsid w:val="00B46B02"/>
    <w:rsid w:val="00B46B42"/>
    <w:rsid w:val="00B46BEC"/>
    <w:rsid w:val="00B46BF1"/>
    <w:rsid w:val="00B46C21"/>
    <w:rsid w:val="00B46CCB"/>
    <w:rsid w:val="00B46D01"/>
    <w:rsid w:val="00B46D7E"/>
    <w:rsid w:val="00B46DC3"/>
    <w:rsid w:val="00B46F60"/>
    <w:rsid w:val="00B46FD3"/>
    <w:rsid w:val="00B46FF7"/>
    <w:rsid w:val="00B470F7"/>
    <w:rsid w:val="00B47104"/>
    <w:rsid w:val="00B4718F"/>
    <w:rsid w:val="00B471C3"/>
    <w:rsid w:val="00B471CE"/>
    <w:rsid w:val="00B47221"/>
    <w:rsid w:val="00B4722F"/>
    <w:rsid w:val="00B4723C"/>
    <w:rsid w:val="00B47259"/>
    <w:rsid w:val="00B472FE"/>
    <w:rsid w:val="00B47331"/>
    <w:rsid w:val="00B47356"/>
    <w:rsid w:val="00B473A4"/>
    <w:rsid w:val="00B47468"/>
    <w:rsid w:val="00B474EA"/>
    <w:rsid w:val="00B4755E"/>
    <w:rsid w:val="00B475A6"/>
    <w:rsid w:val="00B4771C"/>
    <w:rsid w:val="00B47856"/>
    <w:rsid w:val="00B478FF"/>
    <w:rsid w:val="00B47A3A"/>
    <w:rsid w:val="00B47AB3"/>
    <w:rsid w:val="00B47B56"/>
    <w:rsid w:val="00B47B5B"/>
    <w:rsid w:val="00B47B6E"/>
    <w:rsid w:val="00B47BA4"/>
    <w:rsid w:val="00B47BCE"/>
    <w:rsid w:val="00B47BEE"/>
    <w:rsid w:val="00B47C0F"/>
    <w:rsid w:val="00B47C1F"/>
    <w:rsid w:val="00B47C40"/>
    <w:rsid w:val="00B47D38"/>
    <w:rsid w:val="00B47D71"/>
    <w:rsid w:val="00B47D79"/>
    <w:rsid w:val="00B47E5F"/>
    <w:rsid w:val="00B47FB9"/>
    <w:rsid w:val="00B50121"/>
    <w:rsid w:val="00B50173"/>
    <w:rsid w:val="00B501DE"/>
    <w:rsid w:val="00B501E0"/>
    <w:rsid w:val="00B50272"/>
    <w:rsid w:val="00B5029D"/>
    <w:rsid w:val="00B502C4"/>
    <w:rsid w:val="00B50303"/>
    <w:rsid w:val="00B5032F"/>
    <w:rsid w:val="00B50334"/>
    <w:rsid w:val="00B50340"/>
    <w:rsid w:val="00B5036A"/>
    <w:rsid w:val="00B503FD"/>
    <w:rsid w:val="00B50482"/>
    <w:rsid w:val="00B504CD"/>
    <w:rsid w:val="00B50580"/>
    <w:rsid w:val="00B50593"/>
    <w:rsid w:val="00B50596"/>
    <w:rsid w:val="00B50776"/>
    <w:rsid w:val="00B50786"/>
    <w:rsid w:val="00B507B9"/>
    <w:rsid w:val="00B507EC"/>
    <w:rsid w:val="00B5083D"/>
    <w:rsid w:val="00B5085B"/>
    <w:rsid w:val="00B5086F"/>
    <w:rsid w:val="00B5088D"/>
    <w:rsid w:val="00B50A2B"/>
    <w:rsid w:val="00B50B33"/>
    <w:rsid w:val="00B50B34"/>
    <w:rsid w:val="00B50BAD"/>
    <w:rsid w:val="00B50CF7"/>
    <w:rsid w:val="00B50D0C"/>
    <w:rsid w:val="00B50D28"/>
    <w:rsid w:val="00B50D83"/>
    <w:rsid w:val="00B50DA7"/>
    <w:rsid w:val="00B50DAA"/>
    <w:rsid w:val="00B50DE8"/>
    <w:rsid w:val="00B50F30"/>
    <w:rsid w:val="00B5102D"/>
    <w:rsid w:val="00B5105D"/>
    <w:rsid w:val="00B51061"/>
    <w:rsid w:val="00B51078"/>
    <w:rsid w:val="00B51083"/>
    <w:rsid w:val="00B51084"/>
    <w:rsid w:val="00B51256"/>
    <w:rsid w:val="00B51261"/>
    <w:rsid w:val="00B5135D"/>
    <w:rsid w:val="00B5138C"/>
    <w:rsid w:val="00B513AD"/>
    <w:rsid w:val="00B513F7"/>
    <w:rsid w:val="00B51423"/>
    <w:rsid w:val="00B51451"/>
    <w:rsid w:val="00B514D1"/>
    <w:rsid w:val="00B5151A"/>
    <w:rsid w:val="00B515F7"/>
    <w:rsid w:val="00B5171F"/>
    <w:rsid w:val="00B51828"/>
    <w:rsid w:val="00B51840"/>
    <w:rsid w:val="00B5185C"/>
    <w:rsid w:val="00B51952"/>
    <w:rsid w:val="00B51AC5"/>
    <w:rsid w:val="00B51ACB"/>
    <w:rsid w:val="00B51B80"/>
    <w:rsid w:val="00B51BA2"/>
    <w:rsid w:val="00B51BBC"/>
    <w:rsid w:val="00B51C3B"/>
    <w:rsid w:val="00B51C48"/>
    <w:rsid w:val="00B51C70"/>
    <w:rsid w:val="00B51C9E"/>
    <w:rsid w:val="00B51CBA"/>
    <w:rsid w:val="00B51CD6"/>
    <w:rsid w:val="00B51D48"/>
    <w:rsid w:val="00B51DC4"/>
    <w:rsid w:val="00B51E3F"/>
    <w:rsid w:val="00B51E61"/>
    <w:rsid w:val="00B51ED9"/>
    <w:rsid w:val="00B51EEA"/>
    <w:rsid w:val="00B51EF1"/>
    <w:rsid w:val="00B51F04"/>
    <w:rsid w:val="00B51F1D"/>
    <w:rsid w:val="00B51F64"/>
    <w:rsid w:val="00B51FAC"/>
    <w:rsid w:val="00B52011"/>
    <w:rsid w:val="00B52081"/>
    <w:rsid w:val="00B520B8"/>
    <w:rsid w:val="00B5211A"/>
    <w:rsid w:val="00B5220D"/>
    <w:rsid w:val="00B522C0"/>
    <w:rsid w:val="00B522D4"/>
    <w:rsid w:val="00B5230A"/>
    <w:rsid w:val="00B52327"/>
    <w:rsid w:val="00B5238C"/>
    <w:rsid w:val="00B52457"/>
    <w:rsid w:val="00B524BA"/>
    <w:rsid w:val="00B52581"/>
    <w:rsid w:val="00B525E3"/>
    <w:rsid w:val="00B5267E"/>
    <w:rsid w:val="00B526A2"/>
    <w:rsid w:val="00B526FE"/>
    <w:rsid w:val="00B52710"/>
    <w:rsid w:val="00B52751"/>
    <w:rsid w:val="00B5277C"/>
    <w:rsid w:val="00B52801"/>
    <w:rsid w:val="00B5288D"/>
    <w:rsid w:val="00B528F3"/>
    <w:rsid w:val="00B529F8"/>
    <w:rsid w:val="00B52A35"/>
    <w:rsid w:val="00B52B60"/>
    <w:rsid w:val="00B52B85"/>
    <w:rsid w:val="00B52C47"/>
    <w:rsid w:val="00B52C49"/>
    <w:rsid w:val="00B52D5A"/>
    <w:rsid w:val="00B52D93"/>
    <w:rsid w:val="00B52DD5"/>
    <w:rsid w:val="00B52EC2"/>
    <w:rsid w:val="00B52EE3"/>
    <w:rsid w:val="00B52F1E"/>
    <w:rsid w:val="00B52FE0"/>
    <w:rsid w:val="00B53098"/>
    <w:rsid w:val="00B530E2"/>
    <w:rsid w:val="00B530F1"/>
    <w:rsid w:val="00B53145"/>
    <w:rsid w:val="00B53155"/>
    <w:rsid w:val="00B5328A"/>
    <w:rsid w:val="00B532B9"/>
    <w:rsid w:val="00B533E7"/>
    <w:rsid w:val="00B5340C"/>
    <w:rsid w:val="00B53520"/>
    <w:rsid w:val="00B5358F"/>
    <w:rsid w:val="00B53592"/>
    <w:rsid w:val="00B536AC"/>
    <w:rsid w:val="00B536FB"/>
    <w:rsid w:val="00B53707"/>
    <w:rsid w:val="00B53858"/>
    <w:rsid w:val="00B538A6"/>
    <w:rsid w:val="00B538B6"/>
    <w:rsid w:val="00B538F8"/>
    <w:rsid w:val="00B53974"/>
    <w:rsid w:val="00B53996"/>
    <w:rsid w:val="00B53A2F"/>
    <w:rsid w:val="00B53A32"/>
    <w:rsid w:val="00B53A3E"/>
    <w:rsid w:val="00B53A4B"/>
    <w:rsid w:val="00B53A79"/>
    <w:rsid w:val="00B53AD2"/>
    <w:rsid w:val="00B53B92"/>
    <w:rsid w:val="00B53C26"/>
    <w:rsid w:val="00B53C28"/>
    <w:rsid w:val="00B53C81"/>
    <w:rsid w:val="00B53D4F"/>
    <w:rsid w:val="00B53D64"/>
    <w:rsid w:val="00B53E36"/>
    <w:rsid w:val="00B53F6D"/>
    <w:rsid w:val="00B54089"/>
    <w:rsid w:val="00B540A6"/>
    <w:rsid w:val="00B5411C"/>
    <w:rsid w:val="00B5419B"/>
    <w:rsid w:val="00B541C6"/>
    <w:rsid w:val="00B541D9"/>
    <w:rsid w:val="00B5424E"/>
    <w:rsid w:val="00B5437F"/>
    <w:rsid w:val="00B54391"/>
    <w:rsid w:val="00B543EC"/>
    <w:rsid w:val="00B54592"/>
    <w:rsid w:val="00B54594"/>
    <w:rsid w:val="00B5459C"/>
    <w:rsid w:val="00B5468A"/>
    <w:rsid w:val="00B54698"/>
    <w:rsid w:val="00B5470D"/>
    <w:rsid w:val="00B54758"/>
    <w:rsid w:val="00B547AB"/>
    <w:rsid w:val="00B54809"/>
    <w:rsid w:val="00B54824"/>
    <w:rsid w:val="00B5492D"/>
    <w:rsid w:val="00B549A2"/>
    <w:rsid w:val="00B549EB"/>
    <w:rsid w:val="00B54AB3"/>
    <w:rsid w:val="00B54C00"/>
    <w:rsid w:val="00B54CF0"/>
    <w:rsid w:val="00B54D11"/>
    <w:rsid w:val="00B54D62"/>
    <w:rsid w:val="00B54D88"/>
    <w:rsid w:val="00B54E41"/>
    <w:rsid w:val="00B54E4E"/>
    <w:rsid w:val="00B54FB3"/>
    <w:rsid w:val="00B5500F"/>
    <w:rsid w:val="00B55083"/>
    <w:rsid w:val="00B5509A"/>
    <w:rsid w:val="00B55158"/>
    <w:rsid w:val="00B55173"/>
    <w:rsid w:val="00B55189"/>
    <w:rsid w:val="00B5518C"/>
    <w:rsid w:val="00B551DF"/>
    <w:rsid w:val="00B55244"/>
    <w:rsid w:val="00B552B7"/>
    <w:rsid w:val="00B552C9"/>
    <w:rsid w:val="00B552E4"/>
    <w:rsid w:val="00B552EF"/>
    <w:rsid w:val="00B55350"/>
    <w:rsid w:val="00B55372"/>
    <w:rsid w:val="00B55382"/>
    <w:rsid w:val="00B5539D"/>
    <w:rsid w:val="00B553EF"/>
    <w:rsid w:val="00B55450"/>
    <w:rsid w:val="00B554A2"/>
    <w:rsid w:val="00B5568E"/>
    <w:rsid w:val="00B5569E"/>
    <w:rsid w:val="00B556FC"/>
    <w:rsid w:val="00B5570E"/>
    <w:rsid w:val="00B55855"/>
    <w:rsid w:val="00B558F2"/>
    <w:rsid w:val="00B55925"/>
    <w:rsid w:val="00B559E4"/>
    <w:rsid w:val="00B55A42"/>
    <w:rsid w:val="00B55A8D"/>
    <w:rsid w:val="00B55AC0"/>
    <w:rsid w:val="00B55AC7"/>
    <w:rsid w:val="00B55AF7"/>
    <w:rsid w:val="00B55B04"/>
    <w:rsid w:val="00B55B24"/>
    <w:rsid w:val="00B55C47"/>
    <w:rsid w:val="00B55CB3"/>
    <w:rsid w:val="00B55CC2"/>
    <w:rsid w:val="00B55CD7"/>
    <w:rsid w:val="00B55CFB"/>
    <w:rsid w:val="00B55E2E"/>
    <w:rsid w:val="00B55EDE"/>
    <w:rsid w:val="00B55FDA"/>
    <w:rsid w:val="00B56084"/>
    <w:rsid w:val="00B56164"/>
    <w:rsid w:val="00B5618E"/>
    <w:rsid w:val="00B561BD"/>
    <w:rsid w:val="00B561CE"/>
    <w:rsid w:val="00B561E2"/>
    <w:rsid w:val="00B56225"/>
    <w:rsid w:val="00B562EA"/>
    <w:rsid w:val="00B56465"/>
    <w:rsid w:val="00B56474"/>
    <w:rsid w:val="00B564E0"/>
    <w:rsid w:val="00B564E4"/>
    <w:rsid w:val="00B5654A"/>
    <w:rsid w:val="00B56583"/>
    <w:rsid w:val="00B56702"/>
    <w:rsid w:val="00B5676E"/>
    <w:rsid w:val="00B56796"/>
    <w:rsid w:val="00B567B0"/>
    <w:rsid w:val="00B567CD"/>
    <w:rsid w:val="00B567DB"/>
    <w:rsid w:val="00B56846"/>
    <w:rsid w:val="00B5690E"/>
    <w:rsid w:val="00B569AA"/>
    <w:rsid w:val="00B569BE"/>
    <w:rsid w:val="00B56A67"/>
    <w:rsid w:val="00B56B2B"/>
    <w:rsid w:val="00B56B5B"/>
    <w:rsid w:val="00B56B63"/>
    <w:rsid w:val="00B56BDE"/>
    <w:rsid w:val="00B56CC8"/>
    <w:rsid w:val="00B56CD2"/>
    <w:rsid w:val="00B56DEE"/>
    <w:rsid w:val="00B56E72"/>
    <w:rsid w:val="00B56EB3"/>
    <w:rsid w:val="00B56F6E"/>
    <w:rsid w:val="00B56F9D"/>
    <w:rsid w:val="00B56FBB"/>
    <w:rsid w:val="00B56FE2"/>
    <w:rsid w:val="00B57100"/>
    <w:rsid w:val="00B57154"/>
    <w:rsid w:val="00B57192"/>
    <w:rsid w:val="00B572C2"/>
    <w:rsid w:val="00B57320"/>
    <w:rsid w:val="00B5733C"/>
    <w:rsid w:val="00B57355"/>
    <w:rsid w:val="00B573BE"/>
    <w:rsid w:val="00B57403"/>
    <w:rsid w:val="00B57463"/>
    <w:rsid w:val="00B57503"/>
    <w:rsid w:val="00B57596"/>
    <w:rsid w:val="00B575C2"/>
    <w:rsid w:val="00B575CF"/>
    <w:rsid w:val="00B575D1"/>
    <w:rsid w:val="00B575E9"/>
    <w:rsid w:val="00B575F0"/>
    <w:rsid w:val="00B576C1"/>
    <w:rsid w:val="00B576DD"/>
    <w:rsid w:val="00B57702"/>
    <w:rsid w:val="00B57721"/>
    <w:rsid w:val="00B5785F"/>
    <w:rsid w:val="00B5790A"/>
    <w:rsid w:val="00B5793A"/>
    <w:rsid w:val="00B57963"/>
    <w:rsid w:val="00B5799E"/>
    <w:rsid w:val="00B57A52"/>
    <w:rsid w:val="00B57AA3"/>
    <w:rsid w:val="00B57AF8"/>
    <w:rsid w:val="00B57BA2"/>
    <w:rsid w:val="00B57C75"/>
    <w:rsid w:val="00B57C7B"/>
    <w:rsid w:val="00B57CFF"/>
    <w:rsid w:val="00B57DC3"/>
    <w:rsid w:val="00B57DCB"/>
    <w:rsid w:val="00B57E5A"/>
    <w:rsid w:val="00B57ED1"/>
    <w:rsid w:val="00B57F23"/>
    <w:rsid w:val="00B57FC5"/>
    <w:rsid w:val="00B57FFA"/>
    <w:rsid w:val="00B60026"/>
    <w:rsid w:val="00B60151"/>
    <w:rsid w:val="00B60168"/>
    <w:rsid w:val="00B601DC"/>
    <w:rsid w:val="00B601E1"/>
    <w:rsid w:val="00B60270"/>
    <w:rsid w:val="00B60337"/>
    <w:rsid w:val="00B60347"/>
    <w:rsid w:val="00B60375"/>
    <w:rsid w:val="00B6038D"/>
    <w:rsid w:val="00B60447"/>
    <w:rsid w:val="00B60448"/>
    <w:rsid w:val="00B60464"/>
    <w:rsid w:val="00B60480"/>
    <w:rsid w:val="00B6049D"/>
    <w:rsid w:val="00B604F2"/>
    <w:rsid w:val="00B6057C"/>
    <w:rsid w:val="00B606A4"/>
    <w:rsid w:val="00B606E7"/>
    <w:rsid w:val="00B6072F"/>
    <w:rsid w:val="00B6073B"/>
    <w:rsid w:val="00B60819"/>
    <w:rsid w:val="00B6083F"/>
    <w:rsid w:val="00B6085A"/>
    <w:rsid w:val="00B6089E"/>
    <w:rsid w:val="00B608E1"/>
    <w:rsid w:val="00B60912"/>
    <w:rsid w:val="00B6098E"/>
    <w:rsid w:val="00B609BB"/>
    <w:rsid w:val="00B60A73"/>
    <w:rsid w:val="00B60AF4"/>
    <w:rsid w:val="00B60B50"/>
    <w:rsid w:val="00B60BBB"/>
    <w:rsid w:val="00B60CE8"/>
    <w:rsid w:val="00B60D56"/>
    <w:rsid w:val="00B60D62"/>
    <w:rsid w:val="00B60D6E"/>
    <w:rsid w:val="00B60DDD"/>
    <w:rsid w:val="00B60F3D"/>
    <w:rsid w:val="00B60F8C"/>
    <w:rsid w:val="00B60FB9"/>
    <w:rsid w:val="00B60FE4"/>
    <w:rsid w:val="00B60FED"/>
    <w:rsid w:val="00B61020"/>
    <w:rsid w:val="00B6102E"/>
    <w:rsid w:val="00B61054"/>
    <w:rsid w:val="00B61058"/>
    <w:rsid w:val="00B6106C"/>
    <w:rsid w:val="00B61165"/>
    <w:rsid w:val="00B61170"/>
    <w:rsid w:val="00B6119D"/>
    <w:rsid w:val="00B611AD"/>
    <w:rsid w:val="00B6124E"/>
    <w:rsid w:val="00B612BE"/>
    <w:rsid w:val="00B612D4"/>
    <w:rsid w:val="00B61375"/>
    <w:rsid w:val="00B61399"/>
    <w:rsid w:val="00B613A6"/>
    <w:rsid w:val="00B61409"/>
    <w:rsid w:val="00B614AA"/>
    <w:rsid w:val="00B614BB"/>
    <w:rsid w:val="00B614F3"/>
    <w:rsid w:val="00B61533"/>
    <w:rsid w:val="00B615ED"/>
    <w:rsid w:val="00B615F5"/>
    <w:rsid w:val="00B616DC"/>
    <w:rsid w:val="00B616E4"/>
    <w:rsid w:val="00B6182D"/>
    <w:rsid w:val="00B618BA"/>
    <w:rsid w:val="00B618E6"/>
    <w:rsid w:val="00B6197D"/>
    <w:rsid w:val="00B6199C"/>
    <w:rsid w:val="00B619F3"/>
    <w:rsid w:val="00B61A2E"/>
    <w:rsid w:val="00B61A3D"/>
    <w:rsid w:val="00B61A41"/>
    <w:rsid w:val="00B61B00"/>
    <w:rsid w:val="00B61B41"/>
    <w:rsid w:val="00B61B51"/>
    <w:rsid w:val="00B61BC8"/>
    <w:rsid w:val="00B61C55"/>
    <w:rsid w:val="00B61C9E"/>
    <w:rsid w:val="00B61E77"/>
    <w:rsid w:val="00B61F2C"/>
    <w:rsid w:val="00B61F36"/>
    <w:rsid w:val="00B61F4B"/>
    <w:rsid w:val="00B61F66"/>
    <w:rsid w:val="00B61FDB"/>
    <w:rsid w:val="00B61FE1"/>
    <w:rsid w:val="00B62035"/>
    <w:rsid w:val="00B6212C"/>
    <w:rsid w:val="00B62163"/>
    <w:rsid w:val="00B621B5"/>
    <w:rsid w:val="00B62250"/>
    <w:rsid w:val="00B62264"/>
    <w:rsid w:val="00B6228D"/>
    <w:rsid w:val="00B6232E"/>
    <w:rsid w:val="00B62369"/>
    <w:rsid w:val="00B62374"/>
    <w:rsid w:val="00B62397"/>
    <w:rsid w:val="00B623AB"/>
    <w:rsid w:val="00B623C2"/>
    <w:rsid w:val="00B62439"/>
    <w:rsid w:val="00B6244D"/>
    <w:rsid w:val="00B62492"/>
    <w:rsid w:val="00B62494"/>
    <w:rsid w:val="00B624B0"/>
    <w:rsid w:val="00B624BA"/>
    <w:rsid w:val="00B6254A"/>
    <w:rsid w:val="00B62578"/>
    <w:rsid w:val="00B62594"/>
    <w:rsid w:val="00B625C2"/>
    <w:rsid w:val="00B62604"/>
    <w:rsid w:val="00B62631"/>
    <w:rsid w:val="00B626CE"/>
    <w:rsid w:val="00B6275C"/>
    <w:rsid w:val="00B62776"/>
    <w:rsid w:val="00B627CC"/>
    <w:rsid w:val="00B627DF"/>
    <w:rsid w:val="00B6287F"/>
    <w:rsid w:val="00B628DF"/>
    <w:rsid w:val="00B6292B"/>
    <w:rsid w:val="00B6296E"/>
    <w:rsid w:val="00B62A7F"/>
    <w:rsid w:val="00B62AF2"/>
    <w:rsid w:val="00B62B61"/>
    <w:rsid w:val="00B62B84"/>
    <w:rsid w:val="00B62C01"/>
    <w:rsid w:val="00B62CEE"/>
    <w:rsid w:val="00B62D27"/>
    <w:rsid w:val="00B62D7D"/>
    <w:rsid w:val="00B62E92"/>
    <w:rsid w:val="00B62EDB"/>
    <w:rsid w:val="00B62FEA"/>
    <w:rsid w:val="00B63002"/>
    <w:rsid w:val="00B63106"/>
    <w:rsid w:val="00B63115"/>
    <w:rsid w:val="00B6324B"/>
    <w:rsid w:val="00B63251"/>
    <w:rsid w:val="00B6327B"/>
    <w:rsid w:val="00B63298"/>
    <w:rsid w:val="00B6331D"/>
    <w:rsid w:val="00B633F8"/>
    <w:rsid w:val="00B63430"/>
    <w:rsid w:val="00B63432"/>
    <w:rsid w:val="00B634C1"/>
    <w:rsid w:val="00B63501"/>
    <w:rsid w:val="00B63517"/>
    <w:rsid w:val="00B63569"/>
    <w:rsid w:val="00B6358F"/>
    <w:rsid w:val="00B635C6"/>
    <w:rsid w:val="00B635FF"/>
    <w:rsid w:val="00B6363D"/>
    <w:rsid w:val="00B6363E"/>
    <w:rsid w:val="00B63645"/>
    <w:rsid w:val="00B63852"/>
    <w:rsid w:val="00B63911"/>
    <w:rsid w:val="00B63956"/>
    <w:rsid w:val="00B63958"/>
    <w:rsid w:val="00B63989"/>
    <w:rsid w:val="00B63A36"/>
    <w:rsid w:val="00B63AD3"/>
    <w:rsid w:val="00B63B1A"/>
    <w:rsid w:val="00B63B26"/>
    <w:rsid w:val="00B63B76"/>
    <w:rsid w:val="00B63BBD"/>
    <w:rsid w:val="00B63BFB"/>
    <w:rsid w:val="00B63C5B"/>
    <w:rsid w:val="00B63D47"/>
    <w:rsid w:val="00B63D6D"/>
    <w:rsid w:val="00B63DB8"/>
    <w:rsid w:val="00B63DD5"/>
    <w:rsid w:val="00B63E17"/>
    <w:rsid w:val="00B63E32"/>
    <w:rsid w:val="00B63E3F"/>
    <w:rsid w:val="00B63E76"/>
    <w:rsid w:val="00B63ED6"/>
    <w:rsid w:val="00B63F83"/>
    <w:rsid w:val="00B63F98"/>
    <w:rsid w:val="00B640D8"/>
    <w:rsid w:val="00B64194"/>
    <w:rsid w:val="00B64208"/>
    <w:rsid w:val="00B642EC"/>
    <w:rsid w:val="00B6436C"/>
    <w:rsid w:val="00B64374"/>
    <w:rsid w:val="00B64384"/>
    <w:rsid w:val="00B643DC"/>
    <w:rsid w:val="00B643F6"/>
    <w:rsid w:val="00B64430"/>
    <w:rsid w:val="00B64448"/>
    <w:rsid w:val="00B6449A"/>
    <w:rsid w:val="00B6452A"/>
    <w:rsid w:val="00B6454C"/>
    <w:rsid w:val="00B6462A"/>
    <w:rsid w:val="00B64643"/>
    <w:rsid w:val="00B6465E"/>
    <w:rsid w:val="00B646A7"/>
    <w:rsid w:val="00B6472A"/>
    <w:rsid w:val="00B64790"/>
    <w:rsid w:val="00B647B9"/>
    <w:rsid w:val="00B647F6"/>
    <w:rsid w:val="00B64864"/>
    <w:rsid w:val="00B6487F"/>
    <w:rsid w:val="00B64A07"/>
    <w:rsid w:val="00B64AB8"/>
    <w:rsid w:val="00B64B0C"/>
    <w:rsid w:val="00B64BCC"/>
    <w:rsid w:val="00B64C86"/>
    <w:rsid w:val="00B64E83"/>
    <w:rsid w:val="00B64ECF"/>
    <w:rsid w:val="00B64F52"/>
    <w:rsid w:val="00B64F5D"/>
    <w:rsid w:val="00B64FC2"/>
    <w:rsid w:val="00B6500D"/>
    <w:rsid w:val="00B6500F"/>
    <w:rsid w:val="00B65029"/>
    <w:rsid w:val="00B65070"/>
    <w:rsid w:val="00B650A9"/>
    <w:rsid w:val="00B650BA"/>
    <w:rsid w:val="00B651B3"/>
    <w:rsid w:val="00B65248"/>
    <w:rsid w:val="00B65281"/>
    <w:rsid w:val="00B6533C"/>
    <w:rsid w:val="00B65347"/>
    <w:rsid w:val="00B653B0"/>
    <w:rsid w:val="00B653C6"/>
    <w:rsid w:val="00B653E0"/>
    <w:rsid w:val="00B653F8"/>
    <w:rsid w:val="00B65475"/>
    <w:rsid w:val="00B6548D"/>
    <w:rsid w:val="00B655C1"/>
    <w:rsid w:val="00B656F2"/>
    <w:rsid w:val="00B65715"/>
    <w:rsid w:val="00B65751"/>
    <w:rsid w:val="00B65900"/>
    <w:rsid w:val="00B65960"/>
    <w:rsid w:val="00B65976"/>
    <w:rsid w:val="00B659A9"/>
    <w:rsid w:val="00B65A1C"/>
    <w:rsid w:val="00B65ADA"/>
    <w:rsid w:val="00B65B04"/>
    <w:rsid w:val="00B65B2A"/>
    <w:rsid w:val="00B65B89"/>
    <w:rsid w:val="00B65C74"/>
    <w:rsid w:val="00B65D06"/>
    <w:rsid w:val="00B65D65"/>
    <w:rsid w:val="00B65D7A"/>
    <w:rsid w:val="00B65DDD"/>
    <w:rsid w:val="00B65DE1"/>
    <w:rsid w:val="00B65DE7"/>
    <w:rsid w:val="00B65E39"/>
    <w:rsid w:val="00B65E7E"/>
    <w:rsid w:val="00B65F34"/>
    <w:rsid w:val="00B65F77"/>
    <w:rsid w:val="00B660C0"/>
    <w:rsid w:val="00B660FD"/>
    <w:rsid w:val="00B6621C"/>
    <w:rsid w:val="00B66330"/>
    <w:rsid w:val="00B66402"/>
    <w:rsid w:val="00B6647D"/>
    <w:rsid w:val="00B666E1"/>
    <w:rsid w:val="00B66756"/>
    <w:rsid w:val="00B667A1"/>
    <w:rsid w:val="00B6684A"/>
    <w:rsid w:val="00B668A5"/>
    <w:rsid w:val="00B668AF"/>
    <w:rsid w:val="00B668E4"/>
    <w:rsid w:val="00B66927"/>
    <w:rsid w:val="00B6693E"/>
    <w:rsid w:val="00B6695B"/>
    <w:rsid w:val="00B66965"/>
    <w:rsid w:val="00B66A62"/>
    <w:rsid w:val="00B66BDD"/>
    <w:rsid w:val="00B66C22"/>
    <w:rsid w:val="00B66C33"/>
    <w:rsid w:val="00B66C4F"/>
    <w:rsid w:val="00B66CD1"/>
    <w:rsid w:val="00B66CDC"/>
    <w:rsid w:val="00B66CF8"/>
    <w:rsid w:val="00B66D1B"/>
    <w:rsid w:val="00B66D2D"/>
    <w:rsid w:val="00B66D55"/>
    <w:rsid w:val="00B66D81"/>
    <w:rsid w:val="00B66DA1"/>
    <w:rsid w:val="00B66DD5"/>
    <w:rsid w:val="00B66DF5"/>
    <w:rsid w:val="00B66E4D"/>
    <w:rsid w:val="00B66EB1"/>
    <w:rsid w:val="00B66ED0"/>
    <w:rsid w:val="00B66FF9"/>
    <w:rsid w:val="00B6701E"/>
    <w:rsid w:val="00B6703A"/>
    <w:rsid w:val="00B670A4"/>
    <w:rsid w:val="00B670A7"/>
    <w:rsid w:val="00B67128"/>
    <w:rsid w:val="00B6729E"/>
    <w:rsid w:val="00B67353"/>
    <w:rsid w:val="00B6741B"/>
    <w:rsid w:val="00B67463"/>
    <w:rsid w:val="00B67488"/>
    <w:rsid w:val="00B674ED"/>
    <w:rsid w:val="00B67533"/>
    <w:rsid w:val="00B6753A"/>
    <w:rsid w:val="00B6754F"/>
    <w:rsid w:val="00B6755F"/>
    <w:rsid w:val="00B67564"/>
    <w:rsid w:val="00B6756D"/>
    <w:rsid w:val="00B6759C"/>
    <w:rsid w:val="00B675E2"/>
    <w:rsid w:val="00B67691"/>
    <w:rsid w:val="00B676E4"/>
    <w:rsid w:val="00B676FE"/>
    <w:rsid w:val="00B677E1"/>
    <w:rsid w:val="00B6785E"/>
    <w:rsid w:val="00B67871"/>
    <w:rsid w:val="00B678CB"/>
    <w:rsid w:val="00B6791C"/>
    <w:rsid w:val="00B67997"/>
    <w:rsid w:val="00B67C9B"/>
    <w:rsid w:val="00B67CB8"/>
    <w:rsid w:val="00B67CC4"/>
    <w:rsid w:val="00B67D0B"/>
    <w:rsid w:val="00B67D37"/>
    <w:rsid w:val="00B67DAF"/>
    <w:rsid w:val="00B67DB3"/>
    <w:rsid w:val="00B67E28"/>
    <w:rsid w:val="00B67E36"/>
    <w:rsid w:val="00B67E54"/>
    <w:rsid w:val="00B67E55"/>
    <w:rsid w:val="00B67E69"/>
    <w:rsid w:val="00B67F28"/>
    <w:rsid w:val="00B67F61"/>
    <w:rsid w:val="00B70011"/>
    <w:rsid w:val="00B70042"/>
    <w:rsid w:val="00B70056"/>
    <w:rsid w:val="00B700C2"/>
    <w:rsid w:val="00B700D4"/>
    <w:rsid w:val="00B7010F"/>
    <w:rsid w:val="00B70137"/>
    <w:rsid w:val="00B70187"/>
    <w:rsid w:val="00B701DD"/>
    <w:rsid w:val="00B70258"/>
    <w:rsid w:val="00B7029F"/>
    <w:rsid w:val="00B702A2"/>
    <w:rsid w:val="00B702BC"/>
    <w:rsid w:val="00B702D8"/>
    <w:rsid w:val="00B702E7"/>
    <w:rsid w:val="00B7038E"/>
    <w:rsid w:val="00B70396"/>
    <w:rsid w:val="00B703BA"/>
    <w:rsid w:val="00B70414"/>
    <w:rsid w:val="00B70452"/>
    <w:rsid w:val="00B70477"/>
    <w:rsid w:val="00B704DB"/>
    <w:rsid w:val="00B70543"/>
    <w:rsid w:val="00B7066C"/>
    <w:rsid w:val="00B70683"/>
    <w:rsid w:val="00B706A7"/>
    <w:rsid w:val="00B706C6"/>
    <w:rsid w:val="00B70713"/>
    <w:rsid w:val="00B7075E"/>
    <w:rsid w:val="00B70786"/>
    <w:rsid w:val="00B7083D"/>
    <w:rsid w:val="00B70896"/>
    <w:rsid w:val="00B7091E"/>
    <w:rsid w:val="00B7095D"/>
    <w:rsid w:val="00B7097B"/>
    <w:rsid w:val="00B70999"/>
    <w:rsid w:val="00B70A1B"/>
    <w:rsid w:val="00B70A2B"/>
    <w:rsid w:val="00B70A4E"/>
    <w:rsid w:val="00B70B11"/>
    <w:rsid w:val="00B70B39"/>
    <w:rsid w:val="00B70B98"/>
    <w:rsid w:val="00B70B9C"/>
    <w:rsid w:val="00B70CBB"/>
    <w:rsid w:val="00B70CC0"/>
    <w:rsid w:val="00B70CC7"/>
    <w:rsid w:val="00B70DBB"/>
    <w:rsid w:val="00B70DD9"/>
    <w:rsid w:val="00B70E43"/>
    <w:rsid w:val="00B70E63"/>
    <w:rsid w:val="00B70E88"/>
    <w:rsid w:val="00B70EF7"/>
    <w:rsid w:val="00B70F61"/>
    <w:rsid w:val="00B70F83"/>
    <w:rsid w:val="00B70FD8"/>
    <w:rsid w:val="00B7104C"/>
    <w:rsid w:val="00B7107E"/>
    <w:rsid w:val="00B71086"/>
    <w:rsid w:val="00B71108"/>
    <w:rsid w:val="00B7115A"/>
    <w:rsid w:val="00B711DB"/>
    <w:rsid w:val="00B71273"/>
    <w:rsid w:val="00B71289"/>
    <w:rsid w:val="00B7131F"/>
    <w:rsid w:val="00B7133D"/>
    <w:rsid w:val="00B7137B"/>
    <w:rsid w:val="00B713AE"/>
    <w:rsid w:val="00B7140C"/>
    <w:rsid w:val="00B7143A"/>
    <w:rsid w:val="00B7143B"/>
    <w:rsid w:val="00B71460"/>
    <w:rsid w:val="00B7147F"/>
    <w:rsid w:val="00B714BE"/>
    <w:rsid w:val="00B7157A"/>
    <w:rsid w:val="00B715B6"/>
    <w:rsid w:val="00B715CE"/>
    <w:rsid w:val="00B7160B"/>
    <w:rsid w:val="00B71659"/>
    <w:rsid w:val="00B71681"/>
    <w:rsid w:val="00B71740"/>
    <w:rsid w:val="00B717B6"/>
    <w:rsid w:val="00B7180E"/>
    <w:rsid w:val="00B7184E"/>
    <w:rsid w:val="00B718E1"/>
    <w:rsid w:val="00B718F3"/>
    <w:rsid w:val="00B718FA"/>
    <w:rsid w:val="00B719A6"/>
    <w:rsid w:val="00B71B00"/>
    <w:rsid w:val="00B71B79"/>
    <w:rsid w:val="00B71BA8"/>
    <w:rsid w:val="00B71BCD"/>
    <w:rsid w:val="00B71C5E"/>
    <w:rsid w:val="00B71C9B"/>
    <w:rsid w:val="00B71CCD"/>
    <w:rsid w:val="00B71D6C"/>
    <w:rsid w:val="00B71DA2"/>
    <w:rsid w:val="00B71DA5"/>
    <w:rsid w:val="00B71DC9"/>
    <w:rsid w:val="00B71EFD"/>
    <w:rsid w:val="00B71F38"/>
    <w:rsid w:val="00B7201F"/>
    <w:rsid w:val="00B7209C"/>
    <w:rsid w:val="00B720B5"/>
    <w:rsid w:val="00B7214B"/>
    <w:rsid w:val="00B72158"/>
    <w:rsid w:val="00B72190"/>
    <w:rsid w:val="00B721B9"/>
    <w:rsid w:val="00B72217"/>
    <w:rsid w:val="00B7221C"/>
    <w:rsid w:val="00B7222A"/>
    <w:rsid w:val="00B72262"/>
    <w:rsid w:val="00B7228E"/>
    <w:rsid w:val="00B7232D"/>
    <w:rsid w:val="00B72334"/>
    <w:rsid w:val="00B7236C"/>
    <w:rsid w:val="00B72384"/>
    <w:rsid w:val="00B72395"/>
    <w:rsid w:val="00B723B6"/>
    <w:rsid w:val="00B7242C"/>
    <w:rsid w:val="00B72470"/>
    <w:rsid w:val="00B72490"/>
    <w:rsid w:val="00B7251A"/>
    <w:rsid w:val="00B725C1"/>
    <w:rsid w:val="00B72680"/>
    <w:rsid w:val="00B726B0"/>
    <w:rsid w:val="00B726CD"/>
    <w:rsid w:val="00B72764"/>
    <w:rsid w:val="00B72775"/>
    <w:rsid w:val="00B7277E"/>
    <w:rsid w:val="00B727B4"/>
    <w:rsid w:val="00B727CB"/>
    <w:rsid w:val="00B727E5"/>
    <w:rsid w:val="00B72825"/>
    <w:rsid w:val="00B72845"/>
    <w:rsid w:val="00B72946"/>
    <w:rsid w:val="00B72972"/>
    <w:rsid w:val="00B72984"/>
    <w:rsid w:val="00B72995"/>
    <w:rsid w:val="00B729C4"/>
    <w:rsid w:val="00B729EC"/>
    <w:rsid w:val="00B72ADE"/>
    <w:rsid w:val="00B72AF0"/>
    <w:rsid w:val="00B72B0C"/>
    <w:rsid w:val="00B72C2A"/>
    <w:rsid w:val="00B72CA6"/>
    <w:rsid w:val="00B72D58"/>
    <w:rsid w:val="00B72D83"/>
    <w:rsid w:val="00B72DA9"/>
    <w:rsid w:val="00B72E03"/>
    <w:rsid w:val="00B72E52"/>
    <w:rsid w:val="00B72E8D"/>
    <w:rsid w:val="00B72F2F"/>
    <w:rsid w:val="00B72F70"/>
    <w:rsid w:val="00B72FAD"/>
    <w:rsid w:val="00B72FD4"/>
    <w:rsid w:val="00B73069"/>
    <w:rsid w:val="00B730EE"/>
    <w:rsid w:val="00B730FF"/>
    <w:rsid w:val="00B73200"/>
    <w:rsid w:val="00B7321C"/>
    <w:rsid w:val="00B73265"/>
    <w:rsid w:val="00B732D9"/>
    <w:rsid w:val="00B73355"/>
    <w:rsid w:val="00B733E2"/>
    <w:rsid w:val="00B733F3"/>
    <w:rsid w:val="00B73524"/>
    <w:rsid w:val="00B73695"/>
    <w:rsid w:val="00B73747"/>
    <w:rsid w:val="00B737EB"/>
    <w:rsid w:val="00B7391F"/>
    <w:rsid w:val="00B739BD"/>
    <w:rsid w:val="00B73A5D"/>
    <w:rsid w:val="00B73A75"/>
    <w:rsid w:val="00B73A81"/>
    <w:rsid w:val="00B73BBA"/>
    <w:rsid w:val="00B73BEA"/>
    <w:rsid w:val="00B73C37"/>
    <w:rsid w:val="00B73CF8"/>
    <w:rsid w:val="00B73D10"/>
    <w:rsid w:val="00B73D51"/>
    <w:rsid w:val="00B73DA6"/>
    <w:rsid w:val="00B73E0D"/>
    <w:rsid w:val="00B73E31"/>
    <w:rsid w:val="00B73E81"/>
    <w:rsid w:val="00B73EBF"/>
    <w:rsid w:val="00B73EDE"/>
    <w:rsid w:val="00B74033"/>
    <w:rsid w:val="00B740F4"/>
    <w:rsid w:val="00B7420D"/>
    <w:rsid w:val="00B74228"/>
    <w:rsid w:val="00B74232"/>
    <w:rsid w:val="00B74304"/>
    <w:rsid w:val="00B7433A"/>
    <w:rsid w:val="00B743D5"/>
    <w:rsid w:val="00B7441D"/>
    <w:rsid w:val="00B744E6"/>
    <w:rsid w:val="00B7451E"/>
    <w:rsid w:val="00B745B6"/>
    <w:rsid w:val="00B7465D"/>
    <w:rsid w:val="00B746A0"/>
    <w:rsid w:val="00B74738"/>
    <w:rsid w:val="00B74785"/>
    <w:rsid w:val="00B74787"/>
    <w:rsid w:val="00B747EB"/>
    <w:rsid w:val="00B74803"/>
    <w:rsid w:val="00B74835"/>
    <w:rsid w:val="00B74875"/>
    <w:rsid w:val="00B74960"/>
    <w:rsid w:val="00B74969"/>
    <w:rsid w:val="00B74992"/>
    <w:rsid w:val="00B749E2"/>
    <w:rsid w:val="00B74A4B"/>
    <w:rsid w:val="00B74A70"/>
    <w:rsid w:val="00B74A8E"/>
    <w:rsid w:val="00B74ABF"/>
    <w:rsid w:val="00B74AE3"/>
    <w:rsid w:val="00B74BC4"/>
    <w:rsid w:val="00B74C44"/>
    <w:rsid w:val="00B74CE5"/>
    <w:rsid w:val="00B74CE8"/>
    <w:rsid w:val="00B74CFF"/>
    <w:rsid w:val="00B74D23"/>
    <w:rsid w:val="00B74D6A"/>
    <w:rsid w:val="00B74DC7"/>
    <w:rsid w:val="00B74DD0"/>
    <w:rsid w:val="00B74DEB"/>
    <w:rsid w:val="00B74DF1"/>
    <w:rsid w:val="00B74EB0"/>
    <w:rsid w:val="00B74F21"/>
    <w:rsid w:val="00B74F53"/>
    <w:rsid w:val="00B74F60"/>
    <w:rsid w:val="00B74F8E"/>
    <w:rsid w:val="00B74F99"/>
    <w:rsid w:val="00B7504A"/>
    <w:rsid w:val="00B7507E"/>
    <w:rsid w:val="00B750C8"/>
    <w:rsid w:val="00B750E8"/>
    <w:rsid w:val="00B751A4"/>
    <w:rsid w:val="00B751DA"/>
    <w:rsid w:val="00B75295"/>
    <w:rsid w:val="00B752FA"/>
    <w:rsid w:val="00B7535D"/>
    <w:rsid w:val="00B753AC"/>
    <w:rsid w:val="00B75562"/>
    <w:rsid w:val="00B755B9"/>
    <w:rsid w:val="00B7567B"/>
    <w:rsid w:val="00B756BF"/>
    <w:rsid w:val="00B75855"/>
    <w:rsid w:val="00B7593E"/>
    <w:rsid w:val="00B75969"/>
    <w:rsid w:val="00B759C1"/>
    <w:rsid w:val="00B75A07"/>
    <w:rsid w:val="00B75A29"/>
    <w:rsid w:val="00B75A6F"/>
    <w:rsid w:val="00B75A86"/>
    <w:rsid w:val="00B75AA9"/>
    <w:rsid w:val="00B75B9F"/>
    <w:rsid w:val="00B75BBC"/>
    <w:rsid w:val="00B75BC2"/>
    <w:rsid w:val="00B75C37"/>
    <w:rsid w:val="00B75CB0"/>
    <w:rsid w:val="00B75D5F"/>
    <w:rsid w:val="00B75DA8"/>
    <w:rsid w:val="00B75EA9"/>
    <w:rsid w:val="00B75EBE"/>
    <w:rsid w:val="00B75EC5"/>
    <w:rsid w:val="00B75F04"/>
    <w:rsid w:val="00B75F6D"/>
    <w:rsid w:val="00B75F89"/>
    <w:rsid w:val="00B76008"/>
    <w:rsid w:val="00B76036"/>
    <w:rsid w:val="00B76037"/>
    <w:rsid w:val="00B76101"/>
    <w:rsid w:val="00B76110"/>
    <w:rsid w:val="00B7611A"/>
    <w:rsid w:val="00B76139"/>
    <w:rsid w:val="00B76175"/>
    <w:rsid w:val="00B761C2"/>
    <w:rsid w:val="00B761D3"/>
    <w:rsid w:val="00B7627F"/>
    <w:rsid w:val="00B762AF"/>
    <w:rsid w:val="00B76391"/>
    <w:rsid w:val="00B763E3"/>
    <w:rsid w:val="00B76412"/>
    <w:rsid w:val="00B76476"/>
    <w:rsid w:val="00B76490"/>
    <w:rsid w:val="00B764E1"/>
    <w:rsid w:val="00B76517"/>
    <w:rsid w:val="00B7656D"/>
    <w:rsid w:val="00B76681"/>
    <w:rsid w:val="00B766B6"/>
    <w:rsid w:val="00B766C7"/>
    <w:rsid w:val="00B766EE"/>
    <w:rsid w:val="00B767E8"/>
    <w:rsid w:val="00B76845"/>
    <w:rsid w:val="00B768C2"/>
    <w:rsid w:val="00B76960"/>
    <w:rsid w:val="00B7697C"/>
    <w:rsid w:val="00B76A4A"/>
    <w:rsid w:val="00B76ABD"/>
    <w:rsid w:val="00B76B16"/>
    <w:rsid w:val="00B76B75"/>
    <w:rsid w:val="00B76B7C"/>
    <w:rsid w:val="00B76CB4"/>
    <w:rsid w:val="00B76CD6"/>
    <w:rsid w:val="00B76D71"/>
    <w:rsid w:val="00B76F0E"/>
    <w:rsid w:val="00B76F23"/>
    <w:rsid w:val="00B76F4D"/>
    <w:rsid w:val="00B76F7B"/>
    <w:rsid w:val="00B76F9A"/>
    <w:rsid w:val="00B76FBC"/>
    <w:rsid w:val="00B76FDD"/>
    <w:rsid w:val="00B77009"/>
    <w:rsid w:val="00B7703B"/>
    <w:rsid w:val="00B7705E"/>
    <w:rsid w:val="00B7708E"/>
    <w:rsid w:val="00B770A5"/>
    <w:rsid w:val="00B770C1"/>
    <w:rsid w:val="00B770C4"/>
    <w:rsid w:val="00B770EF"/>
    <w:rsid w:val="00B770FE"/>
    <w:rsid w:val="00B7716A"/>
    <w:rsid w:val="00B77183"/>
    <w:rsid w:val="00B771B2"/>
    <w:rsid w:val="00B771F4"/>
    <w:rsid w:val="00B7723A"/>
    <w:rsid w:val="00B77273"/>
    <w:rsid w:val="00B772B8"/>
    <w:rsid w:val="00B77328"/>
    <w:rsid w:val="00B7739D"/>
    <w:rsid w:val="00B773C6"/>
    <w:rsid w:val="00B7752C"/>
    <w:rsid w:val="00B7759B"/>
    <w:rsid w:val="00B775AE"/>
    <w:rsid w:val="00B775EE"/>
    <w:rsid w:val="00B7767D"/>
    <w:rsid w:val="00B7768E"/>
    <w:rsid w:val="00B776DD"/>
    <w:rsid w:val="00B7771F"/>
    <w:rsid w:val="00B777CC"/>
    <w:rsid w:val="00B777DD"/>
    <w:rsid w:val="00B77847"/>
    <w:rsid w:val="00B7788C"/>
    <w:rsid w:val="00B778B0"/>
    <w:rsid w:val="00B778F7"/>
    <w:rsid w:val="00B77911"/>
    <w:rsid w:val="00B7794D"/>
    <w:rsid w:val="00B7798C"/>
    <w:rsid w:val="00B77998"/>
    <w:rsid w:val="00B779B1"/>
    <w:rsid w:val="00B779BC"/>
    <w:rsid w:val="00B779DA"/>
    <w:rsid w:val="00B77A0C"/>
    <w:rsid w:val="00B77A36"/>
    <w:rsid w:val="00B77B10"/>
    <w:rsid w:val="00B77B48"/>
    <w:rsid w:val="00B77C30"/>
    <w:rsid w:val="00B77C6A"/>
    <w:rsid w:val="00B77D7B"/>
    <w:rsid w:val="00B77DE7"/>
    <w:rsid w:val="00B77E2E"/>
    <w:rsid w:val="00B77E50"/>
    <w:rsid w:val="00B77ECF"/>
    <w:rsid w:val="00B77F37"/>
    <w:rsid w:val="00B77F6C"/>
    <w:rsid w:val="00B77F94"/>
    <w:rsid w:val="00B77FC8"/>
    <w:rsid w:val="00B77FDC"/>
    <w:rsid w:val="00B77FE1"/>
    <w:rsid w:val="00B80058"/>
    <w:rsid w:val="00B800E6"/>
    <w:rsid w:val="00B8014F"/>
    <w:rsid w:val="00B802F4"/>
    <w:rsid w:val="00B80311"/>
    <w:rsid w:val="00B80358"/>
    <w:rsid w:val="00B80438"/>
    <w:rsid w:val="00B804DC"/>
    <w:rsid w:val="00B80524"/>
    <w:rsid w:val="00B80525"/>
    <w:rsid w:val="00B805BB"/>
    <w:rsid w:val="00B8061C"/>
    <w:rsid w:val="00B8062A"/>
    <w:rsid w:val="00B80760"/>
    <w:rsid w:val="00B807B1"/>
    <w:rsid w:val="00B80853"/>
    <w:rsid w:val="00B808F0"/>
    <w:rsid w:val="00B80901"/>
    <w:rsid w:val="00B80915"/>
    <w:rsid w:val="00B80A3D"/>
    <w:rsid w:val="00B80A64"/>
    <w:rsid w:val="00B80AA4"/>
    <w:rsid w:val="00B80AEA"/>
    <w:rsid w:val="00B80B18"/>
    <w:rsid w:val="00B80C04"/>
    <w:rsid w:val="00B80C3C"/>
    <w:rsid w:val="00B80CBF"/>
    <w:rsid w:val="00B80CF5"/>
    <w:rsid w:val="00B80D3D"/>
    <w:rsid w:val="00B80D61"/>
    <w:rsid w:val="00B80D63"/>
    <w:rsid w:val="00B80DAB"/>
    <w:rsid w:val="00B80DB1"/>
    <w:rsid w:val="00B80E59"/>
    <w:rsid w:val="00B80FF8"/>
    <w:rsid w:val="00B80FFC"/>
    <w:rsid w:val="00B81034"/>
    <w:rsid w:val="00B8103D"/>
    <w:rsid w:val="00B81045"/>
    <w:rsid w:val="00B81052"/>
    <w:rsid w:val="00B810B9"/>
    <w:rsid w:val="00B810F4"/>
    <w:rsid w:val="00B81113"/>
    <w:rsid w:val="00B81126"/>
    <w:rsid w:val="00B8112E"/>
    <w:rsid w:val="00B8113F"/>
    <w:rsid w:val="00B81149"/>
    <w:rsid w:val="00B8120C"/>
    <w:rsid w:val="00B81245"/>
    <w:rsid w:val="00B81284"/>
    <w:rsid w:val="00B812D2"/>
    <w:rsid w:val="00B81314"/>
    <w:rsid w:val="00B81346"/>
    <w:rsid w:val="00B81380"/>
    <w:rsid w:val="00B8139A"/>
    <w:rsid w:val="00B814F7"/>
    <w:rsid w:val="00B81546"/>
    <w:rsid w:val="00B81555"/>
    <w:rsid w:val="00B81573"/>
    <w:rsid w:val="00B81617"/>
    <w:rsid w:val="00B816BA"/>
    <w:rsid w:val="00B816CA"/>
    <w:rsid w:val="00B8170E"/>
    <w:rsid w:val="00B8178D"/>
    <w:rsid w:val="00B817BA"/>
    <w:rsid w:val="00B8186C"/>
    <w:rsid w:val="00B81896"/>
    <w:rsid w:val="00B818A1"/>
    <w:rsid w:val="00B818BE"/>
    <w:rsid w:val="00B8194D"/>
    <w:rsid w:val="00B819D8"/>
    <w:rsid w:val="00B81A1D"/>
    <w:rsid w:val="00B81A91"/>
    <w:rsid w:val="00B81AA8"/>
    <w:rsid w:val="00B81AC3"/>
    <w:rsid w:val="00B81B06"/>
    <w:rsid w:val="00B81B6F"/>
    <w:rsid w:val="00B81BA3"/>
    <w:rsid w:val="00B81BB0"/>
    <w:rsid w:val="00B81BBB"/>
    <w:rsid w:val="00B81C02"/>
    <w:rsid w:val="00B81C4C"/>
    <w:rsid w:val="00B81C82"/>
    <w:rsid w:val="00B81CC6"/>
    <w:rsid w:val="00B81CC8"/>
    <w:rsid w:val="00B81CCE"/>
    <w:rsid w:val="00B81D27"/>
    <w:rsid w:val="00B81D38"/>
    <w:rsid w:val="00B81D9A"/>
    <w:rsid w:val="00B81E22"/>
    <w:rsid w:val="00B81F21"/>
    <w:rsid w:val="00B81F54"/>
    <w:rsid w:val="00B81F8D"/>
    <w:rsid w:val="00B8210D"/>
    <w:rsid w:val="00B82176"/>
    <w:rsid w:val="00B82189"/>
    <w:rsid w:val="00B821A0"/>
    <w:rsid w:val="00B821C4"/>
    <w:rsid w:val="00B8221A"/>
    <w:rsid w:val="00B822CE"/>
    <w:rsid w:val="00B822D3"/>
    <w:rsid w:val="00B8231B"/>
    <w:rsid w:val="00B82336"/>
    <w:rsid w:val="00B82406"/>
    <w:rsid w:val="00B82446"/>
    <w:rsid w:val="00B82472"/>
    <w:rsid w:val="00B8247F"/>
    <w:rsid w:val="00B824B4"/>
    <w:rsid w:val="00B824BA"/>
    <w:rsid w:val="00B82531"/>
    <w:rsid w:val="00B825B3"/>
    <w:rsid w:val="00B825C5"/>
    <w:rsid w:val="00B82611"/>
    <w:rsid w:val="00B82634"/>
    <w:rsid w:val="00B8263B"/>
    <w:rsid w:val="00B8269B"/>
    <w:rsid w:val="00B82782"/>
    <w:rsid w:val="00B827FB"/>
    <w:rsid w:val="00B82810"/>
    <w:rsid w:val="00B8286F"/>
    <w:rsid w:val="00B828A1"/>
    <w:rsid w:val="00B828CC"/>
    <w:rsid w:val="00B829B6"/>
    <w:rsid w:val="00B829FD"/>
    <w:rsid w:val="00B82A10"/>
    <w:rsid w:val="00B82A20"/>
    <w:rsid w:val="00B82A2E"/>
    <w:rsid w:val="00B82AA4"/>
    <w:rsid w:val="00B82ABC"/>
    <w:rsid w:val="00B82B39"/>
    <w:rsid w:val="00B82B5A"/>
    <w:rsid w:val="00B82C0F"/>
    <w:rsid w:val="00B82CD6"/>
    <w:rsid w:val="00B82D26"/>
    <w:rsid w:val="00B82D57"/>
    <w:rsid w:val="00B82DCA"/>
    <w:rsid w:val="00B82DE0"/>
    <w:rsid w:val="00B82DF1"/>
    <w:rsid w:val="00B82EBE"/>
    <w:rsid w:val="00B82FB3"/>
    <w:rsid w:val="00B82FBB"/>
    <w:rsid w:val="00B82FFC"/>
    <w:rsid w:val="00B83005"/>
    <w:rsid w:val="00B8304F"/>
    <w:rsid w:val="00B8307A"/>
    <w:rsid w:val="00B8308E"/>
    <w:rsid w:val="00B830A8"/>
    <w:rsid w:val="00B831AC"/>
    <w:rsid w:val="00B831B3"/>
    <w:rsid w:val="00B83207"/>
    <w:rsid w:val="00B83251"/>
    <w:rsid w:val="00B8329D"/>
    <w:rsid w:val="00B832FE"/>
    <w:rsid w:val="00B8332F"/>
    <w:rsid w:val="00B8333A"/>
    <w:rsid w:val="00B8338E"/>
    <w:rsid w:val="00B83435"/>
    <w:rsid w:val="00B8346B"/>
    <w:rsid w:val="00B83505"/>
    <w:rsid w:val="00B835B3"/>
    <w:rsid w:val="00B83620"/>
    <w:rsid w:val="00B836AF"/>
    <w:rsid w:val="00B836ED"/>
    <w:rsid w:val="00B837BB"/>
    <w:rsid w:val="00B83814"/>
    <w:rsid w:val="00B83822"/>
    <w:rsid w:val="00B8382A"/>
    <w:rsid w:val="00B838EF"/>
    <w:rsid w:val="00B83918"/>
    <w:rsid w:val="00B83977"/>
    <w:rsid w:val="00B839BF"/>
    <w:rsid w:val="00B83AB8"/>
    <w:rsid w:val="00B83AD0"/>
    <w:rsid w:val="00B83AD9"/>
    <w:rsid w:val="00B83AED"/>
    <w:rsid w:val="00B83B08"/>
    <w:rsid w:val="00B83B46"/>
    <w:rsid w:val="00B83B49"/>
    <w:rsid w:val="00B83B50"/>
    <w:rsid w:val="00B83B93"/>
    <w:rsid w:val="00B83C76"/>
    <w:rsid w:val="00B83CC4"/>
    <w:rsid w:val="00B83D7E"/>
    <w:rsid w:val="00B83E76"/>
    <w:rsid w:val="00B83E83"/>
    <w:rsid w:val="00B83E9C"/>
    <w:rsid w:val="00B83EA8"/>
    <w:rsid w:val="00B83EED"/>
    <w:rsid w:val="00B83F77"/>
    <w:rsid w:val="00B83FA0"/>
    <w:rsid w:val="00B84009"/>
    <w:rsid w:val="00B8407F"/>
    <w:rsid w:val="00B840A1"/>
    <w:rsid w:val="00B84317"/>
    <w:rsid w:val="00B8431A"/>
    <w:rsid w:val="00B84465"/>
    <w:rsid w:val="00B844AB"/>
    <w:rsid w:val="00B844BD"/>
    <w:rsid w:val="00B84533"/>
    <w:rsid w:val="00B84573"/>
    <w:rsid w:val="00B84622"/>
    <w:rsid w:val="00B8463C"/>
    <w:rsid w:val="00B84696"/>
    <w:rsid w:val="00B846B4"/>
    <w:rsid w:val="00B846E6"/>
    <w:rsid w:val="00B8471D"/>
    <w:rsid w:val="00B84749"/>
    <w:rsid w:val="00B8475F"/>
    <w:rsid w:val="00B84788"/>
    <w:rsid w:val="00B8479E"/>
    <w:rsid w:val="00B84870"/>
    <w:rsid w:val="00B848A0"/>
    <w:rsid w:val="00B848A8"/>
    <w:rsid w:val="00B84929"/>
    <w:rsid w:val="00B84949"/>
    <w:rsid w:val="00B84A06"/>
    <w:rsid w:val="00B84A10"/>
    <w:rsid w:val="00B84AD0"/>
    <w:rsid w:val="00B84ADF"/>
    <w:rsid w:val="00B84AF1"/>
    <w:rsid w:val="00B84B26"/>
    <w:rsid w:val="00B84B47"/>
    <w:rsid w:val="00B84B69"/>
    <w:rsid w:val="00B84B70"/>
    <w:rsid w:val="00B84B85"/>
    <w:rsid w:val="00B84BBC"/>
    <w:rsid w:val="00B84BBD"/>
    <w:rsid w:val="00B84C52"/>
    <w:rsid w:val="00B84CF9"/>
    <w:rsid w:val="00B84CFC"/>
    <w:rsid w:val="00B84D52"/>
    <w:rsid w:val="00B84D85"/>
    <w:rsid w:val="00B84E0E"/>
    <w:rsid w:val="00B84ED1"/>
    <w:rsid w:val="00B84EEC"/>
    <w:rsid w:val="00B84F45"/>
    <w:rsid w:val="00B84FEF"/>
    <w:rsid w:val="00B85049"/>
    <w:rsid w:val="00B85056"/>
    <w:rsid w:val="00B8505D"/>
    <w:rsid w:val="00B8506F"/>
    <w:rsid w:val="00B85128"/>
    <w:rsid w:val="00B85170"/>
    <w:rsid w:val="00B851CB"/>
    <w:rsid w:val="00B85241"/>
    <w:rsid w:val="00B8529F"/>
    <w:rsid w:val="00B8530B"/>
    <w:rsid w:val="00B85313"/>
    <w:rsid w:val="00B85348"/>
    <w:rsid w:val="00B8547C"/>
    <w:rsid w:val="00B85494"/>
    <w:rsid w:val="00B854DA"/>
    <w:rsid w:val="00B854E3"/>
    <w:rsid w:val="00B85516"/>
    <w:rsid w:val="00B855A2"/>
    <w:rsid w:val="00B85664"/>
    <w:rsid w:val="00B856A8"/>
    <w:rsid w:val="00B856C4"/>
    <w:rsid w:val="00B85733"/>
    <w:rsid w:val="00B8576B"/>
    <w:rsid w:val="00B8577E"/>
    <w:rsid w:val="00B857DC"/>
    <w:rsid w:val="00B857EC"/>
    <w:rsid w:val="00B8583D"/>
    <w:rsid w:val="00B85855"/>
    <w:rsid w:val="00B858E0"/>
    <w:rsid w:val="00B858ED"/>
    <w:rsid w:val="00B8597F"/>
    <w:rsid w:val="00B859C7"/>
    <w:rsid w:val="00B859E8"/>
    <w:rsid w:val="00B859EE"/>
    <w:rsid w:val="00B85A31"/>
    <w:rsid w:val="00B85B76"/>
    <w:rsid w:val="00B85C05"/>
    <w:rsid w:val="00B85C79"/>
    <w:rsid w:val="00B85C82"/>
    <w:rsid w:val="00B85D61"/>
    <w:rsid w:val="00B85D73"/>
    <w:rsid w:val="00B85D81"/>
    <w:rsid w:val="00B85E91"/>
    <w:rsid w:val="00B85F69"/>
    <w:rsid w:val="00B85F89"/>
    <w:rsid w:val="00B85F8F"/>
    <w:rsid w:val="00B85FFC"/>
    <w:rsid w:val="00B86062"/>
    <w:rsid w:val="00B860A9"/>
    <w:rsid w:val="00B860F3"/>
    <w:rsid w:val="00B8619D"/>
    <w:rsid w:val="00B86203"/>
    <w:rsid w:val="00B86247"/>
    <w:rsid w:val="00B8629B"/>
    <w:rsid w:val="00B862FD"/>
    <w:rsid w:val="00B86307"/>
    <w:rsid w:val="00B86310"/>
    <w:rsid w:val="00B86330"/>
    <w:rsid w:val="00B8639F"/>
    <w:rsid w:val="00B863B6"/>
    <w:rsid w:val="00B86423"/>
    <w:rsid w:val="00B86483"/>
    <w:rsid w:val="00B864A5"/>
    <w:rsid w:val="00B864BE"/>
    <w:rsid w:val="00B86519"/>
    <w:rsid w:val="00B865C9"/>
    <w:rsid w:val="00B865F6"/>
    <w:rsid w:val="00B8662D"/>
    <w:rsid w:val="00B8663C"/>
    <w:rsid w:val="00B86667"/>
    <w:rsid w:val="00B866B3"/>
    <w:rsid w:val="00B86704"/>
    <w:rsid w:val="00B86719"/>
    <w:rsid w:val="00B86741"/>
    <w:rsid w:val="00B86804"/>
    <w:rsid w:val="00B86848"/>
    <w:rsid w:val="00B86854"/>
    <w:rsid w:val="00B86859"/>
    <w:rsid w:val="00B868AF"/>
    <w:rsid w:val="00B86904"/>
    <w:rsid w:val="00B8695A"/>
    <w:rsid w:val="00B86981"/>
    <w:rsid w:val="00B869AC"/>
    <w:rsid w:val="00B869FB"/>
    <w:rsid w:val="00B86A11"/>
    <w:rsid w:val="00B86A21"/>
    <w:rsid w:val="00B86A24"/>
    <w:rsid w:val="00B86A6C"/>
    <w:rsid w:val="00B86D1B"/>
    <w:rsid w:val="00B86D29"/>
    <w:rsid w:val="00B86D36"/>
    <w:rsid w:val="00B86E65"/>
    <w:rsid w:val="00B86E75"/>
    <w:rsid w:val="00B86E93"/>
    <w:rsid w:val="00B86E98"/>
    <w:rsid w:val="00B86EEB"/>
    <w:rsid w:val="00B86FCC"/>
    <w:rsid w:val="00B86FD3"/>
    <w:rsid w:val="00B86FD4"/>
    <w:rsid w:val="00B86FDF"/>
    <w:rsid w:val="00B86FF0"/>
    <w:rsid w:val="00B86FF4"/>
    <w:rsid w:val="00B8707D"/>
    <w:rsid w:val="00B870CD"/>
    <w:rsid w:val="00B8714D"/>
    <w:rsid w:val="00B87251"/>
    <w:rsid w:val="00B87256"/>
    <w:rsid w:val="00B873C8"/>
    <w:rsid w:val="00B87413"/>
    <w:rsid w:val="00B87459"/>
    <w:rsid w:val="00B8746F"/>
    <w:rsid w:val="00B875A5"/>
    <w:rsid w:val="00B87603"/>
    <w:rsid w:val="00B8764C"/>
    <w:rsid w:val="00B8764D"/>
    <w:rsid w:val="00B876AA"/>
    <w:rsid w:val="00B876DF"/>
    <w:rsid w:val="00B8779A"/>
    <w:rsid w:val="00B87803"/>
    <w:rsid w:val="00B87927"/>
    <w:rsid w:val="00B87940"/>
    <w:rsid w:val="00B8795C"/>
    <w:rsid w:val="00B87993"/>
    <w:rsid w:val="00B879F6"/>
    <w:rsid w:val="00B87B20"/>
    <w:rsid w:val="00B87C05"/>
    <w:rsid w:val="00B87DBC"/>
    <w:rsid w:val="00B87E42"/>
    <w:rsid w:val="00B87E60"/>
    <w:rsid w:val="00B87ECA"/>
    <w:rsid w:val="00B87EE4"/>
    <w:rsid w:val="00B87EEB"/>
    <w:rsid w:val="00B87F23"/>
    <w:rsid w:val="00B87FCB"/>
    <w:rsid w:val="00B87FD8"/>
    <w:rsid w:val="00B9002F"/>
    <w:rsid w:val="00B90035"/>
    <w:rsid w:val="00B900FF"/>
    <w:rsid w:val="00B90117"/>
    <w:rsid w:val="00B9022E"/>
    <w:rsid w:val="00B90249"/>
    <w:rsid w:val="00B903A4"/>
    <w:rsid w:val="00B903B3"/>
    <w:rsid w:val="00B9045A"/>
    <w:rsid w:val="00B904A2"/>
    <w:rsid w:val="00B90524"/>
    <w:rsid w:val="00B9053B"/>
    <w:rsid w:val="00B905CB"/>
    <w:rsid w:val="00B905F6"/>
    <w:rsid w:val="00B9060F"/>
    <w:rsid w:val="00B90626"/>
    <w:rsid w:val="00B9064C"/>
    <w:rsid w:val="00B9066C"/>
    <w:rsid w:val="00B90677"/>
    <w:rsid w:val="00B906A0"/>
    <w:rsid w:val="00B906CC"/>
    <w:rsid w:val="00B906FA"/>
    <w:rsid w:val="00B90730"/>
    <w:rsid w:val="00B9074B"/>
    <w:rsid w:val="00B9079C"/>
    <w:rsid w:val="00B9081B"/>
    <w:rsid w:val="00B9085E"/>
    <w:rsid w:val="00B908C0"/>
    <w:rsid w:val="00B90910"/>
    <w:rsid w:val="00B909FF"/>
    <w:rsid w:val="00B90A2A"/>
    <w:rsid w:val="00B90ABD"/>
    <w:rsid w:val="00B90B3D"/>
    <w:rsid w:val="00B90B87"/>
    <w:rsid w:val="00B90BB1"/>
    <w:rsid w:val="00B90C2A"/>
    <w:rsid w:val="00B90CE1"/>
    <w:rsid w:val="00B90DA6"/>
    <w:rsid w:val="00B90DF3"/>
    <w:rsid w:val="00B90E40"/>
    <w:rsid w:val="00B90EDE"/>
    <w:rsid w:val="00B90EE2"/>
    <w:rsid w:val="00B90EE3"/>
    <w:rsid w:val="00B90F07"/>
    <w:rsid w:val="00B90F68"/>
    <w:rsid w:val="00B9101F"/>
    <w:rsid w:val="00B910D3"/>
    <w:rsid w:val="00B9111D"/>
    <w:rsid w:val="00B9112A"/>
    <w:rsid w:val="00B91200"/>
    <w:rsid w:val="00B91254"/>
    <w:rsid w:val="00B9126F"/>
    <w:rsid w:val="00B913B2"/>
    <w:rsid w:val="00B913B3"/>
    <w:rsid w:val="00B9142C"/>
    <w:rsid w:val="00B9143A"/>
    <w:rsid w:val="00B9149E"/>
    <w:rsid w:val="00B914B5"/>
    <w:rsid w:val="00B914F1"/>
    <w:rsid w:val="00B91519"/>
    <w:rsid w:val="00B91575"/>
    <w:rsid w:val="00B91588"/>
    <w:rsid w:val="00B9159C"/>
    <w:rsid w:val="00B915D6"/>
    <w:rsid w:val="00B91693"/>
    <w:rsid w:val="00B916A9"/>
    <w:rsid w:val="00B91706"/>
    <w:rsid w:val="00B91718"/>
    <w:rsid w:val="00B9178B"/>
    <w:rsid w:val="00B917FA"/>
    <w:rsid w:val="00B91951"/>
    <w:rsid w:val="00B91AAD"/>
    <w:rsid w:val="00B91AC5"/>
    <w:rsid w:val="00B91AD3"/>
    <w:rsid w:val="00B91AF7"/>
    <w:rsid w:val="00B91AF9"/>
    <w:rsid w:val="00B91B0C"/>
    <w:rsid w:val="00B91B65"/>
    <w:rsid w:val="00B91B9D"/>
    <w:rsid w:val="00B91BA0"/>
    <w:rsid w:val="00B91C97"/>
    <w:rsid w:val="00B91CF2"/>
    <w:rsid w:val="00B91D70"/>
    <w:rsid w:val="00B91E86"/>
    <w:rsid w:val="00B91F59"/>
    <w:rsid w:val="00B91FB4"/>
    <w:rsid w:val="00B92005"/>
    <w:rsid w:val="00B9202A"/>
    <w:rsid w:val="00B9202D"/>
    <w:rsid w:val="00B920D1"/>
    <w:rsid w:val="00B92113"/>
    <w:rsid w:val="00B9221E"/>
    <w:rsid w:val="00B92384"/>
    <w:rsid w:val="00B92431"/>
    <w:rsid w:val="00B92433"/>
    <w:rsid w:val="00B9247B"/>
    <w:rsid w:val="00B924F3"/>
    <w:rsid w:val="00B92500"/>
    <w:rsid w:val="00B92503"/>
    <w:rsid w:val="00B9250B"/>
    <w:rsid w:val="00B925E8"/>
    <w:rsid w:val="00B92677"/>
    <w:rsid w:val="00B9269A"/>
    <w:rsid w:val="00B9269D"/>
    <w:rsid w:val="00B926CC"/>
    <w:rsid w:val="00B926E7"/>
    <w:rsid w:val="00B926F0"/>
    <w:rsid w:val="00B9274F"/>
    <w:rsid w:val="00B9276C"/>
    <w:rsid w:val="00B92779"/>
    <w:rsid w:val="00B92812"/>
    <w:rsid w:val="00B92870"/>
    <w:rsid w:val="00B9292D"/>
    <w:rsid w:val="00B92938"/>
    <w:rsid w:val="00B92A9E"/>
    <w:rsid w:val="00B92AA5"/>
    <w:rsid w:val="00B92ACE"/>
    <w:rsid w:val="00B92B1D"/>
    <w:rsid w:val="00B92B2C"/>
    <w:rsid w:val="00B92B2D"/>
    <w:rsid w:val="00B92BF0"/>
    <w:rsid w:val="00B92C0E"/>
    <w:rsid w:val="00B92C73"/>
    <w:rsid w:val="00B92CA3"/>
    <w:rsid w:val="00B92D50"/>
    <w:rsid w:val="00B92D71"/>
    <w:rsid w:val="00B92DDC"/>
    <w:rsid w:val="00B92E5A"/>
    <w:rsid w:val="00B92ED9"/>
    <w:rsid w:val="00B92F46"/>
    <w:rsid w:val="00B92F60"/>
    <w:rsid w:val="00B92F80"/>
    <w:rsid w:val="00B92F8D"/>
    <w:rsid w:val="00B930C0"/>
    <w:rsid w:val="00B93130"/>
    <w:rsid w:val="00B9313A"/>
    <w:rsid w:val="00B931D1"/>
    <w:rsid w:val="00B931E2"/>
    <w:rsid w:val="00B932BB"/>
    <w:rsid w:val="00B932D5"/>
    <w:rsid w:val="00B93390"/>
    <w:rsid w:val="00B9346A"/>
    <w:rsid w:val="00B9347B"/>
    <w:rsid w:val="00B934A0"/>
    <w:rsid w:val="00B934DC"/>
    <w:rsid w:val="00B934E3"/>
    <w:rsid w:val="00B93538"/>
    <w:rsid w:val="00B93589"/>
    <w:rsid w:val="00B9366F"/>
    <w:rsid w:val="00B9376B"/>
    <w:rsid w:val="00B93864"/>
    <w:rsid w:val="00B9386E"/>
    <w:rsid w:val="00B939D9"/>
    <w:rsid w:val="00B939E7"/>
    <w:rsid w:val="00B939E8"/>
    <w:rsid w:val="00B93A61"/>
    <w:rsid w:val="00B93B16"/>
    <w:rsid w:val="00B93B73"/>
    <w:rsid w:val="00B93C21"/>
    <w:rsid w:val="00B93C29"/>
    <w:rsid w:val="00B93C32"/>
    <w:rsid w:val="00B93C3C"/>
    <w:rsid w:val="00B93C54"/>
    <w:rsid w:val="00B93C84"/>
    <w:rsid w:val="00B93C8C"/>
    <w:rsid w:val="00B93DA1"/>
    <w:rsid w:val="00B93DB2"/>
    <w:rsid w:val="00B93DFE"/>
    <w:rsid w:val="00B93E5F"/>
    <w:rsid w:val="00B93E7A"/>
    <w:rsid w:val="00B93E7E"/>
    <w:rsid w:val="00B93EC5"/>
    <w:rsid w:val="00B93EDB"/>
    <w:rsid w:val="00B93EF7"/>
    <w:rsid w:val="00B93F09"/>
    <w:rsid w:val="00B93F3F"/>
    <w:rsid w:val="00B93F81"/>
    <w:rsid w:val="00B93FE2"/>
    <w:rsid w:val="00B94092"/>
    <w:rsid w:val="00B940AE"/>
    <w:rsid w:val="00B940D2"/>
    <w:rsid w:val="00B94103"/>
    <w:rsid w:val="00B94154"/>
    <w:rsid w:val="00B9418A"/>
    <w:rsid w:val="00B941DC"/>
    <w:rsid w:val="00B94264"/>
    <w:rsid w:val="00B9426F"/>
    <w:rsid w:val="00B9430C"/>
    <w:rsid w:val="00B94368"/>
    <w:rsid w:val="00B943DD"/>
    <w:rsid w:val="00B943F5"/>
    <w:rsid w:val="00B94403"/>
    <w:rsid w:val="00B9443E"/>
    <w:rsid w:val="00B94516"/>
    <w:rsid w:val="00B94526"/>
    <w:rsid w:val="00B946BA"/>
    <w:rsid w:val="00B946BF"/>
    <w:rsid w:val="00B94821"/>
    <w:rsid w:val="00B94851"/>
    <w:rsid w:val="00B9485A"/>
    <w:rsid w:val="00B948C0"/>
    <w:rsid w:val="00B94944"/>
    <w:rsid w:val="00B949BD"/>
    <w:rsid w:val="00B94B1F"/>
    <w:rsid w:val="00B94B7B"/>
    <w:rsid w:val="00B94BA3"/>
    <w:rsid w:val="00B94E26"/>
    <w:rsid w:val="00B94E70"/>
    <w:rsid w:val="00B94FB4"/>
    <w:rsid w:val="00B94FCA"/>
    <w:rsid w:val="00B95025"/>
    <w:rsid w:val="00B95068"/>
    <w:rsid w:val="00B95098"/>
    <w:rsid w:val="00B950AB"/>
    <w:rsid w:val="00B950CF"/>
    <w:rsid w:val="00B950E8"/>
    <w:rsid w:val="00B95129"/>
    <w:rsid w:val="00B95153"/>
    <w:rsid w:val="00B9515A"/>
    <w:rsid w:val="00B951EE"/>
    <w:rsid w:val="00B9522F"/>
    <w:rsid w:val="00B952A2"/>
    <w:rsid w:val="00B9530A"/>
    <w:rsid w:val="00B953B2"/>
    <w:rsid w:val="00B9543D"/>
    <w:rsid w:val="00B954B5"/>
    <w:rsid w:val="00B954C1"/>
    <w:rsid w:val="00B954E0"/>
    <w:rsid w:val="00B95522"/>
    <w:rsid w:val="00B9552B"/>
    <w:rsid w:val="00B95539"/>
    <w:rsid w:val="00B955EC"/>
    <w:rsid w:val="00B955F9"/>
    <w:rsid w:val="00B9567E"/>
    <w:rsid w:val="00B95687"/>
    <w:rsid w:val="00B956D6"/>
    <w:rsid w:val="00B9574F"/>
    <w:rsid w:val="00B95780"/>
    <w:rsid w:val="00B95860"/>
    <w:rsid w:val="00B95898"/>
    <w:rsid w:val="00B958B1"/>
    <w:rsid w:val="00B958B4"/>
    <w:rsid w:val="00B958BF"/>
    <w:rsid w:val="00B959FD"/>
    <w:rsid w:val="00B95A2B"/>
    <w:rsid w:val="00B95A49"/>
    <w:rsid w:val="00B95ACF"/>
    <w:rsid w:val="00B95AD5"/>
    <w:rsid w:val="00B95C02"/>
    <w:rsid w:val="00B95C1C"/>
    <w:rsid w:val="00B95C71"/>
    <w:rsid w:val="00B95C97"/>
    <w:rsid w:val="00B95CA9"/>
    <w:rsid w:val="00B95D21"/>
    <w:rsid w:val="00B95D43"/>
    <w:rsid w:val="00B95D48"/>
    <w:rsid w:val="00B95DAB"/>
    <w:rsid w:val="00B95EB7"/>
    <w:rsid w:val="00B95F1D"/>
    <w:rsid w:val="00B95F46"/>
    <w:rsid w:val="00B95FD9"/>
    <w:rsid w:val="00B95FDA"/>
    <w:rsid w:val="00B960D3"/>
    <w:rsid w:val="00B96108"/>
    <w:rsid w:val="00B96111"/>
    <w:rsid w:val="00B96127"/>
    <w:rsid w:val="00B96136"/>
    <w:rsid w:val="00B9613A"/>
    <w:rsid w:val="00B96147"/>
    <w:rsid w:val="00B96183"/>
    <w:rsid w:val="00B96226"/>
    <w:rsid w:val="00B9636B"/>
    <w:rsid w:val="00B96379"/>
    <w:rsid w:val="00B96390"/>
    <w:rsid w:val="00B963E4"/>
    <w:rsid w:val="00B9647E"/>
    <w:rsid w:val="00B964B5"/>
    <w:rsid w:val="00B964DC"/>
    <w:rsid w:val="00B964FA"/>
    <w:rsid w:val="00B96550"/>
    <w:rsid w:val="00B96554"/>
    <w:rsid w:val="00B96606"/>
    <w:rsid w:val="00B9660F"/>
    <w:rsid w:val="00B9665A"/>
    <w:rsid w:val="00B96690"/>
    <w:rsid w:val="00B966F0"/>
    <w:rsid w:val="00B966F9"/>
    <w:rsid w:val="00B9670B"/>
    <w:rsid w:val="00B9674F"/>
    <w:rsid w:val="00B967EF"/>
    <w:rsid w:val="00B968CC"/>
    <w:rsid w:val="00B96919"/>
    <w:rsid w:val="00B9692A"/>
    <w:rsid w:val="00B969B1"/>
    <w:rsid w:val="00B969DB"/>
    <w:rsid w:val="00B96A3F"/>
    <w:rsid w:val="00B96A85"/>
    <w:rsid w:val="00B96A9D"/>
    <w:rsid w:val="00B96AF4"/>
    <w:rsid w:val="00B96B13"/>
    <w:rsid w:val="00B96BB3"/>
    <w:rsid w:val="00B96CE5"/>
    <w:rsid w:val="00B96CFB"/>
    <w:rsid w:val="00B96D4D"/>
    <w:rsid w:val="00B96DE3"/>
    <w:rsid w:val="00B96E72"/>
    <w:rsid w:val="00B96EB3"/>
    <w:rsid w:val="00B96F26"/>
    <w:rsid w:val="00B96FDE"/>
    <w:rsid w:val="00B97006"/>
    <w:rsid w:val="00B97078"/>
    <w:rsid w:val="00B9707D"/>
    <w:rsid w:val="00B970A9"/>
    <w:rsid w:val="00B970B3"/>
    <w:rsid w:val="00B9714C"/>
    <w:rsid w:val="00B972D7"/>
    <w:rsid w:val="00B97314"/>
    <w:rsid w:val="00B97342"/>
    <w:rsid w:val="00B973EB"/>
    <w:rsid w:val="00B97405"/>
    <w:rsid w:val="00B9741B"/>
    <w:rsid w:val="00B9746C"/>
    <w:rsid w:val="00B9747E"/>
    <w:rsid w:val="00B97492"/>
    <w:rsid w:val="00B974A1"/>
    <w:rsid w:val="00B97555"/>
    <w:rsid w:val="00B9756F"/>
    <w:rsid w:val="00B97572"/>
    <w:rsid w:val="00B975FF"/>
    <w:rsid w:val="00B97617"/>
    <w:rsid w:val="00B9764D"/>
    <w:rsid w:val="00B9767B"/>
    <w:rsid w:val="00B977E6"/>
    <w:rsid w:val="00B97917"/>
    <w:rsid w:val="00B97967"/>
    <w:rsid w:val="00B97ADB"/>
    <w:rsid w:val="00B97B0C"/>
    <w:rsid w:val="00B97B4E"/>
    <w:rsid w:val="00B97B88"/>
    <w:rsid w:val="00B97C95"/>
    <w:rsid w:val="00B97CBF"/>
    <w:rsid w:val="00B97CEF"/>
    <w:rsid w:val="00B97D01"/>
    <w:rsid w:val="00B97D4C"/>
    <w:rsid w:val="00B97D92"/>
    <w:rsid w:val="00B97DCB"/>
    <w:rsid w:val="00B97E11"/>
    <w:rsid w:val="00B97E25"/>
    <w:rsid w:val="00B97E52"/>
    <w:rsid w:val="00B97E7A"/>
    <w:rsid w:val="00B97EA8"/>
    <w:rsid w:val="00B97F01"/>
    <w:rsid w:val="00B97FB9"/>
    <w:rsid w:val="00B97FE6"/>
    <w:rsid w:val="00B97FEE"/>
    <w:rsid w:val="00BA0048"/>
    <w:rsid w:val="00BA0052"/>
    <w:rsid w:val="00BA007A"/>
    <w:rsid w:val="00BA007E"/>
    <w:rsid w:val="00BA0124"/>
    <w:rsid w:val="00BA01B3"/>
    <w:rsid w:val="00BA021B"/>
    <w:rsid w:val="00BA022F"/>
    <w:rsid w:val="00BA0376"/>
    <w:rsid w:val="00BA039D"/>
    <w:rsid w:val="00BA03D0"/>
    <w:rsid w:val="00BA040A"/>
    <w:rsid w:val="00BA046D"/>
    <w:rsid w:val="00BA0517"/>
    <w:rsid w:val="00BA054B"/>
    <w:rsid w:val="00BA061C"/>
    <w:rsid w:val="00BA066C"/>
    <w:rsid w:val="00BA0690"/>
    <w:rsid w:val="00BA06ED"/>
    <w:rsid w:val="00BA0712"/>
    <w:rsid w:val="00BA0739"/>
    <w:rsid w:val="00BA0815"/>
    <w:rsid w:val="00BA081B"/>
    <w:rsid w:val="00BA0856"/>
    <w:rsid w:val="00BA0915"/>
    <w:rsid w:val="00BA096F"/>
    <w:rsid w:val="00BA09D9"/>
    <w:rsid w:val="00BA0A28"/>
    <w:rsid w:val="00BA0A4B"/>
    <w:rsid w:val="00BA0A5D"/>
    <w:rsid w:val="00BA0B4E"/>
    <w:rsid w:val="00BA0B5A"/>
    <w:rsid w:val="00BA0B5F"/>
    <w:rsid w:val="00BA0BAD"/>
    <w:rsid w:val="00BA0CF4"/>
    <w:rsid w:val="00BA0D24"/>
    <w:rsid w:val="00BA0DD9"/>
    <w:rsid w:val="00BA0DF7"/>
    <w:rsid w:val="00BA0E12"/>
    <w:rsid w:val="00BA0E32"/>
    <w:rsid w:val="00BA0FEA"/>
    <w:rsid w:val="00BA0FF3"/>
    <w:rsid w:val="00BA100C"/>
    <w:rsid w:val="00BA1078"/>
    <w:rsid w:val="00BA108D"/>
    <w:rsid w:val="00BA10B7"/>
    <w:rsid w:val="00BA114F"/>
    <w:rsid w:val="00BA1209"/>
    <w:rsid w:val="00BA1213"/>
    <w:rsid w:val="00BA123E"/>
    <w:rsid w:val="00BA1257"/>
    <w:rsid w:val="00BA12B2"/>
    <w:rsid w:val="00BA12BB"/>
    <w:rsid w:val="00BA12F7"/>
    <w:rsid w:val="00BA13EC"/>
    <w:rsid w:val="00BA13F7"/>
    <w:rsid w:val="00BA14A3"/>
    <w:rsid w:val="00BA14CE"/>
    <w:rsid w:val="00BA1520"/>
    <w:rsid w:val="00BA154B"/>
    <w:rsid w:val="00BA15BB"/>
    <w:rsid w:val="00BA15F3"/>
    <w:rsid w:val="00BA16BA"/>
    <w:rsid w:val="00BA16CD"/>
    <w:rsid w:val="00BA17AA"/>
    <w:rsid w:val="00BA17F7"/>
    <w:rsid w:val="00BA18E0"/>
    <w:rsid w:val="00BA18F4"/>
    <w:rsid w:val="00BA18FE"/>
    <w:rsid w:val="00BA1959"/>
    <w:rsid w:val="00BA1990"/>
    <w:rsid w:val="00BA19F6"/>
    <w:rsid w:val="00BA1A16"/>
    <w:rsid w:val="00BA1A64"/>
    <w:rsid w:val="00BA1AFB"/>
    <w:rsid w:val="00BA1B02"/>
    <w:rsid w:val="00BA1B03"/>
    <w:rsid w:val="00BA1B10"/>
    <w:rsid w:val="00BA1B4B"/>
    <w:rsid w:val="00BA1B52"/>
    <w:rsid w:val="00BA1B97"/>
    <w:rsid w:val="00BA1C19"/>
    <w:rsid w:val="00BA1C44"/>
    <w:rsid w:val="00BA1CCB"/>
    <w:rsid w:val="00BA1D04"/>
    <w:rsid w:val="00BA1DB8"/>
    <w:rsid w:val="00BA1DC0"/>
    <w:rsid w:val="00BA1DD0"/>
    <w:rsid w:val="00BA1E4B"/>
    <w:rsid w:val="00BA1E65"/>
    <w:rsid w:val="00BA1EFD"/>
    <w:rsid w:val="00BA1F63"/>
    <w:rsid w:val="00BA20CB"/>
    <w:rsid w:val="00BA218E"/>
    <w:rsid w:val="00BA22C9"/>
    <w:rsid w:val="00BA231D"/>
    <w:rsid w:val="00BA2336"/>
    <w:rsid w:val="00BA2387"/>
    <w:rsid w:val="00BA23CC"/>
    <w:rsid w:val="00BA2448"/>
    <w:rsid w:val="00BA244D"/>
    <w:rsid w:val="00BA24C8"/>
    <w:rsid w:val="00BA24E4"/>
    <w:rsid w:val="00BA2529"/>
    <w:rsid w:val="00BA2581"/>
    <w:rsid w:val="00BA269A"/>
    <w:rsid w:val="00BA2736"/>
    <w:rsid w:val="00BA2744"/>
    <w:rsid w:val="00BA27BF"/>
    <w:rsid w:val="00BA27C8"/>
    <w:rsid w:val="00BA2845"/>
    <w:rsid w:val="00BA285E"/>
    <w:rsid w:val="00BA2923"/>
    <w:rsid w:val="00BA2945"/>
    <w:rsid w:val="00BA2968"/>
    <w:rsid w:val="00BA29CB"/>
    <w:rsid w:val="00BA2A11"/>
    <w:rsid w:val="00BA2A69"/>
    <w:rsid w:val="00BA2A72"/>
    <w:rsid w:val="00BA2AFA"/>
    <w:rsid w:val="00BA2CBB"/>
    <w:rsid w:val="00BA2DC2"/>
    <w:rsid w:val="00BA2DDD"/>
    <w:rsid w:val="00BA2DE4"/>
    <w:rsid w:val="00BA2E92"/>
    <w:rsid w:val="00BA2F62"/>
    <w:rsid w:val="00BA2FA1"/>
    <w:rsid w:val="00BA2FF9"/>
    <w:rsid w:val="00BA3024"/>
    <w:rsid w:val="00BA3029"/>
    <w:rsid w:val="00BA3068"/>
    <w:rsid w:val="00BA30D1"/>
    <w:rsid w:val="00BA312C"/>
    <w:rsid w:val="00BA3142"/>
    <w:rsid w:val="00BA317E"/>
    <w:rsid w:val="00BA319B"/>
    <w:rsid w:val="00BA3290"/>
    <w:rsid w:val="00BA335F"/>
    <w:rsid w:val="00BA340D"/>
    <w:rsid w:val="00BA34A7"/>
    <w:rsid w:val="00BA34B6"/>
    <w:rsid w:val="00BA359B"/>
    <w:rsid w:val="00BA35BF"/>
    <w:rsid w:val="00BA35CD"/>
    <w:rsid w:val="00BA36F9"/>
    <w:rsid w:val="00BA3731"/>
    <w:rsid w:val="00BA375B"/>
    <w:rsid w:val="00BA3790"/>
    <w:rsid w:val="00BA3835"/>
    <w:rsid w:val="00BA387B"/>
    <w:rsid w:val="00BA38F5"/>
    <w:rsid w:val="00BA3900"/>
    <w:rsid w:val="00BA3906"/>
    <w:rsid w:val="00BA3918"/>
    <w:rsid w:val="00BA39AA"/>
    <w:rsid w:val="00BA39D1"/>
    <w:rsid w:val="00BA3A37"/>
    <w:rsid w:val="00BA3BB1"/>
    <w:rsid w:val="00BA3BCB"/>
    <w:rsid w:val="00BA3C20"/>
    <w:rsid w:val="00BA3C2B"/>
    <w:rsid w:val="00BA3C5E"/>
    <w:rsid w:val="00BA3C6A"/>
    <w:rsid w:val="00BA3CF0"/>
    <w:rsid w:val="00BA3D1C"/>
    <w:rsid w:val="00BA3D5B"/>
    <w:rsid w:val="00BA3E86"/>
    <w:rsid w:val="00BA3EA3"/>
    <w:rsid w:val="00BA3F47"/>
    <w:rsid w:val="00BA3F5B"/>
    <w:rsid w:val="00BA3FC1"/>
    <w:rsid w:val="00BA3FDE"/>
    <w:rsid w:val="00BA4003"/>
    <w:rsid w:val="00BA4076"/>
    <w:rsid w:val="00BA409C"/>
    <w:rsid w:val="00BA4241"/>
    <w:rsid w:val="00BA42B8"/>
    <w:rsid w:val="00BA42F7"/>
    <w:rsid w:val="00BA4403"/>
    <w:rsid w:val="00BA4415"/>
    <w:rsid w:val="00BA4439"/>
    <w:rsid w:val="00BA44B9"/>
    <w:rsid w:val="00BA45BA"/>
    <w:rsid w:val="00BA4688"/>
    <w:rsid w:val="00BA469B"/>
    <w:rsid w:val="00BA46E1"/>
    <w:rsid w:val="00BA4742"/>
    <w:rsid w:val="00BA475C"/>
    <w:rsid w:val="00BA4763"/>
    <w:rsid w:val="00BA4781"/>
    <w:rsid w:val="00BA47AD"/>
    <w:rsid w:val="00BA480A"/>
    <w:rsid w:val="00BA4897"/>
    <w:rsid w:val="00BA48FF"/>
    <w:rsid w:val="00BA4909"/>
    <w:rsid w:val="00BA4A87"/>
    <w:rsid w:val="00BA4AA3"/>
    <w:rsid w:val="00BA4AB9"/>
    <w:rsid w:val="00BA4AF4"/>
    <w:rsid w:val="00BA4BBB"/>
    <w:rsid w:val="00BA4BE7"/>
    <w:rsid w:val="00BA4C4A"/>
    <w:rsid w:val="00BA4C81"/>
    <w:rsid w:val="00BA4D28"/>
    <w:rsid w:val="00BA4D2E"/>
    <w:rsid w:val="00BA4E41"/>
    <w:rsid w:val="00BA4ECE"/>
    <w:rsid w:val="00BA4FB0"/>
    <w:rsid w:val="00BA4FF3"/>
    <w:rsid w:val="00BA504C"/>
    <w:rsid w:val="00BA50C5"/>
    <w:rsid w:val="00BA5175"/>
    <w:rsid w:val="00BA51E1"/>
    <w:rsid w:val="00BA5250"/>
    <w:rsid w:val="00BA5277"/>
    <w:rsid w:val="00BA5288"/>
    <w:rsid w:val="00BA52AA"/>
    <w:rsid w:val="00BA540F"/>
    <w:rsid w:val="00BA5421"/>
    <w:rsid w:val="00BA5432"/>
    <w:rsid w:val="00BA54C7"/>
    <w:rsid w:val="00BA55CF"/>
    <w:rsid w:val="00BA564F"/>
    <w:rsid w:val="00BA567B"/>
    <w:rsid w:val="00BA568A"/>
    <w:rsid w:val="00BA56FF"/>
    <w:rsid w:val="00BA5735"/>
    <w:rsid w:val="00BA5794"/>
    <w:rsid w:val="00BA57B1"/>
    <w:rsid w:val="00BA5845"/>
    <w:rsid w:val="00BA5894"/>
    <w:rsid w:val="00BA58D2"/>
    <w:rsid w:val="00BA5985"/>
    <w:rsid w:val="00BA599A"/>
    <w:rsid w:val="00BA59E6"/>
    <w:rsid w:val="00BA5A22"/>
    <w:rsid w:val="00BA5A35"/>
    <w:rsid w:val="00BA5AC6"/>
    <w:rsid w:val="00BA5AE2"/>
    <w:rsid w:val="00BA5C5C"/>
    <w:rsid w:val="00BA5C65"/>
    <w:rsid w:val="00BA5CE2"/>
    <w:rsid w:val="00BA5D59"/>
    <w:rsid w:val="00BA5E1A"/>
    <w:rsid w:val="00BA5F8F"/>
    <w:rsid w:val="00BA5FA2"/>
    <w:rsid w:val="00BA5FC4"/>
    <w:rsid w:val="00BA5FC5"/>
    <w:rsid w:val="00BA6010"/>
    <w:rsid w:val="00BA6026"/>
    <w:rsid w:val="00BA6033"/>
    <w:rsid w:val="00BA6049"/>
    <w:rsid w:val="00BA60AC"/>
    <w:rsid w:val="00BA6102"/>
    <w:rsid w:val="00BA61B3"/>
    <w:rsid w:val="00BA62AE"/>
    <w:rsid w:val="00BA630E"/>
    <w:rsid w:val="00BA6314"/>
    <w:rsid w:val="00BA638C"/>
    <w:rsid w:val="00BA63D1"/>
    <w:rsid w:val="00BA6410"/>
    <w:rsid w:val="00BA6432"/>
    <w:rsid w:val="00BA6457"/>
    <w:rsid w:val="00BA6489"/>
    <w:rsid w:val="00BA64A7"/>
    <w:rsid w:val="00BA64B6"/>
    <w:rsid w:val="00BA65CB"/>
    <w:rsid w:val="00BA665D"/>
    <w:rsid w:val="00BA665F"/>
    <w:rsid w:val="00BA669A"/>
    <w:rsid w:val="00BA669D"/>
    <w:rsid w:val="00BA66AF"/>
    <w:rsid w:val="00BA672B"/>
    <w:rsid w:val="00BA67DF"/>
    <w:rsid w:val="00BA67F6"/>
    <w:rsid w:val="00BA67FA"/>
    <w:rsid w:val="00BA680F"/>
    <w:rsid w:val="00BA68EF"/>
    <w:rsid w:val="00BA693C"/>
    <w:rsid w:val="00BA6A4B"/>
    <w:rsid w:val="00BA6A68"/>
    <w:rsid w:val="00BA6AA7"/>
    <w:rsid w:val="00BA6AE1"/>
    <w:rsid w:val="00BA6B31"/>
    <w:rsid w:val="00BA6B57"/>
    <w:rsid w:val="00BA6B86"/>
    <w:rsid w:val="00BA6B9C"/>
    <w:rsid w:val="00BA6C2D"/>
    <w:rsid w:val="00BA6C45"/>
    <w:rsid w:val="00BA6D93"/>
    <w:rsid w:val="00BA6DA3"/>
    <w:rsid w:val="00BA6DD0"/>
    <w:rsid w:val="00BA6E6B"/>
    <w:rsid w:val="00BA6E8B"/>
    <w:rsid w:val="00BA6E9D"/>
    <w:rsid w:val="00BA6EAD"/>
    <w:rsid w:val="00BA6F83"/>
    <w:rsid w:val="00BA6FFB"/>
    <w:rsid w:val="00BA704B"/>
    <w:rsid w:val="00BA70C3"/>
    <w:rsid w:val="00BA70D3"/>
    <w:rsid w:val="00BA7170"/>
    <w:rsid w:val="00BA7172"/>
    <w:rsid w:val="00BA71DF"/>
    <w:rsid w:val="00BA71EF"/>
    <w:rsid w:val="00BA720C"/>
    <w:rsid w:val="00BA726D"/>
    <w:rsid w:val="00BA72DE"/>
    <w:rsid w:val="00BA72FC"/>
    <w:rsid w:val="00BA7302"/>
    <w:rsid w:val="00BA7384"/>
    <w:rsid w:val="00BA73AE"/>
    <w:rsid w:val="00BA740D"/>
    <w:rsid w:val="00BA74DD"/>
    <w:rsid w:val="00BA750A"/>
    <w:rsid w:val="00BA7515"/>
    <w:rsid w:val="00BA7563"/>
    <w:rsid w:val="00BA767F"/>
    <w:rsid w:val="00BA768A"/>
    <w:rsid w:val="00BA768F"/>
    <w:rsid w:val="00BA76DA"/>
    <w:rsid w:val="00BA7800"/>
    <w:rsid w:val="00BA7850"/>
    <w:rsid w:val="00BA7851"/>
    <w:rsid w:val="00BA789F"/>
    <w:rsid w:val="00BA78A9"/>
    <w:rsid w:val="00BA78E0"/>
    <w:rsid w:val="00BA78E3"/>
    <w:rsid w:val="00BA7931"/>
    <w:rsid w:val="00BA79A1"/>
    <w:rsid w:val="00BA7A3D"/>
    <w:rsid w:val="00BA7A63"/>
    <w:rsid w:val="00BA7A76"/>
    <w:rsid w:val="00BA7A77"/>
    <w:rsid w:val="00BA7AB3"/>
    <w:rsid w:val="00BA7AB9"/>
    <w:rsid w:val="00BA7AE5"/>
    <w:rsid w:val="00BA7AFD"/>
    <w:rsid w:val="00BA7BAA"/>
    <w:rsid w:val="00BA7CC9"/>
    <w:rsid w:val="00BA7D32"/>
    <w:rsid w:val="00BA7D6B"/>
    <w:rsid w:val="00BA7DB4"/>
    <w:rsid w:val="00BA7DBF"/>
    <w:rsid w:val="00BA7DEA"/>
    <w:rsid w:val="00BA7E3C"/>
    <w:rsid w:val="00BA7EA7"/>
    <w:rsid w:val="00BA7F19"/>
    <w:rsid w:val="00BA7F1C"/>
    <w:rsid w:val="00BA7F72"/>
    <w:rsid w:val="00BA7FAE"/>
    <w:rsid w:val="00BA7FCB"/>
    <w:rsid w:val="00BB00E7"/>
    <w:rsid w:val="00BB00F3"/>
    <w:rsid w:val="00BB010B"/>
    <w:rsid w:val="00BB023C"/>
    <w:rsid w:val="00BB02EB"/>
    <w:rsid w:val="00BB033A"/>
    <w:rsid w:val="00BB03BC"/>
    <w:rsid w:val="00BB03C0"/>
    <w:rsid w:val="00BB041D"/>
    <w:rsid w:val="00BB0460"/>
    <w:rsid w:val="00BB04B6"/>
    <w:rsid w:val="00BB04EB"/>
    <w:rsid w:val="00BB0531"/>
    <w:rsid w:val="00BB05C7"/>
    <w:rsid w:val="00BB05D6"/>
    <w:rsid w:val="00BB0698"/>
    <w:rsid w:val="00BB06E6"/>
    <w:rsid w:val="00BB06EA"/>
    <w:rsid w:val="00BB0704"/>
    <w:rsid w:val="00BB079B"/>
    <w:rsid w:val="00BB080B"/>
    <w:rsid w:val="00BB0839"/>
    <w:rsid w:val="00BB087F"/>
    <w:rsid w:val="00BB08AF"/>
    <w:rsid w:val="00BB08CE"/>
    <w:rsid w:val="00BB0947"/>
    <w:rsid w:val="00BB099A"/>
    <w:rsid w:val="00BB09AA"/>
    <w:rsid w:val="00BB09E8"/>
    <w:rsid w:val="00BB0A02"/>
    <w:rsid w:val="00BB0A6C"/>
    <w:rsid w:val="00BB0B1E"/>
    <w:rsid w:val="00BB0B66"/>
    <w:rsid w:val="00BB0BF6"/>
    <w:rsid w:val="00BB0C44"/>
    <w:rsid w:val="00BB0C47"/>
    <w:rsid w:val="00BB0C5A"/>
    <w:rsid w:val="00BB0C6F"/>
    <w:rsid w:val="00BB0D71"/>
    <w:rsid w:val="00BB0D96"/>
    <w:rsid w:val="00BB0E69"/>
    <w:rsid w:val="00BB0F4C"/>
    <w:rsid w:val="00BB0F87"/>
    <w:rsid w:val="00BB0F8F"/>
    <w:rsid w:val="00BB0FE9"/>
    <w:rsid w:val="00BB10A6"/>
    <w:rsid w:val="00BB1138"/>
    <w:rsid w:val="00BB119E"/>
    <w:rsid w:val="00BB1208"/>
    <w:rsid w:val="00BB12A1"/>
    <w:rsid w:val="00BB12C8"/>
    <w:rsid w:val="00BB12FD"/>
    <w:rsid w:val="00BB1308"/>
    <w:rsid w:val="00BB1313"/>
    <w:rsid w:val="00BB1327"/>
    <w:rsid w:val="00BB1367"/>
    <w:rsid w:val="00BB1408"/>
    <w:rsid w:val="00BB141A"/>
    <w:rsid w:val="00BB1457"/>
    <w:rsid w:val="00BB14A2"/>
    <w:rsid w:val="00BB14B8"/>
    <w:rsid w:val="00BB156E"/>
    <w:rsid w:val="00BB1579"/>
    <w:rsid w:val="00BB162C"/>
    <w:rsid w:val="00BB1664"/>
    <w:rsid w:val="00BB166D"/>
    <w:rsid w:val="00BB16D2"/>
    <w:rsid w:val="00BB16D8"/>
    <w:rsid w:val="00BB179D"/>
    <w:rsid w:val="00BB17B8"/>
    <w:rsid w:val="00BB17ED"/>
    <w:rsid w:val="00BB1826"/>
    <w:rsid w:val="00BB1843"/>
    <w:rsid w:val="00BB1844"/>
    <w:rsid w:val="00BB184B"/>
    <w:rsid w:val="00BB18D3"/>
    <w:rsid w:val="00BB1906"/>
    <w:rsid w:val="00BB1937"/>
    <w:rsid w:val="00BB19F9"/>
    <w:rsid w:val="00BB1A51"/>
    <w:rsid w:val="00BB1AED"/>
    <w:rsid w:val="00BB1BCF"/>
    <w:rsid w:val="00BB1C2F"/>
    <w:rsid w:val="00BB1C7B"/>
    <w:rsid w:val="00BB1CAD"/>
    <w:rsid w:val="00BB1D10"/>
    <w:rsid w:val="00BB1D25"/>
    <w:rsid w:val="00BB1D80"/>
    <w:rsid w:val="00BB1D9A"/>
    <w:rsid w:val="00BB1E0E"/>
    <w:rsid w:val="00BB1E11"/>
    <w:rsid w:val="00BB1E5A"/>
    <w:rsid w:val="00BB1EAE"/>
    <w:rsid w:val="00BB1F32"/>
    <w:rsid w:val="00BB1F84"/>
    <w:rsid w:val="00BB1FE2"/>
    <w:rsid w:val="00BB2004"/>
    <w:rsid w:val="00BB2055"/>
    <w:rsid w:val="00BB20FD"/>
    <w:rsid w:val="00BB2195"/>
    <w:rsid w:val="00BB21C5"/>
    <w:rsid w:val="00BB21CD"/>
    <w:rsid w:val="00BB220B"/>
    <w:rsid w:val="00BB22B0"/>
    <w:rsid w:val="00BB2351"/>
    <w:rsid w:val="00BB23E6"/>
    <w:rsid w:val="00BB23E9"/>
    <w:rsid w:val="00BB242A"/>
    <w:rsid w:val="00BB246D"/>
    <w:rsid w:val="00BB248D"/>
    <w:rsid w:val="00BB2493"/>
    <w:rsid w:val="00BB24BB"/>
    <w:rsid w:val="00BB24EA"/>
    <w:rsid w:val="00BB250C"/>
    <w:rsid w:val="00BB250E"/>
    <w:rsid w:val="00BB2577"/>
    <w:rsid w:val="00BB25B1"/>
    <w:rsid w:val="00BB25FC"/>
    <w:rsid w:val="00BB2643"/>
    <w:rsid w:val="00BB264F"/>
    <w:rsid w:val="00BB26B7"/>
    <w:rsid w:val="00BB26FE"/>
    <w:rsid w:val="00BB282C"/>
    <w:rsid w:val="00BB2897"/>
    <w:rsid w:val="00BB28C0"/>
    <w:rsid w:val="00BB28CD"/>
    <w:rsid w:val="00BB28E9"/>
    <w:rsid w:val="00BB295B"/>
    <w:rsid w:val="00BB299B"/>
    <w:rsid w:val="00BB2A6A"/>
    <w:rsid w:val="00BB2A6B"/>
    <w:rsid w:val="00BB2AA8"/>
    <w:rsid w:val="00BB2AC5"/>
    <w:rsid w:val="00BB2B3C"/>
    <w:rsid w:val="00BB2B42"/>
    <w:rsid w:val="00BB2B5E"/>
    <w:rsid w:val="00BB2BCA"/>
    <w:rsid w:val="00BB2BCC"/>
    <w:rsid w:val="00BB2C20"/>
    <w:rsid w:val="00BB2CF7"/>
    <w:rsid w:val="00BB2CFB"/>
    <w:rsid w:val="00BB2D43"/>
    <w:rsid w:val="00BB2D77"/>
    <w:rsid w:val="00BB2DAB"/>
    <w:rsid w:val="00BB2DCF"/>
    <w:rsid w:val="00BB2E28"/>
    <w:rsid w:val="00BB2F18"/>
    <w:rsid w:val="00BB2F1D"/>
    <w:rsid w:val="00BB2F4C"/>
    <w:rsid w:val="00BB2F69"/>
    <w:rsid w:val="00BB2F7A"/>
    <w:rsid w:val="00BB3007"/>
    <w:rsid w:val="00BB3011"/>
    <w:rsid w:val="00BB305F"/>
    <w:rsid w:val="00BB3098"/>
    <w:rsid w:val="00BB3133"/>
    <w:rsid w:val="00BB31D2"/>
    <w:rsid w:val="00BB320F"/>
    <w:rsid w:val="00BB3214"/>
    <w:rsid w:val="00BB335C"/>
    <w:rsid w:val="00BB3452"/>
    <w:rsid w:val="00BB34FA"/>
    <w:rsid w:val="00BB355B"/>
    <w:rsid w:val="00BB357C"/>
    <w:rsid w:val="00BB357F"/>
    <w:rsid w:val="00BB3671"/>
    <w:rsid w:val="00BB37AB"/>
    <w:rsid w:val="00BB38DF"/>
    <w:rsid w:val="00BB396A"/>
    <w:rsid w:val="00BB399D"/>
    <w:rsid w:val="00BB39B6"/>
    <w:rsid w:val="00BB39FF"/>
    <w:rsid w:val="00BB3A89"/>
    <w:rsid w:val="00BB3AD9"/>
    <w:rsid w:val="00BB3B43"/>
    <w:rsid w:val="00BB3B7B"/>
    <w:rsid w:val="00BB3B8B"/>
    <w:rsid w:val="00BB3B91"/>
    <w:rsid w:val="00BB3BB0"/>
    <w:rsid w:val="00BB3C24"/>
    <w:rsid w:val="00BB3CE9"/>
    <w:rsid w:val="00BB3D77"/>
    <w:rsid w:val="00BB3D7E"/>
    <w:rsid w:val="00BB3DEA"/>
    <w:rsid w:val="00BB3F18"/>
    <w:rsid w:val="00BB3F2E"/>
    <w:rsid w:val="00BB405E"/>
    <w:rsid w:val="00BB4091"/>
    <w:rsid w:val="00BB40DD"/>
    <w:rsid w:val="00BB414D"/>
    <w:rsid w:val="00BB424C"/>
    <w:rsid w:val="00BB42D3"/>
    <w:rsid w:val="00BB4336"/>
    <w:rsid w:val="00BB43A0"/>
    <w:rsid w:val="00BB43D0"/>
    <w:rsid w:val="00BB4449"/>
    <w:rsid w:val="00BB4462"/>
    <w:rsid w:val="00BB4463"/>
    <w:rsid w:val="00BB4484"/>
    <w:rsid w:val="00BB44A5"/>
    <w:rsid w:val="00BB45A4"/>
    <w:rsid w:val="00BB45E5"/>
    <w:rsid w:val="00BB463B"/>
    <w:rsid w:val="00BB46E5"/>
    <w:rsid w:val="00BB4799"/>
    <w:rsid w:val="00BB47D9"/>
    <w:rsid w:val="00BB4818"/>
    <w:rsid w:val="00BB481C"/>
    <w:rsid w:val="00BB4839"/>
    <w:rsid w:val="00BB487B"/>
    <w:rsid w:val="00BB48AC"/>
    <w:rsid w:val="00BB49C3"/>
    <w:rsid w:val="00BB49D6"/>
    <w:rsid w:val="00BB4AA0"/>
    <w:rsid w:val="00BB4AB4"/>
    <w:rsid w:val="00BB4ABA"/>
    <w:rsid w:val="00BB4B85"/>
    <w:rsid w:val="00BB4B8C"/>
    <w:rsid w:val="00BB4B92"/>
    <w:rsid w:val="00BB4B9A"/>
    <w:rsid w:val="00BB4D47"/>
    <w:rsid w:val="00BB4E0A"/>
    <w:rsid w:val="00BB4E7B"/>
    <w:rsid w:val="00BB4EA0"/>
    <w:rsid w:val="00BB4F85"/>
    <w:rsid w:val="00BB4FBF"/>
    <w:rsid w:val="00BB4FC0"/>
    <w:rsid w:val="00BB502E"/>
    <w:rsid w:val="00BB5048"/>
    <w:rsid w:val="00BB505C"/>
    <w:rsid w:val="00BB5062"/>
    <w:rsid w:val="00BB50BC"/>
    <w:rsid w:val="00BB5108"/>
    <w:rsid w:val="00BB51B5"/>
    <w:rsid w:val="00BB5256"/>
    <w:rsid w:val="00BB52A7"/>
    <w:rsid w:val="00BB52D3"/>
    <w:rsid w:val="00BB53A4"/>
    <w:rsid w:val="00BB541D"/>
    <w:rsid w:val="00BB5495"/>
    <w:rsid w:val="00BB5500"/>
    <w:rsid w:val="00BB55F8"/>
    <w:rsid w:val="00BB56B6"/>
    <w:rsid w:val="00BB570C"/>
    <w:rsid w:val="00BB573C"/>
    <w:rsid w:val="00BB577B"/>
    <w:rsid w:val="00BB5789"/>
    <w:rsid w:val="00BB5808"/>
    <w:rsid w:val="00BB5867"/>
    <w:rsid w:val="00BB5877"/>
    <w:rsid w:val="00BB5969"/>
    <w:rsid w:val="00BB59F7"/>
    <w:rsid w:val="00BB5B20"/>
    <w:rsid w:val="00BB5B26"/>
    <w:rsid w:val="00BB5C12"/>
    <w:rsid w:val="00BB5C31"/>
    <w:rsid w:val="00BB5C32"/>
    <w:rsid w:val="00BB5CA1"/>
    <w:rsid w:val="00BB5CD4"/>
    <w:rsid w:val="00BB5CF8"/>
    <w:rsid w:val="00BB5D18"/>
    <w:rsid w:val="00BB5D85"/>
    <w:rsid w:val="00BB5E50"/>
    <w:rsid w:val="00BB5EA0"/>
    <w:rsid w:val="00BB5EB5"/>
    <w:rsid w:val="00BB5F10"/>
    <w:rsid w:val="00BB5F59"/>
    <w:rsid w:val="00BB5FCB"/>
    <w:rsid w:val="00BB6065"/>
    <w:rsid w:val="00BB608B"/>
    <w:rsid w:val="00BB6172"/>
    <w:rsid w:val="00BB618F"/>
    <w:rsid w:val="00BB61A5"/>
    <w:rsid w:val="00BB622E"/>
    <w:rsid w:val="00BB6247"/>
    <w:rsid w:val="00BB6265"/>
    <w:rsid w:val="00BB628F"/>
    <w:rsid w:val="00BB62F2"/>
    <w:rsid w:val="00BB633D"/>
    <w:rsid w:val="00BB63C1"/>
    <w:rsid w:val="00BB63E9"/>
    <w:rsid w:val="00BB6402"/>
    <w:rsid w:val="00BB6440"/>
    <w:rsid w:val="00BB645B"/>
    <w:rsid w:val="00BB645C"/>
    <w:rsid w:val="00BB645D"/>
    <w:rsid w:val="00BB6468"/>
    <w:rsid w:val="00BB646A"/>
    <w:rsid w:val="00BB6474"/>
    <w:rsid w:val="00BB64AB"/>
    <w:rsid w:val="00BB64D4"/>
    <w:rsid w:val="00BB64E8"/>
    <w:rsid w:val="00BB6572"/>
    <w:rsid w:val="00BB65F2"/>
    <w:rsid w:val="00BB6678"/>
    <w:rsid w:val="00BB6679"/>
    <w:rsid w:val="00BB668B"/>
    <w:rsid w:val="00BB668D"/>
    <w:rsid w:val="00BB66E5"/>
    <w:rsid w:val="00BB672B"/>
    <w:rsid w:val="00BB67F0"/>
    <w:rsid w:val="00BB6850"/>
    <w:rsid w:val="00BB6868"/>
    <w:rsid w:val="00BB68B0"/>
    <w:rsid w:val="00BB68D6"/>
    <w:rsid w:val="00BB6948"/>
    <w:rsid w:val="00BB6953"/>
    <w:rsid w:val="00BB6A57"/>
    <w:rsid w:val="00BB6A61"/>
    <w:rsid w:val="00BB6AB9"/>
    <w:rsid w:val="00BB6B12"/>
    <w:rsid w:val="00BB6B6A"/>
    <w:rsid w:val="00BB6C38"/>
    <w:rsid w:val="00BB6C3C"/>
    <w:rsid w:val="00BB6C41"/>
    <w:rsid w:val="00BB6C75"/>
    <w:rsid w:val="00BB6D07"/>
    <w:rsid w:val="00BB6D2B"/>
    <w:rsid w:val="00BB6D6C"/>
    <w:rsid w:val="00BB6DBF"/>
    <w:rsid w:val="00BB6DC1"/>
    <w:rsid w:val="00BB6DE6"/>
    <w:rsid w:val="00BB6E09"/>
    <w:rsid w:val="00BB6F74"/>
    <w:rsid w:val="00BB6F7C"/>
    <w:rsid w:val="00BB6F90"/>
    <w:rsid w:val="00BB6FC2"/>
    <w:rsid w:val="00BB70D6"/>
    <w:rsid w:val="00BB7114"/>
    <w:rsid w:val="00BB7171"/>
    <w:rsid w:val="00BB717E"/>
    <w:rsid w:val="00BB71B3"/>
    <w:rsid w:val="00BB71BF"/>
    <w:rsid w:val="00BB71C6"/>
    <w:rsid w:val="00BB71C9"/>
    <w:rsid w:val="00BB71ED"/>
    <w:rsid w:val="00BB71FF"/>
    <w:rsid w:val="00BB7211"/>
    <w:rsid w:val="00BB7248"/>
    <w:rsid w:val="00BB726A"/>
    <w:rsid w:val="00BB72AA"/>
    <w:rsid w:val="00BB7346"/>
    <w:rsid w:val="00BB73B2"/>
    <w:rsid w:val="00BB73EE"/>
    <w:rsid w:val="00BB7505"/>
    <w:rsid w:val="00BB7507"/>
    <w:rsid w:val="00BB7526"/>
    <w:rsid w:val="00BB7564"/>
    <w:rsid w:val="00BB7590"/>
    <w:rsid w:val="00BB75D4"/>
    <w:rsid w:val="00BB75DC"/>
    <w:rsid w:val="00BB7602"/>
    <w:rsid w:val="00BB760C"/>
    <w:rsid w:val="00BB765E"/>
    <w:rsid w:val="00BB7696"/>
    <w:rsid w:val="00BB775B"/>
    <w:rsid w:val="00BB7784"/>
    <w:rsid w:val="00BB779D"/>
    <w:rsid w:val="00BB786D"/>
    <w:rsid w:val="00BB78A2"/>
    <w:rsid w:val="00BB7968"/>
    <w:rsid w:val="00BB7974"/>
    <w:rsid w:val="00BB79A9"/>
    <w:rsid w:val="00BB7B6E"/>
    <w:rsid w:val="00BB7BAF"/>
    <w:rsid w:val="00BB7BC5"/>
    <w:rsid w:val="00BB7C74"/>
    <w:rsid w:val="00BB7D80"/>
    <w:rsid w:val="00BB7D94"/>
    <w:rsid w:val="00BB7DAB"/>
    <w:rsid w:val="00BB7DBF"/>
    <w:rsid w:val="00BB7EB1"/>
    <w:rsid w:val="00BB7EB2"/>
    <w:rsid w:val="00BB7F20"/>
    <w:rsid w:val="00BB7F38"/>
    <w:rsid w:val="00BB7F4A"/>
    <w:rsid w:val="00BC011F"/>
    <w:rsid w:val="00BC017E"/>
    <w:rsid w:val="00BC01C4"/>
    <w:rsid w:val="00BC01D2"/>
    <w:rsid w:val="00BC01D6"/>
    <w:rsid w:val="00BC026A"/>
    <w:rsid w:val="00BC02D6"/>
    <w:rsid w:val="00BC0307"/>
    <w:rsid w:val="00BC033B"/>
    <w:rsid w:val="00BC0350"/>
    <w:rsid w:val="00BC0370"/>
    <w:rsid w:val="00BC03D0"/>
    <w:rsid w:val="00BC03D9"/>
    <w:rsid w:val="00BC04AA"/>
    <w:rsid w:val="00BC04C7"/>
    <w:rsid w:val="00BC0534"/>
    <w:rsid w:val="00BC0563"/>
    <w:rsid w:val="00BC0565"/>
    <w:rsid w:val="00BC05AD"/>
    <w:rsid w:val="00BC05C3"/>
    <w:rsid w:val="00BC05EA"/>
    <w:rsid w:val="00BC06B8"/>
    <w:rsid w:val="00BC06C3"/>
    <w:rsid w:val="00BC06DA"/>
    <w:rsid w:val="00BC0705"/>
    <w:rsid w:val="00BC0719"/>
    <w:rsid w:val="00BC0755"/>
    <w:rsid w:val="00BC0864"/>
    <w:rsid w:val="00BC089D"/>
    <w:rsid w:val="00BC0937"/>
    <w:rsid w:val="00BC09D5"/>
    <w:rsid w:val="00BC0A34"/>
    <w:rsid w:val="00BC0ACF"/>
    <w:rsid w:val="00BC0B05"/>
    <w:rsid w:val="00BC0B53"/>
    <w:rsid w:val="00BC0B94"/>
    <w:rsid w:val="00BC0BDF"/>
    <w:rsid w:val="00BC0CC2"/>
    <w:rsid w:val="00BC0D38"/>
    <w:rsid w:val="00BC0DB2"/>
    <w:rsid w:val="00BC0DD0"/>
    <w:rsid w:val="00BC0DE4"/>
    <w:rsid w:val="00BC0E06"/>
    <w:rsid w:val="00BC0E7A"/>
    <w:rsid w:val="00BC0F1D"/>
    <w:rsid w:val="00BC0FBF"/>
    <w:rsid w:val="00BC0FC4"/>
    <w:rsid w:val="00BC101D"/>
    <w:rsid w:val="00BC10EC"/>
    <w:rsid w:val="00BC111A"/>
    <w:rsid w:val="00BC1127"/>
    <w:rsid w:val="00BC112D"/>
    <w:rsid w:val="00BC11D7"/>
    <w:rsid w:val="00BC11E7"/>
    <w:rsid w:val="00BC12AF"/>
    <w:rsid w:val="00BC1491"/>
    <w:rsid w:val="00BC1495"/>
    <w:rsid w:val="00BC14D1"/>
    <w:rsid w:val="00BC14F6"/>
    <w:rsid w:val="00BC1503"/>
    <w:rsid w:val="00BC1510"/>
    <w:rsid w:val="00BC1536"/>
    <w:rsid w:val="00BC16E1"/>
    <w:rsid w:val="00BC1832"/>
    <w:rsid w:val="00BC18F1"/>
    <w:rsid w:val="00BC1908"/>
    <w:rsid w:val="00BC19A4"/>
    <w:rsid w:val="00BC1A11"/>
    <w:rsid w:val="00BC1AEA"/>
    <w:rsid w:val="00BC1AF2"/>
    <w:rsid w:val="00BC1B4E"/>
    <w:rsid w:val="00BC1B71"/>
    <w:rsid w:val="00BC1B96"/>
    <w:rsid w:val="00BC1BB4"/>
    <w:rsid w:val="00BC1CA9"/>
    <w:rsid w:val="00BC1E86"/>
    <w:rsid w:val="00BC1EA5"/>
    <w:rsid w:val="00BC1EA8"/>
    <w:rsid w:val="00BC1EC5"/>
    <w:rsid w:val="00BC1F09"/>
    <w:rsid w:val="00BC1F28"/>
    <w:rsid w:val="00BC1FE4"/>
    <w:rsid w:val="00BC2051"/>
    <w:rsid w:val="00BC2054"/>
    <w:rsid w:val="00BC207A"/>
    <w:rsid w:val="00BC2123"/>
    <w:rsid w:val="00BC2139"/>
    <w:rsid w:val="00BC213F"/>
    <w:rsid w:val="00BC224E"/>
    <w:rsid w:val="00BC2252"/>
    <w:rsid w:val="00BC2302"/>
    <w:rsid w:val="00BC236A"/>
    <w:rsid w:val="00BC2421"/>
    <w:rsid w:val="00BC245E"/>
    <w:rsid w:val="00BC2462"/>
    <w:rsid w:val="00BC25AB"/>
    <w:rsid w:val="00BC262F"/>
    <w:rsid w:val="00BC2648"/>
    <w:rsid w:val="00BC2691"/>
    <w:rsid w:val="00BC26A2"/>
    <w:rsid w:val="00BC26C4"/>
    <w:rsid w:val="00BC26F6"/>
    <w:rsid w:val="00BC2769"/>
    <w:rsid w:val="00BC276B"/>
    <w:rsid w:val="00BC277F"/>
    <w:rsid w:val="00BC27A3"/>
    <w:rsid w:val="00BC27FD"/>
    <w:rsid w:val="00BC281B"/>
    <w:rsid w:val="00BC287C"/>
    <w:rsid w:val="00BC292F"/>
    <w:rsid w:val="00BC29AA"/>
    <w:rsid w:val="00BC29CA"/>
    <w:rsid w:val="00BC2AD9"/>
    <w:rsid w:val="00BC2B53"/>
    <w:rsid w:val="00BC2BA8"/>
    <w:rsid w:val="00BC2BD2"/>
    <w:rsid w:val="00BC2C70"/>
    <w:rsid w:val="00BC2C82"/>
    <w:rsid w:val="00BC2C84"/>
    <w:rsid w:val="00BC2C8F"/>
    <w:rsid w:val="00BC2CA3"/>
    <w:rsid w:val="00BC2CBE"/>
    <w:rsid w:val="00BC2D50"/>
    <w:rsid w:val="00BC2D5C"/>
    <w:rsid w:val="00BC2D72"/>
    <w:rsid w:val="00BC2D95"/>
    <w:rsid w:val="00BC2D9E"/>
    <w:rsid w:val="00BC2DBF"/>
    <w:rsid w:val="00BC2E31"/>
    <w:rsid w:val="00BC2E56"/>
    <w:rsid w:val="00BC2E61"/>
    <w:rsid w:val="00BC2F24"/>
    <w:rsid w:val="00BC2FD3"/>
    <w:rsid w:val="00BC302E"/>
    <w:rsid w:val="00BC3041"/>
    <w:rsid w:val="00BC30F7"/>
    <w:rsid w:val="00BC311D"/>
    <w:rsid w:val="00BC3160"/>
    <w:rsid w:val="00BC324D"/>
    <w:rsid w:val="00BC32AE"/>
    <w:rsid w:val="00BC32F7"/>
    <w:rsid w:val="00BC3336"/>
    <w:rsid w:val="00BC3365"/>
    <w:rsid w:val="00BC3476"/>
    <w:rsid w:val="00BC354C"/>
    <w:rsid w:val="00BC35B5"/>
    <w:rsid w:val="00BC35E4"/>
    <w:rsid w:val="00BC3607"/>
    <w:rsid w:val="00BC364A"/>
    <w:rsid w:val="00BC36DB"/>
    <w:rsid w:val="00BC3842"/>
    <w:rsid w:val="00BC388E"/>
    <w:rsid w:val="00BC39A0"/>
    <w:rsid w:val="00BC3A9C"/>
    <w:rsid w:val="00BC3B1E"/>
    <w:rsid w:val="00BC3B2C"/>
    <w:rsid w:val="00BC3C0D"/>
    <w:rsid w:val="00BC3C61"/>
    <w:rsid w:val="00BC3CC4"/>
    <w:rsid w:val="00BC3D37"/>
    <w:rsid w:val="00BC3D45"/>
    <w:rsid w:val="00BC3EA9"/>
    <w:rsid w:val="00BC3EC5"/>
    <w:rsid w:val="00BC3F09"/>
    <w:rsid w:val="00BC3FE1"/>
    <w:rsid w:val="00BC401D"/>
    <w:rsid w:val="00BC405C"/>
    <w:rsid w:val="00BC409D"/>
    <w:rsid w:val="00BC415D"/>
    <w:rsid w:val="00BC421B"/>
    <w:rsid w:val="00BC4229"/>
    <w:rsid w:val="00BC432D"/>
    <w:rsid w:val="00BC433F"/>
    <w:rsid w:val="00BC434F"/>
    <w:rsid w:val="00BC4358"/>
    <w:rsid w:val="00BC4369"/>
    <w:rsid w:val="00BC4392"/>
    <w:rsid w:val="00BC43B7"/>
    <w:rsid w:val="00BC440B"/>
    <w:rsid w:val="00BC4429"/>
    <w:rsid w:val="00BC443B"/>
    <w:rsid w:val="00BC4477"/>
    <w:rsid w:val="00BC4489"/>
    <w:rsid w:val="00BC4492"/>
    <w:rsid w:val="00BC44A2"/>
    <w:rsid w:val="00BC4603"/>
    <w:rsid w:val="00BC467F"/>
    <w:rsid w:val="00BC46A9"/>
    <w:rsid w:val="00BC46D2"/>
    <w:rsid w:val="00BC46FD"/>
    <w:rsid w:val="00BC4840"/>
    <w:rsid w:val="00BC4847"/>
    <w:rsid w:val="00BC4876"/>
    <w:rsid w:val="00BC4884"/>
    <w:rsid w:val="00BC48A1"/>
    <w:rsid w:val="00BC48A6"/>
    <w:rsid w:val="00BC4907"/>
    <w:rsid w:val="00BC491B"/>
    <w:rsid w:val="00BC49F3"/>
    <w:rsid w:val="00BC49F7"/>
    <w:rsid w:val="00BC4A18"/>
    <w:rsid w:val="00BC4ABF"/>
    <w:rsid w:val="00BC4B5D"/>
    <w:rsid w:val="00BC4BC3"/>
    <w:rsid w:val="00BC4BF7"/>
    <w:rsid w:val="00BC4C02"/>
    <w:rsid w:val="00BC4C47"/>
    <w:rsid w:val="00BC4CDC"/>
    <w:rsid w:val="00BC4D79"/>
    <w:rsid w:val="00BC4DA6"/>
    <w:rsid w:val="00BC4DCB"/>
    <w:rsid w:val="00BC4EA1"/>
    <w:rsid w:val="00BC4F66"/>
    <w:rsid w:val="00BC4F7D"/>
    <w:rsid w:val="00BC4FA3"/>
    <w:rsid w:val="00BC4FD9"/>
    <w:rsid w:val="00BC5041"/>
    <w:rsid w:val="00BC5077"/>
    <w:rsid w:val="00BC50D7"/>
    <w:rsid w:val="00BC513C"/>
    <w:rsid w:val="00BC514B"/>
    <w:rsid w:val="00BC5161"/>
    <w:rsid w:val="00BC51F7"/>
    <w:rsid w:val="00BC5217"/>
    <w:rsid w:val="00BC5289"/>
    <w:rsid w:val="00BC533F"/>
    <w:rsid w:val="00BC5401"/>
    <w:rsid w:val="00BC544B"/>
    <w:rsid w:val="00BC5458"/>
    <w:rsid w:val="00BC5498"/>
    <w:rsid w:val="00BC54C8"/>
    <w:rsid w:val="00BC5550"/>
    <w:rsid w:val="00BC5567"/>
    <w:rsid w:val="00BC5581"/>
    <w:rsid w:val="00BC562E"/>
    <w:rsid w:val="00BC56C4"/>
    <w:rsid w:val="00BC5707"/>
    <w:rsid w:val="00BC5832"/>
    <w:rsid w:val="00BC588D"/>
    <w:rsid w:val="00BC58F5"/>
    <w:rsid w:val="00BC59B7"/>
    <w:rsid w:val="00BC59C6"/>
    <w:rsid w:val="00BC5A1C"/>
    <w:rsid w:val="00BC5A46"/>
    <w:rsid w:val="00BC5AD9"/>
    <w:rsid w:val="00BC5B5F"/>
    <w:rsid w:val="00BC5B77"/>
    <w:rsid w:val="00BC5BAE"/>
    <w:rsid w:val="00BC5C03"/>
    <w:rsid w:val="00BC5C1F"/>
    <w:rsid w:val="00BC5CD6"/>
    <w:rsid w:val="00BC5CDB"/>
    <w:rsid w:val="00BC5D66"/>
    <w:rsid w:val="00BC5D86"/>
    <w:rsid w:val="00BC5DB5"/>
    <w:rsid w:val="00BC5DF6"/>
    <w:rsid w:val="00BC5DFD"/>
    <w:rsid w:val="00BC5E3D"/>
    <w:rsid w:val="00BC5E92"/>
    <w:rsid w:val="00BC5EC7"/>
    <w:rsid w:val="00BC5F34"/>
    <w:rsid w:val="00BC5FA0"/>
    <w:rsid w:val="00BC6037"/>
    <w:rsid w:val="00BC603C"/>
    <w:rsid w:val="00BC60F7"/>
    <w:rsid w:val="00BC60FA"/>
    <w:rsid w:val="00BC6144"/>
    <w:rsid w:val="00BC61E4"/>
    <w:rsid w:val="00BC621A"/>
    <w:rsid w:val="00BC6307"/>
    <w:rsid w:val="00BC6320"/>
    <w:rsid w:val="00BC6358"/>
    <w:rsid w:val="00BC6368"/>
    <w:rsid w:val="00BC6461"/>
    <w:rsid w:val="00BC648A"/>
    <w:rsid w:val="00BC64E9"/>
    <w:rsid w:val="00BC6508"/>
    <w:rsid w:val="00BC652D"/>
    <w:rsid w:val="00BC65B8"/>
    <w:rsid w:val="00BC65BA"/>
    <w:rsid w:val="00BC665C"/>
    <w:rsid w:val="00BC668B"/>
    <w:rsid w:val="00BC66CA"/>
    <w:rsid w:val="00BC6700"/>
    <w:rsid w:val="00BC671B"/>
    <w:rsid w:val="00BC6723"/>
    <w:rsid w:val="00BC68D2"/>
    <w:rsid w:val="00BC6913"/>
    <w:rsid w:val="00BC691B"/>
    <w:rsid w:val="00BC69EB"/>
    <w:rsid w:val="00BC6A5D"/>
    <w:rsid w:val="00BC6AA5"/>
    <w:rsid w:val="00BC6B31"/>
    <w:rsid w:val="00BC6B70"/>
    <w:rsid w:val="00BC6B84"/>
    <w:rsid w:val="00BC6BA6"/>
    <w:rsid w:val="00BC6BAA"/>
    <w:rsid w:val="00BC6BCF"/>
    <w:rsid w:val="00BC6C30"/>
    <w:rsid w:val="00BC6C64"/>
    <w:rsid w:val="00BC6CDA"/>
    <w:rsid w:val="00BC6D89"/>
    <w:rsid w:val="00BC6DDF"/>
    <w:rsid w:val="00BC6E69"/>
    <w:rsid w:val="00BC6EF4"/>
    <w:rsid w:val="00BC6F15"/>
    <w:rsid w:val="00BC6F89"/>
    <w:rsid w:val="00BC7010"/>
    <w:rsid w:val="00BC7033"/>
    <w:rsid w:val="00BC7061"/>
    <w:rsid w:val="00BC7075"/>
    <w:rsid w:val="00BC70C1"/>
    <w:rsid w:val="00BC7126"/>
    <w:rsid w:val="00BC716C"/>
    <w:rsid w:val="00BC719B"/>
    <w:rsid w:val="00BC71F9"/>
    <w:rsid w:val="00BC725E"/>
    <w:rsid w:val="00BC7270"/>
    <w:rsid w:val="00BC7298"/>
    <w:rsid w:val="00BC740D"/>
    <w:rsid w:val="00BC7450"/>
    <w:rsid w:val="00BC747B"/>
    <w:rsid w:val="00BC74F8"/>
    <w:rsid w:val="00BC7565"/>
    <w:rsid w:val="00BC75C0"/>
    <w:rsid w:val="00BC7648"/>
    <w:rsid w:val="00BC7658"/>
    <w:rsid w:val="00BC7668"/>
    <w:rsid w:val="00BC76E0"/>
    <w:rsid w:val="00BC76F6"/>
    <w:rsid w:val="00BC772E"/>
    <w:rsid w:val="00BC7741"/>
    <w:rsid w:val="00BC7858"/>
    <w:rsid w:val="00BC7884"/>
    <w:rsid w:val="00BC78C3"/>
    <w:rsid w:val="00BC7915"/>
    <w:rsid w:val="00BC7950"/>
    <w:rsid w:val="00BC79E6"/>
    <w:rsid w:val="00BC7A28"/>
    <w:rsid w:val="00BC7A9F"/>
    <w:rsid w:val="00BC7AEB"/>
    <w:rsid w:val="00BC7C56"/>
    <w:rsid w:val="00BC7C6F"/>
    <w:rsid w:val="00BC7CC2"/>
    <w:rsid w:val="00BC7D1D"/>
    <w:rsid w:val="00BC7D44"/>
    <w:rsid w:val="00BC7D95"/>
    <w:rsid w:val="00BC7E20"/>
    <w:rsid w:val="00BC7E27"/>
    <w:rsid w:val="00BC7E3A"/>
    <w:rsid w:val="00BC7E83"/>
    <w:rsid w:val="00BC7E95"/>
    <w:rsid w:val="00BC7EA6"/>
    <w:rsid w:val="00BC7EBC"/>
    <w:rsid w:val="00BC7F28"/>
    <w:rsid w:val="00BD0011"/>
    <w:rsid w:val="00BD003B"/>
    <w:rsid w:val="00BD00AB"/>
    <w:rsid w:val="00BD012C"/>
    <w:rsid w:val="00BD01D5"/>
    <w:rsid w:val="00BD02BB"/>
    <w:rsid w:val="00BD03A3"/>
    <w:rsid w:val="00BD03E0"/>
    <w:rsid w:val="00BD03E8"/>
    <w:rsid w:val="00BD044D"/>
    <w:rsid w:val="00BD049E"/>
    <w:rsid w:val="00BD04AC"/>
    <w:rsid w:val="00BD04C0"/>
    <w:rsid w:val="00BD04D6"/>
    <w:rsid w:val="00BD0512"/>
    <w:rsid w:val="00BD056F"/>
    <w:rsid w:val="00BD0570"/>
    <w:rsid w:val="00BD05F5"/>
    <w:rsid w:val="00BD0670"/>
    <w:rsid w:val="00BD06D4"/>
    <w:rsid w:val="00BD070C"/>
    <w:rsid w:val="00BD0727"/>
    <w:rsid w:val="00BD072D"/>
    <w:rsid w:val="00BD07E6"/>
    <w:rsid w:val="00BD095F"/>
    <w:rsid w:val="00BD09AB"/>
    <w:rsid w:val="00BD09CF"/>
    <w:rsid w:val="00BD09DD"/>
    <w:rsid w:val="00BD0A25"/>
    <w:rsid w:val="00BD0ADA"/>
    <w:rsid w:val="00BD0B15"/>
    <w:rsid w:val="00BD0BB1"/>
    <w:rsid w:val="00BD0C58"/>
    <w:rsid w:val="00BD0CB6"/>
    <w:rsid w:val="00BD0CBC"/>
    <w:rsid w:val="00BD0D76"/>
    <w:rsid w:val="00BD0D7E"/>
    <w:rsid w:val="00BD0F4F"/>
    <w:rsid w:val="00BD0F53"/>
    <w:rsid w:val="00BD0F54"/>
    <w:rsid w:val="00BD0F8C"/>
    <w:rsid w:val="00BD0FA1"/>
    <w:rsid w:val="00BD0FAE"/>
    <w:rsid w:val="00BD1000"/>
    <w:rsid w:val="00BD100F"/>
    <w:rsid w:val="00BD101A"/>
    <w:rsid w:val="00BD106F"/>
    <w:rsid w:val="00BD108E"/>
    <w:rsid w:val="00BD10A9"/>
    <w:rsid w:val="00BD10B3"/>
    <w:rsid w:val="00BD1123"/>
    <w:rsid w:val="00BD1178"/>
    <w:rsid w:val="00BD1184"/>
    <w:rsid w:val="00BD11BD"/>
    <w:rsid w:val="00BD1206"/>
    <w:rsid w:val="00BD1238"/>
    <w:rsid w:val="00BD12EE"/>
    <w:rsid w:val="00BD1391"/>
    <w:rsid w:val="00BD139C"/>
    <w:rsid w:val="00BD139E"/>
    <w:rsid w:val="00BD13CF"/>
    <w:rsid w:val="00BD13D0"/>
    <w:rsid w:val="00BD14F5"/>
    <w:rsid w:val="00BD15C2"/>
    <w:rsid w:val="00BD15D8"/>
    <w:rsid w:val="00BD15DB"/>
    <w:rsid w:val="00BD1680"/>
    <w:rsid w:val="00BD1686"/>
    <w:rsid w:val="00BD169F"/>
    <w:rsid w:val="00BD16A9"/>
    <w:rsid w:val="00BD16BB"/>
    <w:rsid w:val="00BD1707"/>
    <w:rsid w:val="00BD175A"/>
    <w:rsid w:val="00BD17BA"/>
    <w:rsid w:val="00BD1855"/>
    <w:rsid w:val="00BD1867"/>
    <w:rsid w:val="00BD1922"/>
    <w:rsid w:val="00BD19A4"/>
    <w:rsid w:val="00BD19D0"/>
    <w:rsid w:val="00BD1A6C"/>
    <w:rsid w:val="00BD1A7C"/>
    <w:rsid w:val="00BD1B27"/>
    <w:rsid w:val="00BD1B58"/>
    <w:rsid w:val="00BD1C2B"/>
    <w:rsid w:val="00BD1C41"/>
    <w:rsid w:val="00BD1C73"/>
    <w:rsid w:val="00BD1D23"/>
    <w:rsid w:val="00BD1E00"/>
    <w:rsid w:val="00BD1F0A"/>
    <w:rsid w:val="00BD1FA8"/>
    <w:rsid w:val="00BD1FBE"/>
    <w:rsid w:val="00BD1FC0"/>
    <w:rsid w:val="00BD1FF6"/>
    <w:rsid w:val="00BD2021"/>
    <w:rsid w:val="00BD20D1"/>
    <w:rsid w:val="00BD20D5"/>
    <w:rsid w:val="00BD213C"/>
    <w:rsid w:val="00BD2188"/>
    <w:rsid w:val="00BD219D"/>
    <w:rsid w:val="00BD2280"/>
    <w:rsid w:val="00BD2284"/>
    <w:rsid w:val="00BD22AB"/>
    <w:rsid w:val="00BD22C7"/>
    <w:rsid w:val="00BD22EB"/>
    <w:rsid w:val="00BD236F"/>
    <w:rsid w:val="00BD23AE"/>
    <w:rsid w:val="00BD23EC"/>
    <w:rsid w:val="00BD240B"/>
    <w:rsid w:val="00BD2454"/>
    <w:rsid w:val="00BD2483"/>
    <w:rsid w:val="00BD24D3"/>
    <w:rsid w:val="00BD24E2"/>
    <w:rsid w:val="00BD2520"/>
    <w:rsid w:val="00BD2534"/>
    <w:rsid w:val="00BD253A"/>
    <w:rsid w:val="00BD2554"/>
    <w:rsid w:val="00BD2669"/>
    <w:rsid w:val="00BD2698"/>
    <w:rsid w:val="00BD26A8"/>
    <w:rsid w:val="00BD26AA"/>
    <w:rsid w:val="00BD27A7"/>
    <w:rsid w:val="00BD27AD"/>
    <w:rsid w:val="00BD27DF"/>
    <w:rsid w:val="00BD27EA"/>
    <w:rsid w:val="00BD29C8"/>
    <w:rsid w:val="00BD2A42"/>
    <w:rsid w:val="00BD2A5E"/>
    <w:rsid w:val="00BD2B12"/>
    <w:rsid w:val="00BD2B8C"/>
    <w:rsid w:val="00BD2B9E"/>
    <w:rsid w:val="00BD2BE2"/>
    <w:rsid w:val="00BD2BE7"/>
    <w:rsid w:val="00BD2C2E"/>
    <w:rsid w:val="00BD2C4A"/>
    <w:rsid w:val="00BD2C76"/>
    <w:rsid w:val="00BD2CB4"/>
    <w:rsid w:val="00BD2DCA"/>
    <w:rsid w:val="00BD2E45"/>
    <w:rsid w:val="00BD2F32"/>
    <w:rsid w:val="00BD301C"/>
    <w:rsid w:val="00BD3071"/>
    <w:rsid w:val="00BD3096"/>
    <w:rsid w:val="00BD31B7"/>
    <w:rsid w:val="00BD32AB"/>
    <w:rsid w:val="00BD32EE"/>
    <w:rsid w:val="00BD3301"/>
    <w:rsid w:val="00BD348E"/>
    <w:rsid w:val="00BD34A4"/>
    <w:rsid w:val="00BD3591"/>
    <w:rsid w:val="00BD35A0"/>
    <w:rsid w:val="00BD35E9"/>
    <w:rsid w:val="00BD366C"/>
    <w:rsid w:val="00BD3680"/>
    <w:rsid w:val="00BD3693"/>
    <w:rsid w:val="00BD3700"/>
    <w:rsid w:val="00BD3768"/>
    <w:rsid w:val="00BD3791"/>
    <w:rsid w:val="00BD3796"/>
    <w:rsid w:val="00BD379A"/>
    <w:rsid w:val="00BD37AE"/>
    <w:rsid w:val="00BD37C0"/>
    <w:rsid w:val="00BD385D"/>
    <w:rsid w:val="00BD3924"/>
    <w:rsid w:val="00BD3930"/>
    <w:rsid w:val="00BD39A1"/>
    <w:rsid w:val="00BD39A5"/>
    <w:rsid w:val="00BD39B4"/>
    <w:rsid w:val="00BD39D7"/>
    <w:rsid w:val="00BD3A81"/>
    <w:rsid w:val="00BD3B8F"/>
    <w:rsid w:val="00BD3BA1"/>
    <w:rsid w:val="00BD3BD9"/>
    <w:rsid w:val="00BD3BFA"/>
    <w:rsid w:val="00BD3C64"/>
    <w:rsid w:val="00BD3CD1"/>
    <w:rsid w:val="00BD3D03"/>
    <w:rsid w:val="00BD3DDD"/>
    <w:rsid w:val="00BD3E27"/>
    <w:rsid w:val="00BD3F0F"/>
    <w:rsid w:val="00BD3F3A"/>
    <w:rsid w:val="00BD3F8A"/>
    <w:rsid w:val="00BD402F"/>
    <w:rsid w:val="00BD4122"/>
    <w:rsid w:val="00BD416F"/>
    <w:rsid w:val="00BD4175"/>
    <w:rsid w:val="00BD4184"/>
    <w:rsid w:val="00BD42A2"/>
    <w:rsid w:val="00BD4310"/>
    <w:rsid w:val="00BD4336"/>
    <w:rsid w:val="00BD4345"/>
    <w:rsid w:val="00BD43A9"/>
    <w:rsid w:val="00BD43BA"/>
    <w:rsid w:val="00BD4408"/>
    <w:rsid w:val="00BD4434"/>
    <w:rsid w:val="00BD445E"/>
    <w:rsid w:val="00BD44C1"/>
    <w:rsid w:val="00BD450B"/>
    <w:rsid w:val="00BD454F"/>
    <w:rsid w:val="00BD45BA"/>
    <w:rsid w:val="00BD45C6"/>
    <w:rsid w:val="00BD474D"/>
    <w:rsid w:val="00BD479F"/>
    <w:rsid w:val="00BD4862"/>
    <w:rsid w:val="00BD48E0"/>
    <w:rsid w:val="00BD48EF"/>
    <w:rsid w:val="00BD4969"/>
    <w:rsid w:val="00BD4996"/>
    <w:rsid w:val="00BD4A40"/>
    <w:rsid w:val="00BD4A78"/>
    <w:rsid w:val="00BD4AA0"/>
    <w:rsid w:val="00BD4AE0"/>
    <w:rsid w:val="00BD4B12"/>
    <w:rsid w:val="00BD4B6C"/>
    <w:rsid w:val="00BD4B89"/>
    <w:rsid w:val="00BD4BA6"/>
    <w:rsid w:val="00BD4D2D"/>
    <w:rsid w:val="00BD4D62"/>
    <w:rsid w:val="00BD4D80"/>
    <w:rsid w:val="00BD4DC5"/>
    <w:rsid w:val="00BD4E85"/>
    <w:rsid w:val="00BD4EAB"/>
    <w:rsid w:val="00BD4EC9"/>
    <w:rsid w:val="00BD4EE5"/>
    <w:rsid w:val="00BD4F0E"/>
    <w:rsid w:val="00BD4F13"/>
    <w:rsid w:val="00BD4F17"/>
    <w:rsid w:val="00BD4F21"/>
    <w:rsid w:val="00BD4F8D"/>
    <w:rsid w:val="00BD4F9F"/>
    <w:rsid w:val="00BD4FA0"/>
    <w:rsid w:val="00BD4FBD"/>
    <w:rsid w:val="00BD506D"/>
    <w:rsid w:val="00BD5074"/>
    <w:rsid w:val="00BD507D"/>
    <w:rsid w:val="00BD507F"/>
    <w:rsid w:val="00BD50AD"/>
    <w:rsid w:val="00BD5102"/>
    <w:rsid w:val="00BD5108"/>
    <w:rsid w:val="00BD5127"/>
    <w:rsid w:val="00BD5153"/>
    <w:rsid w:val="00BD51A6"/>
    <w:rsid w:val="00BD51B4"/>
    <w:rsid w:val="00BD5236"/>
    <w:rsid w:val="00BD5237"/>
    <w:rsid w:val="00BD52A9"/>
    <w:rsid w:val="00BD5375"/>
    <w:rsid w:val="00BD53AC"/>
    <w:rsid w:val="00BD53CD"/>
    <w:rsid w:val="00BD5430"/>
    <w:rsid w:val="00BD54BF"/>
    <w:rsid w:val="00BD54DA"/>
    <w:rsid w:val="00BD54DC"/>
    <w:rsid w:val="00BD5566"/>
    <w:rsid w:val="00BD55E4"/>
    <w:rsid w:val="00BD5633"/>
    <w:rsid w:val="00BD5634"/>
    <w:rsid w:val="00BD5647"/>
    <w:rsid w:val="00BD56DC"/>
    <w:rsid w:val="00BD572D"/>
    <w:rsid w:val="00BD5851"/>
    <w:rsid w:val="00BD58B5"/>
    <w:rsid w:val="00BD5920"/>
    <w:rsid w:val="00BD5969"/>
    <w:rsid w:val="00BD59B7"/>
    <w:rsid w:val="00BD59F7"/>
    <w:rsid w:val="00BD5A30"/>
    <w:rsid w:val="00BD5A50"/>
    <w:rsid w:val="00BD5AB6"/>
    <w:rsid w:val="00BD5B0D"/>
    <w:rsid w:val="00BD5B8F"/>
    <w:rsid w:val="00BD5CED"/>
    <w:rsid w:val="00BD5CEF"/>
    <w:rsid w:val="00BD5D2C"/>
    <w:rsid w:val="00BD5D61"/>
    <w:rsid w:val="00BD5D7C"/>
    <w:rsid w:val="00BD5DC9"/>
    <w:rsid w:val="00BD5F39"/>
    <w:rsid w:val="00BD5F9A"/>
    <w:rsid w:val="00BD5FEC"/>
    <w:rsid w:val="00BD6014"/>
    <w:rsid w:val="00BD6036"/>
    <w:rsid w:val="00BD60D8"/>
    <w:rsid w:val="00BD60FE"/>
    <w:rsid w:val="00BD6101"/>
    <w:rsid w:val="00BD61CD"/>
    <w:rsid w:val="00BD61EA"/>
    <w:rsid w:val="00BD6206"/>
    <w:rsid w:val="00BD623F"/>
    <w:rsid w:val="00BD62FD"/>
    <w:rsid w:val="00BD6360"/>
    <w:rsid w:val="00BD6371"/>
    <w:rsid w:val="00BD63A1"/>
    <w:rsid w:val="00BD6420"/>
    <w:rsid w:val="00BD6426"/>
    <w:rsid w:val="00BD6458"/>
    <w:rsid w:val="00BD6460"/>
    <w:rsid w:val="00BD64B3"/>
    <w:rsid w:val="00BD64C3"/>
    <w:rsid w:val="00BD6543"/>
    <w:rsid w:val="00BD65D7"/>
    <w:rsid w:val="00BD65E4"/>
    <w:rsid w:val="00BD65EE"/>
    <w:rsid w:val="00BD65FF"/>
    <w:rsid w:val="00BD6706"/>
    <w:rsid w:val="00BD67A2"/>
    <w:rsid w:val="00BD67B9"/>
    <w:rsid w:val="00BD68CB"/>
    <w:rsid w:val="00BD69E5"/>
    <w:rsid w:val="00BD69F6"/>
    <w:rsid w:val="00BD6AD5"/>
    <w:rsid w:val="00BD6B37"/>
    <w:rsid w:val="00BD6B44"/>
    <w:rsid w:val="00BD6BEA"/>
    <w:rsid w:val="00BD6C1A"/>
    <w:rsid w:val="00BD6CD1"/>
    <w:rsid w:val="00BD6D11"/>
    <w:rsid w:val="00BD6D66"/>
    <w:rsid w:val="00BD6DCC"/>
    <w:rsid w:val="00BD6E0E"/>
    <w:rsid w:val="00BD6E12"/>
    <w:rsid w:val="00BD6E36"/>
    <w:rsid w:val="00BD6E49"/>
    <w:rsid w:val="00BD6E63"/>
    <w:rsid w:val="00BD6E6C"/>
    <w:rsid w:val="00BD6E6F"/>
    <w:rsid w:val="00BD6E7C"/>
    <w:rsid w:val="00BD6E82"/>
    <w:rsid w:val="00BD6E8A"/>
    <w:rsid w:val="00BD6F96"/>
    <w:rsid w:val="00BD6FA1"/>
    <w:rsid w:val="00BD6FC8"/>
    <w:rsid w:val="00BD6FEC"/>
    <w:rsid w:val="00BD6FFF"/>
    <w:rsid w:val="00BD7007"/>
    <w:rsid w:val="00BD7052"/>
    <w:rsid w:val="00BD70AE"/>
    <w:rsid w:val="00BD713B"/>
    <w:rsid w:val="00BD7158"/>
    <w:rsid w:val="00BD71A8"/>
    <w:rsid w:val="00BD71E4"/>
    <w:rsid w:val="00BD725F"/>
    <w:rsid w:val="00BD731A"/>
    <w:rsid w:val="00BD7339"/>
    <w:rsid w:val="00BD739C"/>
    <w:rsid w:val="00BD73F5"/>
    <w:rsid w:val="00BD73FE"/>
    <w:rsid w:val="00BD7435"/>
    <w:rsid w:val="00BD749C"/>
    <w:rsid w:val="00BD74D5"/>
    <w:rsid w:val="00BD7519"/>
    <w:rsid w:val="00BD7578"/>
    <w:rsid w:val="00BD75BA"/>
    <w:rsid w:val="00BD75EF"/>
    <w:rsid w:val="00BD7678"/>
    <w:rsid w:val="00BD76AD"/>
    <w:rsid w:val="00BD76B3"/>
    <w:rsid w:val="00BD77D3"/>
    <w:rsid w:val="00BD77D8"/>
    <w:rsid w:val="00BD7823"/>
    <w:rsid w:val="00BD7884"/>
    <w:rsid w:val="00BD78A8"/>
    <w:rsid w:val="00BD792F"/>
    <w:rsid w:val="00BD797E"/>
    <w:rsid w:val="00BD79A8"/>
    <w:rsid w:val="00BD79D7"/>
    <w:rsid w:val="00BD7A13"/>
    <w:rsid w:val="00BD7A1A"/>
    <w:rsid w:val="00BD7A1D"/>
    <w:rsid w:val="00BD7A36"/>
    <w:rsid w:val="00BD7A7E"/>
    <w:rsid w:val="00BD7ADB"/>
    <w:rsid w:val="00BD7ADE"/>
    <w:rsid w:val="00BD7B2F"/>
    <w:rsid w:val="00BD7BF0"/>
    <w:rsid w:val="00BD7C81"/>
    <w:rsid w:val="00BD7D07"/>
    <w:rsid w:val="00BD7D55"/>
    <w:rsid w:val="00BD7E17"/>
    <w:rsid w:val="00BD7E96"/>
    <w:rsid w:val="00BD7EA7"/>
    <w:rsid w:val="00BD7FAB"/>
    <w:rsid w:val="00BE0056"/>
    <w:rsid w:val="00BE0059"/>
    <w:rsid w:val="00BE0091"/>
    <w:rsid w:val="00BE00D4"/>
    <w:rsid w:val="00BE0108"/>
    <w:rsid w:val="00BE0156"/>
    <w:rsid w:val="00BE025D"/>
    <w:rsid w:val="00BE02B6"/>
    <w:rsid w:val="00BE02EC"/>
    <w:rsid w:val="00BE02FD"/>
    <w:rsid w:val="00BE035F"/>
    <w:rsid w:val="00BE0385"/>
    <w:rsid w:val="00BE0398"/>
    <w:rsid w:val="00BE03B1"/>
    <w:rsid w:val="00BE03D5"/>
    <w:rsid w:val="00BE03DB"/>
    <w:rsid w:val="00BE03E6"/>
    <w:rsid w:val="00BE0420"/>
    <w:rsid w:val="00BE0497"/>
    <w:rsid w:val="00BE04A4"/>
    <w:rsid w:val="00BE050E"/>
    <w:rsid w:val="00BE052A"/>
    <w:rsid w:val="00BE055C"/>
    <w:rsid w:val="00BE05B7"/>
    <w:rsid w:val="00BE0659"/>
    <w:rsid w:val="00BE0692"/>
    <w:rsid w:val="00BE0696"/>
    <w:rsid w:val="00BE06DD"/>
    <w:rsid w:val="00BE078A"/>
    <w:rsid w:val="00BE07BD"/>
    <w:rsid w:val="00BE0936"/>
    <w:rsid w:val="00BE0991"/>
    <w:rsid w:val="00BE0998"/>
    <w:rsid w:val="00BE09B9"/>
    <w:rsid w:val="00BE09CD"/>
    <w:rsid w:val="00BE0A8A"/>
    <w:rsid w:val="00BE0AAB"/>
    <w:rsid w:val="00BE0B25"/>
    <w:rsid w:val="00BE0CAA"/>
    <w:rsid w:val="00BE0D24"/>
    <w:rsid w:val="00BE0D2F"/>
    <w:rsid w:val="00BE0D52"/>
    <w:rsid w:val="00BE0D9F"/>
    <w:rsid w:val="00BE0F4E"/>
    <w:rsid w:val="00BE0FA4"/>
    <w:rsid w:val="00BE1041"/>
    <w:rsid w:val="00BE106F"/>
    <w:rsid w:val="00BE10CF"/>
    <w:rsid w:val="00BE110A"/>
    <w:rsid w:val="00BE11D8"/>
    <w:rsid w:val="00BE1203"/>
    <w:rsid w:val="00BE1270"/>
    <w:rsid w:val="00BE12E2"/>
    <w:rsid w:val="00BE12F4"/>
    <w:rsid w:val="00BE13B0"/>
    <w:rsid w:val="00BE143A"/>
    <w:rsid w:val="00BE144F"/>
    <w:rsid w:val="00BE145A"/>
    <w:rsid w:val="00BE14E1"/>
    <w:rsid w:val="00BE1570"/>
    <w:rsid w:val="00BE157A"/>
    <w:rsid w:val="00BE15B4"/>
    <w:rsid w:val="00BE15F0"/>
    <w:rsid w:val="00BE1682"/>
    <w:rsid w:val="00BE16FF"/>
    <w:rsid w:val="00BE170E"/>
    <w:rsid w:val="00BE1744"/>
    <w:rsid w:val="00BE17D5"/>
    <w:rsid w:val="00BE189E"/>
    <w:rsid w:val="00BE189F"/>
    <w:rsid w:val="00BE18E5"/>
    <w:rsid w:val="00BE18E7"/>
    <w:rsid w:val="00BE18F7"/>
    <w:rsid w:val="00BE1963"/>
    <w:rsid w:val="00BE1A15"/>
    <w:rsid w:val="00BE1A26"/>
    <w:rsid w:val="00BE1A40"/>
    <w:rsid w:val="00BE1AA8"/>
    <w:rsid w:val="00BE1B6F"/>
    <w:rsid w:val="00BE1C8F"/>
    <w:rsid w:val="00BE1CE1"/>
    <w:rsid w:val="00BE1CE4"/>
    <w:rsid w:val="00BE1D26"/>
    <w:rsid w:val="00BE1E6D"/>
    <w:rsid w:val="00BE1E78"/>
    <w:rsid w:val="00BE1E95"/>
    <w:rsid w:val="00BE1F08"/>
    <w:rsid w:val="00BE1F44"/>
    <w:rsid w:val="00BE1F94"/>
    <w:rsid w:val="00BE203D"/>
    <w:rsid w:val="00BE2069"/>
    <w:rsid w:val="00BE207C"/>
    <w:rsid w:val="00BE20FC"/>
    <w:rsid w:val="00BE2112"/>
    <w:rsid w:val="00BE211E"/>
    <w:rsid w:val="00BE2134"/>
    <w:rsid w:val="00BE2148"/>
    <w:rsid w:val="00BE219C"/>
    <w:rsid w:val="00BE21B2"/>
    <w:rsid w:val="00BE21B7"/>
    <w:rsid w:val="00BE2266"/>
    <w:rsid w:val="00BE22FC"/>
    <w:rsid w:val="00BE232A"/>
    <w:rsid w:val="00BE2386"/>
    <w:rsid w:val="00BE2413"/>
    <w:rsid w:val="00BE2452"/>
    <w:rsid w:val="00BE248D"/>
    <w:rsid w:val="00BE24AD"/>
    <w:rsid w:val="00BE24E8"/>
    <w:rsid w:val="00BE253F"/>
    <w:rsid w:val="00BE2572"/>
    <w:rsid w:val="00BE25DF"/>
    <w:rsid w:val="00BE25E5"/>
    <w:rsid w:val="00BE26AF"/>
    <w:rsid w:val="00BE26E4"/>
    <w:rsid w:val="00BE26E6"/>
    <w:rsid w:val="00BE2716"/>
    <w:rsid w:val="00BE2772"/>
    <w:rsid w:val="00BE27AD"/>
    <w:rsid w:val="00BE27E1"/>
    <w:rsid w:val="00BE2865"/>
    <w:rsid w:val="00BE2867"/>
    <w:rsid w:val="00BE28F6"/>
    <w:rsid w:val="00BE28FA"/>
    <w:rsid w:val="00BE2966"/>
    <w:rsid w:val="00BE296C"/>
    <w:rsid w:val="00BE29BF"/>
    <w:rsid w:val="00BE2A1C"/>
    <w:rsid w:val="00BE2A39"/>
    <w:rsid w:val="00BE2A42"/>
    <w:rsid w:val="00BE2A6C"/>
    <w:rsid w:val="00BE2B4A"/>
    <w:rsid w:val="00BE2BF4"/>
    <w:rsid w:val="00BE2C30"/>
    <w:rsid w:val="00BE2C5B"/>
    <w:rsid w:val="00BE2C60"/>
    <w:rsid w:val="00BE2CAA"/>
    <w:rsid w:val="00BE2D07"/>
    <w:rsid w:val="00BE2D15"/>
    <w:rsid w:val="00BE2D2A"/>
    <w:rsid w:val="00BE2D53"/>
    <w:rsid w:val="00BE2D88"/>
    <w:rsid w:val="00BE2DD0"/>
    <w:rsid w:val="00BE2DD7"/>
    <w:rsid w:val="00BE2DF2"/>
    <w:rsid w:val="00BE2E36"/>
    <w:rsid w:val="00BE2E75"/>
    <w:rsid w:val="00BE2EDB"/>
    <w:rsid w:val="00BE2F06"/>
    <w:rsid w:val="00BE2F82"/>
    <w:rsid w:val="00BE2FDE"/>
    <w:rsid w:val="00BE3032"/>
    <w:rsid w:val="00BE30A6"/>
    <w:rsid w:val="00BE30FA"/>
    <w:rsid w:val="00BE3227"/>
    <w:rsid w:val="00BE3257"/>
    <w:rsid w:val="00BE3289"/>
    <w:rsid w:val="00BE32FF"/>
    <w:rsid w:val="00BE33E8"/>
    <w:rsid w:val="00BE3473"/>
    <w:rsid w:val="00BE34AA"/>
    <w:rsid w:val="00BE3575"/>
    <w:rsid w:val="00BE35AF"/>
    <w:rsid w:val="00BE35FC"/>
    <w:rsid w:val="00BE360D"/>
    <w:rsid w:val="00BE367C"/>
    <w:rsid w:val="00BE37D0"/>
    <w:rsid w:val="00BE3810"/>
    <w:rsid w:val="00BE3857"/>
    <w:rsid w:val="00BE3863"/>
    <w:rsid w:val="00BE386E"/>
    <w:rsid w:val="00BE3899"/>
    <w:rsid w:val="00BE3937"/>
    <w:rsid w:val="00BE39C1"/>
    <w:rsid w:val="00BE3B13"/>
    <w:rsid w:val="00BE3B1C"/>
    <w:rsid w:val="00BE3B23"/>
    <w:rsid w:val="00BE3B30"/>
    <w:rsid w:val="00BE3B67"/>
    <w:rsid w:val="00BE3B8A"/>
    <w:rsid w:val="00BE3B95"/>
    <w:rsid w:val="00BE3BCA"/>
    <w:rsid w:val="00BE3C8C"/>
    <w:rsid w:val="00BE3D69"/>
    <w:rsid w:val="00BE3D7F"/>
    <w:rsid w:val="00BE3D98"/>
    <w:rsid w:val="00BE3DA6"/>
    <w:rsid w:val="00BE3E0C"/>
    <w:rsid w:val="00BE3E4B"/>
    <w:rsid w:val="00BE3F9A"/>
    <w:rsid w:val="00BE3FE6"/>
    <w:rsid w:val="00BE4027"/>
    <w:rsid w:val="00BE406A"/>
    <w:rsid w:val="00BE4093"/>
    <w:rsid w:val="00BE414F"/>
    <w:rsid w:val="00BE4299"/>
    <w:rsid w:val="00BE42C4"/>
    <w:rsid w:val="00BE42DB"/>
    <w:rsid w:val="00BE42FC"/>
    <w:rsid w:val="00BE4304"/>
    <w:rsid w:val="00BE4397"/>
    <w:rsid w:val="00BE43C7"/>
    <w:rsid w:val="00BE443B"/>
    <w:rsid w:val="00BE445F"/>
    <w:rsid w:val="00BE4474"/>
    <w:rsid w:val="00BE44C3"/>
    <w:rsid w:val="00BE4516"/>
    <w:rsid w:val="00BE459B"/>
    <w:rsid w:val="00BE45DF"/>
    <w:rsid w:val="00BE4649"/>
    <w:rsid w:val="00BE4685"/>
    <w:rsid w:val="00BE46C4"/>
    <w:rsid w:val="00BE4712"/>
    <w:rsid w:val="00BE4804"/>
    <w:rsid w:val="00BE480B"/>
    <w:rsid w:val="00BE484B"/>
    <w:rsid w:val="00BE487A"/>
    <w:rsid w:val="00BE49CB"/>
    <w:rsid w:val="00BE4A26"/>
    <w:rsid w:val="00BE4A67"/>
    <w:rsid w:val="00BE4B21"/>
    <w:rsid w:val="00BE4C04"/>
    <w:rsid w:val="00BE4CA6"/>
    <w:rsid w:val="00BE4D3B"/>
    <w:rsid w:val="00BE4E11"/>
    <w:rsid w:val="00BE4E53"/>
    <w:rsid w:val="00BE4E8D"/>
    <w:rsid w:val="00BE4EBE"/>
    <w:rsid w:val="00BE4EC1"/>
    <w:rsid w:val="00BE4F05"/>
    <w:rsid w:val="00BE4F26"/>
    <w:rsid w:val="00BE4F72"/>
    <w:rsid w:val="00BE4FB2"/>
    <w:rsid w:val="00BE4FC0"/>
    <w:rsid w:val="00BE50A5"/>
    <w:rsid w:val="00BE50D7"/>
    <w:rsid w:val="00BE519E"/>
    <w:rsid w:val="00BE527E"/>
    <w:rsid w:val="00BE528C"/>
    <w:rsid w:val="00BE5365"/>
    <w:rsid w:val="00BE5368"/>
    <w:rsid w:val="00BE53D9"/>
    <w:rsid w:val="00BE53E9"/>
    <w:rsid w:val="00BE5466"/>
    <w:rsid w:val="00BE5511"/>
    <w:rsid w:val="00BE5574"/>
    <w:rsid w:val="00BE558C"/>
    <w:rsid w:val="00BE5591"/>
    <w:rsid w:val="00BE564A"/>
    <w:rsid w:val="00BE564F"/>
    <w:rsid w:val="00BE56B0"/>
    <w:rsid w:val="00BE56EA"/>
    <w:rsid w:val="00BE5713"/>
    <w:rsid w:val="00BE5732"/>
    <w:rsid w:val="00BE5798"/>
    <w:rsid w:val="00BE57B3"/>
    <w:rsid w:val="00BE57BC"/>
    <w:rsid w:val="00BE5850"/>
    <w:rsid w:val="00BE589D"/>
    <w:rsid w:val="00BE5A46"/>
    <w:rsid w:val="00BE5AA3"/>
    <w:rsid w:val="00BE5AC9"/>
    <w:rsid w:val="00BE5AF8"/>
    <w:rsid w:val="00BE5B01"/>
    <w:rsid w:val="00BE5B17"/>
    <w:rsid w:val="00BE5B21"/>
    <w:rsid w:val="00BE5B66"/>
    <w:rsid w:val="00BE5B76"/>
    <w:rsid w:val="00BE5B89"/>
    <w:rsid w:val="00BE5BF2"/>
    <w:rsid w:val="00BE5CDA"/>
    <w:rsid w:val="00BE5D0C"/>
    <w:rsid w:val="00BE5D12"/>
    <w:rsid w:val="00BE5D38"/>
    <w:rsid w:val="00BE5D7C"/>
    <w:rsid w:val="00BE5DDD"/>
    <w:rsid w:val="00BE5DDE"/>
    <w:rsid w:val="00BE5E21"/>
    <w:rsid w:val="00BE5E69"/>
    <w:rsid w:val="00BE5F71"/>
    <w:rsid w:val="00BE5F76"/>
    <w:rsid w:val="00BE5F9C"/>
    <w:rsid w:val="00BE5FCE"/>
    <w:rsid w:val="00BE5FD9"/>
    <w:rsid w:val="00BE6006"/>
    <w:rsid w:val="00BE60FB"/>
    <w:rsid w:val="00BE61A3"/>
    <w:rsid w:val="00BE61C9"/>
    <w:rsid w:val="00BE61E7"/>
    <w:rsid w:val="00BE6261"/>
    <w:rsid w:val="00BE6268"/>
    <w:rsid w:val="00BE626D"/>
    <w:rsid w:val="00BE62C7"/>
    <w:rsid w:val="00BE6315"/>
    <w:rsid w:val="00BE633F"/>
    <w:rsid w:val="00BE6359"/>
    <w:rsid w:val="00BE6380"/>
    <w:rsid w:val="00BE6422"/>
    <w:rsid w:val="00BE64C8"/>
    <w:rsid w:val="00BE64D7"/>
    <w:rsid w:val="00BE6570"/>
    <w:rsid w:val="00BE659D"/>
    <w:rsid w:val="00BE65B1"/>
    <w:rsid w:val="00BE65B6"/>
    <w:rsid w:val="00BE65F3"/>
    <w:rsid w:val="00BE6614"/>
    <w:rsid w:val="00BE663E"/>
    <w:rsid w:val="00BE665C"/>
    <w:rsid w:val="00BE679E"/>
    <w:rsid w:val="00BE67ED"/>
    <w:rsid w:val="00BE67F7"/>
    <w:rsid w:val="00BE680B"/>
    <w:rsid w:val="00BE6972"/>
    <w:rsid w:val="00BE69BB"/>
    <w:rsid w:val="00BE6A1F"/>
    <w:rsid w:val="00BE6A59"/>
    <w:rsid w:val="00BE6A72"/>
    <w:rsid w:val="00BE6AB5"/>
    <w:rsid w:val="00BE6B48"/>
    <w:rsid w:val="00BE6B51"/>
    <w:rsid w:val="00BE6C33"/>
    <w:rsid w:val="00BE6CC3"/>
    <w:rsid w:val="00BE6D46"/>
    <w:rsid w:val="00BE6D4E"/>
    <w:rsid w:val="00BE6E7D"/>
    <w:rsid w:val="00BE6EA9"/>
    <w:rsid w:val="00BE6EF1"/>
    <w:rsid w:val="00BE6F1F"/>
    <w:rsid w:val="00BE6FA0"/>
    <w:rsid w:val="00BE702B"/>
    <w:rsid w:val="00BE71B9"/>
    <w:rsid w:val="00BE71BD"/>
    <w:rsid w:val="00BE71E7"/>
    <w:rsid w:val="00BE71FF"/>
    <w:rsid w:val="00BE7219"/>
    <w:rsid w:val="00BE7282"/>
    <w:rsid w:val="00BE7288"/>
    <w:rsid w:val="00BE72D3"/>
    <w:rsid w:val="00BE72ED"/>
    <w:rsid w:val="00BE735B"/>
    <w:rsid w:val="00BE7411"/>
    <w:rsid w:val="00BE7436"/>
    <w:rsid w:val="00BE748D"/>
    <w:rsid w:val="00BE74BA"/>
    <w:rsid w:val="00BE7562"/>
    <w:rsid w:val="00BE75AD"/>
    <w:rsid w:val="00BE764D"/>
    <w:rsid w:val="00BE768B"/>
    <w:rsid w:val="00BE76A6"/>
    <w:rsid w:val="00BE76E6"/>
    <w:rsid w:val="00BE76FC"/>
    <w:rsid w:val="00BE7702"/>
    <w:rsid w:val="00BE772D"/>
    <w:rsid w:val="00BE775B"/>
    <w:rsid w:val="00BE77F3"/>
    <w:rsid w:val="00BE78C5"/>
    <w:rsid w:val="00BE78FE"/>
    <w:rsid w:val="00BE7A61"/>
    <w:rsid w:val="00BE7ADD"/>
    <w:rsid w:val="00BE7AEF"/>
    <w:rsid w:val="00BE7B45"/>
    <w:rsid w:val="00BE7B61"/>
    <w:rsid w:val="00BE7B93"/>
    <w:rsid w:val="00BE7B9D"/>
    <w:rsid w:val="00BE7C1C"/>
    <w:rsid w:val="00BE7C37"/>
    <w:rsid w:val="00BE7C65"/>
    <w:rsid w:val="00BE7D78"/>
    <w:rsid w:val="00BE7D7E"/>
    <w:rsid w:val="00BE7DBF"/>
    <w:rsid w:val="00BE7EA5"/>
    <w:rsid w:val="00BE7F47"/>
    <w:rsid w:val="00BE7FCA"/>
    <w:rsid w:val="00BE7FF7"/>
    <w:rsid w:val="00BF0027"/>
    <w:rsid w:val="00BF003C"/>
    <w:rsid w:val="00BF004F"/>
    <w:rsid w:val="00BF00C0"/>
    <w:rsid w:val="00BF015D"/>
    <w:rsid w:val="00BF0166"/>
    <w:rsid w:val="00BF01BD"/>
    <w:rsid w:val="00BF01CE"/>
    <w:rsid w:val="00BF020B"/>
    <w:rsid w:val="00BF0216"/>
    <w:rsid w:val="00BF0268"/>
    <w:rsid w:val="00BF02C0"/>
    <w:rsid w:val="00BF0396"/>
    <w:rsid w:val="00BF0415"/>
    <w:rsid w:val="00BF0428"/>
    <w:rsid w:val="00BF0521"/>
    <w:rsid w:val="00BF056F"/>
    <w:rsid w:val="00BF0603"/>
    <w:rsid w:val="00BF060B"/>
    <w:rsid w:val="00BF0676"/>
    <w:rsid w:val="00BF06AE"/>
    <w:rsid w:val="00BF06DE"/>
    <w:rsid w:val="00BF0791"/>
    <w:rsid w:val="00BF081A"/>
    <w:rsid w:val="00BF0888"/>
    <w:rsid w:val="00BF08DB"/>
    <w:rsid w:val="00BF09C4"/>
    <w:rsid w:val="00BF0A63"/>
    <w:rsid w:val="00BF0BB0"/>
    <w:rsid w:val="00BF0BC1"/>
    <w:rsid w:val="00BF0C93"/>
    <w:rsid w:val="00BF0CA8"/>
    <w:rsid w:val="00BF0D04"/>
    <w:rsid w:val="00BF0D2A"/>
    <w:rsid w:val="00BF0D49"/>
    <w:rsid w:val="00BF0D4F"/>
    <w:rsid w:val="00BF0D6A"/>
    <w:rsid w:val="00BF0D6D"/>
    <w:rsid w:val="00BF0D78"/>
    <w:rsid w:val="00BF0E28"/>
    <w:rsid w:val="00BF0E6A"/>
    <w:rsid w:val="00BF0EDF"/>
    <w:rsid w:val="00BF0EEA"/>
    <w:rsid w:val="00BF0F2C"/>
    <w:rsid w:val="00BF0F6D"/>
    <w:rsid w:val="00BF0F81"/>
    <w:rsid w:val="00BF0F82"/>
    <w:rsid w:val="00BF0F83"/>
    <w:rsid w:val="00BF0F98"/>
    <w:rsid w:val="00BF106E"/>
    <w:rsid w:val="00BF1079"/>
    <w:rsid w:val="00BF10FB"/>
    <w:rsid w:val="00BF112A"/>
    <w:rsid w:val="00BF11A9"/>
    <w:rsid w:val="00BF11F5"/>
    <w:rsid w:val="00BF1283"/>
    <w:rsid w:val="00BF1291"/>
    <w:rsid w:val="00BF1346"/>
    <w:rsid w:val="00BF135B"/>
    <w:rsid w:val="00BF13A3"/>
    <w:rsid w:val="00BF13B7"/>
    <w:rsid w:val="00BF14B4"/>
    <w:rsid w:val="00BF15AE"/>
    <w:rsid w:val="00BF165F"/>
    <w:rsid w:val="00BF1670"/>
    <w:rsid w:val="00BF16BE"/>
    <w:rsid w:val="00BF16D0"/>
    <w:rsid w:val="00BF16D2"/>
    <w:rsid w:val="00BF1700"/>
    <w:rsid w:val="00BF1789"/>
    <w:rsid w:val="00BF17B1"/>
    <w:rsid w:val="00BF17DF"/>
    <w:rsid w:val="00BF18B5"/>
    <w:rsid w:val="00BF18C3"/>
    <w:rsid w:val="00BF18F7"/>
    <w:rsid w:val="00BF190D"/>
    <w:rsid w:val="00BF1938"/>
    <w:rsid w:val="00BF19CE"/>
    <w:rsid w:val="00BF1A5A"/>
    <w:rsid w:val="00BF1D00"/>
    <w:rsid w:val="00BF1D44"/>
    <w:rsid w:val="00BF1E5F"/>
    <w:rsid w:val="00BF1E6D"/>
    <w:rsid w:val="00BF1FB5"/>
    <w:rsid w:val="00BF1FBF"/>
    <w:rsid w:val="00BF210B"/>
    <w:rsid w:val="00BF2122"/>
    <w:rsid w:val="00BF217C"/>
    <w:rsid w:val="00BF2190"/>
    <w:rsid w:val="00BF21F8"/>
    <w:rsid w:val="00BF224A"/>
    <w:rsid w:val="00BF2330"/>
    <w:rsid w:val="00BF2361"/>
    <w:rsid w:val="00BF239D"/>
    <w:rsid w:val="00BF23A4"/>
    <w:rsid w:val="00BF241F"/>
    <w:rsid w:val="00BF2514"/>
    <w:rsid w:val="00BF251C"/>
    <w:rsid w:val="00BF25A6"/>
    <w:rsid w:val="00BF25F0"/>
    <w:rsid w:val="00BF2670"/>
    <w:rsid w:val="00BF2671"/>
    <w:rsid w:val="00BF27E3"/>
    <w:rsid w:val="00BF2893"/>
    <w:rsid w:val="00BF2931"/>
    <w:rsid w:val="00BF2941"/>
    <w:rsid w:val="00BF29B0"/>
    <w:rsid w:val="00BF29F1"/>
    <w:rsid w:val="00BF2A62"/>
    <w:rsid w:val="00BF2AC6"/>
    <w:rsid w:val="00BF2B5B"/>
    <w:rsid w:val="00BF2BE5"/>
    <w:rsid w:val="00BF2BEA"/>
    <w:rsid w:val="00BF2C08"/>
    <w:rsid w:val="00BF2C58"/>
    <w:rsid w:val="00BF2D26"/>
    <w:rsid w:val="00BF2DC0"/>
    <w:rsid w:val="00BF2E1B"/>
    <w:rsid w:val="00BF2EF1"/>
    <w:rsid w:val="00BF2F0B"/>
    <w:rsid w:val="00BF2F0F"/>
    <w:rsid w:val="00BF2F4F"/>
    <w:rsid w:val="00BF2FF5"/>
    <w:rsid w:val="00BF2FF9"/>
    <w:rsid w:val="00BF3097"/>
    <w:rsid w:val="00BF30B9"/>
    <w:rsid w:val="00BF3156"/>
    <w:rsid w:val="00BF31AE"/>
    <w:rsid w:val="00BF31DC"/>
    <w:rsid w:val="00BF3216"/>
    <w:rsid w:val="00BF3222"/>
    <w:rsid w:val="00BF3228"/>
    <w:rsid w:val="00BF32A9"/>
    <w:rsid w:val="00BF344B"/>
    <w:rsid w:val="00BF3539"/>
    <w:rsid w:val="00BF35F4"/>
    <w:rsid w:val="00BF3645"/>
    <w:rsid w:val="00BF3660"/>
    <w:rsid w:val="00BF3794"/>
    <w:rsid w:val="00BF3812"/>
    <w:rsid w:val="00BF3828"/>
    <w:rsid w:val="00BF3883"/>
    <w:rsid w:val="00BF3921"/>
    <w:rsid w:val="00BF3982"/>
    <w:rsid w:val="00BF3A67"/>
    <w:rsid w:val="00BF3A90"/>
    <w:rsid w:val="00BF3AC0"/>
    <w:rsid w:val="00BF3AC3"/>
    <w:rsid w:val="00BF3B4C"/>
    <w:rsid w:val="00BF3C12"/>
    <w:rsid w:val="00BF3CD1"/>
    <w:rsid w:val="00BF3CED"/>
    <w:rsid w:val="00BF3D14"/>
    <w:rsid w:val="00BF3EA5"/>
    <w:rsid w:val="00BF3EAB"/>
    <w:rsid w:val="00BF3F95"/>
    <w:rsid w:val="00BF3FEB"/>
    <w:rsid w:val="00BF4085"/>
    <w:rsid w:val="00BF40B5"/>
    <w:rsid w:val="00BF40E7"/>
    <w:rsid w:val="00BF4143"/>
    <w:rsid w:val="00BF41B6"/>
    <w:rsid w:val="00BF41ED"/>
    <w:rsid w:val="00BF41F1"/>
    <w:rsid w:val="00BF4272"/>
    <w:rsid w:val="00BF4392"/>
    <w:rsid w:val="00BF43A5"/>
    <w:rsid w:val="00BF43D1"/>
    <w:rsid w:val="00BF440A"/>
    <w:rsid w:val="00BF4463"/>
    <w:rsid w:val="00BF4486"/>
    <w:rsid w:val="00BF4519"/>
    <w:rsid w:val="00BF4572"/>
    <w:rsid w:val="00BF457F"/>
    <w:rsid w:val="00BF4595"/>
    <w:rsid w:val="00BF45AF"/>
    <w:rsid w:val="00BF468C"/>
    <w:rsid w:val="00BF468D"/>
    <w:rsid w:val="00BF46A2"/>
    <w:rsid w:val="00BF46DB"/>
    <w:rsid w:val="00BF4703"/>
    <w:rsid w:val="00BF470A"/>
    <w:rsid w:val="00BF48C4"/>
    <w:rsid w:val="00BF48DD"/>
    <w:rsid w:val="00BF493C"/>
    <w:rsid w:val="00BF4950"/>
    <w:rsid w:val="00BF4966"/>
    <w:rsid w:val="00BF497A"/>
    <w:rsid w:val="00BF49FA"/>
    <w:rsid w:val="00BF4A10"/>
    <w:rsid w:val="00BF4A24"/>
    <w:rsid w:val="00BF4A3E"/>
    <w:rsid w:val="00BF4A5A"/>
    <w:rsid w:val="00BF4AE7"/>
    <w:rsid w:val="00BF4B38"/>
    <w:rsid w:val="00BF4BD2"/>
    <w:rsid w:val="00BF4C4B"/>
    <w:rsid w:val="00BF4C7B"/>
    <w:rsid w:val="00BF4CD7"/>
    <w:rsid w:val="00BF4CEE"/>
    <w:rsid w:val="00BF4CF6"/>
    <w:rsid w:val="00BF4CF7"/>
    <w:rsid w:val="00BF4D1E"/>
    <w:rsid w:val="00BF4D30"/>
    <w:rsid w:val="00BF4D47"/>
    <w:rsid w:val="00BF4D4C"/>
    <w:rsid w:val="00BF4D6B"/>
    <w:rsid w:val="00BF4D9B"/>
    <w:rsid w:val="00BF4DFF"/>
    <w:rsid w:val="00BF4E91"/>
    <w:rsid w:val="00BF4EC6"/>
    <w:rsid w:val="00BF4F0D"/>
    <w:rsid w:val="00BF4F76"/>
    <w:rsid w:val="00BF4FB9"/>
    <w:rsid w:val="00BF5057"/>
    <w:rsid w:val="00BF5127"/>
    <w:rsid w:val="00BF5175"/>
    <w:rsid w:val="00BF523C"/>
    <w:rsid w:val="00BF52DA"/>
    <w:rsid w:val="00BF530A"/>
    <w:rsid w:val="00BF532C"/>
    <w:rsid w:val="00BF5393"/>
    <w:rsid w:val="00BF53A5"/>
    <w:rsid w:val="00BF53BA"/>
    <w:rsid w:val="00BF53E2"/>
    <w:rsid w:val="00BF5404"/>
    <w:rsid w:val="00BF542B"/>
    <w:rsid w:val="00BF54C7"/>
    <w:rsid w:val="00BF54F8"/>
    <w:rsid w:val="00BF54FE"/>
    <w:rsid w:val="00BF5549"/>
    <w:rsid w:val="00BF5575"/>
    <w:rsid w:val="00BF5594"/>
    <w:rsid w:val="00BF5625"/>
    <w:rsid w:val="00BF563F"/>
    <w:rsid w:val="00BF5654"/>
    <w:rsid w:val="00BF567A"/>
    <w:rsid w:val="00BF56BA"/>
    <w:rsid w:val="00BF56DA"/>
    <w:rsid w:val="00BF573F"/>
    <w:rsid w:val="00BF57D5"/>
    <w:rsid w:val="00BF5877"/>
    <w:rsid w:val="00BF58DC"/>
    <w:rsid w:val="00BF58F6"/>
    <w:rsid w:val="00BF5935"/>
    <w:rsid w:val="00BF597C"/>
    <w:rsid w:val="00BF597D"/>
    <w:rsid w:val="00BF5A61"/>
    <w:rsid w:val="00BF5AF2"/>
    <w:rsid w:val="00BF5BB0"/>
    <w:rsid w:val="00BF5BE7"/>
    <w:rsid w:val="00BF5BEA"/>
    <w:rsid w:val="00BF5C69"/>
    <w:rsid w:val="00BF5CB3"/>
    <w:rsid w:val="00BF5D13"/>
    <w:rsid w:val="00BF5D27"/>
    <w:rsid w:val="00BF5D2C"/>
    <w:rsid w:val="00BF5D6A"/>
    <w:rsid w:val="00BF5E16"/>
    <w:rsid w:val="00BF5E3F"/>
    <w:rsid w:val="00BF5E44"/>
    <w:rsid w:val="00BF5E63"/>
    <w:rsid w:val="00BF5EF9"/>
    <w:rsid w:val="00BF5F52"/>
    <w:rsid w:val="00BF5F77"/>
    <w:rsid w:val="00BF5FA5"/>
    <w:rsid w:val="00BF5FE1"/>
    <w:rsid w:val="00BF601F"/>
    <w:rsid w:val="00BF604F"/>
    <w:rsid w:val="00BF605A"/>
    <w:rsid w:val="00BF608E"/>
    <w:rsid w:val="00BF612A"/>
    <w:rsid w:val="00BF6236"/>
    <w:rsid w:val="00BF628C"/>
    <w:rsid w:val="00BF62AD"/>
    <w:rsid w:val="00BF62BB"/>
    <w:rsid w:val="00BF6303"/>
    <w:rsid w:val="00BF6345"/>
    <w:rsid w:val="00BF6415"/>
    <w:rsid w:val="00BF6486"/>
    <w:rsid w:val="00BF64D6"/>
    <w:rsid w:val="00BF64D8"/>
    <w:rsid w:val="00BF6523"/>
    <w:rsid w:val="00BF6562"/>
    <w:rsid w:val="00BF65B4"/>
    <w:rsid w:val="00BF65DE"/>
    <w:rsid w:val="00BF6602"/>
    <w:rsid w:val="00BF6668"/>
    <w:rsid w:val="00BF66BB"/>
    <w:rsid w:val="00BF66E6"/>
    <w:rsid w:val="00BF6782"/>
    <w:rsid w:val="00BF6823"/>
    <w:rsid w:val="00BF6847"/>
    <w:rsid w:val="00BF68D9"/>
    <w:rsid w:val="00BF6945"/>
    <w:rsid w:val="00BF699A"/>
    <w:rsid w:val="00BF6A9B"/>
    <w:rsid w:val="00BF6B73"/>
    <w:rsid w:val="00BF6B8F"/>
    <w:rsid w:val="00BF6B96"/>
    <w:rsid w:val="00BF6C26"/>
    <w:rsid w:val="00BF6C45"/>
    <w:rsid w:val="00BF6CB4"/>
    <w:rsid w:val="00BF6D01"/>
    <w:rsid w:val="00BF6D20"/>
    <w:rsid w:val="00BF6D7D"/>
    <w:rsid w:val="00BF6DC5"/>
    <w:rsid w:val="00BF6E52"/>
    <w:rsid w:val="00BF6F7C"/>
    <w:rsid w:val="00BF6FB9"/>
    <w:rsid w:val="00BF70BD"/>
    <w:rsid w:val="00BF7104"/>
    <w:rsid w:val="00BF7116"/>
    <w:rsid w:val="00BF7183"/>
    <w:rsid w:val="00BF7190"/>
    <w:rsid w:val="00BF7198"/>
    <w:rsid w:val="00BF71B6"/>
    <w:rsid w:val="00BF7211"/>
    <w:rsid w:val="00BF724A"/>
    <w:rsid w:val="00BF725B"/>
    <w:rsid w:val="00BF72E7"/>
    <w:rsid w:val="00BF7366"/>
    <w:rsid w:val="00BF73FD"/>
    <w:rsid w:val="00BF7407"/>
    <w:rsid w:val="00BF74CB"/>
    <w:rsid w:val="00BF77A2"/>
    <w:rsid w:val="00BF77CD"/>
    <w:rsid w:val="00BF77D6"/>
    <w:rsid w:val="00BF78F7"/>
    <w:rsid w:val="00BF794D"/>
    <w:rsid w:val="00BF7984"/>
    <w:rsid w:val="00BF79AD"/>
    <w:rsid w:val="00BF79BF"/>
    <w:rsid w:val="00BF79C7"/>
    <w:rsid w:val="00BF79D2"/>
    <w:rsid w:val="00BF7A52"/>
    <w:rsid w:val="00BF7B02"/>
    <w:rsid w:val="00BF7B79"/>
    <w:rsid w:val="00BF7B9B"/>
    <w:rsid w:val="00BF7C79"/>
    <w:rsid w:val="00BF7D0E"/>
    <w:rsid w:val="00BF7D28"/>
    <w:rsid w:val="00BF7D2F"/>
    <w:rsid w:val="00BF7D4C"/>
    <w:rsid w:val="00BF7D64"/>
    <w:rsid w:val="00BF7DB6"/>
    <w:rsid w:val="00BF7DC3"/>
    <w:rsid w:val="00BF7E29"/>
    <w:rsid w:val="00BF7E6E"/>
    <w:rsid w:val="00BF7E81"/>
    <w:rsid w:val="00BF7F30"/>
    <w:rsid w:val="00BF7F3D"/>
    <w:rsid w:val="00BF7F58"/>
    <w:rsid w:val="00BF7FC2"/>
    <w:rsid w:val="00BF7FEE"/>
    <w:rsid w:val="00C00000"/>
    <w:rsid w:val="00C000B4"/>
    <w:rsid w:val="00C00174"/>
    <w:rsid w:val="00C0018C"/>
    <w:rsid w:val="00C001A4"/>
    <w:rsid w:val="00C001EF"/>
    <w:rsid w:val="00C00280"/>
    <w:rsid w:val="00C002FA"/>
    <w:rsid w:val="00C003A1"/>
    <w:rsid w:val="00C004D6"/>
    <w:rsid w:val="00C00557"/>
    <w:rsid w:val="00C0061E"/>
    <w:rsid w:val="00C006BC"/>
    <w:rsid w:val="00C0070F"/>
    <w:rsid w:val="00C0080D"/>
    <w:rsid w:val="00C0082A"/>
    <w:rsid w:val="00C00865"/>
    <w:rsid w:val="00C008AC"/>
    <w:rsid w:val="00C00961"/>
    <w:rsid w:val="00C009B1"/>
    <w:rsid w:val="00C00A87"/>
    <w:rsid w:val="00C00A9D"/>
    <w:rsid w:val="00C00AED"/>
    <w:rsid w:val="00C00B1E"/>
    <w:rsid w:val="00C00B56"/>
    <w:rsid w:val="00C00BE2"/>
    <w:rsid w:val="00C00C4A"/>
    <w:rsid w:val="00C00CA7"/>
    <w:rsid w:val="00C00D8C"/>
    <w:rsid w:val="00C00DB0"/>
    <w:rsid w:val="00C00E4A"/>
    <w:rsid w:val="00C00E55"/>
    <w:rsid w:val="00C00E6A"/>
    <w:rsid w:val="00C0104D"/>
    <w:rsid w:val="00C010AD"/>
    <w:rsid w:val="00C012A5"/>
    <w:rsid w:val="00C012D5"/>
    <w:rsid w:val="00C012FD"/>
    <w:rsid w:val="00C01328"/>
    <w:rsid w:val="00C0132A"/>
    <w:rsid w:val="00C0132B"/>
    <w:rsid w:val="00C013B3"/>
    <w:rsid w:val="00C013B5"/>
    <w:rsid w:val="00C013F8"/>
    <w:rsid w:val="00C01409"/>
    <w:rsid w:val="00C01452"/>
    <w:rsid w:val="00C014EC"/>
    <w:rsid w:val="00C01515"/>
    <w:rsid w:val="00C015E7"/>
    <w:rsid w:val="00C015FC"/>
    <w:rsid w:val="00C01633"/>
    <w:rsid w:val="00C0164F"/>
    <w:rsid w:val="00C0166D"/>
    <w:rsid w:val="00C016B3"/>
    <w:rsid w:val="00C0174C"/>
    <w:rsid w:val="00C017E8"/>
    <w:rsid w:val="00C017ED"/>
    <w:rsid w:val="00C018FC"/>
    <w:rsid w:val="00C01965"/>
    <w:rsid w:val="00C0197C"/>
    <w:rsid w:val="00C019B9"/>
    <w:rsid w:val="00C01A9A"/>
    <w:rsid w:val="00C01B44"/>
    <w:rsid w:val="00C01B98"/>
    <w:rsid w:val="00C01BBF"/>
    <w:rsid w:val="00C01C44"/>
    <w:rsid w:val="00C01CAF"/>
    <w:rsid w:val="00C01CF9"/>
    <w:rsid w:val="00C01DCC"/>
    <w:rsid w:val="00C01E0B"/>
    <w:rsid w:val="00C01E48"/>
    <w:rsid w:val="00C01E85"/>
    <w:rsid w:val="00C01EE0"/>
    <w:rsid w:val="00C01EFE"/>
    <w:rsid w:val="00C01F60"/>
    <w:rsid w:val="00C01FCD"/>
    <w:rsid w:val="00C0200C"/>
    <w:rsid w:val="00C02034"/>
    <w:rsid w:val="00C020EF"/>
    <w:rsid w:val="00C0211B"/>
    <w:rsid w:val="00C02178"/>
    <w:rsid w:val="00C0217E"/>
    <w:rsid w:val="00C0224D"/>
    <w:rsid w:val="00C022F2"/>
    <w:rsid w:val="00C02346"/>
    <w:rsid w:val="00C02555"/>
    <w:rsid w:val="00C0263D"/>
    <w:rsid w:val="00C02728"/>
    <w:rsid w:val="00C027D2"/>
    <w:rsid w:val="00C02810"/>
    <w:rsid w:val="00C02826"/>
    <w:rsid w:val="00C02863"/>
    <w:rsid w:val="00C028B8"/>
    <w:rsid w:val="00C028BB"/>
    <w:rsid w:val="00C028DE"/>
    <w:rsid w:val="00C029B2"/>
    <w:rsid w:val="00C02B7E"/>
    <w:rsid w:val="00C02B93"/>
    <w:rsid w:val="00C02C57"/>
    <w:rsid w:val="00C02CDC"/>
    <w:rsid w:val="00C02D13"/>
    <w:rsid w:val="00C02D7C"/>
    <w:rsid w:val="00C02D7D"/>
    <w:rsid w:val="00C02EAE"/>
    <w:rsid w:val="00C02F43"/>
    <w:rsid w:val="00C0301E"/>
    <w:rsid w:val="00C03027"/>
    <w:rsid w:val="00C03043"/>
    <w:rsid w:val="00C03060"/>
    <w:rsid w:val="00C03061"/>
    <w:rsid w:val="00C030C9"/>
    <w:rsid w:val="00C030D2"/>
    <w:rsid w:val="00C030DB"/>
    <w:rsid w:val="00C03126"/>
    <w:rsid w:val="00C0312C"/>
    <w:rsid w:val="00C0318A"/>
    <w:rsid w:val="00C031BA"/>
    <w:rsid w:val="00C031CD"/>
    <w:rsid w:val="00C031E8"/>
    <w:rsid w:val="00C031F1"/>
    <w:rsid w:val="00C03267"/>
    <w:rsid w:val="00C034A7"/>
    <w:rsid w:val="00C034BF"/>
    <w:rsid w:val="00C034E3"/>
    <w:rsid w:val="00C034EA"/>
    <w:rsid w:val="00C035E6"/>
    <w:rsid w:val="00C03605"/>
    <w:rsid w:val="00C0367E"/>
    <w:rsid w:val="00C03694"/>
    <w:rsid w:val="00C03696"/>
    <w:rsid w:val="00C037E0"/>
    <w:rsid w:val="00C03814"/>
    <w:rsid w:val="00C0381F"/>
    <w:rsid w:val="00C0386A"/>
    <w:rsid w:val="00C0389A"/>
    <w:rsid w:val="00C038C5"/>
    <w:rsid w:val="00C038E5"/>
    <w:rsid w:val="00C0395B"/>
    <w:rsid w:val="00C03965"/>
    <w:rsid w:val="00C039F9"/>
    <w:rsid w:val="00C03A0B"/>
    <w:rsid w:val="00C03A4B"/>
    <w:rsid w:val="00C03A61"/>
    <w:rsid w:val="00C03A62"/>
    <w:rsid w:val="00C03AC2"/>
    <w:rsid w:val="00C03AD6"/>
    <w:rsid w:val="00C03ADA"/>
    <w:rsid w:val="00C03B68"/>
    <w:rsid w:val="00C03BDD"/>
    <w:rsid w:val="00C03CCF"/>
    <w:rsid w:val="00C03D5A"/>
    <w:rsid w:val="00C03D9E"/>
    <w:rsid w:val="00C03DD1"/>
    <w:rsid w:val="00C03DD9"/>
    <w:rsid w:val="00C03DF9"/>
    <w:rsid w:val="00C03E08"/>
    <w:rsid w:val="00C03E23"/>
    <w:rsid w:val="00C03E56"/>
    <w:rsid w:val="00C03E99"/>
    <w:rsid w:val="00C03F14"/>
    <w:rsid w:val="00C03F1C"/>
    <w:rsid w:val="00C03FF5"/>
    <w:rsid w:val="00C0400A"/>
    <w:rsid w:val="00C040B6"/>
    <w:rsid w:val="00C0413E"/>
    <w:rsid w:val="00C041AA"/>
    <w:rsid w:val="00C0421E"/>
    <w:rsid w:val="00C04233"/>
    <w:rsid w:val="00C042D7"/>
    <w:rsid w:val="00C04347"/>
    <w:rsid w:val="00C04377"/>
    <w:rsid w:val="00C043AF"/>
    <w:rsid w:val="00C043E1"/>
    <w:rsid w:val="00C043EF"/>
    <w:rsid w:val="00C04407"/>
    <w:rsid w:val="00C04417"/>
    <w:rsid w:val="00C04492"/>
    <w:rsid w:val="00C044A5"/>
    <w:rsid w:val="00C044BF"/>
    <w:rsid w:val="00C0455B"/>
    <w:rsid w:val="00C045FE"/>
    <w:rsid w:val="00C04689"/>
    <w:rsid w:val="00C046F4"/>
    <w:rsid w:val="00C04710"/>
    <w:rsid w:val="00C04818"/>
    <w:rsid w:val="00C04822"/>
    <w:rsid w:val="00C0499C"/>
    <w:rsid w:val="00C049C3"/>
    <w:rsid w:val="00C04AC7"/>
    <w:rsid w:val="00C04B91"/>
    <w:rsid w:val="00C04BB7"/>
    <w:rsid w:val="00C04C07"/>
    <w:rsid w:val="00C04C10"/>
    <w:rsid w:val="00C04D5A"/>
    <w:rsid w:val="00C04EA5"/>
    <w:rsid w:val="00C04EBE"/>
    <w:rsid w:val="00C04F3D"/>
    <w:rsid w:val="00C04FB6"/>
    <w:rsid w:val="00C04FF6"/>
    <w:rsid w:val="00C04FFA"/>
    <w:rsid w:val="00C05021"/>
    <w:rsid w:val="00C05022"/>
    <w:rsid w:val="00C05041"/>
    <w:rsid w:val="00C05069"/>
    <w:rsid w:val="00C050A5"/>
    <w:rsid w:val="00C050C4"/>
    <w:rsid w:val="00C05105"/>
    <w:rsid w:val="00C05186"/>
    <w:rsid w:val="00C05188"/>
    <w:rsid w:val="00C05191"/>
    <w:rsid w:val="00C0522C"/>
    <w:rsid w:val="00C05237"/>
    <w:rsid w:val="00C05286"/>
    <w:rsid w:val="00C052F9"/>
    <w:rsid w:val="00C05309"/>
    <w:rsid w:val="00C0544C"/>
    <w:rsid w:val="00C05465"/>
    <w:rsid w:val="00C05474"/>
    <w:rsid w:val="00C0547C"/>
    <w:rsid w:val="00C05564"/>
    <w:rsid w:val="00C05569"/>
    <w:rsid w:val="00C0557F"/>
    <w:rsid w:val="00C055AC"/>
    <w:rsid w:val="00C0560B"/>
    <w:rsid w:val="00C05635"/>
    <w:rsid w:val="00C05661"/>
    <w:rsid w:val="00C056E8"/>
    <w:rsid w:val="00C05720"/>
    <w:rsid w:val="00C05754"/>
    <w:rsid w:val="00C05766"/>
    <w:rsid w:val="00C05796"/>
    <w:rsid w:val="00C057A6"/>
    <w:rsid w:val="00C057C2"/>
    <w:rsid w:val="00C057EA"/>
    <w:rsid w:val="00C0580D"/>
    <w:rsid w:val="00C0581A"/>
    <w:rsid w:val="00C0589D"/>
    <w:rsid w:val="00C058C7"/>
    <w:rsid w:val="00C058E0"/>
    <w:rsid w:val="00C058EE"/>
    <w:rsid w:val="00C05965"/>
    <w:rsid w:val="00C0596A"/>
    <w:rsid w:val="00C05970"/>
    <w:rsid w:val="00C05976"/>
    <w:rsid w:val="00C059C7"/>
    <w:rsid w:val="00C05A8E"/>
    <w:rsid w:val="00C05ABC"/>
    <w:rsid w:val="00C05B52"/>
    <w:rsid w:val="00C05B69"/>
    <w:rsid w:val="00C05B7E"/>
    <w:rsid w:val="00C05B9E"/>
    <w:rsid w:val="00C05BA3"/>
    <w:rsid w:val="00C05C03"/>
    <w:rsid w:val="00C05C4C"/>
    <w:rsid w:val="00C05CAA"/>
    <w:rsid w:val="00C05DE0"/>
    <w:rsid w:val="00C05E08"/>
    <w:rsid w:val="00C05EB5"/>
    <w:rsid w:val="00C05EEA"/>
    <w:rsid w:val="00C05F23"/>
    <w:rsid w:val="00C05F9A"/>
    <w:rsid w:val="00C05FB6"/>
    <w:rsid w:val="00C06023"/>
    <w:rsid w:val="00C06070"/>
    <w:rsid w:val="00C06078"/>
    <w:rsid w:val="00C060F4"/>
    <w:rsid w:val="00C0610D"/>
    <w:rsid w:val="00C06145"/>
    <w:rsid w:val="00C0621F"/>
    <w:rsid w:val="00C06272"/>
    <w:rsid w:val="00C062BF"/>
    <w:rsid w:val="00C06368"/>
    <w:rsid w:val="00C06484"/>
    <w:rsid w:val="00C06545"/>
    <w:rsid w:val="00C0657C"/>
    <w:rsid w:val="00C065B3"/>
    <w:rsid w:val="00C0669A"/>
    <w:rsid w:val="00C0669D"/>
    <w:rsid w:val="00C0677D"/>
    <w:rsid w:val="00C06790"/>
    <w:rsid w:val="00C067A2"/>
    <w:rsid w:val="00C067D6"/>
    <w:rsid w:val="00C06909"/>
    <w:rsid w:val="00C06953"/>
    <w:rsid w:val="00C0696F"/>
    <w:rsid w:val="00C06977"/>
    <w:rsid w:val="00C06A1F"/>
    <w:rsid w:val="00C06AF2"/>
    <w:rsid w:val="00C06B0A"/>
    <w:rsid w:val="00C06B21"/>
    <w:rsid w:val="00C06B4F"/>
    <w:rsid w:val="00C06B55"/>
    <w:rsid w:val="00C06BA8"/>
    <w:rsid w:val="00C06CB9"/>
    <w:rsid w:val="00C06CE4"/>
    <w:rsid w:val="00C06CE9"/>
    <w:rsid w:val="00C06D43"/>
    <w:rsid w:val="00C06D4E"/>
    <w:rsid w:val="00C06D89"/>
    <w:rsid w:val="00C06DD9"/>
    <w:rsid w:val="00C06E67"/>
    <w:rsid w:val="00C06F8B"/>
    <w:rsid w:val="00C06FAB"/>
    <w:rsid w:val="00C06FF8"/>
    <w:rsid w:val="00C0705D"/>
    <w:rsid w:val="00C070B7"/>
    <w:rsid w:val="00C0710B"/>
    <w:rsid w:val="00C071A9"/>
    <w:rsid w:val="00C0720C"/>
    <w:rsid w:val="00C07210"/>
    <w:rsid w:val="00C07223"/>
    <w:rsid w:val="00C0739B"/>
    <w:rsid w:val="00C073B5"/>
    <w:rsid w:val="00C073E5"/>
    <w:rsid w:val="00C074AF"/>
    <w:rsid w:val="00C07516"/>
    <w:rsid w:val="00C07556"/>
    <w:rsid w:val="00C07560"/>
    <w:rsid w:val="00C0756B"/>
    <w:rsid w:val="00C07599"/>
    <w:rsid w:val="00C075C0"/>
    <w:rsid w:val="00C075E3"/>
    <w:rsid w:val="00C07611"/>
    <w:rsid w:val="00C07616"/>
    <w:rsid w:val="00C0769A"/>
    <w:rsid w:val="00C07744"/>
    <w:rsid w:val="00C07786"/>
    <w:rsid w:val="00C077E8"/>
    <w:rsid w:val="00C0780F"/>
    <w:rsid w:val="00C0784D"/>
    <w:rsid w:val="00C0787B"/>
    <w:rsid w:val="00C079B7"/>
    <w:rsid w:val="00C07B0C"/>
    <w:rsid w:val="00C07B41"/>
    <w:rsid w:val="00C07B8E"/>
    <w:rsid w:val="00C07BEE"/>
    <w:rsid w:val="00C07C4F"/>
    <w:rsid w:val="00C07C60"/>
    <w:rsid w:val="00C07CBE"/>
    <w:rsid w:val="00C07D38"/>
    <w:rsid w:val="00C07E3B"/>
    <w:rsid w:val="00C07E82"/>
    <w:rsid w:val="00C07E93"/>
    <w:rsid w:val="00C07EFF"/>
    <w:rsid w:val="00C07FBF"/>
    <w:rsid w:val="00C07FF9"/>
    <w:rsid w:val="00C10022"/>
    <w:rsid w:val="00C10069"/>
    <w:rsid w:val="00C1007A"/>
    <w:rsid w:val="00C100D2"/>
    <w:rsid w:val="00C100E1"/>
    <w:rsid w:val="00C10128"/>
    <w:rsid w:val="00C101F3"/>
    <w:rsid w:val="00C101F6"/>
    <w:rsid w:val="00C102C4"/>
    <w:rsid w:val="00C10364"/>
    <w:rsid w:val="00C10365"/>
    <w:rsid w:val="00C103AC"/>
    <w:rsid w:val="00C103F7"/>
    <w:rsid w:val="00C1040D"/>
    <w:rsid w:val="00C1049A"/>
    <w:rsid w:val="00C104C0"/>
    <w:rsid w:val="00C104C4"/>
    <w:rsid w:val="00C104D6"/>
    <w:rsid w:val="00C10555"/>
    <w:rsid w:val="00C1055F"/>
    <w:rsid w:val="00C10592"/>
    <w:rsid w:val="00C105A1"/>
    <w:rsid w:val="00C105CD"/>
    <w:rsid w:val="00C1061F"/>
    <w:rsid w:val="00C10692"/>
    <w:rsid w:val="00C106CB"/>
    <w:rsid w:val="00C106EB"/>
    <w:rsid w:val="00C106FE"/>
    <w:rsid w:val="00C10767"/>
    <w:rsid w:val="00C10798"/>
    <w:rsid w:val="00C107AC"/>
    <w:rsid w:val="00C107B8"/>
    <w:rsid w:val="00C107ED"/>
    <w:rsid w:val="00C107F0"/>
    <w:rsid w:val="00C1080B"/>
    <w:rsid w:val="00C1082C"/>
    <w:rsid w:val="00C1086E"/>
    <w:rsid w:val="00C108A5"/>
    <w:rsid w:val="00C108F3"/>
    <w:rsid w:val="00C10926"/>
    <w:rsid w:val="00C1094C"/>
    <w:rsid w:val="00C10965"/>
    <w:rsid w:val="00C109C3"/>
    <w:rsid w:val="00C109E1"/>
    <w:rsid w:val="00C10A2D"/>
    <w:rsid w:val="00C10A32"/>
    <w:rsid w:val="00C10A44"/>
    <w:rsid w:val="00C10A76"/>
    <w:rsid w:val="00C10C79"/>
    <w:rsid w:val="00C10C8E"/>
    <w:rsid w:val="00C10CA5"/>
    <w:rsid w:val="00C10CCE"/>
    <w:rsid w:val="00C10D22"/>
    <w:rsid w:val="00C10D8A"/>
    <w:rsid w:val="00C10DBD"/>
    <w:rsid w:val="00C10E13"/>
    <w:rsid w:val="00C10E3B"/>
    <w:rsid w:val="00C10E88"/>
    <w:rsid w:val="00C10E8E"/>
    <w:rsid w:val="00C10EB4"/>
    <w:rsid w:val="00C10F4D"/>
    <w:rsid w:val="00C10FD5"/>
    <w:rsid w:val="00C10FE8"/>
    <w:rsid w:val="00C1102A"/>
    <w:rsid w:val="00C110DF"/>
    <w:rsid w:val="00C11155"/>
    <w:rsid w:val="00C111A7"/>
    <w:rsid w:val="00C111AD"/>
    <w:rsid w:val="00C111E9"/>
    <w:rsid w:val="00C111FF"/>
    <w:rsid w:val="00C11254"/>
    <w:rsid w:val="00C1125B"/>
    <w:rsid w:val="00C112AF"/>
    <w:rsid w:val="00C11335"/>
    <w:rsid w:val="00C11374"/>
    <w:rsid w:val="00C11427"/>
    <w:rsid w:val="00C11471"/>
    <w:rsid w:val="00C114BC"/>
    <w:rsid w:val="00C11502"/>
    <w:rsid w:val="00C1151D"/>
    <w:rsid w:val="00C11521"/>
    <w:rsid w:val="00C1156C"/>
    <w:rsid w:val="00C11578"/>
    <w:rsid w:val="00C11616"/>
    <w:rsid w:val="00C11618"/>
    <w:rsid w:val="00C11628"/>
    <w:rsid w:val="00C1165C"/>
    <w:rsid w:val="00C1168A"/>
    <w:rsid w:val="00C11799"/>
    <w:rsid w:val="00C117A6"/>
    <w:rsid w:val="00C1180A"/>
    <w:rsid w:val="00C118D5"/>
    <w:rsid w:val="00C118D6"/>
    <w:rsid w:val="00C11956"/>
    <w:rsid w:val="00C119C8"/>
    <w:rsid w:val="00C11A1C"/>
    <w:rsid w:val="00C11A1D"/>
    <w:rsid w:val="00C11A78"/>
    <w:rsid w:val="00C11AEC"/>
    <w:rsid w:val="00C11B15"/>
    <w:rsid w:val="00C11B3C"/>
    <w:rsid w:val="00C11B9E"/>
    <w:rsid w:val="00C11BB7"/>
    <w:rsid w:val="00C11C49"/>
    <w:rsid w:val="00C11C4A"/>
    <w:rsid w:val="00C11E1D"/>
    <w:rsid w:val="00C11E3F"/>
    <w:rsid w:val="00C11E87"/>
    <w:rsid w:val="00C11EF3"/>
    <w:rsid w:val="00C11EF8"/>
    <w:rsid w:val="00C11F4C"/>
    <w:rsid w:val="00C120D1"/>
    <w:rsid w:val="00C120E3"/>
    <w:rsid w:val="00C12107"/>
    <w:rsid w:val="00C1210F"/>
    <w:rsid w:val="00C12140"/>
    <w:rsid w:val="00C12162"/>
    <w:rsid w:val="00C1220D"/>
    <w:rsid w:val="00C12331"/>
    <w:rsid w:val="00C1235C"/>
    <w:rsid w:val="00C123F9"/>
    <w:rsid w:val="00C12412"/>
    <w:rsid w:val="00C12419"/>
    <w:rsid w:val="00C12422"/>
    <w:rsid w:val="00C124CD"/>
    <w:rsid w:val="00C124FD"/>
    <w:rsid w:val="00C12506"/>
    <w:rsid w:val="00C1259D"/>
    <w:rsid w:val="00C1262D"/>
    <w:rsid w:val="00C1264B"/>
    <w:rsid w:val="00C12659"/>
    <w:rsid w:val="00C126D7"/>
    <w:rsid w:val="00C1271E"/>
    <w:rsid w:val="00C12757"/>
    <w:rsid w:val="00C127AA"/>
    <w:rsid w:val="00C12855"/>
    <w:rsid w:val="00C128A0"/>
    <w:rsid w:val="00C1290F"/>
    <w:rsid w:val="00C12919"/>
    <w:rsid w:val="00C12975"/>
    <w:rsid w:val="00C12981"/>
    <w:rsid w:val="00C12A1B"/>
    <w:rsid w:val="00C12B29"/>
    <w:rsid w:val="00C12C10"/>
    <w:rsid w:val="00C12C53"/>
    <w:rsid w:val="00C12C55"/>
    <w:rsid w:val="00C12D55"/>
    <w:rsid w:val="00C12D9F"/>
    <w:rsid w:val="00C12DE0"/>
    <w:rsid w:val="00C12DF2"/>
    <w:rsid w:val="00C12F0D"/>
    <w:rsid w:val="00C12FC7"/>
    <w:rsid w:val="00C12FE1"/>
    <w:rsid w:val="00C13030"/>
    <w:rsid w:val="00C13084"/>
    <w:rsid w:val="00C130B1"/>
    <w:rsid w:val="00C130E4"/>
    <w:rsid w:val="00C13103"/>
    <w:rsid w:val="00C131EA"/>
    <w:rsid w:val="00C1324D"/>
    <w:rsid w:val="00C1325E"/>
    <w:rsid w:val="00C13274"/>
    <w:rsid w:val="00C1328A"/>
    <w:rsid w:val="00C132D9"/>
    <w:rsid w:val="00C13317"/>
    <w:rsid w:val="00C13429"/>
    <w:rsid w:val="00C13457"/>
    <w:rsid w:val="00C13484"/>
    <w:rsid w:val="00C134B9"/>
    <w:rsid w:val="00C134C3"/>
    <w:rsid w:val="00C134C8"/>
    <w:rsid w:val="00C134E4"/>
    <w:rsid w:val="00C135D7"/>
    <w:rsid w:val="00C1366C"/>
    <w:rsid w:val="00C136AB"/>
    <w:rsid w:val="00C13773"/>
    <w:rsid w:val="00C1379E"/>
    <w:rsid w:val="00C137FF"/>
    <w:rsid w:val="00C13861"/>
    <w:rsid w:val="00C13961"/>
    <w:rsid w:val="00C13994"/>
    <w:rsid w:val="00C139BA"/>
    <w:rsid w:val="00C13A50"/>
    <w:rsid w:val="00C13A5C"/>
    <w:rsid w:val="00C13B4A"/>
    <w:rsid w:val="00C13C6F"/>
    <w:rsid w:val="00C13C9F"/>
    <w:rsid w:val="00C13CC1"/>
    <w:rsid w:val="00C13CF0"/>
    <w:rsid w:val="00C13D01"/>
    <w:rsid w:val="00C13D0D"/>
    <w:rsid w:val="00C13D0F"/>
    <w:rsid w:val="00C13D59"/>
    <w:rsid w:val="00C13D6B"/>
    <w:rsid w:val="00C13DE2"/>
    <w:rsid w:val="00C13DF9"/>
    <w:rsid w:val="00C13E01"/>
    <w:rsid w:val="00C13F66"/>
    <w:rsid w:val="00C13F73"/>
    <w:rsid w:val="00C14032"/>
    <w:rsid w:val="00C140EB"/>
    <w:rsid w:val="00C14134"/>
    <w:rsid w:val="00C14148"/>
    <w:rsid w:val="00C14177"/>
    <w:rsid w:val="00C14184"/>
    <w:rsid w:val="00C141B4"/>
    <w:rsid w:val="00C1423D"/>
    <w:rsid w:val="00C14269"/>
    <w:rsid w:val="00C14290"/>
    <w:rsid w:val="00C142B6"/>
    <w:rsid w:val="00C14308"/>
    <w:rsid w:val="00C14344"/>
    <w:rsid w:val="00C1443B"/>
    <w:rsid w:val="00C1444D"/>
    <w:rsid w:val="00C144FC"/>
    <w:rsid w:val="00C145C3"/>
    <w:rsid w:val="00C145F1"/>
    <w:rsid w:val="00C1461A"/>
    <w:rsid w:val="00C1464C"/>
    <w:rsid w:val="00C14667"/>
    <w:rsid w:val="00C147C3"/>
    <w:rsid w:val="00C147EA"/>
    <w:rsid w:val="00C14858"/>
    <w:rsid w:val="00C148AC"/>
    <w:rsid w:val="00C148B2"/>
    <w:rsid w:val="00C148F8"/>
    <w:rsid w:val="00C14947"/>
    <w:rsid w:val="00C14976"/>
    <w:rsid w:val="00C14992"/>
    <w:rsid w:val="00C149D7"/>
    <w:rsid w:val="00C14A49"/>
    <w:rsid w:val="00C14AF1"/>
    <w:rsid w:val="00C14B10"/>
    <w:rsid w:val="00C14B17"/>
    <w:rsid w:val="00C14C53"/>
    <w:rsid w:val="00C14C61"/>
    <w:rsid w:val="00C14CB4"/>
    <w:rsid w:val="00C14CBF"/>
    <w:rsid w:val="00C14D0D"/>
    <w:rsid w:val="00C14D7D"/>
    <w:rsid w:val="00C14E54"/>
    <w:rsid w:val="00C14E82"/>
    <w:rsid w:val="00C14EE7"/>
    <w:rsid w:val="00C14EF9"/>
    <w:rsid w:val="00C14F07"/>
    <w:rsid w:val="00C14F17"/>
    <w:rsid w:val="00C14FE2"/>
    <w:rsid w:val="00C14FE5"/>
    <w:rsid w:val="00C1505E"/>
    <w:rsid w:val="00C150C4"/>
    <w:rsid w:val="00C15159"/>
    <w:rsid w:val="00C1515D"/>
    <w:rsid w:val="00C15162"/>
    <w:rsid w:val="00C15172"/>
    <w:rsid w:val="00C1525F"/>
    <w:rsid w:val="00C1526E"/>
    <w:rsid w:val="00C152CE"/>
    <w:rsid w:val="00C152E9"/>
    <w:rsid w:val="00C1534A"/>
    <w:rsid w:val="00C15366"/>
    <w:rsid w:val="00C153B9"/>
    <w:rsid w:val="00C15475"/>
    <w:rsid w:val="00C15489"/>
    <w:rsid w:val="00C156CD"/>
    <w:rsid w:val="00C15716"/>
    <w:rsid w:val="00C15777"/>
    <w:rsid w:val="00C157B2"/>
    <w:rsid w:val="00C158B6"/>
    <w:rsid w:val="00C158CD"/>
    <w:rsid w:val="00C15967"/>
    <w:rsid w:val="00C159E2"/>
    <w:rsid w:val="00C15A68"/>
    <w:rsid w:val="00C15A73"/>
    <w:rsid w:val="00C15A7B"/>
    <w:rsid w:val="00C15B3A"/>
    <w:rsid w:val="00C15BD8"/>
    <w:rsid w:val="00C15BED"/>
    <w:rsid w:val="00C15C1A"/>
    <w:rsid w:val="00C15C95"/>
    <w:rsid w:val="00C15D4D"/>
    <w:rsid w:val="00C15D7C"/>
    <w:rsid w:val="00C15E3A"/>
    <w:rsid w:val="00C15F78"/>
    <w:rsid w:val="00C15F98"/>
    <w:rsid w:val="00C15FD0"/>
    <w:rsid w:val="00C15FFF"/>
    <w:rsid w:val="00C16071"/>
    <w:rsid w:val="00C1609B"/>
    <w:rsid w:val="00C160A1"/>
    <w:rsid w:val="00C1616D"/>
    <w:rsid w:val="00C1619F"/>
    <w:rsid w:val="00C161D6"/>
    <w:rsid w:val="00C161DF"/>
    <w:rsid w:val="00C161EC"/>
    <w:rsid w:val="00C16216"/>
    <w:rsid w:val="00C16263"/>
    <w:rsid w:val="00C163F0"/>
    <w:rsid w:val="00C16437"/>
    <w:rsid w:val="00C16473"/>
    <w:rsid w:val="00C1648E"/>
    <w:rsid w:val="00C164D6"/>
    <w:rsid w:val="00C164E9"/>
    <w:rsid w:val="00C164EC"/>
    <w:rsid w:val="00C16521"/>
    <w:rsid w:val="00C16621"/>
    <w:rsid w:val="00C16742"/>
    <w:rsid w:val="00C167AB"/>
    <w:rsid w:val="00C16800"/>
    <w:rsid w:val="00C1685D"/>
    <w:rsid w:val="00C1686F"/>
    <w:rsid w:val="00C168A7"/>
    <w:rsid w:val="00C1692F"/>
    <w:rsid w:val="00C16948"/>
    <w:rsid w:val="00C1699C"/>
    <w:rsid w:val="00C169A9"/>
    <w:rsid w:val="00C169B2"/>
    <w:rsid w:val="00C16A05"/>
    <w:rsid w:val="00C16B24"/>
    <w:rsid w:val="00C16BA7"/>
    <w:rsid w:val="00C16C1A"/>
    <w:rsid w:val="00C16CA4"/>
    <w:rsid w:val="00C16D20"/>
    <w:rsid w:val="00C16D8E"/>
    <w:rsid w:val="00C16DCA"/>
    <w:rsid w:val="00C16E29"/>
    <w:rsid w:val="00C16F9B"/>
    <w:rsid w:val="00C16F9D"/>
    <w:rsid w:val="00C17002"/>
    <w:rsid w:val="00C17009"/>
    <w:rsid w:val="00C17086"/>
    <w:rsid w:val="00C170E5"/>
    <w:rsid w:val="00C1714A"/>
    <w:rsid w:val="00C17188"/>
    <w:rsid w:val="00C17218"/>
    <w:rsid w:val="00C172C2"/>
    <w:rsid w:val="00C172C4"/>
    <w:rsid w:val="00C172D4"/>
    <w:rsid w:val="00C172F3"/>
    <w:rsid w:val="00C1731D"/>
    <w:rsid w:val="00C17393"/>
    <w:rsid w:val="00C173BE"/>
    <w:rsid w:val="00C173C0"/>
    <w:rsid w:val="00C17424"/>
    <w:rsid w:val="00C17448"/>
    <w:rsid w:val="00C17474"/>
    <w:rsid w:val="00C17491"/>
    <w:rsid w:val="00C174AA"/>
    <w:rsid w:val="00C174C8"/>
    <w:rsid w:val="00C174DE"/>
    <w:rsid w:val="00C1753F"/>
    <w:rsid w:val="00C17548"/>
    <w:rsid w:val="00C17552"/>
    <w:rsid w:val="00C17585"/>
    <w:rsid w:val="00C175CB"/>
    <w:rsid w:val="00C175EF"/>
    <w:rsid w:val="00C175FD"/>
    <w:rsid w:val="00C17621"/>
    <w:rsid w:val="00C17704"/>
    <w:rsid w:val="00C17727"/>
    <w:rsid w:val="00C1772A"/>
    <w:rsid w:val="00C17768"/>
    <w:rsid w:val="00C1776D"/>
    <w:rsid w:val="00C177E7"/>
    <w:rsid w:val="00C17900"/>
    <w:rsid w:val="00C1797D"/>
    <w:rsid w:val="00C179C9"/>
    <w:rsid w:val="00C179FF"/>
    <w:rsid w:val="00C17A3E"/>
    <w:rsid w:val="00C17AB4"/>
    <w:rsid w:val="00C17B3E"/>
    <w:rsid w:val="00C17B8D"/>
    <w:rsid w:val="00C17C0B"/>
    <w:rsid w:val="00C17C81"/>
    <w:rsid w:val="00C17D3A"/>
    <w:rsid w:val="00C17DAD"/>
    <w:rsid w:val="00C17E10"/>
    <w:rsid w:val="00C17E6D"/>
    <w:rsid w:val="00C17F87"/>
    <w:rsid w:val="00C17FE2"/>
    <w:rsid w:val="00C2000D"/>
    <w:rsid w:val="00C2012C"/>
    <w:rsid w:val="00C201F0"/>
    <w:rsid w:val="00C20273"/>
    <w:rsid w:val="00C202B3"/>
    <w:rsid w:val="00C2036D"/>
    <w:rsid w:val="00C20371"/>
    <w:rsid w:val="00C203AA"/>
    <w:rsid w:val="00C203B1"/>
    <w:rsid w:val="00C203CE"/>
    <w:rsid w:val="00C203D5"/>
    <w:rsid w:val="00C203E3"/>
    <w:rsid w:val="00C20514"/>
    <w:rsid w:val="00C205C2"/>
    <w:rsid w:val="00C20649"/>
    <w:rsid w:val="00C2071A"/>
    <w:rsid w:val="00C207FC"/>
    <w:rsid w:val="00C20827"/>
    <w:rsid w:val="00C20890"/>
    <w:rsid w:val="00C208BA"/>
    <w:rsid w:val="00C208EF"/>
    <w:rsid w:val="00C20929"/>
    <w:rsid w:val="00C2095F"/>
    <w:rsid w:val="00C20A50"/>
    <w:rsid w:val="00C20A90"/>
    <w:rsid w:val="00C20AD4"/>
    <w:rsid w:val="00C20B01"/>
    <w:rsid w:val="00C20B14"/>
    <w:rsid w:val="00C20B3A"/>
    <w:rsid w:val="00C20B3D"/>
    <w:rsid w:val="00C20BC3"/>
    <w:rsid w:val="00C20C5B"/>
    <w:rsid w:val="00C20C73"/>
    <w:rsid w:val="00C20CAB"/>
    <w:rsid w:val="00C20CB5"/>
    <w:rsid w:val="00C20CC6"/>
    <w:rsid w:val="00C20E62"/>
    <w:rsid w:val="00C20EAE"/>
    <w:rsid w:val="00C20EB9"/>
    <w:rsid w:val="00C20F2D"/>
    <w:rsid w:val="00C20F33"/>
    <w:rsid w:val="00C20F71"/>
    <w:rsid w:val="00C20FDD"/>
    <w:rsid w:val="00C20FE9"/>
    <w:rsid w:val="00C21004"/>
    <w:rsid w:val="00C21007"/>
    <w:rsid w:val="00C2103C"/>
    <w:rsid w:val="00C210FE"/>
    <w:rsid w:val="00C211A4"/>
    <w:rsid w:val="00C211A7"/>
    <w:rsid w:val="00C211D8"/>
    <w:rsid w:val="00C211F1"/>
    <w:rsid w:val="00C2125B"/>
    <w:rsid w:val="00C213F7"/>
    <w:rsid w:val="00C2141B"/>
    <w:rsid w:val="00C21454"/>
    <w:rsid w:val="00C214B9"/>
    <w:rsid w:val="00C214D0"/>
    <w:rsid w:val="00C214EE"/>
    <w:rsid w:val="00C21508"/>
    <w:rsid w:val="00C21535"/>
    <w:rsid w:val="00C215C9"/>
    <w:rsid w:val="00C2161F"/>
    <w:rsid w:val="00C2165C"/>
    <w:rsid w:val="00C2169A"/>
    <w:rsid w:val="00C216A6"/>
    <w:rsid w:val="00C2170A"/>
    <w:rsid w:val="00C21748"/>
    <w:rsid w:val="00C217D1"/>
    <w:rsid w:val="00C2187F"/>
    <w:rsid w:val="00C218C5"/>
    <w:rsid w:val="00C218D3"/>
    <w:rsid w:val="00C2194C"/>
    <w:rsid w:val="00C21AA8"/>
    <w:rsid w:val="00C21B23"/>
    <w:rsid w:val="00C21B98"/>
    <w:rsid w:val="00C21BCF"/>
    <w:rsid w:val="00C21C75"/>
    <w:rsid w:val="00C21CBC"/>
    <w:rsid w:val="00C21D55"/>
    <w:rsid w:val="00C21D8B"/>
    <w:rsid w:val="00C21DD6"/>
    <w:rsid w:val="00C21E32"/>
    <w:rsid w:val="00C21EDB"/>
    <w:rsid w:val="00C21EE0"/>
    <w:rsid w:val="00C21F82"/>
    <w:rsid w:val="00C21FEC"/>
    <w:rsid w:val="00C22013"/>
    <w:rsid w:val="00C22024"/>
    <w:rsid w:val="00C22031"/>
    <w:rsid w:val="00C2205A"/>
    <w:rsid w:val="00C22084"/>
    <w:rsid w:val="00C2210C"/>
    <w:rsid w:val="00C2216D"/>
    <w:rsid w:val="00C221B2"/>
    <w:rsid w:val="00C221F0"/>
    <w:rsid w:val="00C222E7"/>
    <w:rsid w:val="00C2239E"/>
    <w:rsid w:val="00C22430"/>
    <w:rsid w:val="00C2243A"/>
    <w:rsid w:val="00C22456"/>
    <w:rsid w:val="00C2245D"/>
    <w:rsid w:val="00C22463"/>
    <w:rsid w:val="00C22478"/>
    <w:rsid w:val="00C224E1"/>
    <w:rsid w:val="00C224F8"/>
    <w:rsid w:val="00C2250F"/>
    <w:rsid w:val="00C225C2"/>
    <w:rsid w:val="00C2264C"/>
    <w:rsid w:val="00C22661"/>
    <w:rsid w:val="00C2268B"/>
    <w:rsid w:val="00C226A2"/>
    <w:rsid w:val="00C22761"/>
    <w:rsid w:val="00C22774"/>
    <w:rsid w:val="00C227C1"/>
    <w:rsid w:val="00C22820"/>
    <w:rsid w:val="00C22841"/>
    <w:rsid w:val="00C228A7"/>
    <w:rsid w:val="00C22932"/>
    <w:rsid w:val="00C22944"/>
    <w:rsid w:val="00C2296D"/>
    <w:rsid w:val="00C229A5"/>
    <w:rsid w:val="00C22ACC"/>
    <w:rsid w:val="00C22AEB"/>
    <w:rsid w:val="00C22B13"/>
    <w:rsid w:val="00C22B9F"/>
    <w:rsid w:val="00C22BC2"/>
    <w:rsid w:val="00C22BDC"/>
    <w:rsid w:val="00C22BEB"/>
    <w:rsid w:val="00C22C7F"/>
    <w:rsid w:val="00C22CAF"/>
    <w:rsid w:val="00C22CB0"/>
    <w:rsid w:val="00C22CF6"/>
    <w:rsid w:val="00C22E4B"/>
    <w:rsid w:val="00C22E71"/>
    <w:rsid w:val="00C22EBD"/>
    <w:rsid w:val="00C22F27"/>
    <w:rsid w:val="00C22F9C"/>
    <w:rsid w:val="00C2300B"/>
    <w:rsid w:val="00C230DD"/>
    <w:rsid w:val="00C230FA"/>
    <w:rsid w:val="00C231CC"/>
    <w:rsid w:val="00C231E8"/>
    <w:rsid w:val="00C23319"/>
    <w:rsid w:val="00C23337"/>
    <w:rsid w:val="00C2335F"/>
    <w:rsid w:val="00C2337F"/>
    <w:rsid w:val="00C233DA"/>
    <w:rsid w:val="00C23442"/>
    <w:rsid w:val="00C234FF"/>
    <w:rsid w:val="00C23591"/>
    <w:rsid w:val="00C23593"/>
    <w:rsid w:val="00C23612"/>
    <w:rsid w:val="00C2362D"/>
    <w:rsid w:val="00C23672"/>
    <w:rsid w:val="00C2371C"/>
    <w:rsid w:val="00C2374B"/>
    <w:rsid w:val="00C237BF"/>
    <w:rsid w:val="00C23841"/>
    <w:rsid w:val="00C238A4"/>
    <w:rsid w:val="00C23960"/>
    <w:rsid w:val="00C2396D"/>
    <w:rsid w:val="00C239AD"/>
    <w:rsid w:val="00C23A3A"/>
    <w:rsid w:val="00C23A6C"/>
    <w:rsid w:val="00C23AB8"/>
    <w:rsid w:val="00C23AF3"/>
    <w:rsid w:val="00C23B37"/>
    <w:rsid w:val="00C23B6F"/>
    <w:rsid w:val="00C23BE7"/>
    <w:rsid w:val="00C23C9C"/>
    <w:rsid w:val="00C23D79"/>
    <w:rsid w:val="00C23DC0"/>
    <w:rsid w:val="00C23DF7"/>
    <w:rsid w:val="00C23E01"/>
    <w:rsid w:val="00C23EC4"/>
    <w:rsid w:val="00C23EDE"/>
    <w:rsid w:val="00C23F98"/>
    <w:rsid w:val="00C23FB1"/>
    <w:rsid w:val="00C23FD8"/>
    <w:rsid w:val="00C23FFF"/>
    <w:rsid w:val="00C2400E"/>
    <w:rsid w:val="00C24025"/>
    <w:rsid w:val="00C240A3"/>
    <w:rsid w:val="00C240EF"/>
    <w:rsid w:val="00C241A8"/>
    <w:rsid w:val="00C241EB"/>
    <w:rsid w:val="00C241ED"/>
    <w:rsid w:val="00C24286"/>
    <w:rsid w:val="00C24343"/>
    <w:rsid w:val="00C2435F"/>
    <w:rsid w:val="00C2436F"/>
    <w:rsid w:val="00C243E6"/>
    <w:rsid w:val="00C24400"/>
    <w:rsid w:val="00C2441E"/>
    <w:rsid w:val="00C244B9"/>
    <w:rsid w:val="00C245F5"/>
    <w:rsid w:val="00C24706"/>
    <w:rsid w:val="00C24751"/>
    <w:rsid w:val="00C247D2"/>
    <w:rsid w:val="00C248A8"/>
    <w:rsid w:val="00C248D9"/>
    <w:rsid w:val="00C248DA"/>
    <w:rsid w:val="00C2496A"/>
    <w:rsid w:val="00C24997"/>
    <w:rsid w:val="00C249A6"/>
    <w:rsid w:val="00C249AC"/>
    <w:rsid w:val="00C249CD"/>
    <w:rsid w:val="00C249FE"/>
    <w:rsid w:val="00C24A1C"/>
    <w:rsid w:val="00C24A97"/>
    <w:rsid w:val="00C24AE9"/>
    <w:rsid w:val="00C24B14"/>
    <w:rsid w:val="00C24B1B"/>
    <w:rsid w:val="00C24B5D"/>
    <w:rsid w:val="00C24C71"/>
    <w:rsid w:val="00C24C73"/>
    <w:rsid w:val="00C24C85"/>
    <w:rsid w:val="00C24C94"/>
    <w:rsid w:val="00C24CF2"/>
    <w:rsid w:val="00C24D2E"/>
    <w:rsid w:val="00C24DFC"/>
    <w:rsid w:val="00C24E51"/>
    <w:rsid w:val="00C24E70"/>
    <w:rsid w:val="00C24EEE"/>
    <w:rsid w:val="00C24F05"/>
    <w:rsid w:val="00C24F4B"/>
    <w:rsid w:val="00C24F85"/>
    <w:rsid w:val="00C24FE3"/>
    <w:rsid w:val="00C2507F"/>
    <w:rsid w:val="00C25141"/>
    <w:rsid w:val="00C2515B"/>
    <w:rsid w:val="00C2517C"/>
    <w:rsid w:val="00C251E5"/>
    <w:rsid w:val="00C251EC"/>
    <w:rsid w:val="00C2522C"/>
    <w:rsid w:val="00C252C2"/>
    <w:rsid w:val="00C25301"/>
    <w:rsid w:val="00C2539D"/>
    <w:rsid w:val="00C254AF"/>
    <w:rsid w:val="00C25502"/>
    <w:rsid w:val="00C25601"/>
    <w:rsid w:val="00C25631"/>
    <w:rsid w:val="00C256C0"/>
    <w:rsid w:val="00C257AC"/>
    <w:rsid w:val="00C257CC"/>
    <w:rsid w:val="00C25867"/>
    <w:rsid w:val="00C25885"/>
    <w:rsid w:val="00C2588F"/>
    <w:rsid w:val="00C2589E"/>
    <w:rsid w:val="00C2591C"/>
    <w:rsid w:val="00C2592A"/>
    <w:rsid w:val="00C2595D"/>
    <w:rsid w:val="00C259E6"/>
    <w:rsid w:val="00C259E8"/>
    <w:rsid w:val="00C25A42"/>
    <w:rsid w:val="00C25A57"/>
    <w:rsid w:val="00C25B18"/>
    <w:rsid w:val="00C25B2D"/>
    <w:rsid w:val="00C25BCC"/>
    <w:rsid w:val="00C25BE7"/>
    <w:rsid w:val="00C25C00"/>
    <w:rsid w:val="00C25CAF"/>
    <w:rsid w:val="00C25CFB"/>
    <w:rsid w:val="00C25D00"/>
    <w:rsid w:val="00C25D3B"/>
    <w:rsid w:val="00C25D62"/>
    <w:rsid w:val="00C25D8B"/>
    <w:rsid w:val="00C25DC1"/>
    <w:rsid w:val="00C25DC8"/>
    <w:rsid w:val="00C25DFF"/>
    <w:rsid w:val="00C25E18"/>
    <w:rsid w:val="00C25F09"/>
    <w:rsid w:val="00C25F2A"/>
    <w:rsid w:val="00C25F8E"/>
    <w:rsid w:val="00C25FE0"/>
    <w:rsid w:val="00C2604A"/>
    <w:rsid w:val="00C2605E"/>
    <w:rsid w:val="00C26094"/>
    <w:rsid w:val="00C26145"/>
    <w:rsid w:val="00C2618D"/>
    <w:rsid w:val="00C261BE"/>
    <w:rsid w:val="00C2624F"/>
    <w:rsid w:val="00C262AF"/>
    <w:rsid w:val="00C262B3"/>
    <w:rsid w:val="00C26330"/>
    <w:rsid w:val="00C2635D"/>
    <w:rsid w:val="00C2638C"/>
    <w:rsid w:val="00C263A3"/>
    <w:rsid w:val="00C263C5"/>
    <w:rsid w:val="00C263E8"/>
    <w:rsid w:val="00C26546"/>
    <w:rsid w:val="00C26548"/>
    <w:rsid w:val="00C2655D"/>
    <w:rsid w:val="00C26593"/>
    <w:rsid w:val="00C265E0"/>
    <w:rsid w:val="00C2660C"/>
    <w:rsid w:val="00C2665B"/>
    <w:rsid w:val="00C26726"/>
    <w:rsid w:val="00C26765"/>
    <w:rsid w:val="00C267F7"/>
    <w:rsid w:val="00C268AD"/>
    <w:rsid w:val="00C268F8"/>
    <w:rsid w:val="00C26959"/>
    <w:rsid w:val="00C2698A"/>
    <w:rsid w:val="00C26994"/>
    <w:rsid w:val="00C26A52"/>
    <w:rsid w:val="00C26AD6"/>
    <w:rsid w:val="00C26C0C"/>
    <w:rsid w:val="00C26C3A"/>
    <w:rsid w:val="00C26C93"/>
    <w:rsid w:val="00C26D4D"/>
    <w:rsid w:val="00C26DFD"/>
    <w:rsid w:val="00C26E84"/>
    <w:rsid w:val="00C26EF9"/>
    <w:rsid w:val="00C26F2F"/>
    <w:rsid w:val="00C26F8B"/>
    <w:rsid w:val="00C26FB5"/>
    <w:rsid w:val="00C26FD4"/>
    <w:rsid w:val="00C27035"/>
    <w:rsid w:val="00C27063"/>
    <w:rsid w:val="00C27088"/>
    <w:rsid w:val="00C27095"/>
    <w:rsid w:val="00C2715B"/>
    <w:rsid w:val="00C2717F"/>
    <w:rsid w:val="00C27193"/>
    <w:rsid w:val="00C271AB"/>
    <w:rsid w:val="00C27252"/>
    <w:rsid w:val="00C272AE"/>
    <w:rsid w:val="00C27364"/>
    <w:rsid w:val="00C273BB"/>
    <w:rsid w:val="00C273F5"/>
    <w:rsid w:val="00C27409"/>
    <w:rsid w:val="00C27472"/>
    <w:rsid w:val="00C274A9"/>
    <w:rsid w:val="00C274BB"/>
    <w:rsid w:val="00C27502"/>
    <w:rsid w:val="00C2752B"/>
    <w:rsid w:val="00C2759C"/>
    <w:rsid w:val="00C27610"/>
    <w:rsid w:val="00C2762D"/>
    <w:rsid w:val="00C277E5"/>
    <w:rsid w:val="00C27825"/>
    <w:rsid w:val="00C27856"/>
    <w:rsid w:val="00C278CB"/>
    <w:rsid w:val="00C2795B"/>
    <w:rsid w:val="00C2799F"/>
    <w:rsid w:val="00C279C9"/>
    <w:rsid w:val="00C279D7"/>
    <w:rsid w:val="00C27A1E"/>
    <w:rsid w:val="00C27B3C"/>
    <w:rsid w:val="00C27B50"/>
    <w:rsid w:val="00C27B75"/>
    <w:rsid w:val="00C27BB4"/>
    <w:rsid w:val="00C27BEF"/>
    <w:rsid w:val="00C27C98"/>
    <w:rsid w:val="00C27D6C"/>
    <w:rsid w:val="00C27D7B"/>
    <w:rsid w:val="00C27E0A"/>
    <w:rsid w:val="00C27E28"/>
    <w:rsid w:val="00C27E90"/>
    <w:rsid w:val="00C27F5C"/>
    <w:rsid w:val="00C27F69"/>
    <w:rsid w:val="00C27F8E"/>
    <w:rsid w:val="00C27FA6"/>
    <w:rsid w:val="00C27FB2"/>
    <w:rsid w:val="00C27FE1"/>
    <w:rsid w:val="00C30001"/>
    <w:rsid w:val="00C30041"/>
    <w:rsid w:val="00C3007E"/>
    <w:rsid w:val="00C300E1"/>
    <w:rsid w:val="00C3012C"/>
    <w:rsid w:val="00C301EC"/>
    <w:rsid w:val="00C30241"/>
    <w:rsid w:val="00C30297"/>
    <w:rsid w:val="00C302DF"/>
    <w:rsid w:val="00C303C6"/>
    <w:rsid w:val="00C303D7"/>
    <w:rsid w:val="00C304B8"/>
    <w:rsid w:val="00C30583"/>
    <w:rsid w:val="00C30598"/>
    <w:rsid w:val="00C30658"/>
    <w:rsid w:val="00C30685"/>
    <w:rsid w:val="00C30717"/>
    <w:rsid w:val="00C30842"/>
    <w:rsid w:val="00C308AF"/>
    <w:rsid w:val="00C30928"/>
    <w:rsid w:val="00C30971"/>
    <w:rsid w:val="00C30986"/>
    <w:rsid w:val="00C309A5"/>
    <w:rsid w:val="00C309FD"/>
    <w:rsid w:val="00C30A3E"/>
    <w:rsid w:val="00C30A60"/>
    <w:rsid w:val="00C30AD9"/>
    <w:rsid w:val="00C30B39"/>
    <w:rsid w:val="00C30B47"/>
    <w:rsid w:val="00C30B73"/>
    <w:rsid w:val="00C30CC2"/>
    <w:rsid w:val="00C30DA0"/>
    <w:rsid w:val="00C30DBD"/>
    <w:rsid w:val="00C30E12"/>
    <w:rsid w:val="00C30E28"/>
    <w:rsid w:val="00C30E48"/>
    <w:rsid w:val="00C30E84"/>
    <w:rsid w:val="00C30EE0"/>
    <w:rsid w:val="00C30EFB"/>
    <w:rsid w:val="00C30F44"/>
    <w:rsid w:val="00C31066"/>
    <w:rsid w:val="00C3107C"/>
    <w:rsid w:val="00C31080"/>
    <w:rsid w:val="00C31116"/>
    <w:rsid w:val="00C3113F"/>
    <w:rsid w:val="00C31173"/>
    <w:rsid w:val="00C3117B"/>
    <w:rsid w:val="00C311AC"/>
    <w:rsid w:val="00C311E4"/>
    <w:rsid w:val="00C3123E"/>
    <w:rsid w:val="00C31262"/>
    <w:rsid w:val="00C312CA"/>
    <w:rsid w:val="00C312E8"/>
    <w:rsid w:val="00C31388"/>
    <w:rsid w:val="00C31398"/>
    <w:rsid w:val="00C31423"/>
    <w:rsid w:val="00C3142C"/>
    <w:rsid w:val="00C3146E"/>
    <w:rsid w:val="00C314D7"/>
    <w:rsid w:val="00C314DD"/>
    <w:rsid w:val="00C3151D"/>
    <w:rsid w:val="00C3152B"/>
    <w:rsid w:val="00C315FD"/>
    <w:rsid w:val="00C316A8"/>
    <w:rsid w:val="00C316DC"/>
    <w:rsid w:val="00C31714"/>
    <w:rsid w:val="00C31792"/>
    <w:rsid w:val="00C3179A"/>
    <w:rsid w:val="00C3180F"/>
    <w:rsid w:val="00C318BE"/>
    <w:rsid w:val="00C3191E"/>
    <w:rsid w:val="00C31927"/>
    <w:rsid w:val="00C3195A"/>
    <w:rsid w:val="00C3196C"/>
    <w:rsid w:val="00C319A9"/>
    <w:rsid w:val="00C31AF7"/>
    <w:rsid w:val="00C31BD4"/>
    <w:rsid w:val="00C31C1E"/>
    <w:rsid w:val="00C31D4A"/>
    <w:rsid w:val="00C31D89"/>
    <w:rsid w:val="00C31DB8"/>
    <w:rsid w:val="00C31DD9"/>
    <w:rsid w:val="00C31E34"/>
    <w:rsid w:val="00C31E48"/>
    <w:rsid w:val="00C31E52"/>
    <w:rsid w:val="00C31E7F"/>
    <w:rsid w:val="00C31EC6"/>
    <w:rsid w:val="00C31F11"/>
    <w:rsid w:val="00C31F1E"/>
    <w:rsid w:val="00C32029"/>
    <w:rsid w:val="00C3202C"/>
    <w:rsid w:val="00C32031"/>
    <w:rsid w:val="00C32086"/>
    <w:rsid w:val="00C320F2"/>
    <w:rsid w:val="00C32149"/>
    <w:rsid w:val="00C32163"/>
    <w:rsid w:val="00C32169"/>
    <w:rsid w:val="00C32194"/>
    <w:rsid w:val="00C321DA"/>
    <w:rsid w:val="00C32201"/>
    <w:rsid w:val="00C322DA"/>
    <w:rsid w:val="00C323F6"/>
    <w:rsid w:val="00C3247D"/>
    <w:rsid w:val="00C32514"/>
    <w:rsid w:val="00C3252E"/>
    <w:rsid w:val="00C3260E"/>
    <w:rsid w:val="00C3263C"/>
    <w:rsid w:val="00C32649"/>
    <w:rsid w:val="00C3271A"/>
    <w:rsid w:val="00C327D2"/>
    <w:rsid w:val="00C327F1"/>
    <w:rsid w:val="00C32837"/>
    <w:rsid w:val="00C3285E"/>
    <w:rsid w:val="00C328C1"/>
    <w:rsid w:val="00C329B3"/>
    <w:rsid w:val="00C32A10"/>
    <w:rsid w:val="00C32A22"/>
    <w:rsid w:val="00C32B6A"/>
    <w:rsid w:val="00C32BC6"/>
    <w:rsid w:val="00C32C29"/>
    <w:rsid w:val="00C32C94"/>
    <w:rsid w:val="00C32CB3"/>
    <w:rsid w:val="00C32D7A"/>
    <w:rsid w:val="00C32D8D"/>
    <w:rsid w:val="00C32E22"/>
    <w:rsid w:val="00C32E89"/>
    <w:rsid w:val="00C32E98"/>
    <w:rsid w:val="00C32ED4"/>
    <w:rsid w:val="00C32FFC"/>
    <w:rsid w:val="00C3302A"/>
    <w:rsid w:val="00C3309A"/>
    <w:rsid w:val="00C330E0"/>
    <w:rsid w:val="00C33146"/>
    <w:rsid w:val="00C33159"/>
    <w:rsid w:val="00C33171"/>
    <w:rsid w:val="00C3319C"/>
    <w:rsid w:val="00C33261"/>
    <w:rsid w:val="00C3328B"/>
    <w:rsid w:val="00C332BF"/>
    <w:rsid w:val="00C332F6"/>
    <w:rsid w:val="00C333DC"/>
    <w:rsid w:val="00C33405"/>
    <w:rsid w:val="00C33478"/>
    <w:rsid w:val="00C334CC"/>
    <w:rsid w:val="00C334DE"/>
    <w:rsid w:val="00C334E9"/>
    <w:rsid w:val="00C3353C"/>
    <w:rsid w:val="00C335C5"/>
    <w:rsid w:val="00C335E6"/>
    <w:rsid w:val="00C3360B"/>
    <w:rsid w:val="00C3360C"/>
    <w:rsid w:val="00C33647"/>
    <w:rsid w:val="00C33676"/>
    <w:rsid w:val="00C336C8"/>
    <w:rsid w:val="00C336E8"/>
    <w:rsid w:val="00C33700"/>
    <w:rsid w:val="00C33739"/>
    <w:rsid w:val="00C33859"/>
    <w:rsid w:val="00C33878"/>
    <w:rsid w:val="00C3393D"/>
    <w:rsid w:val="00C3399C"/>
    <w:rsid w:val="00C339EE"/>
    <w:rsid w:val="00C33A0D"/>
    <w:rsid w:val="00C33A3E"/>
    <w:rsid w:val="00C33ABE"/>
    <w:rsid w:val="00C33B60"/>
    <w:rsid w:val="00C33B8E"/>
    <w:rsid w:val="00C33BCA"/>
    <w:rsid w:val="00C33C87"/>
    <w:rsid w:val="00C33D2B"/>
    <w:rsid w:val="00C33D49"/>
    <w:rsid w:val="00C33DC4"/>
    <w:rsid w:val="00C33E18"/>
    <w:rsid w:val="00C33EC1"/>
    <w:rsid w:val="00C33FEB"/>
    <w:rsid w:val="00C34069"/>
    <w:rsid w:val="00C34077"/>
    <w:rsid w:val="00C34087"/>
    <w:rsid w:val="00C340AC"/>
    <w:rsid w:val="00C34134"/>
    <w:rsid w:val="00C34148"/>
    <w:rsid w:val="00C34194"/>
    <w:rsid w:val="00C341BC"/>
    <w:rsid w:val="00C341FC"/>
    <w:rsid w:val="00C34240"/>
    <w:rsid w:val="00C342EF"/>
    <w:rsid w:val="00C3431A"/>
    <w:rsid w:val="00C34361"/>
    <w:rsid w:val="00C34367"/>
    <w:rsid w:val="00C3437B"/>
    <w:rsid w:val="00C34450"/>
    <w:rsid w:val="00C344CA"/>
    <w:rsid w:val="00C34514"/>
    <w:rsid w:val="00C34545"/>
    <w:rsid w:val="00C34562"/>
    <w:rsid w:val="00C345A9"/>
    <w:rsid w:val="00C345B2"/>
    <w:rsid w:val="00C345D8"/>
    <w:rsid w:val="00C34603"/>
    <w:rsid w:val="00C3460C"/>
    <w:rsid w:val="00C3462D"/>
    <w:rsid w:val="00C34648"/>
    <w:rsid w:val="00C346DB"/>
    <w:rsid w:val="00C3470D"/>
    <w:rsid w:val="00C3474A"/>
    <w:rsid w:val="00C34756"/>
    <w:rsid w:val="00C34768"/>
    <w:rsid w:val="00C34772"/>
    <w:rsid w:val="00C34775"/>
    <w:rsid w:val="00C34869"/>
    <w:rsid w:val="00C34871"/>
    <w:rsid w:val="00C348C3"/>
    <w:rsid w:val="00C348EC"/>
    <w:rsid w:val="00C348FA"/>
    <w:rsid w:val="00C348FD"/>
    <w:rsid w:val="00C34969"/>
    <w:rsid w:val="00C34990"/>
    <w:rsid w:val="00C349A3"/>
    <w:rsid w:val="00C34A3D"/>
    <w:rsid w:val="00C34AAD"/>
    <w:rsid w:val="00C34AEF"/>
    <w:rsid w:val="00C34B00"/>
    <w:rsid w:val="00C34BE9"/>
    <w:rsid w:val="00C34C1F"/>
    <w:rsid w:val="00C34C44"/>
    <w:rsid w:val="00C34C68"/>
    <w:rsid w:val="00C34D21"/>
    <w:rsid w:val="00C34D64"/>
    <w:rsid w:val="00C34DE6"/>
    <w:rsid w:val="00C34DF6"/>
    <w:rsid w:val="00C34E22"/>
    <w:rsid w:val="00C34F76"/>
    <w:rsid w:val="00C34FE9"/>
    <w:rsid w:val="00C3509A"/>
    <w:rsid w:val="00C350A6"/>
    <w:rsid w:val="00C350AA"/>
    <w:rsid w:val="00C350BA"/>
    <w:rsid w:val="00C350C1"/>
    <w:rsid w:val="00C350E6"/>
    <w:rsid w:val="00C3511C"/>
    <w:rsid w:val="00C3511E"/>
    <w:rsid w:val="00C35143"/>
    <w:rsid w:val="00C3517F"/>
    <w:rsid w:val="00C35184"/>
    <w:rsid w:val="00C351A9"/>
    <w:rsid w:val="00C35230"/>
    <w:rsid w:val="00C3524E"/>
    <w:rsid w:val="00C352A4"/>
    <w:rsid w:val="00C352CD"/>
    <w:rsid w:val="00C35457"/>
    <w:rsid w:val="00C3547F"/>
    <w:rsid w:val="00C35493"/>
    <w:rsid w:val="00C354D2"/>
    <w:rsid w:val="00C354F2"/>
    <w:rsid w:val="00C355A4"/>
    <w:rsid w:val="00C355E1"/>
    <w:rsid w:val="00C355F0"/>
    <w:rsid w:val="00C3562E"/>
    <w:rsid w:val="00C35644"/>
    <w:rsid w:val="00C3566F"/>
    <w:rsid w:val="00C35727"/>
    <w:rsid w:val="00C35732"/>
    <w:rsid w:val="00C35783"/>
    <w:rsid w:val="00C357A8"/>
    <w:rsid w:val="00C35844"/>
    <w:rsid w:val="00C358A4"/>
    <w:rsid w:val="00C358E2"/>
    <w:rsid w:val="00C358EC"/>
    <w:rsid w:val="00C3593A"/>
    <w:rsid w:val="00C35A04"/>
    <w:rsid w:val="00C35A24"/>
    <w:rsid w:val="00C35A25"/>
    <w:rsid w:val="00C35A64"/>
    <w:rsid w:val="00C35B4D"/>
    <w:rsid w:val="00C35BC6"/>
    <w:rsid w:val="00C35C82"/>
    <w:rsid w:val="00C35C8A"/>
    <w:rsid w:val="00C35D20"/>
    <w:rsid w:val="00C35D64"/>
    <w:rsid w:val="00C35DDF"/>
    <w:rsid w:val="00C35E79"/>
    <w:rsid w:val="00C35EDE"/>
    <w:rsid w:val="00C35F45"/>
    <w:rsid w:val="00C35F9F"/>
    <w:rsid w:val="00C3608B"/>
    <w:rsid w:val="00C360E5"/>
    <w:rsid w:val="00C360F6"/>
    <w:rsid w:val="00C3610D"/>
    <w:rsid w:val="00C36112"/>
    <w:rsid w:val="00C36166"/>
    <w:rsid w:val="00C361D9"/>
    <w:rsid w:val="00C361E8"/>
    <w:rsid w:val="00C3620E"/>
    <w:rsid w:val="00C3628D"/>
    <w:rsid w:val="00C36368"/>
    <w:rsid w:val="00C3648A"/>
    <w:rsid w:val="00C36490"/>
    <w:rsid w:val="00C364BC"/>
    <w:rsid w:val="00C364C4"/>
    <w:rsid w:val="00C364D9"/>
    <w:rsid w:val="00C36523"/>
    <w:rsid w:val="00C3664A"/>
    <w:rsid w:val="00C366CA"/>
    <w:rsid w:val="00C366DC"/>
    <w:rsid w:val="00C36705"/>
    <w:rsid w:val="00C3671D"/>
    <w:rsid w:val="00C36739"/>
    <w:rsid w:val="00C367B4"/>
    <w:rsid w:val="00C36804"/>
    <w:rsid w:val="00C3682E"/>
    <w:rsid w:val="00C368DB"/>
    <w:rsid w:val="00C369AC"/>
    <w:rsid w:val="00C369DC"/>
    <w:rsid w:val="00C36A75"/>
    <w:rsid w:val="00C36A8F"/>
    <w:rsid w:val="00C36A93"/>
    <w:rsid w:val="00C36ADB"/>
    <w:rsid w:val="00C36B90"/>
    <w:rsid w:val="00C36C37"/>
    <w:rsid w:val="00C36C65"/>
    <w:rsid w:val="00C36D32"/>
    <w:rsid w:val="00C36E00"/>
    <w:rsid w:val="00C36E04"/>
    <w:rsid w:val="00C36F3F"/>
    <w:rsid w:val="00C36F5C"/>
    <w:rsid w:val="00C36FD6"/>
    <w:rsid w:val="00C36FFC"/>
    <w:rsid w:val="00C37010"/>
    <w:rsid w:val="00C3702D"/>
    <w:rsid w:val="00C371AC"/>
    <w:rsid w:val="00C371B6"/>
    <w:rsid w:val="00C371C0"/>
    <w:rsid w:val="00C37209"/>
    <w:rsid w:val="00C372C2"/>
    <w:rsid w:val="00C372CE"/>
    <w:rsid w:val="00C37388"/>
    <w:rsid w:val="00C373E5"/>
    <w:rsid w:val="00C3749D"/>
    <w:rsid w:val="00C37509"/>
    <w:rsid w:val="00C37542"/>
    <w:rsid w:val="00C37552"/>
    <w:rsid w:val="00C37565"/>
    <w:rsid w:val="00C3757D"/>
    <w:rsid w:val="00C3758D"/>
    <w:rsid w:val="00C375A2"/>
    <w:rsid w:val="00C375C5"/>
    <w:rsid w:val="00C375F1"/>
    <w:rsid w:val="00C37660"/>
    <w:rsid w:val="00C3774D"/>
    <w:rsid w:val="00C37768"/>
    <w:rsid w:val="00C377A0"/>
    <w:rsid w:val="00C377D7"/>
    <w:rsid w:val="00C377F9"/>
    <w:rsid w:val="00C37926"/>
    <w:rsid w:val="00C37962"/>
    <w:rsid w:val="00C379D3"/>
    <w:rsid w:val="00C379E6"/>
    <w:rsid w:val="00C37A77"/>
    <w:rsid w:val="00C37AC3"/>
    <w:rsid w:val="00C37AF2"/>
    <w:rsid w:val="00C37AF4"/>
    <w:rsid w:val="00C37B32"/>
    <w:rsid w:val="00C37B56"/>
    <w:rsid w:val="00C37BC7"/>
    <w:rsid w:val="00C37C7D"/>
    <w:rsid w:val="00C37D0F"/>
    <w:rsid w:val="00C37D62"/>
    <w:rsid w:val="00C37DA7"/>
    <w:rsid w:val="00C37DF1"/>
    <w:rsid w:val="00C37E07"/>
    <w:rsid w:val="00C37ECD"/>
    <w:rsid w:val="00C37F43"/>
    <w:rsid w:val="00C37F69"/>
    <w:rsid w:val="00C38484"/>
    <w:rsid w:val="00C40009"/>
    <w:rsid w:val="00C40076"/>
    <w:rsid w:val="00C4007E"/>
    <w:rsid w:val="00C40095"/>
    <w:rsid w:val="00C400BF"/>
    <w:rsid w:val="00C4034C"/>
    <w:rsid w:val="00C40355"/>
    <w:rsid w:val="00C40384"/>
    <w:rsid w:val="00C40484"/>
    <w:rsid w:val="00C40516"/>
    <w:rsid w:val="00C40521"/>
    <w:rsid w:val="00C40551"/>
    <w:rsid w:val="00C405AD"/>
    <w:rsid w:val="00C4066F"/>
    <w:rsid w:val="00C406F3"/>
    <w:rsid w:val="00C4072A"/>
    <w:rsid w:val="00C4078A"/>
    <w:rsid w:val="00C4079B"/>
    <w:rsid w:val="00C407F6"/>
    <w:rsid w:val="00C40839"/>
    <w:rsid w:val="00C4088F"/>
    <w:rsid w:val="00C408F0"/>
    <w:rsid w:val="00C40913"/>
    <w:rsid w:val="00C4092B"/>
    <w:rsid w:val="00C40934"/>
    <w:rsid w:val="00C40946"/>
    <w:rsid w:val="00C409FF"/>
    <w:rsid w:val="00C40A67"/>
    <w:rsid w:val="00C40A79"/>
    <w:rsid w:val="00C40AAA"/>
    <w:rsid w:val="00C40AC9"/>
    <w:rsid w:val="00C40AE8"/>
    <w:rsid w:val="00C40B60"/>
    <w:rsid w:val="00C40BF4"/>
    <w:rsid w:val="00C40C53"/>
    <w:rsid w:val="00C40CB1"/>
    <w:rsid w:val="00C40CD5"/>
    <w:rsid w:val="00C40D77"/>
    <w:rsid w:val="00C40D88"/>
    <w:rsid w:val="00C40D96"/>
    <w:rsid w:val="00C40E51"/>
    <w:rsid w:val="00C40EEA"/>
    <w:rsid w:val="00C40F37"/>
    <w:rsid w:val="00C40F79"/>
    <w:rsid w:val="00C40FFC"/>
    <w:rsid w:val="00C41005"/>
    <w:rsid w:val="00C41079"/>
    <w:rsid w:val="00C410F4"/>
    <w:rsid w:val="00C41114"/>
    <w:rsid w:val="00C411A4"/>
    <w:rsid w:val="00C411ED"/>
    <w:rsid w:val="00C412D6"/>
    <w:rsid w:val="00C412EA"/>
    <w:rsid w:val="00C41367"/>
    <w:rsid w:val="00C413A3"/>
    <w:rsid w:val="00C413CE"/>
    <w:rsid w:val="00C41482"/>
    <w:rsid w:val="00C41490"/>
    <w:rsid w:val="00C41575"/>
    <w:rsid w:val="00C415B6"/>
    <w:rsid w:val="00C415F3"/>
    <w:rsid w:val="00C4161B"/>
    <w:rsid w:val="00C41647"/>
    <w:rsid w:val="00C416A6"/>
    <w:rsid w:val="00C4175E"/>
    <w:rsid w:val="00C41771"/>
    <w:rsid w:val="00C41773"/>
    <w:rsid w:val="00C417FB"/>
    <w:rsid w:val="00C4186B"/>
    <w:rsid w:val="00C4189A"/>
    <w:rsid w:val="00C418B2"/>
    <w:rsid w:val="00C41907"/>
    <w:rsid w:val="00C4195A"/>
    <w:rsid w:val="00C41972"/>
    <w:rsid w:val="00C4198C"/>
    <w:rsid w:val="00C419C2"/>
    <w:rsid w:val="00C419F0"/>
    <w:rsid w:val="00C41A54"/>
    <w:rsid w:val="00C41B34"/>
    <w:rsid w:val="00C41B5E"/>
    <w:rsid w:val="00C41B76"/>
    <w:rsid w:val="00C41B7B"/>
    <w:rsid w:val="00C41BEC"/>
    <w:rsid w:val="00C41C00"/>
    <w:rsid w:val="00C41C20"/>
    <w:rsid w:val="00C41C4F"/>
    <w:rsid w:val="00C41CBA"/>
    <w:rsid w:val="00C41CFC"/>
    <w:rsid w:val="00C41D3C"/>
    <w:rsid w:val="00C41DC3"/>
    <w:rsid w:val="00C41DC6"/>
    <w:rsid w:val="00C41DEE"/>
    <w:rsid w:val="00C41F16"/>
    <w:rsid w:val="00C41F71"/>
    <w:rsid w:val="00C41FC4"/>
    <w:rsid w:val="00C42064"/>
    <w:rsid w:val="00C420A8"/>
    <w:rsid w:val="00C420E4"/>
    <w:rsid w:val="00C420EA"/>
    <w:rsid w:val="00C42149"/>
    <w:rsid w:val="00C42170"/>
    <w:rsid w:val="00C421C2"/>
    <w:rsid w:val="00C421CE"/>
    <w:rsid w:val="00C422BB"/>
    <w:rsid w:val="00C422CC"/>
    <w:rsid w:val="00C422CD"/>
    <w:rsid w:val="00C422E7"/>
    <w:rsid w:val="00C4230A"/>
    <w:rsid w:val="00C4230D"/>
    <w:rsid w:val="00C425B5"/>
    <w:rsid w:val="00C425B9"/>
    <w:rsid w:val="00C425E8"/>
    <w:rsid w:val="00C42607"/>
    <w:rsid w:val="00C42648"/>
    <w:rsid w:val="00C42662"/>
    <w:rsid w:val="00C4266C"/>
    <w:rsid w:val="00C426E0"/>
    <w:rsid w:val="00C42733"/>
    <w:rsid w:val="00C42759"/>
    <w:rsid w:val="00C4279D"/>
    <w:rsid w:val="00C427C1"/>
    <w:rsid w:val="00C429AF"/>
    <w:rsid w:val="00C42A58"/>
    <w:rsid w:val="00C42A60"/>
    <w:rsid w:val="00C42A63"/>
    <w:rsid w:val="00C42B0B"/>
    <w:rsid w:val="00C42B21"/>
    <w:rsid w:val="00C42B99"/>
    <w:rsid w:val="00C42BAC"/>
    <w:rsid w:val="00C42BE3"/>
    <w:rsid w:val="00C42C01"/>
    <w:rsid w:val="00C42C35"/>
    <w:rsid w:val="00C42C73"/>
    <w:rsid w:val="00C42C81"/>
    <w:rsid w:val="00C42CA4"/>
    <w:rsid w:val="00C42CEC"/>
    <w:rsid w:val="00C42D70"/>
    <w:rsid w:val="00C42DA4"/>
    <w:rsid w:val="00C42DBD"/>
    <w:rsid w:val="00C42DC0"/>
    <w:rsid w:val="00C42DC3"/>
    <w:rsid w:val="00C42E1B"/>
    <w:rsid w:val="00C42E26"/>
    <w:rsid w:val="00C42E53"/>
    <w:rsid w:val="00C42F0E"/>
    <w:rsid w:val="00C42F50"/>
    <w:rsid w:val="00C42F87"/>
    <w:rsid w:val="00C42F9E"/>
    <w:rsid w:val="00C43042"/>
    <w:rsid w:val="00C43069"/>
    <w:rsid w:val="00C431E3"/>
    <w:rsid w:val="00C43231"/>
    <w:rsid w:val="00C432A9"/>
    <w:rsid w:val="00C432D0"/>
    <w:rsid w:val="00C433A8"/>
    <w:rsid w:val="00C433B4"/>
    <w:rsid w:val="00C434D5"/>
    <w:rsid w:val="00C4350B"/>
    <w:rsid w:val="00C43575"/>
    <w:rsid w:val="00C43662"/>
    <w:rsid w:val="00C436BF"/>
    <w:rsid w:val="00C43726"/>
    <w:rsid w:val="00C43765"/>
    <w:rsid w:val="00C437BE"/>
    <w:rsid w:val="00C438F9"/>
    <w:rsid w:val="00C43A45"/>
    <w:rsid w:val="00C43C6C"/>
    <w:rsid w:val="00C43C95"/>
    <w:rsid w:val="00C43C9E"/>
    <w:rsid w:val="00C43CD4"/>
    <w:rsid w:val="00C43D5B"/>
    <w:rsid w:val="00C43DFD"/>
    <w:rsid w:val="00C43E5F"/>
    <w:rsid w:val="00C43ED2"/>
    <w:rsid w:val="00C43F6E"/>
    <w:rsid w:val="00C43F8D"/>
    <w:rsid w:val="00C43FFB"/>
    <w:rsid w:val="00C44022"/>
    <w:rsid w:val="00C4402D"/>
    <w:rsid w:val="00C44082"/>
    <w:rsid w:val="00C44091"/>
    <w:rsid w:val="00C440C5"/>
    <w:rsid w:val="00C44184"/>
    <w:rsid w:val="00C441C5"/>
    <w:rsid w:val="00C441F9"/>
    <w:rsid w:val="00C44215"/>
    <w:rsid w:val="00C44250"/>
    <w:rsid w:val="00C44277"/>
    <w:rsid w:val="00C44285"/>
    <w:rsid w:val="00C442D0"/>
    <w:rsid w:val="00C4430C"/>
    <w:rsid w:val="00C4444F"/>
    <w:rsid w:val="00C44451"/>
    <w:rsid w:val="00C44607"/>
    <w:rsid w:val="00C4462E"/>
    <w:rsid w:val="00C44630"/>
    <w:rsid w:val="00C446BB"/>
    <w:rsid w:val="00C446CB"/>
    <w:rsid w:val="00C4476E"/>
    <w:rsid w:val="00C447DE"/>
    <w:rsid w:val="00C447E8"/>
    <w:rsid w:val="00C447EB"/>
    <w:rsid w:val="00C44842"/>
    <w:rsid w:val="00C448A9"/>
    <w:rsid w:val="00C44A1F"/>
    <w:rsid w:val="00C44AB0"/>
    <w:rsid w:val="00C44B29"/>
    <w:rsid w:val="00C44B32"/>
    <w:rsid w:val="00C44B54"/>
    <w:rsid w:val="00C44B5B"/>
    <w:rsid w:val="00C44BAA"/>
    <w:rsid w:val="00C44C09"/>
    <w:rsid w:val="00C44C19"/>
    <w:rsid w:val="00C44C57"/>
    <w:rsid w:val="00C44D47"/>
    <w:rsid w:val="00C44D70"/>
    <w:rsid w:val="00C44E52"/>
    <w:rsid w:val="00C44F44"/>
    <w:rsid w:val="00C44FE9"/>
    <w:rsid w:val="00C44FF8"/>
    <w:rsid w:val="00C4501D"/>
    <w:rsid w:val="00C45030"/>
    <w:rsid w:val="00C45070"/>
    <w:rsid w:val="00C4507A"/>
    <w:rsid w:val="00C450DA"/>
    <w:rsid w:val="00C451B7"/>
    <w:rsid w:val="00C45334"/>
    <w:rsid w:val="00C45392"/>
    <w:rsid w:val="00C453B6"/>
    <w:rsid w:val="00C453EF"/>
    <w:rsid w:val="00C453F5"/>
    <w:rsid w:val="00C45411"/>
    <w:rsid w:val="00C45430"/>
    <w:rsid w:val="00C454E9"/>
    <w:rsid w:val="00C45534"/>
    <w:rsid w:val="00C4557E"/>
    <w:rsid w:val="00C45596"/>
    <w:rsid w:val="00C45643"/>
    <w:rsid w:val="00C45683"/>
    <w:rsid w:val="00C4569D"/>
    <w:rsid w:val="00C456A7"/>
    <w:rsid w:val="00C456DB"/>
    <w:rsid w:val="00C45705"/>
    <w:rsid w:val="00C4572D"/>
    <w:rsid w:val="00C45768"/>
    <w:rsid w:val="00C457AE"/>
    <w:rsid w:val="00C457B0"/>
    <w:rsid w:val="00C457CF"/>
    <w:rsid w:val="00C45875"/>
    <w:rsid w:val="00C458BC"/>
    <w:rsid w:val="00C458DE"/>
    <w:rsid w:val="00C458F1"/>
    <w:rsid w:val="00C45907"/>
    <w:rsid w:val="00C459F9"/>
    <w:rsid w:val="00C45A09"/>
    <w:rsid w:val="00C45A54"/>
    <w:rsid w:val="00C45A6F"/>
    <w:rsid w:val="00C45AC9"/>
    <w:rsid w:val="00C45B03"/>
    <w:rsid w:val="00C45B27"/>
    <w:rsid w:val="00C45B86"/>
    <w:rsid w:val="00C45BEB"/>
    <w:rsid w:val="00C45C96"/>
    <w:rsid w:val="00C45CAA"/>
    <w:rsid w:val="00C45CE0"/>
    <w:rsid w:val="00C45D14"/>
    <w:rsid w:val="00C45D48"/>
    <w:rsid w:val="00C45DD7"/>
    <w:rsid w:val="00C45DED"/>
    <w:rsid w:val="00C45E00"/>
    <w:rsid w:val="00C45E2A"/>
    <w:rsid w:val="00C45EBE"/>
    <w:rsid w:val="00C45F10"/>
    <w:rsid w:val="00C45F3B"/>
    <w:rsid w:val="00C46080"/>
    <w:rsid w:val="00C46083"/>
    <w:rsid w:val="00C460C7"/>
    <w:rsid w:val="00C46299"/>
    <w:rsid w:val="00C46310"/>
    <w:rsid w:val="00C46318"/>
    <w:rsid w:val="00C4631C"/>
    <w:rsid w:val="00C46357"/>
    <w:rsid w:val="00C46383"/>
    <w:rsid w:val="00C46390"/>
    <w:rsid w:val="00C46415"/>
    <w:rsid w:val="00C4646F"/>
    <w:rsid w:val="00C464D6"/>
    <w:rsid w:val="00C4654D"/>
    <w:rsid w:val="00C46593"/>
    <w:rsid w:val="00C465E7"/>
    <w:rsid w:val="00C465E8"/>
    <w:rsid w:val="00C465EE"/>
    <w:rsid w:val="00C46621"/>
    <w:rsid w:val="00C46693"/>
    <w:rsid w:val="00C466D5"/>
    <w:rsid w:val="00C466F3"/>
    <w:rsid w:val="00C466FA"/>
    <w:rsid w:val="00C46770"/>
    <w:rsid w:val="00C46841"/>
    <w:rsid w:val="00C468CD"/>
    <w:rsid w:val="00C469AF"/>
    <w:rsid w:val="00C469B2"/>
    <w:rsid w:val="00C46A05"/>
    <w:rsid w:val="00C46A35"/>
    <w:rsid w:val="00C46A43"/>
    <w:rsid w:val="00C46AB2"/>
    <w:rsid w:val="00C46AE8"/>
    <w:rsid w:val="00C46B06"/>
    <w:rsid w:val="00C46BA6"/>
    <w:rsid w:val="00C46BE0"/>
    <w:rsid w:val="00C46C04"/>
    <w:rsid w:val="00C46C23"/>
    <w:rsid w:val="00C46C41"/>
    <w:rsid w:val="00C46C4C"/>
    <w:rsid w:val="00C46D19"/>
    <w:rsid w:val="00C46D45"/>
    <w:rsid w:val="00C46D4A"/>
    <w:rsid w:val="00C46D51"/>
    <w:rsid w:val="00C46DBD"/>
    <w:rsid w:val="00C46DC5"/>
    <w:rsid w:val="00C46DC7"/>
    <w:rsid w:val="00C46DD7"/>
    <w:rsid w:val="00C46DE2"/>
    <w:rsid w:val="00C46E2B"/>
    <w:rsid w:val="00C46EE2"/>
    <w:rsid w:val="00C46EF6"/>
    <w:rsid w:val="00C46FC6"/>
    <w:rsid w:val="00C46FE0"/>
    <w:rsid w:val="00C47017"/>
    <w:rsid w:val="00C4709C"/>
    <w:rsid w:val="00C4711A"/>
    <w:rsid w:val="00C47163"/>
    <w:rsid w:val="00C471B0"/>
    <w:rsid w:val="00C471CC"/>
    <w:rsid w:val="00C472B4"/>
    <w:rsid w:val="00C472D9"/>
    <w:rsid w:val="00C472FB"/>
    <w:rsid w:val="00C4734E"/>
    <w:rsid w:val="00C47450"/>
    <w:rsid w:val="00C47468"/>
    <w:rsid w:val="00C47518"/>
    <w:rsid w:val="00C475BD"/>
    <w:rsid w:val="00C475C6"/>
    <w:rsid w:val="00C475FB"/>
    <w:rsid w:val="00C47617"/>
    <w:rsid w:val="00C4765B"/>
    <w:rsid w:val="00C47786"/>
    <w:rsid w:val="00C477DB"/>
    <w:rsid w:val="00C477F9"/>
    <w:rsid w:val="00C4795A"/>
    <w:rsid w:val="00C4797D"/>
    <w:rsid w:val="00C47B4F"/>
    <w:rsid w:val="00C47C0C"/>
    <w:rsid w:val="00C47CB5"/>
    <w:rsid w:val="00C47CF5"/>
    <w:rsid w:val="00C47D1D"/>
    <w:rsid w:val="00C47D9E"/>
    <w:rsid w:val="00C47DA5"/>
    <w:rsid w:val="00C47ED3"/>
    <w:rsid w:val="00C47EE4"/>
    <w:rsid w:val="00C47F2F"/>
    <w:rsid w:val="00C47F49"/>
    <w:rsid w:val="00C47F64"/>
    <w:rsid w:val="00C47FCC"/>
    <w:rsid w:val="00C47FF9"/>
    <w:rsid w:val="00C50001"/>
    <w:rsid w:val="00C50060"/>
    <w:rsid w:val="00C50085"/>
    <w:rsid w:val="00C50162"/>
    <w:rsid w:val="00C501EE"/>
    <w:rsid w:val="00C50238"/>
    <w:rsid w:val="00C5027B"/>
    <w:rsid w:val="00C5030D"/>
    <w:rsid w:val="00C5031A"/>
    <w:rsid w:val="00C503A3"/>
    <w:rsid w:val="00C503E0"/>
    <w:rsid w:val="00C5042A"/>
    <w:rsid w:val="00C5043B"/>
    <w:rsid w:val="00C504AA"/>
    <w:rsid w:val="00C504C6"/>
    <w:rsid w:val="00C50534"/>
    <w:rsid w:val="00C50551"/>
    <w:rsid w:val="00C50656"/>
    <w:rsid w:val="00C50667"/>
    <w:rsid w:val="00C506EC"/>
    <w:rsid w:val="00C5076C"/>
    <w:rsid w:val="00C50782"/>
    <w:rsid w:val="00C5085B"/>
    <w:rsid w:val="00C50864"/>
    <w:rsid w:val="00C508FE"/>
    <w:rsid w:val="00C50909"/>
    <w:rsid w:val="00C50968"/>
    <w:rsid w:val="00C5098E"/>
    <w:rsid w:val="00C509B4"/>
    <w:rsid w:val="00C50A09"/>
    <w:rsid w:val="00C50A1E"/>
    <w:rsid w:val="00C50A87"/>
    <w:rsid w:val="00C50AB4"/>
    <w:rsid w:val="00C50B48"/>
    <w:rsid w:val="00C50CD7"/>
    <w:rsid w:val="00C50CFD"/>
    <w:rsid w:val="00C50DAE"/>
    <w:rsid w:val="00C50F20"/>
    <w:rsid w:val="00C50F5F"/>
    <w:rsid w:val="00C50F69"/>
    <w:rsid w:val="00C50F98"/>
    <w:rsid w:val="00C50FD6"/>
    <w:rsid w:val="00C50FF8"/>
    <w:rsid w:val="00C51009"/>
    <w:rsid w:val="00C510E7"/>
    <w:rsid w:val="00C51149"/>
    <w:rsid w:val="00C51166"/>
    <w:rsid w:val="00C51177"/>
    <w:rsid w:val="00C5132F"/>
    <w:rsid w:val="00C5133C"/>
    <w:rsid w:val="00C5138D"/>
    <w:rsid w:val="00C51392"/>
    <w:rsid w:val="00C513A9"/>
    <w:rsid w:val="00C514CD"/>
    <w:rsid w:val="00C51551"/>
    <w:rsid w:val="00C51572"/>
    <w:rsid w:val="00C51621"/>
    <w:rsid w:val="00C51659"/>
    <w:rsid w:val="00C516BF"/>
    <w:rsid w:val="00C51727"/>
    <w:rsid w:val="00C5178D"/>
    <w:rsid w:val="00C517E1"/>
    <w:rsid w:val="00C517E4"/>
    <w:rsid w:val="00C51803"/>
    <w:rsid w:val="00C51829"/>
    <w:rsid w:val="00C51833"/>
    <w:rsid w:val="00C5183F"/>
    <w:rsid w:val="00C518D3"/>
    <w:rsid w:val="00C518ED"/>
    <w:rsid w:val="00C519A8"/>
    <w:rsid w:val="00C51A24"/>
    <w:rsid w:val="00C51A25"/>
    <w:rsid w:val="00C51AFF"/>
    <w:rsid w:val="00C51C39"/>
    <w:rsid w:val="00C51C88"/>
    <w:rsid w:val="00C51CF7"/>
    <w:rsid w:val="00C51CFB"/>
    <w:rsid w:val="00C51CFD"/>
    <w:rsid w:val="00C51D43"/>
    <w:rsid w:val="00C51DD0"/>
    <w:rsid w:val="00C51E88"/>
    <w:rsid w:val="00C51EB8"/>
    <w:rsid w:val="00C51F61"/>
    <w:rsid w:val="00C52003"/>
    <w:rsid w:val="00C520F4"/>
    <w:rsid w:val="00C5214E"/>
    <w:rsid w:val="00C52172"/>
    <w:rsid w:val="00C52191"/>
    <w:rsid w:val="00C521FE"/>
    <w:rsid w:val="00C522CB"/>
    <w:rsid w:val="00C52348"/>
    <w:rsid w:val="00C523A1"/>
    <w:rsid w:val="00C523B1"/>
    <w:rsid w:val="00C5245B"/>
    <w:rsid w:val="00C5245F"/>
    <w:rsid w:val="00C524D1"/>
    <w:rsid w:val="00C5253A"/>
    <w:rsid w:val="00C5259C"/>
    <w:rsid w:val="00C52626"/>
    <w:rsid w:val="00C52689"/>
    <w:rsid w:val="00C526CB"/>
    <w:rsid w:val="00C5281D"/>
    <w:rsid w:val="00C5284C"/>
    <w:rsid w:val="00C5288C"/>
    <w:rsid w:val="00C52922"/>
    <w:rsid w:val="00C52A8E"/>
    <w:rsid w:val="00C52B5C"/>
    <w:rsid w:val="00C52B6F"/>
    <w:rsid w:val="00C52BA9"/>
    <w:rsid w:val="00C52BDB"/>
    <w:rsid w:val="00C52BDC"/>
    <w:rsid w:val="00C52D42"/>
    <w:rsid w:val="00C52D92"/>
    <w:rsid w:val="00C52D9A"/>
    <w:rsid w:val="00C52DF7"/>
    <w:rsid w:val="00C52E65"/>
    <w:rsid w:val="00C52ECA"/>
    <w:rsid w:val="00C52ECE"/>
    <w:rsid w:val="00C53084"/>
    <w:rsid w:val="00C53126"/>
    <w:rsid w:val="00C53197"/>
    <w:rsid w:val="00C5319A"/>
    <w:rsid w:val="00C531CE"/>
    <w:rsid w:val="00C53271"/>
    <w:rsid w:val="00C53286"/>
    <w:rsid w:val="00C53299"/>
    <w:rsid w:val="00C532C2"/>
    <w:rsid w:val="00C5333B"/>
    <w:rsid w:val="00C5338E"/>
    <w:rsid w:val="00C53456"/>
    <w:rsid w:val="00C534B0"/>
    <w:rsid w:val="00C534D4"/>
    <w:rsid w:val="00C53502"/>
    <w:rsid w:val="00C53504"/>
    <w:rsid w:val="00C53652"/>
    <w:rsid w:val="00C5369B"/>
    <w:rsid w:val="00C536A6"/>
    <w:rsid w:val="00C536CB"/>
    <w:rsid w:val="00C5374F"/>
    <w:rsid w:val="00C537AD"/>
    <w:rsid w:val="00C53804"/>
    <w:rsid w:val="00C538CA"/>
    <w:rsid w:val="00C53954"/>
    <w:rsid w:val="00C539B3"/>
    <w:rsid w:val="00C539C5"/>
    <w:rsid w:val="00C539F5"/>
    <w:rsid w:val="00C53A36"/>
    <w:rsid w:val="00C53A7F"/>
    <w:rsid w:val="00C53AF2"/>
    <w:rsid w:val="00C53B40"/>
    <w:rsid w:val="00C53B74"/>
    <w:rsid w:val="00C53BBA"/>
    <w:rsid w:val="00C53CE0"/>
    <w:rsid w:val="00C53D16"/>
    <w:rsid w:val="00C53D2A"/>
    <w:rsid w:val="00C53E15"/>
    <w:rsid w:val="00C53E52"/>
    <w:rsid w:val="00C53EC7"/>
    <w:rsid w:val="00C53F1B"/>
    <w:rsid w:val="00C53F29"/>
    <w:rsid w:val="00C53F88"/>
    <w:rsid w:val="00C5409E"/>
    <w:rsid w:val="00C540D9"/>
    <w:rsid w:val="00C540E7"/>
    <w:rsid w:val="00C540F4"/>
    <w:rsid w:val="00C540FA"/>
    <w:rsid w:val="00C541B1"/>
    <w:rsid w:val="00C541F8"/>
    <w:rsid w:val="00C54285"/>
    <w:rsid w:val="00C5437F"/>
    <w:rsid w:val="00C543CD"/>
    <w:rsid w:val="00C5446F"/>
    <w:rsid w:val="00C54522"/>
    <w:rsid w:val="00C54550"/>
    <w:rsid w:val="00C54574"/>
    <w:rsid w:val="00C545D7"/>
    <w:rsid w:val="00C54677"/>
    <w:rsid w:val="00C546EB"/>
    <w:rsid w:val="00C546F5"/>
    <w:rsid w:val="00C5477A"/>
    <w:rsid w:val="00C54788"/>
    <w:rsid w:val="00C5481A"/>
    <w:rsid w:val="00C5481D"/>
    <w:rsid w:val="00C54964"/>
    <w:rsid w:val="00C54978"/>
    <w:rsid w:val="00C54992"/>
    <w:rsid w:val="00C54993"/>
    <w:rsid w:val="00C549BD"/>
    <w:rsid w:val="00C54A72"/>
    <w:rsid w:val="00C54AB4"/>
    <w:rsid w:val="00C54B56"/>
    <w:rsid w:val="00C54B79"/>
    <w:rsid w:val="00C54B8A"/>
    <w:rsid w:val="00C54BCB"/>
    <w:rsid w:val="00C54BDE"/>
    <w:rsid w:val="00C54BE1"/>
    <w:rsid w:val="00C54CD3"/>
    <w:rsid w:val="00C54CE9"/>
    <w:rsid w:val="00C54D03"/>
    <w:rsid w:val="00C54D16"/>
    <w:rsid w:val="00C54D85"/>
    <w:rsid w:val="00C54DEE"/>
    <w:rsid w:val="00C54E47"/>
    <w:rsid w:val="00C54E96"/>
    <w:rsid w:val="00C54EAD"/>
    <w:rsid w:val="00C54F08"/>
    <w:rsid w:val="00C54F2F"/>
    <w:rsid w:val="00C55084"/>
    <w:rsid w:val="00C550E3"/>
    <w:rsid w:val="00C55121"/>
    <w:rsid w:val="00C55163"/>
    <w:rsid w:val="00C55188"/>
    <w:rsid w:val="00C551AA"/>
    <w:rsid w:val="00C55273"/>
    <w:rsid w:val="00C5529A"/>
    <w:rsid w:val="00C55349"/>
    <w:rsid w:val="00C553A3"/>
    <w:rsid w:val="00C55422"/>
    <w:rsid w:val="00C55438"/>
    <w:rsid w:val="00C5544E"/>
    <w:rsid w:val="00C55450"/>
    <w:rsid w:val="00C55484"/>
    <w:rsid w:val="00C55488"/>
    <w:rsid w:val="00C554A9"/>
    <w:rsid w:val="00C554B5"/>
    <w:rsid w:val="00C554C4"/>
    <w:rsid w:val="00C554C9"/>
    <w:rsid w:val="00C554E6"/>
    <w:rsid w:val="00C555AC"/>
    <w:rsid w:val="00C5565F"/>
    <w:rsid w:val="00C5574A"/>
    <w:rsid w:val="00C55756"/>
    <w:rsid w:val="00C55766"/>
    <w:rsid w:val="00C557DD"/>
    <w:rsid w:val="00C5585B"/>
    <w:rsid w:val="00C558AD"/>
    <w:rsid w:val="00C558E6"/>
    <w:rsid w:val="00C558EA"/>
    <w:rsid w:val="00C5591D"/>
    <w:rsid w:val="00C55927"/>
    <w:rsid w:val="00C55952"/>
    <w:rsid w:val="00C55975"/>
    <w:rsid w:val="00C559A7"/>
    <w:rsid w:val="00C55A2D"/>
    <w:rsid w:val="00C55AA5"/>
    <w:rsid w:val="00C55B24"/>
    <w:rsid w:val="00C55B36"/>
    <w:rsid w:val="00C55B3D"/>
    <w:rsid w:val="00C55B9F"/>
    <w:rsid w:val="00C55C40"/>
    <w:rsid w:val="00C55D19"/>
    <w:rsid w:val="00C55D1D"/>
    <w:rsid w:val="00C55DCF"/>
    <w:rsid w:val="00C55EA6"/>
    <w:rsid w:val="00C55EB4"/>
    <w:rsid w:val="00C55ED2"/>
    <w:rsid w:val="00C55F1B"/>
    <w:rsid w:val="00C55F21"/>
    <w:rsid w:val="00C55F41"/>
    <w:rsid w:val="00C55F83"/>
    <w:rsid w:val="00C55FF1"/>
    <w:rsid w:val="00C56136"/>
    <w:rsid w:val="00C5614F"/>
    <w:rsid w:val="00C561D0"/>
    <w:rsid w:val="00C56206"/>
    <w:rsid w:val="00C56393"/>
    <w:rsid w:val="00C5640D"/>
    <w:rsid w:val="00C5641E"/>
    <w:rsid w:val="00C564BC"/>
    <w:rsid w:val="00C564FE"/>
    <w:rsid w:val="00C56521"/>
    <w:rsid w:val="00C56565"/>
    <w:rsid w:val="00C565BA"/>
    <w:rsid w:val="00C565CA"/>
    <w:rsid w:val="00C56626"/>
    <w:rsid w:val="00C56658"/>
    <w:rsid w:val="00C56669"/>
    <w:rsid w:val="00C5666A"/>
    <w:rsid w:val="00C56674"/>
    <w:rsid w:val="00C566A1"/>
    <w:rsid w:val="00C566E0"/>
    <w:rsid w:val="00C5679D"/>
    <w:rsid w:val="00C56839"/>
    <w:rsid w:val="00C5687F"/>
    <w:rsid w:val="00C56892"/>
    <w:rsid w:val="00C568E0"/>
    <w:rsid w:val="00C56982"/>
    <w:rsid w:val="00C56A29"/>
    <w:rsid w:val="00C56A43"/>
    <w:rsid w:val="00C56A48"/>
    <w:rsid w:val="00C56AE4"/>
    <w:rsid w:val="00C56B6C"/>
    <w:rsid w:val="00C56BCC"/>
    <w:rsid w:val="00C56CB3"/>
    <w:rsid w:val="00C56CE0"/>
    <w:rsid w:val="00C56DD1"/>
    <w:rsid w:val="00C56DF1"/>
    <w:rsid w:val="00C56E49"/>
    <w:rsid w:val="00C56E52"/>
    <w:rsid w:val="00C56E92"/>
    <w:rsid w:val="00C56EB2"/>
    <w:rsid w:val="00C56EE5"/>
    <w:rsid w:val="00C56F04"/>
    <w:rsid w:val="00C56F09"/>
    <w:rsid w:val="00C56F35"/>
    <w:rsid w:val="00C56FF4"/>
    <w:rsid w:val="00C5705B"/>
    <w:rsid w:val="00C570A2"/>
    <w:rsid w:val="00C570B2"/>
    <w:rsid w:val="00C570E7"/>
    <w:rsid w:val="00C5714B"/>
    <w:rsid w:val="00C5720D"/>
    <w:rsid w:val="00C57242"/>
    <w:rsid w:val="00C572A4"/>
    <w:rsid w:val="00C572B1"/>
    <w:rsid w:val="00C572E9"/>
    <w:rsid w:val="00C57331"/>
    <w:rsid w:val="00C57353"/>
    <w:rsid w:val="00C573FF"/>
    <w:rsid w:val="00C57401"/>
    <w:rsid w:val="00C5752D"/>
    <w:rsid w:val="00C5753A"/>
    <w:rsid w:val="00C57616"/>
    <w:rsid w:val="00C5765B"/>
    <w:rsid w:val="00C57668"/>
    <w:rsid w:val="00C576D4"/>
    <w:rsid w:val="00C5770D"/>
    <w:rsid w:val="00C57757"/>
    <w:rsid w:val="00C577E5"/>
    <w:rsid w:val="00C577F6"/>
    <w:rsid w:val="00C57807"/>
    <w:rsid w:val="00C57932"/>
    <w:rsid w:val="00C57ACC"/>
    <w:rsid w:val="00C57B03"/>
    <w:rsid w:val="00C57B51"/>
    <w:rsid w:val="00C57BFC"/>
    <w:rsid w:val="00C57C1E"/>
    <w:rsid w:val="00C57C6E"/>
    <w:rsid w:val="00C57C79"/>
    <w:rsid w:val="00C57C8B"/>
    <w:rsid w:val="00C57CED"/>
    <w:rsid w:val="00C57D23"/>
    <w:rsid w:val="00C57D52"/>
    <w:rsid w:val="00C57DA4"/>
    <w:rsid w:val="00C57DE1"/>
    <w:rsid w:val="00C57EF5"/>
    <w:rsid w:val="00C57F0C"/>
    <w:rsid w:val="00C57F25"/>
    <w:rsid w:val="00C60104"/>
    <w:rsid w:val="00C60136"/>
    <w:rsid w:val="00C60142"/>
    <w:rsid w:val="00C60188"/>
    <w:rsid w:val="00C601DC"/>
    <w:rsid w:val="00C6024A"/>
    <w:rsid w:val="00C60340"/>
    <w:rsid w:val="00C6036C"/>
    <w:rsid w:val="00C6039F"/>
    <w:rsid w:val="00C603AF"/>
    <w:rsid w:val="00C60421"/>
    <w:rsid w:val="00C604A1"/>
    <w:rsid w:val="00C60531"/>
    <w:rsid w:val="00C60578"/>
    <w:rsid w:val="00C605ED"/>
    <w:rsid w:val="00C6063A"/>
    <w:rsid w:val="00C60668"/>
    <w:rsid w:val="00C606EC"/>
    <w:rsid w:val="00C606F5"/>
    <w:rsid w:val="00C6072D"/>
    <w:rsid w:val="00C60798"/>
    <w:rsid w:val="00C607B5"/>
    <w:rsid w:val="00C607C5"/>
    <w:rsid w:val="00C6080D"/>
    <w:rsid w:val="00C60815"/>
    <w:rsid w:val="00C608A1"/>
    <w:rsid w:val="00C608C5"/>
    <w:rsid w:val="00C6090B"/>
    <w:rsid w:val="00C60911"/>
    <w:rsid w:val="00C6096F"/>
    <w:rsid w:val="00C60A06"/>
    <w:rsid w:val="00C60A14"/>
    <w:rsid w:val="00C60A3B"/>
    <w:rsid w:val="00C60A5B"/>
    <w:rsid w:val="00C60A65"/>
    <w:rsid w:val="00C60A79"/>
    <w:rsid w:val="00C60A95"/>
    <w:rsid w:val="00C60AAA"/>
    <w:rsid w:val="00C60AC5"/>
    <w:rsid w:val="00C60ACE"/>
    <w:rsid w:val="00C60AD4"/>
    <w:rsid w:val="00C60AD7"/>
    <w:rsid w:val="00C60AFA"/>
    <w:rsid w:val="00C60AFB"/>
    <w:rsid w:val="00C60B5C"/>
    <w:rsid w:val="00C60BB3"/>
    <w:rsid w:val="00C60C04"/>
    <w:rsid w:val="00C60C2E"/>
    <w:rsid w:val="00C60C34"/>
    <w:rsid w:val="00C60CE8"/>
    <w:rsid w:val="00C60D3C"/>
    <w:rsid w:val="00C60DF2"/>
    <w:rsid w:val="00C60E5E"/>
    <w:rsid w:val="00C60EBD"/>
    <w:rsid w:val="00C60ECC"/>
    <w:rsid w:val="00C60F2C"/>
    <w:rsid w:val="00C60FA9"/>
    <w:rsid w:val="00C60FAA"/>
    <w:rsid w:val="00C60FD2"/>
    <w:rsid w:val="00C6106A"/>
    <w:rsid w:val="00C61071"/>
    <w:rsid w:val="00C610C7"/>
    <w:rsid w:val="00C610CE"/>
    <w:rsid w:val="00C6111E"/>
    <w:rsid w:val="00C61135"/>
    <w:rsid w:val="00C61149"/>
    <w:rsid w:val="00C611A3"/>
    <w:rsid w:val="00C611FD"/>
    <w:rsid w:val="00C61212"/>
    <w:rsid w:val="00C61237"/>
    <w:rsid w:val="00C612CA"/>
    <w:rsid w:val="00C612CF"/>
    <w:rsid w:val="00C61352"/>
    <w:rsid w:val="00C61367"/>
    <w:rsid w:val="00C61389"/>
    <w:rsid w:val="00C613B3"/>
    <w:rsid w:val="00C6143D"/>
    <w:rsid w:val="00C614DC"/>
    <w:rsid w:val="00C6157C"/>
    <w:rsid w:val="00C615F7"/>
    <w:rsid w:val="00C616BC"/>
    <w:rsid w:val="00C616CB"/>
    <w:rsid w:val="00C61708"/>
    <w:rsid w:val="00C61750"/>
    <w:rsid w:val="00C6179C"/>
    <w:rsid w:val="00C61802"/>
    <w:rsid w:val="00C61805"/>
    <w:rsid w:val="00C61893"/>
    <w:rsid w:val="00C618B8"/>
    <w:rsid w:val="00C618E8"/>
    <w:rsid w:val="00C6193E"/>
    <w:rsid w:val="00C619A0"/>
    <w:rsid w:val="00C61A2E"/>
    <w:rsid w:val="00C61B09"/>
    <w:rsid w:val="00C61B2D"/>
    <w:rsid w:val="00C61B3B"/>
    <w:rsid w:val="00C61B47"/>
    <w:rsid w:val="00C61B48"/>
    <w:rsid w:val="00C61C5D"/>
    <w:rsid w:val="00C61C62"/>
    <w:rsid w:val="00C61C75"/>
    <w:rsid w:val="00C61C8F"/>
    <w:rsid w:val="00C61CFD"/>
    <w:rsid w:val="00C61D05"/>
    <w:rsid w:val="00C61DC0"/>
    <w:rsid w:val="00C61E2A"/>
    <w:rsid w:val="00C61EB6"/>
    <w:rsid w:val="00C61F19"/>
    <w:rsid w:val="00C61F49"/>
    <w:rsid w:val="00C61F65"/>
    <w:rsid w:val="00C61FA1"/>
    <w:rsid w:val="00C61FD3"/>
    <w:rsid w:val="00C61FD6"/>
    <w:rsid w:val="00C620CB"/>
    <w:rsid w:val="00C620D2"/>
    <w:rsid w:val="00C620DF"/>
    <w:rsid w:val="00C620FF"/>
    <w:rsid w:val="00C62149"/>
    <w:rsid w:val="00C62197"/>
    <w:rsid w:val="00C621DF"/>
    <w:rsid w:val="00C621E0"/>
    <w:rsid w:val="00C62231"/>
    <w:rsid w:val="00C62267"/>
    <w:rsid w:val="00C62296"/>
    <w:rsid w:val="00C622B2"/>
    <w:rsid w:val="00C623CB"/>
    <w:rsid w:val="00C623D2"/>
    <w:rsid w:val="00C6249D"/>
    <w:rsid w:val="00C62518"/>
    <w:rsid w:val="00C62597"/>
    <w:rsid w:val="00C6262A"/>
    <w:rsid w:val="00C62740"/>
    <w:rsid w:val="00C6276F"/>
    <w:rsid w:val="00C62773"/>
    <w:rsid w:val="00C62798"/>
    <w:rsid w:val="00C627EA"/>
    <w:rsid w:val="00C627FB"/>
    <w:rsid w:val="00C6283E"/>
    <w:rsid w:val="00C62856"/>
    <w:rsid w:val="00C62867"/>
    <w:rsid w:val="00C62886"/>
    <w:rsid w:val="00C628EE"/>
    <w:rsid w:val="00C62978"/>
    <w:rsid w:val="00C629BC"/>
    <w:rsid w:val="00C629F2"/>
    <w:rsid w:val="00C62A0C"/>
    <w:rsid w:val="00C62A23"/>
    <w:rsid w:val="00C62BAA"/>
    <w:rsid w:val="00C62C2E"/>
    <w:rsid w:val="00C62C9A"/>
    <w:rsid w:val="00C62D03"/>
    <w:rsid w:val="00C62DC6"/>
    <w:rsid w:val="00C62F10"/>
    <w:rsid w:val="00C62FB4"/>
    <w:rsid w:val="00C63040"/>
    <w:rsid w:val="00C63057"/>
    <w:rsid w:val="00C6315C"/>
    <w:rsid w:val="00C6317F"/>
    <w:rsid w:val="00C631C2"/>
    <w:rsid w:val="00C63229"/>
    <w:rsid w:val="00C6326D"/>
    <w:rsid w:val="00C63293"/>
    <w:rsid w:val="00C6329B"/>
    <w:rsid w:val="00C632E1"/>
    <w:rsid w:val="00C632F6"/>
    <w:rsid w:val="00C6335C"/>
    <w:rsid w:val="00C6336B"/>
    <w:rsid w:val="00C63385"/>
    <w:rsid w:val="00C63406"/>
    <w:rsid w:val="00C63501"/>
    <w:rsid w:val="00C63505"/>
    <w:rsid w:val="00C63529"/>
    <w:rsid w:val="00C6363A"/>
    <w:rsid w:val="00C6368B"/>
    <w:rsid w:val="00C636ED"/>
    <w:rsid w:val="00C6370A"/>
    <w:rsid w:val="00C6370C"/>
    <w:rsid w:val="00C63718"/>
    <w:rsid w:val="00C63732"/>
    <w:rsid w:val="00C638D2"/>
    <w:rsid w:val="00C638EB"/>
    <w:rsid w:val="00C639B8"/>
    <w:rsid w:val="00C639CD"/>
    <w:rsid w:val="00C639E1"/>
    <w:rsid w:val="00C63B15"/>
    <w:rsid w:val="00C63B91"/>
    <w:rsid w:val="00C63C85"/>
    <w:rsid w:val="00C63CC0"/>
    <w:rsid w:val="00C63D3D"/>
    <w:rsid w:val="00C63D58"/>
    <w:rsid w:val="00C63DA3"/>
    <w:rsid w:val="00C63E41"/>
    <w:rsid w:val="00C63E6C"/>
    <w:rsid w:val="00C63F4E"/>
    <w:rsid w:val="00C63F8B"/>
    <w:rsid w:val="00C63FBA"/>
    <w:rsid w:val="00C63FE5"/>
    <w:rsid w:val="00C64017"/>
    <w:rsid w:val="00C64088"/>
    <w:rsid w:val="00C640C8"/>
    <w:rsid w:val="00C640EE"/>
    <w:rsid w:val="00C641A3"/>
    <w:rsid w:val="00C641BC"/>
    <w:rsid w:val="00C64206"/>
    <w:rsid w:val="00C6425B"/>
    <w:rsid w:val="00C64275"/>
    <w:rsid w:val="00C642CC"/>
    <w:rsid w:val="00C64373"/>
    <w:rsid w:val="00C643AA"/>
    <w:rsid w:val="00C643BF"/>
    <w:rsid w:val="00C643E5"/>
    <w:rsid w:val="00C64410"/>
    <w:rsid w:val="00C64507"/>
    <w:rsid w:val="00C6451A"/>
    <w:rsid w:val="00C64523"/>
    <w:rsid w:val="00C64546"/>
    <w:rsid w:val="00C64551"/>
    <w:rsid w:val="00C645C2"/>
    <w:rsid w:val="00C645D1"/>
    <w:rsid w:val="00C645EF"/>
    <w:rsid w:val="00C64679"/>
    <w:rsid w:val="00C64688"/>
    <w:rsid w:val="00C64697"/>
    <w:rsid w:val="00C64700"/>
    <w:rsid w:val="00C64729"/>
    <w:rsid w:val="00C64828"/>
    <w:rsid w:val="00C648CF"/>
    <w:rsid w:val="00C64907"/>
    <w:rsid w:val="00C64954"/>
    <w:rsid w:val="00C64A83"/>
    <w:rsid w:val="00C64AF5"/>
    <w:rsid w:val="00C64B9D"/>
    <w:rsid w:val="00C64BAE"/>
    <w:rsid w:val="00C64BB0"/>
    <w:rsid w:val="00C64CA1"/>
    <w:rsid w:val="00C64CE7"/>
    <w:rsid w:val="00C64CF0"/>
    <w:rsid w:val="00C64D14"/>
    <w:rsid w:val="00C64D64"/>
    <w:rsid w:val="00C64DA3"/>
    <w:rsid w:val="00C64F3A"/>
    <w:rsid w:val="00C64FC9"/>
    <w:rsid w:val="00C65046"/>
    <w:rsid w:val="00C65095"/>
    <w:rsid w:val="00C65099"/>
    <w:rsid w:val="00C65148"/>
    <w:rsid w:val="00C6520C"/>
    <w:rsid w:val="00C65212"/>
    <w:rsid w:val="00C65282"/>
    <w:rsid w:val="00C652C7"/>
    <w:rsid w:val="00C652DA"/>
    <w:rsid w:val="00C6530E"/>
    <w:rsid w:val="00C65328"/>
    <w:rsid w:val="00C6558C"/>
    <w:rsid w:val="00C655C5"/>
    <w:rsid w:val="00C655E8"/>
    <w:rsid w:val="00C656FF"/>
    <w:rsid w:val="00C65709"/>
    <w:rsid w:val="00C6570C"/>
    <w:rsid w:val="00C65770"/>
    <w:rsid w:val="00C6577E"/>
    <w:rsid w:val="00C6584B"/>
    <w:rsid w:val="00C65889"/>
    <w:rsid w:val="00C65955"/>
    <w:rsid w:val="00C65981"/>
    <w:rsid w:val="00C65AB5"/>
    <w:rsid w:val="00C65ABD"/>
    <w:rsid w:val="00C65B79"/>
    <w:rsid w:val="00C65BE5"/>
    <w:rsid w:val="00C65C51"/>
    <w:rsid w:val="00C65C7E"/>
    <w:rsid w:val="00C65C9B"/>
    <w:rsid w:val="00C65CA6"/>
    <w:rsid w:val="00C65CA7"/>
    <w:rsid w:val="00C65E00"/>
    <w:rsid w:val="00C65E4B"/>
    <w:rsid w:val="00C65E4F"/>
    <w:rsid w:val="00C65EE7"/>
    <w:rsid w:val="00C65F27"/>
    <w:rsid w:val="00C65F49"/>
    <w:rsid w:val="00C65FF9"/>
    <w:rsid w:val="00C66023"/>
    <w:rsid w:val="00C66026"/>
    <w:rsid w:val="00C660A0"/>
    <w:rsid w:val="00C660AB"/>
    <w:rsid w:val="00C6611F"/>
    <w:rsid w:val="00C6615F"/>
    <w:rsid w:val="00C661D9"/>
    <w:rsid w:val="00C66240"/>
    <w:rsid w:val="00C6625B"/>
    <w:rsid w:val="00C66415"/>
    <w:rsid w:val="00C6641D"/>
    <w:rsid w:val="00C664AE"/>
    <w:rsid w:val="00C665D3"/>
    <w:rsid w:val="00C666EE"/>
    <w:rsid w:val="00C66738"/>
    <w:rsid w:val="00C66884"/>
    <w:rsid w:val="00C66A48"/>
    <w:rsid w:val="00C66B21"/>
    <w:rsid w:val="00C66B56"/>
    <w:rsid w:val="00C66BCA"/>
    <w:rsid w:val="00C66C3D"/>
    <w:rsid w:val="00C66C5B"/>
    <w:rsid w:val="00C66C89"/>
    <w:rsid w:val="00C66CA5"/>
    <w:rsid w:val="00C66D5A"/>
    <w:rsid w:val="00C66E70"/>
    <w:rsid w:val="00C66E7B"/>
    <w:rsid w:val="00C66EA1"/>
    <w:rsid w:val="00C66EDB"/>
    <w:rsid w:val="00C66EEE"/>
    <w:rsid w:val="00C66F09"/>
    <w:rsid w:val="00C66F93"/>
    <w:rsid w:val="00C66FA3"/>
    <w:rsid w:val="00C67028"/>
    <w:rsid w:val="00C670B5"/>
    <w:rsid w:val="00C670DA"/>
    <w:rsid w:val="00C670DB"/>
    <w:rsid w:val="00C670EF"/>
    <w:rsid w:val="00C67235"/>
    <w:rsid w:val="00C67286"/>
    <w:rsid w:val="00C67294"/>
    <w:rsid w:val="00C672BF"/>
    <w:rsid w:val="00C67320"/>
    <w:rsid w:val="00C67340"/>
    <w:rsid w:val="00C67366"/>
    <w:rsid w:val="00C67391"/>
    <w:rsid w:val="00C67474"/>
    <w:rsid w:val="00C674A7"/>
    <w:rsid w:val="00C674E3"/>
    <w:rsid w:val="00C67508"/>
    <w:rsid w:val="00C67550"/>
    <w:rsid w:val="00C67600"/>
    <w:rsid w:val="00C67618"/>
    <w:rsid w:val="00C67641"/>
    <w:rsid w:val="00C676A7"/>
    <w:rsid w:val="00C676CF"/>
    <w:rsid w:val="00C6784C"/>
    <w:rsid w:val="00C67873"/>
    <w:rsid w:val="00C678AB"/>
    <w:rsid w:val="00C678CE"/>
    <w:rsid w:val="00C678D7"/>
    <w:rsid w:val="00C678F5"/>
    <w:rsid w:val="00C67902"/>
    <w:rsid w:val="00C67908"/>
    <w:rsid w:val="00C67915"/>
    <w:rsid w:val="00C6797B"/>
    <w:rsid w:val="00C6798A"/>
    <w:rsid w:val="00C679A4"/>
    <w:rsid w:val="00C679AC"/>
    <w:rsid w:val="00C67A55"/>
    <w:rsid w:val="00C67AA9"/>
    <w:rsid w:val="00C67AD8"/>
    <w:rsid w:val="00C67ADE"/>
    <w:rsid w:val="00C67B04"/>
    <w:rsid w:val="00C67BD4"/>
    <w:rsid w:val="00C67BE2"/>
    <w:rsid w:val="00C67BF5"/>
    <w:rsid w:val="00C67CC6"/>
    <w:rsid w:val="00C67D0F"/>
    <w:rsid w:val="00C67DC0"/>
    <w:rsid w:val="00C67DD5"/>
    <w:rsid w:val="00C67E18"/>
    <w:rsid w:val="00C67E86"/>
    <w:rsid w:val="00C67E93"/>
    <w:rsid w:val="00C67EC2"/>
    <w:rsid w:val="00C67F7B"/>
    <w:rsid w:val="00C67F7E"/>
    <w:rsid w:val="00C67FF2"/>
    <w:rsid w:val="00C70012"/>
    <w:rsid w:val="00C70015"/>
    <w:rsid w:val="00C70063"/>
    <w:rsid w:val="00C70122"/>
    <w:rsid w:val="00C7013C"/>
    <w:rsid w:val="00C70140"/>
    <w:rsid w:val="00C70143"/>
    <w:rsid w:val="00C70149"/>
    <w:rsid w:val="00C7014A"/>
    <w:rsid w:val="00C7017A"/>
    <w:rsid w:val="00C70205"/>
    <w:rsid w:val="00C702B0"/>
    <w:rsid w:val="00C702E1"/>
    <w:rsid w:val="00C703CA"/>
    <w:rsid w:val="00C703CE"/>
    <w:rsid w:val="00C703E2"/>
    <w:rsid w:val="00C70415"/>
    <w:rsid w:val="00C7049A"/>
    <w:rsid w:val="00C704BF"/>
    <w:rsid w:val="00C704E2"/>
    <w:rsid w:val="00C70510"/>
    <w:rsid w:val="00C70514"/>
    <w:rsid w:val="00C7056B"/>
    <w:rsid w:val="00C705CC"/>
    <w:rsid w:val="00C705FD"/>
    <w:rsid w:val="00C706CF"/>
    <w:rsid w:val="00C706DB"/>
    <w:rsid w:val="00C706E7"/>
    <w:rsid w:val="00C70720"/>
    <w:rsid w:val="00C70847"/>
    <w:rsid w:val="00C7085A"/>
    <w:rsid w:val="00C708B7"/>
    <w:rsid w:val="00C708D1"/>
    <w:rsid w:val="00C7094B"/>
    <w:rsid w:val="00C7099F"/>
    <w:rsid w:val="00C70B25"/>
    <w:rsid w:val="00C70B2B"/>
    <w:rsid w:val="00C70BF1"/>
    <w:rsid w:val="00C70C02"/>
    <w:rsid w:val="00C70C5D"/>
    <w:rsid w:val="00C70DB8"/>
    <w:rsid w:val="00C70DBA"/>
    <w:rsid w:val="00C70DD7"/>
    <w:rsid w:val="00C70DEE"/>
    <w:rsid w:val="00C70F21"/>
    <w:rsid w:val="00C70F25"/>
    <w:rsid w:val="00C70F2F"/>
    <w:rsid w:val="00C70F93"/>
    <w:rsid w:val="00C71074"/>
    <w:rsid w:val="00C7108E"/>
    <w:rsid w:val="00C71091"/>
    <w:rsid w:val="00C7110B"/>
    <w:rsid w:val="00C7117B"/>
    <w:rsid w:val="00C711C0"/>
    <w:rsid w:val="00C711E3"/>
    <w:rsid w:val="00C711ED"/>
    <w:rsid w:val="00C712AA"/>
    <w:rsid w:val="00C712D5"/>
    <w:rsid w:val="00C712E9"/>
    <w:rsid w:val="00C71323"/>
    <w:rsid w:val="00C7132D"/>
    <w:rsid w:val="00C71389"/>
    <w:rsid w:val="00C713B9"/>
    <w:rsid w:val="00C713ED"/>
    <w:rsid w:val="00C713FF"/>
    <w:rsid w:val="00C71409"/>
    <w:rsid w:val="00C71410"/>
    <w:rsid w:val="00C71414"/>
    <w:rsid w:val="00C7142E"/>
    <w:rsid w:val="00C71434"/>
    <w:rsid w:val="00C7146D"/>
    <w:rsid w:val="00C714BD"/>
    <w:rsid w:val="00C714BE"/>
    <w:rsid w:val="00C71542"/>
    <w:rsid w:val="00C71599"/>
    <w:rsid w:val="00C71634"/>
    <w:rsid w:val="00C71642"/>
    <w:rsid w:val="00C71680"/>
    <w:rsid w:val="00C716AF"/>
    <w:rsid w:val="00C717BA"/>
    <w:rsid w:val="00C71850"/>
    <w:rsid w:val="00C71865"/>
    <w:rsid w:val="00C7188D"/>
    <w:rsid w:val="00C718C4"/>
    <w:rsid w:val="00C71944"/>
    <w:rsid w:val="00C71995"/>
    <w:rsid w:val="00C719CE"/>
    <w:rsid w:val="00C71BED"/>
    <w:rsid w:val="00C71CB0"/>
    <w:rsid w:val="00C71CD4"/>
    <w:rsid w:val="00C71D02"/>
    <w:rsid w:val="00C71D30"/>
    <w:rsid w:val="00C71D5B"/>
    <w:rsid w:val="00C71D75"/>
    <w:rsid w:val="00C71DF9"/>
    <w:rsid w:val="00C71E01"/>
    <w:rsid w:val="00C71E05"/>
    <w:rsid w:val="00C71EA0"/>
    <w:rsid w:val="00C71F38"/>
    <w:rsid w:val="00C71F47"/>
    <w:rsid w:val="00C71F56"/>
    <w:rsid w:val="00C71F6A"/>
    <w:rsid w:val="00C71F6E"/>
    <w:rsid w:val="00C71FB3"/>
    <w:rsid w:val="00C71FBE"/>
    <w:rsid w:val="00C71FF5"/>
    <w:rsid w:val="00C72006"/>
    <w:rsid w:val="00C7200B"/>
    <w:rsid w:val="00C72067"/>
    <w:rsid w:val="00C720D9"/>
    <w:rsid w:val="00C720F4"/>
    <w:rsid w:val="00C72127"/>
    <w:rsid w:val="00C721B5"/>
    <w:rsid w:val="00C72244"/>
    <w:rsid w:val="00C72318"/>
    <w:rsid w:val="00C723F3"/>
    <w:rsid w:val="00C7249A"/>
    <w:rsid w:val="00C724E6"/>
    <w:rsid w:val="00C7251D"/>
    <w:rsid w:val="00C725D0"/>
    <w:rsid w:val="00C726E8"/>
    <w:rsid w:val="00C72738"/>
    <w:rsid w:val="00C72887"/>
    <w:rsid w:val="00C728D0"/>
    <w:rsid w:val="00C72914"/>
    <w:rsid w:val="00C729A1"/>
    <w:rsid w:val="00C72AA7"/>
    <w:rsid w:val="00C72B6E"/>
    <w:rsid w:val="00C72BDC"/>
    <w:rsid w:val="00C72BE5"/>
    <w:rsid w:val="00C72C1A"/>
    <w:rsid w:val="00C72C31"/>
    <w:rsid w:val="00C72C4A"/>
    <w:rsid w:val="00C72C5F"/>
    <w:rsid w:val="00C72C80"/>
    <w:rsid w:val="00C72C81"/>
    <w:rsid w:val="00C72CD1"/>
    <w:rsid w:val="00C72E59"/>
    <w:rsid w:val="00C72ED7"/>
    <w:rsid w:val="00C72F48"/>
    <w:rsid w:val="00C72FE7"/>
    <w:rsid w:val="00C73044"/>
    <w:rsid w:val="00C7306A"/>
    <w:rsid w:val="00C73110"/>
    <w:rsid w:val="00C73223"/>
    <w:rsid w:val="00C7325D"/>
    <w:rsid w:val="00C7329F"/>
    <w:rsid w:val="00C732EB"/>
    <w:rsid w:val="00C7334C"/>
    <w:rsid w:val="00C733A6"/>
    <w:rsid w:val="00C733C9"/>
    <w:rsid w:val="00C73426"/>
    <w:rsid w:val="00C7347D"/>
    <w:rsid w:val="00C734C5"/>
    <w:rsid w:val="00C73516"/>
    <w:rsid w:val="00C73584"/>
    <w:rsid w:val="00C735BE"/>
    <w:rsid w:val="00C7364A"/>
    <w:rsid w:val="00C7369E"/>
    <w:rsid w:val="00C73710"/>
    <w:rsid w:val="00C73717"/>
    <w:rsid w:val="00C7386F"/>
    <w:rsid w:val="00C7387E"/>
    <w:rsid w:val="00C73908"/>
    <w:rsid w:val="00C73909"/>
    <w:rsid w:val="00C73980"/>
    <w:rsid w:val="00C7399B"/>
    <w:rsid w:val="00C7399C"/>
    <w:rsid w:val="00C739B1"/>
    <w:rsid w:val="00C73A18"/>
    <w:rsid w:val="00C73ABC"/>
    <w:rsid w:val="00C73AD2"/>
    <w:rsid w:val="00C73AED"/>
    <w:rsid w:val="00C73B6F"/>
    <w:rsid w:val="00C73C6B"/>
    <w:rsid w:val="00C73D02"/>
    <w:rsid w:val="00C73D54"/>
    <w:rsid w:val="00C73D7A"/>
    <w:rsid w:val="00C73E7E"/>
    <w:rsid w:val="00C73E91"/>
    <w:rsid w:val="00C73E96"/>
    <w:rsid w:val="00C73EEF"/>
    <w:rsid w:val="00C73F33"/>
    <w:rsid w:val="00C73F57"/>
    <w:rsid w:val="00C73FC3"/>
    <w:rsid w:val="00C7404B"/>
    <w:rsid w:val="00C74085"/>
    <w:rsid w:val="00C74122"/>
    <w:rsid w:val="00C74184"/>
    <w:rsid w:val="00C7419C"/>
    <w:rsid w:val="00C741B8"/>
    <w:rsid w:val="00C741FD"/>
    <w:rsid w:val="00C7420F"/>
    <w:rsid w:val="00C74288"/>
    <w:rsid w:val="00C7432F"/>
    <w:rsid w:val="00C7440D"/>
    <w:rsid w:val="00C74557"/>
    <w:rsid w:val="00C74564"/>
    <w:rsid w:val="00C74597"/>
    <w:rsid w:val="00C745AE"/>
    <w:rsid w:val="00C745C8"/>
    <w:rsid w:val="00C74609"/>
    <w:rsid w:val="00C7468B"/>
    <w:rsid w:val="00C746AE"/>
    <w:rsid w:val="00C746CC"/>
    <w:rsid w:val="00C7473A"/>
    <w:rsid w:val="00C747A5"/>
    <w:rsid w:val="00C747F8"/>
    <w:rsid w:val="00C7481C"/>
    <w:rsid w:val="00C74820"/>
    <w:rsid w:val="00C7499B"/>
    <w:rsid w:val="00C749BD"/>
    <w:rsid w:val="00C749D9"/>
    <w:rsid w:val="00C74A43"/>
    <w:rsid w:val="00C74A78"/>
    <w:rsid w:val="00C74A9E"/>
    <w:rsid w:val="00C74AC5"/>
    <w:rsid w:val="00C74B1F"/>
    <w:rsid w:val="00C74B91"/>
    <w:rsid w:val="00C74BCA"/>
    <w:rsid w:val="00C74BEE"/>
    <w:rsid w:val="00C74C09"/>
    <w:rsid w:val="00C74C32"/>
    <w:rsid w:val="00C74C5F"/>
    <w:rsid w:val="00C74C81"/>
    <w:rsid w:val="00C74C8E"/>
    <w:rsid w:val="00C74D56"/>
    <w:rsid w:val="00C74D75"/>
    <w:rsid w:val="00C74DE6"/>
    <w:rsid w:val="00C74ECD"/>
    <w:rsid w:val="00C74FC3"/>
    <w:rsid w:val="00C74FE7"/>
    <w:rsid w:val="00C750BF"/>
    <w:rsid w:val="00C75147"/>
    <w:rsid w:val="00C7534C"/>
    <w:rsid w:val="00C7535D"/>
    <w:rsid w:val="00C7536E"/>
    <w:rsid w:val="00C7537F"/>
    <w:rsid w:val="00C75390"/>
    <w:rsid w:val="00C75444"/>
    <w:rsid w:val="00C754C4"/>
    <w:rsid w:val="00C754E8"/>
    <w:rsid w:val="00C7551B"/>
    <w:rsid w:val="00C75640"/>
    <w:rsid w:val="00C75668"/>
    <w:rsid w:val="00C7569D"/>
    <w:rsid w:val="00C757B1"/>
    <w:rsid w:val="00C757B6"/>
    <w:rsid w:val="00C75869"/>
    <w:rsid w:val="00C758D0"/>
    <w:rsid w:val="00C758FC"/>
    <w:rsid w:val="00C75903"/>
    <w:rsid w:val="00C75967"/>
    <w:rsid w:val="00C759A4"/>
    <w:rsid w:val="00C75A15"/>
    <w:rsid w:val="00C75A21"/>
    <w:rsid w:val="00C75A7B"/>
    <w:rsid w:val="00C75B18"/>
    <w:rsid w:val="00C75B3E"/>
    <w:rsid w:val="00C75B7D"/>
    <w:rsid w:val="00C75B96"/>
    <w:rsid w:val="00C75BAC"/>
    <w:rsid w:val="00C75D22"/>
    <w:rsid w:val="00C75D60"/>
    <w:rsid w:val="00C75D84"/>
    <w:rsid w:val="00C75D99"/>
    <w:rsid w:val="00C75DB1"/>
    <w:rsid w:val="00C75DF2"/>
    <w:rsid w:val="00C75E65"/>
    <w:rsid w:val="00C76092"/>
    <w:rsid w:val="00C76146"/>
    <w:rsid w:val="00C761E9"/>
    <w:rsid w:val="00C761F9"/>
    <w:rsid w:val="00C761FB"/>
    <w:rsid w:val="00C76289"/>
    <w:rsid w:val="00C762A0"/>
    <w:rsid w:val="00C762F2"/>
    <w:rsid w:val="00C7648C"/>
    <w:rsid w:val="00C76494"/>
    <w:rsid w:val="00C764B0"/>
    <w:rsid w:val="00C764F8"/>
    <w:rsid w:val="00C76585"/>
    <w:rsid w:val="00C7659C"/>
    <w:rsid w:val="00C765E8"/>
    <w:rsid w:val="00C766C6"/>
    <w:rsid w:val="00C76730"/>
    <w:rsid w:val="00C76785"/>
    <w:rsid w:val="00C76828"/>
    <w:rsid w:val="00C76841"/>
    <w:rsid w:val="00C76885"/>
    <w:rsid w:val="00C768EC"/>
    <w:rsid w:val="00C7693D"/>
    <w:rsid w:val="00C769AE"/>
    <w:rsid w:val="00C769F2"/>
    <w:rsid w:val="00C76B3F"/>
    <w:rsid w:val="00C76B5C"/>
    <w:rsid w:val="00C76B7D"/>
    <w:rsid w:val="00C76C43"/>
    <w:rsid w:val="00C76C5A"/>
    <w:rsid w:val="00C76CB4"/>
    <w:rsid w:val="00C76CD4"/>
    <w:rsid w:val="00C76D69"/>
    <w:rsid w:val="00C76DE6"/>
    <w:rsid w:val="00C76E83"/>
    <w:rsid w:val="00C76E8A"/>
    <w:rsid w:val="00C76E99"/>
    <w:rsid w:val="00C76F3B"/>
    <w:rsid w:val="00C76F7D"/>
    <w:rsid w:val="00C76F99"/>
    <w:rsid w:val="00C7706A"/>
    <w:rsid w:val="00C77100"/>
    <w:rsid w:val="00C7711A"/>
    <w:rsid w:val="00C77140"/>
    <w:rsid w:val="00C7717F"/>
    <w:rsid w:val="00C771C7"/>
    <w:rsid w:val="00C772BB"/>
    <w:rsid w:val="00C772C9"/>
    <w:rsid w:val="00C772D5"/>
    <w:rsid w:val="00C77361"/>
    <w:rsid w:val="00C77364"/>
    <w:rsid w:val="00C773E6"/>
    <w:rsid w:val="00C773FD"/>
    <w:rsid w:val="00C77435"/>
    <w:rsid w:val="00C77483"/>
    <w:rsid w:val="00C77595"/>
    <w:rsid w:val="00C775DF"/>
    <w:rsid w:val="00C77680"/>
    <w:rsid w:val="00C776AE"/>
    <w:rsid w:val="00C776EB"/>
    <w:rsid w:val="00C77763"/>
    <w:rsid w:val="00C77766"/>
    <w:rsid w:val="00C77815"/>
    <w:rsid w:val="00C77836"/>
    <w:rsid w:val="00C77873"/>
    <w:rsid w:val="00C778E3"/>
    <w:rsid w:val="00C7791E"/>
    <w:rsid w:val="00C77A0D"/>
    <w:rsid w:val="00C77AE5"/>
    <w:rsid w:val="00C77B07"/>
    <w:rsid w:val="00C77B25"/>
    <w:rsid w:val="00C77B57"/>
    <w:rsid w:val="00C77B7F"/>
    <w:rsid w:val="00C77B9D"/>
    <w:rsid w:val="00C77BD8"/>
    <w:rsid w:val="00C77C40"/>
    <w:rsid w:val="00C77CE9"/>
    <w:rsid w:val="00C77D75"/>
    <w:rsid w:val="00C77D78"/>
    <w:rsid w:val="00C77DD3"/>
    <w:rsid w:val="00C77E53"/>
    <w:rsid w:val="00C77EBA"/>
    <w:rsid w:val="00C77EE4"/>
    <w:rsid w:val="00C77F40"/>
    <w:rsid w:val="00C77F62"/>
    <w:rsid w:val="00C77F8E"/>
    <w:rsid w:val="00C801F6"/>
    <w:rsid w:val="00C80253"/>
    <w:rsid w:val="00C8031A"/>
    <w:rsid w:val="00C803DE"/>
    <w:rsid w:val="00C803E3"/>
    <w:rsid w:val="00C803F6"/>
    <w:rsid w:val="00C803F9"/>
    <w:rsid w:val="00C80436"/>
    <w:rsid w:val="00C80458"/>
    <w:rsid w:val="00C804CD"/>
    <w:rsid w:val="00C80503"/>
    <w:rsid w:val="00C8059C"/>
    <w:rsid w:val="00C805A6"/>
    <w:rsid w:val="00C805E1"/>
    <w:rsid w:val="00C8064B"/>
    <w:rsid w:val="00C806A8"/>
    <w:rsid w:val="00C806F9"/>
    <w:rsid w:val="00C80744"/>
    <w:rsid w:val="00C80831"/>
    <w:rsid w:val="00C80854"/>
    <w:rsid w:val="00C8086C"/>
    <w:rsid w:val="00C80996"/>
    <w:rsid w:val="00C809DC"/>
    <w:rsid w:val="00C80A40"/>
    <w:rsid w:val="00C80A5E"/>
    <w:rsid w:val="00C80AFB"/>
    <w:rsid w:val="00C80B28"/>
    <w:rsid w:val="00C80BDA"/>
    <w:rsid w:val="00C80BE8"/>
    <w:rsid w:val="00C80D03"/>
    <w:rsid w:val="00C80D39"/>
    <w:rsid w:val="00C80D5B"/>
    <w:rsid w:val="00C80DBE"/>
    <w:rsid w:val="00C80DFB"/>
    <w:rsid w:val="00C80EA1"/>
    <w:rsid w:val="00C80EEA"/>
    <w:rsid w:val="00C80F15"/>
    <w:rsid w:val="00C80F37"/>
    <w:rsid w:val="00C80F6E"/>
    <w:rsid w:val="00C81036"/>
    <w:rsid w:val="00C8103F"/>
    <w:rsid w:val="00C81176"/>
    <w:rsid w:val="00C81195"/>
    <w:rsid w:val="00C811F6"/>
    <w:rsid w:val="00C8121A"/>
    <w:rsid w:val="00C8122A"/>
    <w:rsid w:val="00C81281"/>
    <w:rsid w:val="00C812A2"/>
    <w:rsid w:val="00C81368"/>
    <w:rsid w:val="00C81398"/>
    <w:rsid w:val="00C813EE"/>
    <w:rsid w:val="00C813F1"/>
    <w:rsid w:val="00C81448"/>
    <w:rsid w:val="00C81513"/>
    <w:rsid w:val="00C8152E"/>
    <w:rsid w:val="00C81545"/>
    <w:rsid w:val="00C8158B"/>
    <w:rsid w:val="00C815B0"/>
    <w:rsid w:val="00C815C3"/>
    <w:rsid w:val="00C815F1"/>
    <w:rsid w:val="00C81611"/>
    <w:rsid w:val="00C81662"/>
    <w:rsid w:val="00C81671"/>
    <w:rsid w:val="00C8169E"/>
    <w:rsid w:val="00C816DA"/>
    <w:rsid w:val="00C816E3"/>
    <w:rsid w:val="00C81737"/>
    <w:rsid w:val="00C8179F"/>
    <w:rsid w:val="00C817F9"/>
    <w:rsid w:val="00C81818"/>
    <w:rsid w:val="00C81862"/>
    <w:rsid w:val="00C81887"/>
    <w:rsid w:val="00C81A43"/>
    <w:rsid w:val="00C81AB5"/>
    <w:rsid w:val="00C81B7A"/>
    <w:rsid w:val="00C81BB9"/>
    <w:rsid w:val="00C81C5F"/>
    <w:rsid w:val="00C81C6D"/>
    <w:rsid w:val="00C81D58"/>
    <w:rsid w:val="00C81D5D"/>
    <w:rsid w:val="00C81D66"/>
    <w:rsid w:val="00C81D96"/>
    <w:rsid w:val="00C81E09"/>
    <w:rsid w:val="00C81EB8"/>
    <w:rsid w:val="00C81F0C"/>
    <w:rsid w:val="00C81F28"/>
    <w:rsid w:val="00C81FF7"/>
    <w:rsid w:val="00C8201D"/>
    <w:rsid w:val="00C82054"/>
    <w:rsid w:val="00C82078"/>
    <w:rsid w:val="00C820AD"/>
    <w:rsid w:val="00C82130"/>
    <w:rsid w:val="00C8219F"/>
    <w:rsid w:val="00C822D6"/>
    <w:rsid w:val="00C82324"/>
    <w:rsid w:val="00C82349"/>
    <w:rsid w:val="00C8236D"/>
    <w:rsid w:val="00C823D3"/>
    <w:rsid w:val="00C823E1"/>
    <w:rsid w:val="00C82480"/>
    <w:rsid w:val="00C82482"/>
    <w:rsid w:val="00C82485"/>
    <w:rsid w:val="00C82557"/>
    <w:rsid w:val="00C8255F"/>
    <w:rsid w:val="00C82561"/>
    <w:rsid w:val="00C82596"/>
    <w:rsid w:val="00C826F6"/>
    <w:rsid w:val="00C82702"/>
    <w:rsid w:val="00C82726"/>
    <w:rsid w:val="00C82773"/>
    <w:rsid w:val="00C82837"/>
    <w:rsid w:val="00C82847"/>
    <w:rsid w:val="00C828A7"/>
    <w:rsid w:val="00C828AC"/>
    <w:rsid w:val="00C82915"/>
    <w:rsid w:val="00C829BC"/>
    <w:rsid w:val="00C829D9"/>
    <w:rsid w:val="00C829DB"/>
    <w:rsid w:val="00C829FE"/>
    <w:rsid w:val="00C82A7B"/>
    <w:rsid w:val="00C82A8E"/>
    <w:rsid w:val="00C82ABA"/>
    <w:rsid w:val="00C82ABC"/>
    <w:rsid w:val="00C82ADB"/>
    <w:rsid w:val="00C82B01"/>
    <w:rsid w:val="00C82B0C"/>
    <w:rsid w:val="00C82B26"/>
    <w:rsid w:val="00C82BB1"/>
    <w:rsid w:val="00C82C95"/>
    <w:rsid w:val="00C82C9F"/>
    <w:rsid w:val="00C82CA8"/>
    <w:rsid w:val="00C82D55"/>
    <w:rsid w:val="00C82D5E"/>
    <w:rsid w:val="00C82D81"/>
    <w:rsid w:val="00C82DE2"/>
    <w:rsid w:val="00C82E43"/>
    <w:rsid w:val="00C82EB6"/>
    <w:rsid w:val="00C82EE7"/>
    <w:rsid w:val="00C82F25"/>
    <w:rsid w:val="00C82F5B"/>
    <w:rsid w:val="00C82F9E"/>
    <w:rsid w:val="00C82FAF"/>
    <w:rsid w:val="00C83052"/>
    <w:rsid w:val="00C83112"/>
    <w:rsid w:val="00C8314E"/>
    <w:rsid w:val="00C83192"/>
    <w:rsid w:val="00C831F8"/>
    <w:rsid w:val="00C8321E"/>
    <w:rsid w:val="00C8322F"/>
    <w:rsid w:val="00C83292"/>
    <w:rsid w:val="00C8329F"/>
    <w:rsid w:val="00C832CB"/>
    <w:rsid w:val="00C832F5"/>
    <w:rsid w:val="00C83346"/>
    <w:rsid w:val="00C83372"/>
    <w:rsid w:val="00C8337D"/>
    <w:rsid w:val="00C833BB"/>
    <w:rsid w:val="00C8341B"/>
    <w:rsid w:val="00C834C1"/>
    <w:rsid w:val="00C834D6"/>
    <w:rsid w:val="00C8350C"/>
    <w:rsid w:val="00C8350D"/>
    <w:rsid w:val="00C835E8"/>
    <w:rsid w:val="00C8361F"/>
    <w:rsid w:val="00C83659"/>
    <w:rsid w:val="00C83737"/>
    <w:rsid w:val="00C837EF"/>
    <w:rsid w:val="00C8380F"/>
    <w:rsid w:val="00C8390D"/>
    <w:rsid w:val="00C8395C"/>
    <w:rsid w:val="00C839A9"/>
    <w:rsid w:val="00C83A4D"/>
    <w:rsid w:val="00C83A65"/>
    <w:rsid w:val="00C83B15"/>
    <w:rsid w:val="00C83B25"/>
    <w:rsid w:val="00C83B4B"/>
    <w:rsid w:val="00C83BCA"/>
    <w:rsid w:val="00C83C18"/>
    <w:rsid w:val="00C83CA9"/>
    <w:rsid w:val="00C83CB0"/>
    <w:rsid w:val="00C83CEE"/>
    <w:rsid w:val="00C83D04"/>
    <w:rsid w:val="00C83D10"/>
    <w:rsid w:val="00C83D24"/>
    <w:rsid w:val="00C83DB2"/>
    <w:rsid w:val="00C83DF5"/>
    <w:rsid w:val="00C83F7F"/>
    <w:rsid w:val="00C83F88"/>
    <w:rsid w:val="00C83FAE"/>
    <w:rsid w:val="00C83FCA"/>
    <w:rsid w:val="00C83FF1"/>
    <w:rsid w:val="00C8403B"/>
    <w:rsid w:val="00C8404C"/>
    <w:rsid w:val="00C84111"/>
    <w:rsid w:val="00C8414C"/>
    <w:rsid w:val="00C841E2"/>
    <w:rsid w:val="00C841F7"/>
    <w:rsid w:val="00C84201"/>
    <w:rsid w:val="00C8425A"/>
    <w:rsid w:val="00C8428A"/>
    <w:rsid w:val="00C842A9"/>
    <w:rsid w:val="00C842B4"/>
    <w:rsid w:val="00C84306"/>
    <w:rsid w:val="00C8434C"/>
    <w:rsid w:val="00C8459B"/>
    <w:rsid w:val="00C8462B"/>
    <w:rsid w:val="00C84640"/>
    <w:rsid w:val="00C8466F"/>
    <w:rsid w:val="00C84676"/>
    <w:rsid w:val="00C84677"/>
    <w:rsid w:val="00C8467A"/>
    <w:rsid w:val="00C846B0"/>
    <w:rsid w:val="00C846BD"/>
    <w:rsid w:val="00C84705"/>
    <w:rsid w:val="00C84746"/>
    <w:rsid w:val="00C847B7"/>
    <w:rsid w:val="00C847D5"/>
    <w:rsid w:val="00C8480B"/>
    <w:rsid w:val="00C849F3"/>
    <w:rsid w:val="00C849F9"/>
    <w:rsid w:val="00C84A3D"/>
    <w:rsid w:val="00C84AEA"/>
    <w:rsid w:val="00C84B92"/>
    <w:rsid w:val="00C84BA5"/>
    <w:rsid w:val="00C84BB7"/>
    <w:rsid w:val="00C84BF8"/>
    <w:rsid w:val="00C84D1D"/>
    <w:rsid w:val="00C84D6A"/>
    <w:rsid w:val="00C84D6B"/>
    <w:rsid w:val="00C84DA7"/>
    <w:rsid w:val="00C84DAA"/>
    <w:rsid w:val="00C84E6A"/>
    <w:rsid w:val="00C84EC1"/>
    <w:rsid w:val="00C84EC8"/>
    <w:rsid w:val="00C84EEC"/>
    <w:rsid w:val="00C84F45"/>
    <w:rsid w:val="00C84F5F"/>
    <w:rsid w:val="00C84F6E"/>
    <w:rsid w:val="00C84FAC"/>
    <w:rsid w:val="00C84FBC"/>
    <w:rsid w:val="00C84FF5"/>
    <w:rsid w:val="00C85120"/>
    <w:rsid w:val="00C851A0"/>
    <w:rsid w:val="00C8527A"/>
    <w:rsid w:val="00C85314"/>
    <w:rsid w:val="00C85420"/>
    <w:rsid w:val="00C85438"/>
    <w:rsid w:val="00C854B5"/>
    <w:rsid w:val="00C854BC"/>
    <w:rsid w:val="00C8551B"/>
    <w:rsid w:val="00C8551C"/>
    <w:rsid w:val="00C8557E"/>
    <w:rsid w:val="00C8557F"/>
    <w:rsid w:val="00C85583"/>
    <w:rsid w:val="00C8561B"/>
    <w:rsid w:val="00C85690"/>
    <w:rsid w:val="00C856A3"/>
    <w:rsid w:val="00C8572D"/>
    <w:rsid w:val="00C85730"/>
    <w:rsid w:val="00C8576B"/>
    <w:rsid w:val="00C85799"/>
    <w:rsid w:val="00C857C1"/>
    <w:rsid w:val="00C857F2"/>
    <w:rsid w:val="00C85862"/>
    <w:rsid w:val="00C8587F"/>
    <w:rsid w:val="00C858B0"/>
    <w:rsid w:val="00C8598E"/>
    <w:rsid w:val="00C859D3"/>
    <w:rsid w:val="00C859D8"/>
    <w:rsid w:val="00C859E0"/>
    <w:rsid w:val="00C85A3F"/>
    <w:rsid w:val="00C85A4B"/>
    <w:rsid w:val="00C85AF5"/>
    <w:rsid w:val="00C85B46"/>
    <w:rsid w:val="00C85B53"/>
    <w:rsid w:val="00C85C69"/>
    <w:rsid w:val="00C85CC5"/>
    <w:rsid w:val="00C85D21"/>
    <w:rsid w:val="00C85D27"/>
    <w:rsid w:val="00C85D62"/>
    <w:rsid w:val="00C85D95"/>
    <w:rsid w:val="00C85DC5"/>
    <w:rsid w:val="00C85DFF"/>
    <w:rsid w:val="00C85E06"/>
    <w:rsid w:val="00C85E2A"/>
    <w:rsid w:val="00C85E70"/>
    <w:rsid w:val="00C85E89"/>
    <w:rsid w:val="00C85E8A"/>
    <w:rsid w:val="00C85EA5"/>
    <w:rsid w:val="00C85F2C"/>
    <w:rsid w:val="00C85F76"/>
    <w:rsid w:val="00C86005"/>
    <w:rsid w:val="00C8610B"/>
    <w:rsid w:val="00C861C4"/>
    <w:rsid w:val="00C861C6"/>
    <w:rsid w:val="00C86293"/>
    <w:rsid w:val="00C862BA"/>
    <w:rsid w:val="00C862FC"/>
    <w:rsid w:val="00C8636D"/>
    <w:rsid w:val="00C863A3"/>
    <w:rsid w:val="00C863D5"/>
    <w:rsid w:val="00C863DA"/>
    <w:rsid w:val="00C863FF"/>
    <w:rsid w:val="00C8641F"/>
    <w:rsid w:val="00C86488"/>
    <w:rsid w:val="00C864E6"/>
    <w:rsid w:val="00C8652E"/>
    <w:rsid w:val="00C86567"/>
    <w:rsid w:val="00C865B2"/>
    <w:rsid w:val="00C865D5"/>
    <w:rsid w:val="00C8661C"/>
    <w:rsid w:val="00C86632"/>
    <w:rsid w:val="00C8666C"/>
    <w:rsid w:val="00C8667B"/>
    <w:rsid w:val="00C866AE"/>
    <w:rsid w:val="00C866CE"/>
    <w:rsid w:val="00C866E6"/>
    <w:rsid w:val="00C866FC"/>
    <w:rsid w:val="00C86711"/>
    <w:rsid w:val="00C86781"/>
    <w:rsid w:val="00C86830"/>
    <w:rsid w:val="00C86846"/>
    <w:rsid w:val="00C868A7"/>
    <w:rsid w:val="00C868B0"/>
    <w:rsid w:val="00C86912"/>
    <w:rsid w:val="00C86942"/>
    <w:rsid w:val="00C8694D"/>
    <w:rsid w:val="00C869CE"/>
    <w:rsid w:val="00C869ED"/>
    <w:rsid w:val="00C86A39"/>
    <w:rsid w:val="00C86AC6"/>
    <w:rsid w:val="00C86AF8"/>
    <w:rsid w:val="00C86B1B"/>
    <w:rsid w:val="00C86B74"/>
    <w:rsid w:val="00C86B9A"/>
    <w:rsid w:val="00C86BD3"/>
    <w:rsid w:val="00C86C0A"/>
    <w:rsid w:val="00C86C57"/>
    <w:rsid w:val="00C86C74"/>
    <w:rsid w:val="00C86C9C"/>
    <w:rsid w:val="00C86D27"/>
    <w:rsid w:val="00C86D68"/>
    <w:rsid w:val="00C86D70"/>
    <w:rsid w:val="00C86E0A"/>
    <w:rsid w:val="00C86E98"/>
    <w:rsid w:val="00C86EB6"/>
    <w:rsid w:val="00C86EF9"/>
    <w:rsid w:val="00C86FE7"/>
    <w:rsid w:val="00C86FF9"/>
    <w:rsid w:val="00C87020"/>
    <w:rsid w:val="00C870D8"/>
    <w:rsid w:val="00C870F8"/>
    <w:rsid w:val="00C8714F"/>
    <w:rsid w:val="00C87165"/>
    <w:rsid w:val="00C8717B"/>
    <w:rsid w:val="00C871D1"/>
    <w:rsid w:val="00C8722C"/>
    <w:rsid w:val="00C87281"/>
    <w:rsid w:val="00C872E7"/>
    <w:rsid w:val="00C87335"/>
    <w:rsid w:val="00C8737D"/>
    <w:rsid w:val="00C8738F"/>
    <w:rsid w:val="00C8741E"/>
    <w:rsid w:val="00C87448"/>
    <w:rsid w:val="00C87470"/>
    <w:rsid w:val="00C87481"/>
    <w:rsid w:val="00C87637"/>
    <w:rsid w:val="00C87667"/>
    <w:rsid w:val="00C8767E"/>
    <w:rsid w:val="00C8779E"/>
    <w:rsid w:val="00C877A2"/>
    <w:rsid w:val="00C877DE"/>
    <w:rsid w:val="00C87801"/>
    <w:rsid w:val="00C87838"/>
    <w:rsid w:val="00C8784D"/>
    <w:rsid w:val="00C8786F"/>
    <w:rsid w:val="00C87899"/>
    <w:rsid w:val="00C87981"/>
    <w:rsid w:val="00C87A30"/>
    <w:rsid w:val="00C87A86"/>
    <w:rsid w:val="00C87AA0"/>
    <w:rsid w:val="00C87AA2"/>
    <w:rsid w:val="00C87AA9"/>
    <w:rsid w:val="00C87AC5"/>
    <w:rsid w:val="00C87AD0"/>
    <w:rsid w:val="00C87B5E"/>
    <w:rsid w:val="00C87BC4"/>
    <w:rsid w:val="00C87C08"/>
    <w:rsid w:val="00C87D4C"/>
    <w:rsid w:val="00C87D73"/>
    <w:rsid w:val="00C87D93"/>
    <w:rsid w:val="00C87DC9"/>
    <w:rsid w:val="00C87DD4"/>
    <w:rsid w:val="00C87E19"/>
    <w:rsid w:val="00C90031"/>
    <w:rsid w:val="00C900C9"/>
    <w:rsid w:val="00C900E2"/>
    <w:rsid w:val="00C900FA"/>
    <w:rsid w:val="00C900FE"/>
    <w:rsid w:val="00C901FD"/>
    <w:rsid w:val="00C9026D"/>
    <w:rsid w:val="00C9027F"/>
    <w:rsid w:val="00C90315"/>
    <w:rsid w:val="00C90354"/>
    <w:rsid w:val="00C903C2"/>
    <w:rsid w:val="00C903E8"/>
    <w:rsid w:val="00C90416"/>
    <w:rsid w:val="00C90425"/>
    <w:rsid w:val="00C90467"/>
    <w:rsid w:val="00C90552"/>
    <w:rsid w:val="00C9058E"/>
    <w:rsid w:val="00C90594"/>
    <w:rsid w:val="00C90599"/>
    <w:rsid w:val="00C9059A"/>
    <w:rsid w:val="00C905FE"/>
    <w:rsid w:val="00C90606"/>
    <w:rsid w:val="00C90623"/>
    <w:rsid w:val="00C906B3"/>
    <w:rsid w:val="00C9076C"/>
    <w:rsid w:val="00C90779"/>
    <w:rsid w:val="00C907E7"/>
    <w:rsid w:val="00C9088A"/>
    <w:rsid w:val="00C90903"/>
    <w:rsid w:val="00C90A8C"/>
    <w:rsid w:val="00C90AC5"/>
    <w:rsid w:val="00C90B12"/>
    <w:rsid w:val="00C90B4B"/>
    <w:rsid w:val="00C90B83"/>
    <w:rsid w:val="00C90BA3"/>
    <w:rsid w:val="00C90BE7"/>
    <w:rsid w:val="00C90C9D"/>
    <w:rsid w:val="00C90D3B"/>
    <w:rsid w:val="00C90D5A"/>
    <w:rsid w:val="00C90D72"/>
    <w:rsid w:val="00C90DA4"/>
    <w:rsid w:val="00C90DE5"/>
    <w:rsid w:val="00C90E31"/>
    <w:rsid w:val="00C90F45"/>
    <w:rsid w:val="00C91089"/>
    <w:rsid w:val="00C9109C"/>
    <w:rsid w:val="00C910D2"/>
    <w:rsid w:val="00C9110C"/>
    <w:rsid w:val="00C91144"/>
    <w:rsid w:val="00C9117C"/>
    <w:rsid w:val="00C911B2"/>
    <w:rsid w:val="00C911BA"/>
    <w:rsid w:val="00C9124F"/>
    <w:rsid w:val="00C912D4"/>
    <w:rsid w:val="00C912EF"/>
    <w:rsid w:val="00C9138F"/>
    <w:rsid w:val="00C91431"/>
    <w:rsid w:val="00C9149E"/>
    <w:rsid w:val="00C914F0"/>
    <w:rsid w:val="00C914FA"/>
    <w:rsid w:val="00C91559"/>
    <w:rsid w:val="00C91572"/>
    <w:rsid w:val="00C915FD"/>
    <w:rsid w:val="00C91602"/>
    <w:rsid w:val="00C91628"/>
    <w:rsid w:val="00C9162B"/>
    <w:rsid w:val="00C91652"/>
    <w:rsid w:val="00C91705"/>
    <w:rsid w:val="00C9171A"/>
    <w:rsid w:val="00C91753"/>
    <w:rsid w:val="00C917F5"/>
    <w:rsid w:val="00C91815"/>
    <w:rsid w:val="00C9185B"/>
    <w:rsid w:val="00C9185E"/>
    <w:rsid w:val="00C918AA"/>
    <w:rsid w:val="00C918B2"/>
    <w:rsid w:val="00C9199D"/>
    <w:rsid w:val="00C91A9B"/>
    <w:rsid w:val="00C91AEC"/>
    <w:rsid w:val="00C91BA2"/>
    <w:rsid w:val="00C91C2B"/>
    <w:rsid w:val="00C91C50"/>
    <w:rsid w:val="00C91C62"/>
    <w:rsid w:val="00C91C73"/>
    <w:rsid w:val="00C91C9C"/>
    <w:rsid w:val="00C91D07"/>
    <w:rsid w:val="00C91D15"/>
    <w:rsid w:val="00C91D5B"/>
    <w:rsid w:val="00C91D70"/>
    <w:rsid w:val="00C91D94"/>
    <w:rsid w:val="00C91E63"/>
    <w:rsid w:val="00C91EA2"/>
    <w:rsid w:val="00C91EDD"/>
    <w:rsid w:val="00C91FB7"/>
    <w:rsid w:val="00C9204A"/>
    <w:rsid w:val="00C92054"/>
    <w:rsid w:val="00C9207F"/>
    <w:rsid w:val="00C920CF"/>
    <w:rsid w:val="00C920F1"/>
    <w:rsid w:val="00C9211C"/>
    <w:rsid w:val="00C9213A"/>
    <w:rsid w:val="00C92159"/>
    <w:rsid w:val="00C9224A"/>
    <w:rsid w:val="00C92256"/>
    <w:rsid w:val="00C92284"/>
    <w:rsid w:val="00C922AD"/>
    <w:rsid w:val="00C922BD"/>
    <w:rsid w:val="00C9233B"/>
    <w:rsid w:val="00C9246F"/>
    <w:rsid w:val="00C924EB"/>
    <w:rsid w:val="00C9251C"/>
    <w:rsid w:val="00C92543"/>
    <w:rsid w:val="00C92625"/>
    <w:rsid w:val="00C92641"/>
    <w:rsid w:val="00C92770"/>
    <w:rsid w:val="00C92772"/>
    <w:rsid w:val="00C927C9"/>
    <w:rsid w:val="00C92831"/>
    <w:rsid w:val="00C92945"/>
    <w:rsid w:val="00C9295C"/>
    <w:rsid w:val="00C9296F"/>
    <w:rsid w:val="00C929F2"/>
    <w:rsid w:val="00C92AED"/>
    <w:rsid w:val="00C92B04"/>
    <w:rsid w:val="00C92B3A"/>
    <w:rsid w:val="00C92B91"/>
    <w:rsid w:val="00C92C61"/>
    <w:rsid w:val="00C92C66"/>
    <w:rsid w:val="00C92C77"/>
    <w:rsid w:val="00C92CE4"/>
    <w:rsid w:val="00C92D0D"/>
    <w:rsid w:val="00C92D8B"/>
    <w:rsid w:val="00C92DD9"/>
    <w:rsid w:val="00C92EA1"/>
    <w:rsid w:val="00C92ED1"/>
    <w:rsid w:val="00C92EF8"/>
    <w:rsid w:val="00C9300E"/>
    <w:rsid w:val="00C93011"/>
    <w:rsid w:val="00C93022"/>
    <w:rsid w:val="00C93087"/>
    <w:rsid w:val="00C930E0"/>
    <w:rsid w:val="00C93136"/>
    <w:rsid w:val="00C931DD"/>
    <w:rsid w:val="00C931E3"/>
    <w:rsid w:val="00C93222"/>
    <w:rsid w:val="00C93272"/>
    <w:rsid w:val="00C932E0"/>
    <w:rsid w:val="00C93301"/>
    <w:rsid w:val="00C93334"/>
    <w:rsid w:val="00C933AD"/>
    <w:rsid w:val="00C933F4"/>
    <w:rsid w:val="00C93484"/>
    <w:rsid w:val="00C934DA"/>
    <w:rsid w:val="00C934FD"/>
    <w:rsid w:val="00C93542"/>
    <w:rsid w:val="00C935B9"/>
    <w:rsid w:val="00C93689"/>
    <w:rsid w:val="00C93807"/>
    <w:rsid w:val="00C93870"/>
    <w:rsid w:val="00C9388E"/>
    <w:rsid w:val="00C938D8"/>
    <w:rsid w:val="00C938E9"/>
    <w:rsid w:val="00C93926"/>
    <w:rsid w:val="00C939B1"/>
    <w:rsid w:val="00C939E1"/>
    <w:rsid w:val="00C939F6"/>
    <w:rsid w:val="00C93A18"/>
    <w:rsid w:val="00C93A41"/>
    <w:rsid w:val="00C93A61"/>
    <w:rsid w:val="00C93A75"/>
    <w:rsid w:val="00C93B67"/>
    <w:rsid w:val="00C93B7F"/>
    <w:rsid w:val="00C93B98"/>
    <w:rsid w:val="00C93BE0"/>
    <w:rsid w:val="00C93C56"/>
    <w:rsid w:val="00C93C6F"/>
    <w:rsid w:val="00C93D23"/>
    <w:rsid w:val="00C93D36"/>
    <w:rsid w:val="00C93DD1"/>
    <w:rsid w:val="00C93DFE"/>
    <w:rsid w:val="00C93E30"/>
    <w:rsid w:val="00C93E51"/>
    <w:rsid w:val="00C93E9B"/>
    <w:rsid w:val="00C93EE7"/>
    <w:rsid w:val="00C93FD0"/>
    <w:rsid w:val="00C94020"/>
    <w:rsid w:val="00C94027"/>
    <w:rsid w:val="00C9404E"/>
    <w:rsid w:val="00C94161"/>
    <w:rsid w:val="00C941C5"/>
    <w:rsid w:val="00C941F1"/>
    <w:rsid w:val="00C941F3"/>
    <w:rsid w:val="00C94224"/>
    <w:rsid w:val="00C942C3"/>
    <w:rsid w:val="00C94324"/>
    <w:rsid w:val="00C94328"/>
    <w:rsid w:val="00C94499"/>
    <w:rsid w:val="00C944DF"/>
    <w:rsid w:val="00C9454F"/>
    <w:rsid w:val="00C94550"/>
    <w:rsid w:val="00C945A3"/>
    <w:rsid w:val="00C945F9"/>
    <w:rsid w:val="00C94612"/>
    <w:rsid w:val="00C94621"/>
    <w:rsid w:val="00C94634"/>
    <w:rsid w:val="00C9463E"/>
    <w:rsid w:val="00C946AC"/>
    <w:rsid w:val="00C946DD"/>
    <w:rsid w:val="00C94732"/>
    <w:rsid w:val="00C94746"/>
    <w:rsid w:val="00C94790"/>
    <w:rsid w:val="00C9488B"/>
    <w:rsid w:val="00C94895"/>
    <w:rsid w:val="00C949FF"/>
    <w:rsid w:val="00C94AAE"/>
    <w:rsid w:val="00C94AF9"/>
    <w:rsid w:val="00C94B44"/>
    <w:rsid w:val="00C94B53"/>
    <w:rsid w:val="00C94BC0"/>
    <w:rsid w:val="00C94BD4"/>
    <w:rsid w:val="00C94C6C"/>
    <w:rsid w:val="00C94CC2"/>
    <w:rsid w:val="00C94CC8"/>
    <w:rsid w:val="00C94CED"/>
    <w:rsid w:val="00C94DF3"/>
    <w:rsid w:val="00C94E2A"/>
    <w:rsid w:val="00C94EF1"/>
    <w:rsid w:val="00C94F31"/>
    <w:rsid w:val="00C94F87"/>
    <w:rsid w:val="00C94F91"/>
    <w:rsid w:val="00C94FF2"/>
    <w:rsid w:val="00C9502D"/>
    <w:rsid w:val="00C9506D"/>
    <w:rsid w:val="00C9508C"/>
    <w:rsid w:val="00C951A6"/>
    <w:rsid w:val="00C951BE"/>
    <w:rsid w:val="00C95251"/>
    <w:rsid w:val="00C95343"/>
    <w:rsid w:val="00C95396"/>
    <w:rsid w:val="00C9540D"/>
    <w:rsid w:val="00C95433"/>
    <w:rsid w:val="00C95489"/>
    <w:rsid w:val="00C954A3"/>
    <w:rsid w:val="00C9550D"/>
    <w:rsid w:val="00C95522"/>
    <w:rsid w:val="00C95637"/>
    <w:rsid w:val="00C95638"/>
    <w:rsid w:val="00C9565B"/>
    <w:rsid w:val="00C9569E"/>
    <w:rsid w:val="00C9571A"/>
    <w:rsid w:val="00C9574F"/>
    <w:rsid w:val="00C95828"/>
    <w:rsid w:val="00C959A8"/>
    <w:rsid w:val="00C959BA"/>
    <w:rsid w:val="00C959C4"/>
    <w:rsid w:val="00C95A39"/>
    <w:rsid w:val="00C95A6E"/>
    <w:rsid w:val="00C95AAC"/>
    <w:rsid w:val="00C95AC3"/>
    <w:rsid w:val="00C95ADC"/>
    <w:rsid w:val="00C95AFC"/>
    <w:rsid w:val="00C95B6F"/>
    <w:rsid w:val="00C95CBC"/>
    <w:rsid w:val="00C95CF1"/>
    <w:rsid w:val="00C95D57"/>
    <w:rsid w:val="00C95D9A"/>
    <w:rsid w:val="00C95DA1"/>
    <w:rsid w:val="00C95DC2"/>
    <w:rsid w:val="00C95E07"/>
    <w:rsid w:val="00C95E4A"/>
    <w:rsid w:val="00C95E82"/>
    <w:rsid w:val="00C95EAE"/>
    <w:rsid w:val="00C95EED"/>
    <w:rsid w:val="00C95EFD"/>
    <w:rsid w:val="00C95F24"/>
    <w:rsid w:val="00C95F3A"/>
    <w:rsid w:val="00C95FB7"/>
    <w:rsid w:val="00C96022"/>
    <w:rsid w:val="00C960AC"/>
    <w:rsid w:val="00C960C3"/>
    <w:rsid w:val="00C9617B"/>
    <w:rsid w:val="00C96197"/>
    <w:rsid w:val="00C961C2"/>
    <w:rsid w:val="00C9622C"/>
    <w:rsid w:val="00C96252"/>
    <w:rsid w:val="00C9627B"/>
    <w:rsid w:val="00C962DE"/>
    <w:rsid w:val="00C96304"/>
    <w:rsid w:val="00C963C1"/>
    <w:rsid w:val="00C96441"/>
    <w:rsid w:val="00C964B3"/>
    <w:rsid w:val="00C964C0"/>
    <w:rsid w:val="00C964E0"/>
    <w:rsid w:val="00C965D2"/>
    <w:rsid w:val="00C966EA"/>
    <w:rsid w:val="00C96719"/>
    <w:rsid w:val="00C96726"/>
    <w:rsid w:val="00C96799"/>
    <w:rsid w:val="00C96829"/>
    <w:rsid w:val="00C9685A"/>
    <w:rsid w:val="00C96886"/>
    <w:rsid w:val="00C9692F"/>
    <w:rsid w:val="00C96960"/>
    <w:rsid w:val="00C96985"/>
    <w:rsid w:val="00C96A61"/>
    <w:rsid w:val="00C96AA3"/>
    <w:rsid w:val="00C96ADE"/>
    <w:rsid w:val="00C96AE5"/>
    <w:rsid w:val="00C96AF6"/>
    <w:rsid w:val="00C96B96"/>
    <w:rsid w:val="00C96C9F"/>
    <w:rsid w:val="00C96CCF"/>
    <w:rsid w:val="00C96CD1"/>
    <w:rsid w:val="00C96CEA"/>
    <w:rsid w:val="00C96D50"/>
    <w:rsid w:val="00C96DFA"/>
    <w:rsid w:val="00C96E01"/>
    <w:rsid w:val="00C96E4E"/>
    <w:rsid w:val="00C96E66"/>
    <w:rsid w:val="00C96E9D"/>
    <w:rsid w:val="00C96EE8"/>
    <w:rsid w:val="00C96EFF"/>
    <w:rsid w:val="00C96F0A"/>
    <w:rsid w:val="00C96F52"/>
    <w:rsid w:val="00C96F7C"/>
    <w:rsid w:val="00C96FB4"/>
    <w:rsid w:val="00C96FFA"/>
    <w:rsid w:val="00C97011"/>
    <w:rsid w:val="00C97023"/>
    <w:rsid w:val="00C97067"/>
    <w:rsid w:val="00C9711C"/>
    <w:rsid w:val="00C97155"/>
    <w:rsid w:val="00C971FE"/>
    <w:rsid w:val="00C97307"/>
    <w:rsid w:val="00C9733A"/>
    <w:rsid w:val="00C97358"/>
    <w:rsid w:val="00C97403"/>
    <w:rsid w:val="00C97437"/>
    <w:rsid w:val="00C97439"/>
    <w:rsid w:val="00C97459"/>
    <w:rsid w:val="00C9750E"/>
    <w:rsid w:val="00C9756E"/>
    <w:rsid w:val="00C97574"/>
    <w:rsid w:val="00C9759D"/>
    <w:rsid w:val="00C975F5"/>
    <w:rsid w:val="00C9767F"/>
    <w:rsid w:val="00C976BE"/>
    <w:rsid w:val="00C976FD"/>
    <w:rsid w:val="00C97714"/>
    <w:rsid w:val="00C97715"/>
    <w:rsid w:val="00C97741"/>
    <w:rsid w:val="00C97793"/>
    <w:rsid w:val="00C9780B"/>
    <w:rsid w:val="00C9793D"/>
    <w:rsid w:val="00C9798C"/>
    <w:rsid w:val="00C979B9"/>
    <w:rsid w:val="00C97A37"/>
    <w:rsid w:val="00C97A74"/>
    <w:rsid w:val="00C97AEA"/>
    <w:rsid w:val="00C97AF6"/>
    <w:rsid w:val="00C97B1E"/>
    <w:rsid w:val="00C97C15"/>
    <w:rsid w:val="00C97C2F"/>
    <w:rsid w:val="00C97CA9"/>
    <w:rsid w:val="00C97D39"/>
    <w:rsid w:val="00C97D93"/>
    <w:rsid w:val="00C97E02"/>
    <w:rsid w:val="00C97ED6"/>
    <w:rsid w:val="00C97F1E"/>
    <w:rsid w:val="00C97FB2"/>
    <w:rsid w:val="00C97FEF"/>
    <w:rsid w:val="00CA001A"/>
    <w:rsid w:val="00CA0032"/>
    <w:rsid w:val="00CA00D5"/>
    <w:rsid w:val="00CA0116"/>
    <w:rsid w:val="00CA0167"/>
    <w:rsid w:val="00CA0169"/>
    <w:rsid w:val="00CA016D"/>
    <w:rsid w:val="00CA0192"/>
    <w:rsid w:val="00CA022D"/>
    <w:rsid w:val="00CA0234"/>
    <w:rsid w:val="00CA0241"/>
    <w:rsid w:val="00CA0297"/>
    <w:rsid w:val="00CA02BC"/>
    <w:rsid w:val="00CA02FC"/>
    <w:rsid w:val="00CA039A"/>
    <w:rsid w:val="00CA03B1"/>
    <w:rsid w:val="00CA03C0"/>
    <w:rsid w:val="00CA03C2"/>
    <w:rsid w:val="00CA044B"/>
    <w:rsid w:val="00CA04BD"/>
    <w:rsid w:val="00CA0542"/>
    <w:rsid w:val="00CA05B4"/>
    <w:rsid w:val="00CA0678"/>
    <w:rsid w:val="00CA0697"/>
    <w:rsid w:val="00CA070F"/>
    <w:rsid w:val="00CA072F"/>
    <w:rsid w:val="00CA0799"/>
    <w:rsid w:val="00CA0807"/>
    <w:rsid w:val="00CA0814"/>
    <w:rsid w:val="00CA084A"/>
    <w:rsid w:val="00CA08E8"/>
    <w:rsid w:val="00CA09AF"/>
    <w:rsid w:val="00CA09BA"/>
    <w:rsid w:val="00CA0A17"/>
    <w:rsid w:val="00CA0A29"/>
    <w:rsid w:val="00CA0A8F"/>
    <w:rsid w:val="00CA0AA5"/>
    <w:rsid w:val="00CA0AEF"/>
    <w:rsid w:val="00CA0B15"/>
    <w:rsid w:val="00CA0BFD"/>
    <w:rsid w:val="00CA0C2C"/>
    <w:rsid w:val="00CA0C63"/>
    <w:rsid w:val="00CA0C79"/>
    <w:rsid w:val="00CA0C98"/>
    <w:rsid w:val="00CA0C9B"/>
    <w:rsid w:val="00CA0C9F"/>
    <w:rsid w:val="00CA0CCD"/>
    <w:rsid w:val="00CA0CF1"/>
    <w:rsid w:val="00CA0D61"/>
    <w:rsid w:val="00CA0D9F"/>
    <w:rsid w:val="00CA0EAA"/>
    <w:rsid w:val="00CA0EC6"/>
    <w:rsid w:val="00CA0F74"/>
    <w:rsid w:val="00CA0F96"/>
    <w:rsid w:val="00CA0FB1"/>
    <w:rsid w:val="00CA0FF5"/>
    <w:rsid w:val="00CA105D"/>
    <w:rsid w:val="00CA105F"/>
    <w:rsid w:val="00CA1085"/>
    <w:rsid w:val="00CA10CB"/>
    <w:rsid w:val="00CA10D7"/>
    <w:rsid w:val="00CA10F4"/>
    <w:rsid w:val="00CA111E"/>
    <w:rsid w:val="00CA11AE"/>
    <w:rsid w:val="00CA1262"/>
    <w:rsid w:val="00CA1295"/>
    <w:rsid w:val="00CA12DA"/>
    <w:rsid w:val="00CA12DF"/>
    <w:rsid w:val="00CA130D"/>
    <w:rsid w:val="00CA1419"/>
    <w:rsid w:val="00CA154B"/>
    <w:rsid w:val="00CA15B3"/>
    <w:rsid w:val="00CA15D0"/>
    <w:rsid w:val="00CA165C"/>
    <w:rsid w:val="00CA1693"/>
    <w:rsid w:val="00CA16A7"/>
    <w:rsid w:val="00CA1771"/>
    <w:rsid w:val="00CA17C3"/>
    <w:rsid w:val="00CA17F7"/>
    <w:rsid w:val="00CA1819"/>
    <w:rsid w:val="00CA18B5"/>
    <w:rsid w:val="00CA191F"/>
    <w:rsid w:val="00CA1926"/>
    <w:rsid w:val="00CA1989"/>
    <w:rsid w:val="00CA1994"/>
    <w:rsid w:val="00CA19BD"/>
    <w:rsid w:val="00CA19CF"/>
    <w:rsid w:val="00CA1A56"/>
    <w:rsid w:val="00CA1A7A"/>
    <w:rsid w:val="00CA1B1E"/>
    <w:rsid w:val="00CA1B61"/>
    <w:rsid w:val="00CA1B7D"/>
    <w:rsid w:val="00CA1BD3"/>
    <w:rsid w:val="00CA1BFB"/>
    <w:rsid w:val="00CA1D28"/>
    <w:rsid w:val="00CA1DD0"/>
    <w:rsid w:val="00CA1DFE"/>
    <w:rsid w:val="00CA1E8A"/>
    <w:rsid w:val="00CA1EF1"/>
    <w:rsid w:val="00CA1F6F"/>
    <w:rsid w:val="00CA2076"/>
    <w:rsid w:val="00CA20B1"/>
    <w:rsid w:val="00CA20BD"/>
    <w:rsid w:val="00CA20C0"/>
    <w:rsid w:val="00CA2185"/>
    <w:rsid w:val="00CA21F4"/>
    <w:rsid w:val="00CA21FB"/>
    <w:rsid w:val="00CA2204"/>
    <w:rsid w:val="00CA221B"/>
    <w:rsid w:val="00CA2238"/>
    <w:rsid w:val="00CA2279"/>
    <w:rsid w:val="00CA2332"/>
    <w:rsid w:val="00CA23DF"/>
    <w:rsid w:val="00CA23E7"/>
    <w:rsid w:val="00CA241E"/>
    <w:rsid w:val="00CA2439"/>
    <w:rsid w:val="00CA244F"/>
    <w:rsid w:val="00CA250E"/>
    <w:rsid w:val="00CA251C"/>
    <w:rsid w:val="00CA252D"/>
    <w:rsid w:val="00CA2530"/>
    <w:rsid w:val="00CA2547"/>
    <w:rsid w:val="00CA254A"/>
    <w:rsid w:val="00CA254D"/>
    <w:rsid w:val="00CA2637"/>
    <w:rsid w:val="00CA265E"/>
    <w:rsid w:val="00CA267C"/>
    <w:rsid w:val="00CA2693"/>
    <w:rsid w:val="00CA2694"/>
    <w:rsid w:val="00CA26E8"/>
    <w:rsid w:val="00CA26EC"/>
    <w:rsid w:val="00CA270C"/>
    <w:rsid w:val="00CA271F"/>
    <w:rsid w:val="00CA279A"/>
    <w:rsid w:val="00CA27B0"/>
    <w:rsid w:val="00CA2826"/>
    <w:rsid w:val="00CA286F"/>
    <w:rsid w:val="00CA2908"/>
    <w:rsid w:val="00CA2991"/>
    <w:rsid w:val="00CA2A60"/>
    <w:rsid w:val="00CA2AF7"/>
    <w:rsid w:val="00CA2B5B"/>
    <w:rsid w:val="00CA2B7F"/>
    <w:rsid w:val="00CA2B85"/>
    <w:rsid w:val="00CA2BF1"/>
    <w:rsid w:val="00CA2C3A"/>
    <w:rsid w:val="00CA2C5C"/>
    <w:rsid w:val="00CA2CA3"/>
    <w:rsid w:val="00CA2CB8"/>
    <w:rsid w:val="00CA2D5F"/>
    <w:rsid w:val="00CA2D60"/>
    <w:rsid w:val="00CA2ECB"/>
    <w:rsid w:val="00CA2F5F"/>
    <w:rsid w:val="00CA3003"/>
    <w:rsid w:val="00CA301C"/>
    <w:rsid w:val="00CA30E8"/>
    <w:rsid w:val="00CA31C1"/>
    <w:rsid w:val="00CA324C"/>
    <w:rsid w:val="00CA325C"/>
    <w:rsid w:val="00CA32CE"/>
    <w:rsid w:val="00CA33CF"/>
    <w:rsid w:val="00CA3404"/>
    <w:rsid w:val="00CA341B"/>
    <w:rsid w:val="00CA346B"/>
    <w:rsid w:val="00CA347A"/>
    <w:rsid w:val="00CA34A8"/>
    <w:rsid w:val="00CA3527"/>
    <w:rsid w:val="00CA355D"/>
    <w:rsid w:val="00CA35EA"/>
    <w:rsid w:val="00CA3635"/>
    <w:rsid w:val="00CA365E"/>
    <w:rsid w:val="00CA36A9"/>
    <w:rsid w:val="00CA36AB"/>
    <w:rsid w:val="00CA3700"/>
    <w:rsid w:val="00CA3702"/>
    <w:rsid w:val="00CA370C"/>
    <w:rsid w:val="00CA3742"/>
    <w:rsid w:val="00CA3752"/>
    <w:rsid w:val="00CA3778"/>
    <w:rsid w:val="00CA3797"/>
    <w:rsid w:val="00CA3799"/>
    <w:rsid w:val="00CA37C8"/>
    <w:rsid w:val="00CA37F6"/>
    <w:rsid w:val="00CA37FA"/>
    <w:rsid w:val="00CA384A"/>
    <w:rsid w:val="00CA387B"/>
    <w:rsid w:val="00CA38AA"/>
    <w:rsid w:val="00CA3938"/>
    <w:rsid w:val="00CA3962"/>
    <w:rsid w:val="00CA39D8"/>
    <w:rsid w:val="00CA3A0B"/>
    <w:rsid w:val="00CA3A5B"/>
    <w:rsid w:val="00CA3A61"/>
    <w:rsid w:val="00CA3AFF"/>
    <w:rsid w:val="00CA3BA0"/>
    <w:rsid w:val="00CA3BB7"/>
    <w:rsid w:val="00CA3C35"/>
    <w:rsid w:val="00CA3C4D"/>
    <w:rsid w:val="00CA3C58"/>
    <w:rsid w:val="00CA3D14"/>
    <w:rsid w:val="00CA3D5C"/>
    <w:rsid w:val="00CA3D9B"/>
    <w:rsid w:val="00CA3DE3"/>
    <w:rsid w:val="00CA3DF3"/>
    <w:rsid w:val="00CA3E14"/>
    <w:rsid w:val="00CA3E66"/>
    <w:rsid w:val="00CA3F0A"/>
    <w:rsid w:val="00CA3F58"/>
    <w:rsid w:val="00CA3F92"/>
    <w:rsid w:val="00CA3FBB"/>
    <w:rsid w:val="00CA3FD8"/>
    <w:rsid w:val="00CA4033"/>
    <w:rsid w:val="00CA40A6"/>
    <w:rsid w:val="00CA4102"/>
    <w:rsid w:val="00CA4198"/>
    <w:rsid w:val="00CA41B3"/>
    <w:rsid w:val="00CA4217"/>
    <w:rsid w:val="00CA4248"/>
    <w:rsid w:val="00CA4277"/>
    <w:rsid w:val="00CA42BB"/>
    <w:rsid w:val="00CA42C6"/>
    <w:rsid w:val="00CA4336"/>
    <w:rsid w:val="00CA43A5"/>
    <w:rsid w:val="00CA4499"/>
    <w:rsid w:val="00CA4512"/>
    <w:rsid w:val="00CA45A1"/>
    <w:rsid w:val="00CA4666"/>
    <w:rsid w:val="00CA466D"/>
    <w:rsid w:val="00CA4715"/>
    <w:rsid w:val="00CA479B"/>
    <w:rsid w:val="00CA47E1"/>
    <w:rsid w:val="00CA47FE"/>
    <w:rsid w:val="00CA4883"/>
    <w:rsid w:val="00CA488F"/>
    <w:rsid w:val="00CA48BC"/>
    <w:rsid w:val="00CA4967"/>
    <w:rsid w:val="00CA499B"/>
    <w:rsid w:val="00CA49C0"/>
    <w:rsid w:val="00CA49DA"/>
    <w:rsid w:val="00CA49EF"/>
    <w:rsid w:val="00CA4A35"/>
    <w:rsid w:val="00CA4B1F"/>
    <w:rsid w:val="00CA4B60"/>
    <w:rsid w:val="00CA4BC0"/>
    <w:rsid w:val="00CA4C20"/>
    <w:rsid w:val="00CA4C30"/>
    <w:rsid w:val="00CA4C35"/>
    <w:rsid w:val="00CA4C48"/>
    <w:rsid w:val="00CA4CDF"/>
    <w:rsid w:val="00CA4CE3"/>
    <w:rsid w:val="00CA4CFC"/>
    <w:rsid w:val="00CA4D31"/>
    <w:rsid w:val="00CA4D66"/>
    <w:rsid w:val="00CA4FC8"/>
    <w:rsid w:val="00CA4FEF"/>
    <w:rsid w:val="00CA4FF7"/>
    <w:rsid w:val="00CA501A"/>
    <w:rsid w:val="00CA502B"/>
    <w:rsid w:val="00CA504E"/>
    <w:rsid w:val="00CA5056"/>
    <w:rsid w:val="00CA508A"/>
    <w:rsid w:val="00CA508F"/>
    <w:rsid w:val="00CA5168"/>
    <w:rsid w:val="00CA5177"/>
    <w:rsid w:val="00CA51B7"/>
    <w:rsid w:val="00CA5214"/>
    <w:rsid w:val="00CA527F"/>
    <w:rsid w:val="00CA5282"/>
    <w:rsid w:val="00CA52C3"/>
    <w:rsid w:val="00CA5327"/>
    <w:rsid w:val="00CA532F"/>
    <w:rsid w:val="00CA5384"/>
    <w:rsid w:val="00CA5385"/>
    <w:rsid w:val="00CA53DD"/>
    <w:rsid w:val="00CA540F"/>
    <w:rsid w:val="00CA543B"/>
    <w:rsid w:val="00CA54CF"/>
    <w:rsid w:val="00CA5546"/>
    <w:rsid w:val="00CA558C"/>
    <w:rsid w:val="00CA55BC"/>
    <w:rsid w:val="00CA55EF"/>
    <w:rsid w:val="00CA5612"/>
    <w:rsid w:val="00CA563C"/>
    <w:rsid w:val="00CA563F"/>
    <w:rsid w:val="00CA565B"/>
    <w:rsid w:val="00CA56AF"/>
    <w:rsid w:val="00CA56CB"/>
    <w:rsid w:val="00CA56EE"/>
    <w:rsid w:val="00CA5757"/>
    <w:rsid w:val="00CA577B"/>
    <w:rsid w:val="00CA582E"/>
    <w:rsid w:val="00CA58B1"/>
    <w:rsid w:val="00CA58ED"/>
    <w:rsid w:val="00CA58FB"/>
    <w:rsid w:val="00CA596B"/>
    <w:rsid w:val="00CA5A8E"/>
    <w:rsid w:val="00CA5AC3"/>
    <w:rsid w:val="00CA5B27"/>
    <w:rsid w:val="00CA5B47"/>
    <w:rsid w:val="00CA5B84"/>
    <w:rsid w:val="00CA5B8E"/>
    <w:rsid w:val="00CA5BF4"/>
    <w:rsid w:val="00CA5C97"/>
    <w:rsid w:val="00CA5CA8"/>
    <w:rsid w:val="00CA5CCB"/>
    <w:rsid w:val="00CA5CF3"/>
    <w:rsid w:val="00CA5D37"/>
    <w:rsid w:val="00CA5D41"/>
    <w:rsid w:val="00CA5D91"/>
    <w:rsid w:val="00CA5DDC"/>
    <w:rsid w:val="00CA5E47"/>
    <w:rsid w:val="00CA5E90"/>
    <w:rsid w:val="00CA5E9B"/>
    <w:rsid w:val="00CA5EB4"/>
    <w:rsid w:val="00CA5EDF"/>
    <w:rsid w:val="00CA5F68"/>
    <w:rsid w:val="00CA5F87"/>
    <w:rsid w:val="00CA5FF1"/>
    <w:rsid w:val="00CA6028"/>
    <w:rsid w:val="00CA6050"/>
    <w:rsid w:val="00CA609D"/>
    <w:rsid w:val="00CA60C0"/>
    <w:rsid w:val="00CA60FD"/>
    <w:rsid w:val="00CA611C"/>
    <w:rsid w:val="00CA614A"/>
    <w:rsid w:val="00CA617C"/>
    <w:rsid w:val="00CA61FD"/>
    <w:rsid w:val="00CA628A"/>
    <w:rsid w:val="00CA62A0"/>
    <w:rsid w:val="00CA62A4"/>
    <w:rsid w:val="00CA63E4"/>
    <w:rsid w:val="00CA6433"/>
    <w:rsid w:val="00CA643E"/>
    <w:rsid w:val="00CA644A"/>
    <w:rsid w:val="00CA644C"/>
    <w:rsid w:val="00CA6479"/>
    <w:rsid w:val="00CA64EB"/>
    <w:rsid w:val="00CA651A"/>
    <w:rsid w:val="00CA657C"/>
    <w:rsid w:val="00CA65A8"/>
    <w:rsid w:val="00CA6610"/>
    <w:rsid w:val="00CA661A"/>
    <w:rsid w:val="00CA662D"/>
    <w:rsid w:val="00CA669B"/>
    <w:rsid w:val="00CA66EB"/>
    <w:rsid w:val="00CA675E"/>
    <w:rsid w:val="00CA67C8"/>
    <w:rsid w:val="00CA6800"/>
    <w:rsid w:val="00CA680B"/>
    <w:rsid w:val="00CA6853"/>
    <w:rsid w:val="00CA68DF"/>
    <w:rsid w:val="00CA691B"/>
    <w:rsid w:val="00CA693C"/>
    <w:rsid w:val="00CA69B8"/>
    <w:rsid w:val="00CA69BB"/>
    <w:rsid w:val="00CA6A1F"/>
    <w:rsid w:val="00CA6A4F"/>
    <w:rsid w:val="00CA6A53"/>
    <w:rsid w:val="00CA6A62"/>
    <w:rsid w:val="00CA6AAF"/>
    <w:rsid w:val="00CA6AC0"/>
    <w:rsid w:val="00CA6B48"/>
    <w:rsid w:val="00CA6B9E"/>
    <w:rsid w:val="00CA6BFA"/>
    <w:rsid w:val="00CA6C49"/>
    <w:rsid w:val="00CA6C59"/>
    <w:rsid w:val="00CA6C70"/>
    <w:rsid w:val="00CA6C9D"/>
    <w:rsid w:val="00CA6DD9"/>
    <w:rsid w:val="00CA6DEE"/>
    <w:rsid w:val="00CA6E1A"/>
    <w:rsid w:val="00CA6E34"/>
    <w:rsid w:val="00CA6F73"/>
    <w:rsid w:val="00CA6FC4"/>
    <w:rsid w:val="00CA6FCE"/>
    <w:rsid w:val="00CA6FEE"/>
    <w:rsid w:val="00CA7003"/>
    <w:rsid w:val="00CA705D"/>
    <w:rsid w:val="00CA705E"/>
    <w:rsid w:val="00CA70EC"/>
    <w:rsid w:val="00CA71B2"/>
    <w:rsid w:val="00CA7201"/>
    <w:rsid w:val="00CA72D1"/>
    <w:rsid w:val="00CA7312"/>
    <w:rsid w:val="00CA7327"/>
    <w:rsid w:val="00CA7366"/>
    <w:rsid w:val="00CA73E7"/>
    <w:rsid w:val="00CA73E9"/>
    <w:rsid w:val="00CA7419"/>
    <w:rsid w:val="00CA741F"/>
    <w:rsid w:val="00CA74C0"/>
    <w:rsid w:val="00CA7509"/>
    <w:rsid w:val="00CA751D"/>
    <w:rsid w:val="00CA7538"/>
    <w:rsid w:val="00CA7544"/>
    <w:rsid w:val="00CA765F"/>
    <w:rsid w:val="00CA76A0"/>
    <w:rsid w:val="00CA77A8"/>
    <w:rsid w:val="00CA77AB"/>
    <w:rsid w:val="00CA77BF"/>
    <w:rsid w:val="00CA77C7"/>
    <w:rsid w:val="00CA7801"/>
    <w:rsid w:val="00CA782B"/>
    <w:rsid w:val="00CA7886"/>
    <w:rsid w:val="00CA78A4"/>
    <w:rsid w:val="00CA78C2"/>
    <w:rsid w:val="00CA7942"/>
    <w:rsid w:val="00CA7993"/>
    <w:rsid w:val="00CA79A4"/>
    <w:rsid w:val="00CA79D3"/>
    <w:rsid w:val="00CA79E4"/>
    <w:rsid w:val="00CA7AC8"/>
    <w:rsid w:val="00CA7AD1"/>
    <w:rsid w:val="00CA7B18"/>
    <w:rsid w:val="00CA7BB0"/>
    <w:rsid w:val="00CA7CB6"/>
    <w:rsid w:val="00CA7DB3"/>
    <w:rsid w:val="00CA7DEF"/>
    <w:rsid w:val="00CA7E2C"/>
    <w:rsid w:val="00CA7E2D"/>
    <w:rsid w:val="00CA7E77"/>
    <w:rsid w:val="00CA7E8A"/>
    <w:rsid w:val="00CA7EA0"/>
    <w:rsid w:val="00CA7EB8"/>
    <w:rsid w:val="00CA7F2D"/>
    <w:rsid w:val="00CA7FB3"/>
    <w:rsid w:val="00CA7FCB"/>
    <w:rsid w:val="00CB0030"/>
    <w:rsid w:val="00CB004C"/>
    <w:rsid w:val="00CB0062"/>
    <w:rsid w:val="00CB00E7"/>
    <w:rsid w:val="00CB0157"/>
    <w:rsid w:val="00CB016B"/>
    <w:rsid w:val="00CB0177"/>
    <w:rsid w:val="00CB01A0"/>
    <w:rsid w:val="00CB01BF"/>
    <w:rsid w:val="00CB0216"/>
    <w:rsid w:val="00CB025F"/>
    <w:rsid w:val="00CB02D7"/>
    <w:rsid w:val="00CB02D9"/>
    <w:rsid w:val="00CB030B"/>
    <w:rsid w:val="00CB0325"/>
    <w:rsid w:val="00CB040C"/>
    <w:rsid w:val="00CB042B"/>
    <w:rsid w:val="00CB04D5"/>
    <w:rsid w:val="00CB04FB"/>
    <w:rsid w:val="00CB0533"/>
    <w:rsid w:val="00CB0564"/>
    <w:rsid w:val="00CB0586"/>
    <w:rsid w:val="00CB05AC"/>
    <w:rsid w:val="00CB05DB"/>
    <w:rsid w:val="00CB05DF"/>
    <w:rsid w:val="00CB0662"/>
    <w:rsid w:val="00CB0669"/>
    <w:rsid w:val="00CB0694"/>
    <w:rsid w:val="00CB0719"/>
    <w:rsid w:val="00CB0734"/>
    <w:rsid w:val="00CB0746"/>
    <w:rsid w:val="00CB082A"/>
    <w:rsid w:val="00CB08B2"/>
    <w:rsid w:val="00CB08B9"/>
    <w:rsid w:val="00CB08D6"/>
    <w:rsid w:val="00CB0932"/>
    <w:rsid w:val="00CB0961"/>
    <w:rsid w:val="00CB0963"/>
    <w:rsid w:val="00CB0967"/>
    <w:rsid w:val="00CB09EC"/>
    <w:rsid w:val="00CB0A01"/>
    <w:rsid w:val="00CB0A5F"/>
    <w:rsid w:val="00CB0A8A"/>
    <w:rsid w:val="00CB0A92"/>
    <w:rsid w:val="00CB0B4D"/>
    <w:rsid w:val="00CB0B68"/>
    <w:rsid w:val="00CB0B70"/>
    <w:rsid w:val="00CB0BC1"/>
    <w:rsid w:val="00CB0BD6"/>
    <w:rsid w:val="00CB0C0F"/>
    <w:rsid w:val="00CB0C26"/>
    <w:rsid w:val="00CB0C6D"/>
    <w:rsid w:val="00CB0D03"/>
    <w:rsid w:val="00CB0D0A"/>
    <w:rsid w:val="00CB0E0E"/>
    <w:rsid w:val="00CB0E70"/>
    <w:rsid w:val="00CB0F17"/>
    <w:rsid w:val="00CB0F47"/>
    <w:rsid w:val="00CB0FA1"/>
    <w:rsid w:val="00CB0FC9"/>
    <w:rsid w:val="00CB105B"/>
    <w:rsid w:val="00CB107B"/>
    <w:rsid w:val="00CB10C9"/>
    <w:rsid w:val="00CB110B"/>
    <w:rsid w:val="00CB1152"/>
    <w:rsid w:val="00CB125B"/>
    <w:rsid w:val="00CB1267"/>
    <w:rsid w:val="00CB12B2"/>
    <w:rsid w:val="00CB1379"/>
    <w:rsid w:val="00CB144E"/>
    <w:rsid w:val="00CB14C5"/>
    <w:rsid w:val="00CB14E9"/>
    <w:rsid w:val="00CB1553"/>
    <w:rsid w:val="00CB15D2"/>
    <w:rsid w:val="00CB15E2"/>
    <w:rsid w:val="00CB1617"/>
    <w:rsid w:val="00CB1633"/>
    <w:rsid w:val="00CB164B"/>
    <w:rsid w:val="00CB16AB"/>
    <w:rsid w:val="00CB16C6"/>
    <w:rsid w:val="00CB177B"/>
    <w:rsid w:val="00CB17FF"/>
    <w:rsid w:val="00CB18A5"/>
    <w:rsid w:val="00CB18C8"/>
    <w:rsid w:val="00CB19DE"/>
    <w:rsid w:val="00CB1AA4"/>
    <w:rsid w:val="00CB1AE2"/>
    <w:rsid w:val="00CB1AF6"/>
    <w:rsid w:val="00CB1B3F"/>
    <w:rsid w:val="00CB1B90"/>
    <w:rsid w:val="00CB1BA6"/>
    <w:rsid w:val="00CB1D34"/>
    <w:rsid w:val="00CB1DA3"/>
    <w:rsid w:val="00CB1DC5"/>
    <w:rsid w:val="00CB1E15"/>
    <w:rsid w:val="00CB1E71"/>
    <w:rsid w:val="00CB210E"/>
    <w:rsid w:val="00CB215E"/>
    <w:rsid w:val="00CB21F3"/>
    <w:rsid w:val="00CB22D7"/>
    <w:rsid w:val="00CB22DB"/>
    <w:rsid w:val="00CB22E5"/>
    <w:rsid w:val="00CB2380"/>
    <w:rsid w:val="00CB23BC"/>
    <w:rsid w:val="00CB241C"/>
    <w:rsid w:val="00CB247C"/>
    <w:rsid w:val="00CB2508"/>
    <w:rsid w:val="00CB255F"/>
    <w:rsid w:val="00CB2685"/>
    <w:rsid w:val="00CB2767"/>
    <w:rsid w:val="00CB2778"/>
    <w:rsid w:val="00CB2785"/>
    <w:rsid w:val="00CB2810"/>
    <w:rsid w:val="00CB281C"/>
    <w:rsid w:val="00CB2824"/>
    <w:rsid w:val="00CB2855"/>
    <w:rsid w:val="00CB285B"/>
    <w:rsid w:val="00CB28DE"/>
    <w:rsid w:val="00CB28E2"/>
    <w:rsid w:val="00CB28E9"/>
    <w:rsid w:val="00CB29EA"/>
    <w:rsid w:val="00CB2A00"/>
    <w:rsid w:val="00CB2B2F"/>
    <w:rsid w:val="00CB2BC7"/>
    <w:rsid w:val="00CB2BD5"/>
    <w:rsid w:val="00CB2C75"/>
    <w:rsid w:val="00CB2CD7"/>
    <w:rsid w:val="00CB2CE7"/>
    <w:rsid w:val="00CB2D72"/>
    <w:rsid w:val="00CB2DA5"/>
    <w:rsid w:val="00CB2DE4"/>
    <w:rsid w:val="00CB2E1B"/>
    <w:rsid w:val="00CB2E8D"/>
    <w:rsid w:val="00CB2F07"/>
    <w:rsid w:val="00CB300C"/>
    <w:rsid w:val="00CB305C"/>
    <w:rsid w:val="00CB30CB"/>
    <w:rsid w:val="00CB30EA"/>
    <w:rsid w:val="00CB3108"/>
    <w:rsid w:val="00CB3110"/>
    <w:rsid w:val="00CB311D"/>
    <w:rsid w:val="00CB3138"/>
    <w:rsid w:val="00CB319F"/>
    <w:rsid w:val="00CB31A1"/>
    <w:rsid w:val="00CB31D6"/>
    <w:rsid w:val="00CB33AA"/>
    <w:rsid w:val="00CB33B6"/>
    <w:rsid w:val="00CB33BC"/>
    <w:rsid w:val="00CB343C"/>
    <w:rsid w:val="00CB350B"/>
    <w:rsid w:val="00CB356A"/>
    <w:rsid w:val="00CB35A2"/>
    <w:rsid w:val="00CB364A"/>
    <w:rsid w:val="00CB367E"/>
    <w:rsid w:val="00CB3686"/>
    <w:rsid w:val="00CB370F"/>
    <w:rsid w:val="00CB3804"/>
    <w:rsid w:val="00CB3911"/>
    <w:rsid w:val="00CB3919"/>
    <w:rsid w:val="00CB3928"/>
    <w:rsid w:val="00CB3940"/>
    <w:rsid w:val="00CB39B4"/>
    <w:rsid w:val="00CB3A3D"/>
    <w:rsid w:val="00CB3B12"/>
    <w:rsid w:val="00CB3C26"/>
    <w:rsid w:val="00CB3D22"/>
    <w:rsid w:val="00CB3DB7"/>
    <w:rsid w:val="00CB3DE6"/>
    <w:rsid w:val="00CB3E39"/>
    <w:rsid w:val="00CB3E7A"/>
    <w:rsid w:val="00CB3E7B"/>
    <w:rsid w:val="00CB3EA0"/>
    <w:rsid w:val="00CB3EBA"/>
    <w:rsid w:val="00CB3FB0"/>
    <w:rsid w:val="00CB3FBB"/>
    <w:rsid w:val="00CB3FD2"/>
    <w:rsid w:val="00CB4043"/>
    <w:rsid w:val="00CB40C5"/>
    <w:rsid w:val="00CB41C8"/>
    <w:rsid w:val="00CB41D8"/>
    <w:rsid w:val="00CB423F"/>
    <w:rsid w:val="00CB429B"/>
    <w:rsid w:val="00CB42A5"/>
    <w:rsid w:val="00CB42ED"/>
    <w:rsid w:val="00CB42EF"/>
    <w:rsid w:val="00CB43B8"/>
    <w:rsid w:val="00CB44B5"/>
    <w:rsid w:val="00CB44BD"/>
    <w:rsid w:val="00CB44EF"/>
    <w:rsid w:val="00CB4549"/>
    <w:rsid w:val="00CB4629"/>
    <w:rsid w:val="00CB4635"/>
    <w:rsid w:val="00CB4656"/>
    <w:rsid w:val="00CB46DB"/>
    <w:rsid w:val="00CB474C"/>
    <w:rsid w:val="00CB4839"/>
    <w:rsid w:val="00CB48E3"/>
    <w:rsid w:val="00CB48F0"/>
    <w:rsid w:val="00CB4964"/>
    <w:rsid w:val="00CB4982"/>
    <w:rsid w:val="00CB49C9"/>
    <w:rsid w:val="00CB49D5"/>
    <w:rsid w:val="00CB49E3"/>
    <w:rsid w:val="00CB4A27"/>
    <w:rsid w:val="00CB4A4E"/>
    <w:rsid w:val="00CB4AA8"/>
    <w:rsid w:val="00CB4B5D"/>
    <w:rsid w:val="00CB4BA9"/>
    <w:rsid w:val="00CB4BDB"/>
    <w:rsid w:val="00CB4BE1"/>
    <w:rsid w:val="00CB4C6C"/>
    <w:rsid w:val="00CB4EC4"/>
    <w:rsid w:val="00CB4F63"/>
    <w:rsid w:val="00CB4F76"/>
    <w:rsid w:val="00CB4FB4"/>
    <w:rsid w:val="00CB503C"/>
    <w:rsid w:val="00CB5186"/>
    <w:rsid w:val="00CB5192"/>
    <w:rsid w:val="00CB5202"/>
    <w:rsid w:val="00CB5205"/>
    <w:rsid w:val="00CB527E"/>
    <w:rsid w:val="00CB5299"/>
    <w:rsid w:val="00CB52BA"/>
    <w:rsid w:val="00CB52BF"/>
    <w:rsid w:val="00CB52EE"/>
    <w:rsid w:val="00CB530C"/>
    <w:rsid w:val="00CB53A8"/>
    <w:rsid w:val="00CB53C3"/>
    <w:rsid w:val="00CB53F3"/>
    <w:rsid w:val="00CB53FF"/>
    <w:rsid w:val="00CB541E"/>
    <w:rsid w:val="00CB5445"/>
    <w:rsid w:val="00CB54C2"/>
    <w:rsid w:val="00CB54DE"/>
    <w:rsid w:val="00CB54E5"/>
    <w:rsid w:val="00CB5524"/>
    <w:rsid w:val="00CB5527"/>
    <w:rsid w:val="00CB55BE"/>
    <w:rsid w:val="00CB55BF"/>
    <w:rsid w:val="00CB55F0"/>
    <w:rsid w:val="00CB5605"/>
    <w:rsid w:val="00CB56B4"/>
    <w:rsid w:val="00CB573F"/>
    <w:rsid w:val="00CB57A3"/>
    <w:rsid w:val="00CB57A5"/>
    <w:rsid w:val="00CB5899"/>
    <w:rsid w:val="00CB5B0C"/>
    <w:rsid w:val="00CB5BC1"/>
    <w:rsid w:val="00CB5BCB"/>
    <w:rsid w:val="00CB5C65"/>
    <w:rsid w:val="00CB5C6F"/>
    <w:rsid w:val="00CB5C82"/>
    <w:rsid w:val="00CB5C8D"/>
    <w:rsid w:val="00CB5D8D"/>
    <w:rsid w:val="00CB5DF1"/>
    <w:rsid w:val="00CB5E8D"/>
    <w:rsid w:val="00CB5EB3"/>
    <w:rsid w:val="00CB5EB8"/>
    <w:rsid w:val="00CB5EC1"/>
    <w:rsid w:val="00CB5F59"/>
    <w:rsid w:val="00CB5F69"/>
    <w:rsid w:val="00CB6011"/>
    <w:rsid w:val="00CB6046"/>
    <w:rsid w:val="00CB6076"/>
    <w:rsid w:val="00CB6079"/>
    <w:rsid w:val="00CB6083"/>
    <w:rsid w:val="00CB60AF"/>
    <w:rsid w:val="00CB6178"/>
    <w:rsid w:val="00CB61A0"/>
    <w:rsid w:val="00CB61A9"/>
    <w:rsid w:val="00CB62B4"/>
    <w:rsid w:val="00CB6307"/>
    <w:rsid w:val="00CB631A"/>
    <w:rsid w:val="00CB640D"/>
    <w:rsid w:val="00CB6440"/>
    <w:rsid w:val="00CB6536"/>
    <w:rsid w:val="00CB6541"/>
    <w:rsid w:val="00CB655D"/>
    <w:rsid w:val="00CB65D1"/>
    <w:rsid w:val="00CB661C"/>
    <w:rsid w:val="00CB663A"/>
    <w:rsid w:val="00CB669E"/>
    <w:rsid w:val="00CB66F7"/>
    <w:rsid w:val="00CB6715"/>
    <w:rsid w:val="00CB67D5"/>
    <w:rsid w:val="00CB682F"/>
    <w:rsid w:val="00CB688B"/>
    <w:rsid w:val="00CB6949"/>
    <w:rsid w:val="00CB69E8"/>
    <w:rsid w:val="00CB6A25"/>
    <w:rsid w:val="00CB6A32"/>
    <w:rsid w:val="00CB6A9C"/>
    <w:rsid w:val="00CB6AE1"/>
    <w:rsid w:val="00CB6AEE"/>
    <w:rsid w:val="00CB6AEF"/>
    <w:rsid w:val="00CB6B93"/>
    <w:rsid w:val="00CB6BF8"/>
    <w:rsid w:val="00CB6C0E"/>
    <w:rsid w:val="00CB6C1D"/>
    <w:rsid w:val="00CB6C65"/>
    <w:rsid w:val="00CB6C9A"/>
    <w:rsid w:val="00CB6CD4"/>
    <w:rsid w:val="00CB6D19"/>
    <w:rsid w:val="00CB6D78"/>
    <w:rsid w:val="00CB6D8B"/>
    <w:rsid w:val="00CB6E60"/>
    <w:rsid w:val="00CB6F79"/>
    <w:rsid w:val="00CB6FB5"/>
    <w:rsid w:val="00CB70FB"/>
    <w:rsid w:val="00CB7116"/>
    <w:rsid w:val="00CB711A"/>
    <w:rsid w:val="00CB7124"/>
    <w:rsid w:val="00CB717E"/>
    <w:rsid w:val="00CB7187"/>
    <w:rsid w:val="00CB723E"/>
    <w:rsid w:val="00CB7281"/>
    <w:rsid w:val="00CB7319"/>
    <w:rsid w:val="00CB732E"/>
    <w:rsid w:val="00CB7436"/>
    <w:rsid w:val="00CB744A"/>
    <w:rsid w:val="00CB74DC"/>
    <w:rsid w:val="00CB750A"/>
    <w:rsid w:val="00CB7545"/>
    <w:rsid w:val="00CB76E0"/>
    <w:rsid w:val="00CB772D"/>
    <w:rsid w:val="00CB77C0"/>
    <w:rsid w:val="00CB77CC"/>
    <w:rsid w:val="00CB780C"/>
    <w:rsid w:val="00CB7828"/>
    <w:rsid w:val="00CB794B"/>
    <w:rsid w:val="00CB79C6"/>
    <w:rsid w:val="00CB79DD"/>
    <w:rsid w:val="00CB7A5C"/>
    <w:rsid w:val="00CB7B36"/>
    <w:rsid w:val="00CB7B82"/>
    <w:rsid w:val="00CB7BCD"/>
    <w:rsid w:val="00CB7C90"/>
    <w:rsid w:val="00CB7CB3"/>
    <w:rsid w:val="00CB7D32"/>
    <w:rsid w:val="00CB7E1B"/>
    <w:rsid w:val="00CB7E8D"/>
    <w:rsid w:val="00CB7EAF"/>
    <w:rsid w:val="00CB7EE6"/>
    <w:rsid w:val="00CB7F2B"/>
    <w:rsid w:val="00CB7FBB"/>
    <w:rsid w:val="00CB7FD0"/>
    <w:rsid w:val="00CC002C"/>
    <w:rsid w:val="00CC0074"/>
    <w:rsid w:val="00CC0080"/>
    <w:rsid w:val="00CC0123"/>
    <w:rsid w:val="00CC014E"/>
    <w:rsid w:val="00CC016A"/>
    <w:rsid w:val="00CC01DF"/>
    <w:rsid w:val="00CC01E2"/>
    <w:rsid w:val="00CC01FB"/>
    <w:rsid w:val="00CC0221"/>
    <w:rsid w:val="00CC0263"/>
    <w:rsid w:val="00CC02D4"/>
    <w:rsid w:val="00CC0319"/>
    <w:rsid w:val="00CC0335"/>
    <w:rsid w:val="00CC039E"/>
    <w:rsid w:val="00CC0518"/>
    <w:rsid w:val="00CC057B"/>
    <w:rsid w:val="00CC067A"/>
    <w:rsid w:val="00CC06A7"/>
    <w:rsid w:val="00CC070A"/>
    <w:rsid w:val="00CC0711"/>
    <w:rsid w:val="00CC0770"/>
    <w:rsid w:val="00CC077B"/>
    <w:rsid w:val="00CC07C1"/>
    <w:rsid w:val="00CC07C5"/>
    <w:rsid w:val="00CC07CA"/>
    <w:rsid w:val="00CC07F4"/>
    <w:rsid w:val="00CC0809"/>
    <w:rsid w:val="00CC0826"/>
    <w:rsid w:val="00CC0920"/>
    <w:rsid w:val="00CC09A6"/>
    <w:rsid w:val="00CC09FE"/>
    <w:rsid w:val="00CC0A1B"/>
    <w:rsid w:val="00CC0AFE"/>
    <w:rsid w:val="00CC0BCB"/>
    <w:rsid w:val="00CC0BE5"/>
    <w:rsid w:val="00CC0C3E"/>
    <w:rsid w:val="00CC0C74"/>
    <w:rsid w:val="00CC0C76"/>
    <w:rsid w:val="00CC0C9B"/>
    <w:rsid w:val="00CC0CF6"/>
    <w:rsid w:val="00CC0D8B"/>
    <w:rsid w:val="00CC0D91"/>
    <w:rsid w:val="00CC0DA3"/>
    <w:rsid w:val="00CC0DDE"/>
    <w:rsid w:val="00CC0E08"/>
    <w:rsid w:val="00CC0E55"/>
    <w:rsid w:val="00CC0E5F"/>
    <w:rsid w:val="00CC0E8F"/>
    <w:rsid w:val="00CC0ECB"/>
    <w:rsid w:val="00CC0ECD"/>
    <w:rsid w:val="00CC0F18"/>
    <w:rsid w:val="00CC0F2C"/>
    <w:rsid w:val="00CC0F50"/>
    <w:rsid w:val="00CC0F68"/>
    <w:rsid w:val="00CC0FAD"/>
    <w:rsid w:val="00CC0FF9"/>
    <w:rsid w:val="00CC1004"/>
    <w:rsid w:val="00CC10F2"/>
    <w:rsid w:val="00CC1175"/>
    <w:rsid w:val="00CC11F7"/>
    <w:rsid w:val="00CC1280"/>
    <w:rsid w:val="00CC1297"/>
    <w:rsid w:val="00CC12B2"/>
    <w:rsid w:val="00CC12D5"/>
    <w:rsid w:val="00CC12D7"/>
    <w:rsid w:val="00CC139D"/>
    <w:rsid w:val="00CC13CC"/>
    <w:rsid w:val="00CC13D0"/>
    <w:rsid w:val="00CC1422"/>
    <w:rsid w:val="00CC1452"/>
    <w:rsid w:val="00CC1488"/>
    <w:rsid w:val="00CC14AB"/>
    <w:rsid w:val="00CC14B2"/>
    <w:rsid w:val="00CC14D1"/>
    <w:rsid w:val="00CC15D3"/>
    <w:rsid w:val="00CC15F9"/>
    <w:rsid w:val="00CC16AD"/>
    <w:rsid w:val="00CC1777"/>
    <w:rsid w:val="00CC177E"/>
    <w:rsid w:val="00CC178A"/>
    <w:rsid w:val="00CC1808"/>
    <w:rsid w:val="00CC1870"/>
    <w:rsid w:val="00CC190C"/>
    <w:rsid w:val="00CC1933"/>
    <w:rsid w:val="00CC1A10"/>
    <w:rsid w:val="00CC1A4D"/>
    <w:rsid w:val="00CC1AA5"/>
    <w:rsid w:val="00CC1B19"/>
    <w:rsid w:val="00CC1B30"/>
    <w:rsid w:val="00CC1BE2"/>
    <w:rsid w:val="00CC1D29"/>
    <w:rsid w:val="00CC1D3E"/>
    <w:rsid w:val="00CC1DBF"/>
    <w:rsid w:val="00CC1DCA"/>
    <w:rsid w:val="00CC1DD0"/>
    <w:rsid w:val="00CC1E0B"/>
    <w:rsid w:val="00CC1E12"/>
    <w:rsid w:val="00CC1E71"/>
    <w:rsid w:val="00CC1EDF"/>
    <w:rsid w:val="00CC1F93"/>
    <w:rsid w:val="00CC2011"/>
    <w:rsid w:val="00CC20B5"/>
    <w:rsid w:val="00CC20C0"/>
    <w:rsid w:val="00CC20EE"/>
    <w:rsid w:val="00CC211B"/>
    <w:rsid w:val="00CC2141"/>
    <w:rsid w:val="00CC21A7"/>
    <w:rsid w:val="00CC21BD"/>
    <w:rsid w:val="00CC21C6"/>
    <w:rsid w:val="00CC223A"/>
    <w:rsid w:val="00CC2250"/>
    <w:rsid w:val="00CC226D"/>
    <w:rsid w:val="00CC22D9"/>
    <w:rsid w:val="00CC22E5"/>
    <w:rsid w:val="00CC2362"/>
    <w:rsid w:val="00CC2380"/>
    <w:rsid w:val="00CC23AD"/>
    <w:rsid w:val="00CC23BE"/>
    <w:rsid w:val="00CC23FA"/>
    <w:rsid w:val="00CC2400"/>
    <w:rsid w:val="00CC2413"/>
    <w:rsid w:val="00CC2444"/>
    <w:rsid w:val="00CC24B3"/>
    <w:rsid w:val="00CC2583"/>
    <w:rsid w:val="00CC263C"/>
    <w:rsid w:val="00CC264E"/>
    <w:rsid w:val="00CC2695"/>
    <w:rsid w:val="00CC272D"/>
    <w:rsid w:val="00CC27CE"/>
    <w:rsid w:val="00CC27E7"/>
    <w:rsid w:val="00CC27F0"/>
    <w:rsid w:val="00CC27F2"/>
    <w:rsid w:val="00CC27F7"/>
    <w:rsid w:val="00CC2823"/>
    <w:rsid w:val="00CC2901"/>
    <w:rsid w:val="00CC2934"/>
    <w:rsid w:val="00CC2A0C"/>
    <w:rsid w:val="00CC2AD8"/>
    <w:rsid w:val="00CC2ADD"/>
    <w:rsid w:val="00CC2BCE"/>
    <w:rsid w:val="00CC2C7E"/>
    <w:rsid w:val="00CC2CDE"/>
    <w:rsid w:val="00CC2CED"/>
    <w:rsid w:val="00CC2CF5"/>
    <w:rsid w:val="00CC2E79"/>
    <w:rsid w:val="00CC2E83"/>
    <w:rsid w:val="00CC2EAE"/>
    <w:rsid w:val="00CC2EE2"/>
    <w:rsid w:val="00CC2EED"/>
    <w:rsid w:val="00CC2F51"/>
    <w:rsid w:val="00CC2F8F"/>
    <w:rsid w:val="00CC2FEE"/>
    <w:rsid w:val="00CC2FF9"/>
    <w:rsid w:val="00CC2FFB"/>
    <w:rsid w:val="00CC301D"/>
    <w:rsid w:val="00CC3043"/>
    <w:rsid w:val="00CC304B"/>
    <w:rsid w:val="00CC3091"/>
    <w:rsid w:val="00CC30A3"/>
    <w:rsid w:val="00CC30A6"/>
    <w:rsid w:val="00CC3198"/>
    <w:rsid w:val="00CC3199"/>
    <w:rsid w:val="00CC322E"/>
    <w:rsid w:val="00CC3260"/>
    <w:rsid w:val="00CC328B"/>
    <w:rsid w:val="00CC32ED"/>
    <w:rsid w:val="00CC3304"/>
    <w:rsid w:val="00CC335B"/>
    <w:rsid w:val="00CC3400"/>
    <w:rsid w:val="00CC3413"/>
    <w:rsid w:val="00CC3418"/>
    <w:rsid w:val="00CC343B"/>
    <w:rsid w:val="00CC344A"/>
    <w:rsid w:val="00CC3466"/>
    <w:rsid w:val="00CC346F"/>
    <w:rsid w:val="00CC34BF"/>
    <w:rsid w:val="00CC352D"/>
    <w:rsid w:val="00CC3555"/>
    <w:rsid w:val="00CC358E"/>
    <w:rsid w:val="00CC35CA"/>
    <w:rsid w:val="00CC35FF"/>
    <w:rsid w:val="00CC36A1"/>
    <w:rsid w:val="00CC36AD"/>
    <w:rsid w:val="00CC36FD"/>
    <w:rsid w:val="00CC3705"/>
    <w:rsid w:val="00CC3721"/>
    <w:rsid w:val="00CC37D9"/>
    <w:rsid w:val="00CC3808"/>
    <w:rsid w:val="00CC3844"/>
    <w:rsid w:val="00CC38A1"/>
    <w:rsid w:val="00CC38AC"/>
    <w:rsid w:val="00CC39C2"/>
    <w:rsid w:val="00CC39C5"/>
    <w:rsid w:val="00CC39EE"/>
    <w:rsid w:val="00CC3A22"/>
    <w:rsid w:val="00CC3AB8"/>
    <w:rsid w:val="00CC3B37"/>
    <w:rsid w:val="00CC3B41"/>
    <w:rsid w:val="00CC3B75"/>
    <w:rsid w:val="00CC3BC3"/>
    <w:rsid w:val="00CC3C50"/>
    <w:rsid w:val="00CC3C61"/>
    <w:rsid w:val="00CC3D61"/>
    <w:rsid w:val="00CC3DEE"/>
    <w:rsid w:val="00CC3F73"/>
    <w:rsid w:val="00CC4008"/>
    <w:rsid w:val="00CC403F"/>
    <w:rsid w:val="00CC40BE"/>
    <w:rsid w:val="00CC40E9"/>
    <w:rsid w:val="00CC410A"/>
    <w:rsid w:val="00CC4120"/>
    <w:rsid w:val="00CC41E1"/>
    <w:rsid w:val="00CC4230"/>
    <w:rsid w:val="00CC4254"/>
    <w:rsid w:val="00CC434A"/>
    <w:rsid w:val="00CC4376"/>
    <w:rsid w:val="00CC43AA"/>
    <w:rsid w:val="00CC43E2"/>
    <w:rsid w:val="00CC4499"/>
    <w:rsid w:val="00CC449A"/>
    <w:rsid w:val="00CC44E2"/>
    <w:rsid w:val="00CC4581"/>
    <w:rsid w:val="00CC45AB"/>
    <w:rsid w:val="00CC46F5"/>
    <w:rsid w:val="00CC472C"/>
    <w:rsid w:val="00CC4793"/>
    <w:rsid w:val="00CC485E"/>
    <w:rsid w:val="00CC485F"/>
    <w:rsid w:val="00CC48EC"/>
    <w:rsid w:val="00CC493C"/>
    <w:rsid w:val="00CC49EF"/>
    <w:rsid w:val="00CC4AC2"/>
    <w:rsid w:val="00CC4AC5"/>
    <w:rsid w:val="00CC4ACB"/>
    <w:rsid w:val="00CC4AD2"/>
    <w:rsid w:val="00CC4B32"/>
    <w:rsid w:val="00CC4B99"/>
    <w:rsid w:val="00CC4BDD"/>
    <w:rsid w:val="00CC4D19"/>
    <w:rsid w:val="00CC4D26"/>
    <w:rsid w:val="00CC4D8C"/>
    <w:rsid w:val="00CC4DAF"/>
    <w:rsid w:val="00CC4DDD"/>
    <w:rsid w:val="00CC4E2B"/>
    <w:rsid w:val="00CC4E37"/>
    <w:rsid w:val="00CC4EC6"/>
    <w:rsid w:val="00CC4ECC"/>
    <w:rsid w:val="00CC4EE5"/>
    <w:rsid w:val="00CC4F4A"/>
    <w:rsid w:val="00CC4FAE"/>
    <w:rsid w:val="00CC4FB5"/>
    <w:rsid w:val="00CC509D"/>
    <w:rsid w:val="00CC50A6"/>
    <w:rsid w:val="00CC52E2"/>
    <w:rsid w:val="00CC53B5"/>
    <w:rsid w:val="00CC53BC"/>
    <w:rsid w:val="00CC53CE"/>
    <w:rsid w:val="00CC5435"/>
    <w:rsid w:val="00CC5475"/>
    <w:rsid w:val="00CC5483"/>
    <w:rsid w:val="00CC54A9"/>
    <w:rsid w:val="00CC5544"/>
    <w:rsid w:val="00CC555E"/>
    <w:rsid w:val="00CC5561"/>
    <w:rsid w:val="00CC559D"/>
    <w:rsid w:val="00CC5638"/>
    <w:rsid w:val="00CC5664"/>
    <w:rsid w:val="00CC569F"/>
    <w:rsid w:val="00CC56D3"/>
    <w:rsid w:val="00CC56F4"/>
    <w:rsid w:val="00CC5703"/>
    <w:rsid w:val="00CC57AB"/>
    <w:rsid w:val="00CC57E2"/>
    <w:rsid w:val="00CC5837"/>
    <w:rsid w:val="00CC5887"/>
    <w:rsid w:val="00CC588E"/>
    <w:rsid w:val="00CC58EA"/>
    <w:rsid w:val="00CC58FD"/>
    <w:rsid w:val="00CC59E8"/>
    <w:rsid w:val="00CC5A1C"/>
    <w:rsid w:val="00CC5A7C"/>
    <w:rsid w:val="00CC5AAA"/>
    <w:rsid w:val="00CC5B1F"/>
    <w:rsid w:val="00CC5B42"/>
    <w:rsid w:val="00CC5B58"/>
    <w:rsid w:val="00CC5B79"/>
    <w:rsid w:val="00CC5C63"/>
    <w:rsid w:val="00CC5C83"/>
    <w:rsid w:val="00CC5C8E"/>
    <w:rsid w:val="00CC5D42"/>
    <w:rsid w:val="00CC5D6F"/>
    <w:rsid w:val="00CC5D91"/>
    <w:rsid w:val="00CC5DA4"/>
    <w:rsid w:val="00CC5DB1"/>
    <w:rsid w:val="00CC5E91"/>
    <w:rsid w:val="00CC5EB4"/>
    <w:rsid w:val="00CC5F60"/>
    <w:rsid w:val="00CC5F81"/>
    <w:rsid w:val="00CC5FA9"/>
    <w:rsid w:val="00CC5FE2"/>
    <w:rsid w:val="00CC6089"/>
    <w:rsid w:val="00CC60BF"/>
    <w:rsid w:val="00CC60D2"/>
    <w:rsid w:val="00CC6128"/>
    <w:rsid w:val="00CC6169"/>
    <w:rsid w:val="00CC61CF"/>
    <w:rsid w:val="00CC61D0"/>
    <w:rsid w:val="00CC628E"/>
    <w:rsid w:val="00CC629D"/>
    <w:rsid w:val="00CC62B6"/>
    <w:rsid w:val="00CC62D1"/>
    <w:rsid w:val="00CC632B"/>
    <w:rsid w:val="00CC638C"/>
    <w:rsid w:val="00CC63C6"/>
    <w:rsid w:val="00CC63DC"/>
    <w:rsid w:val="00CC63E9"/>
    <w:rsid w:val="00CC641D"/>
    <w:rsid w:val="00CC64E4"/>
    <w:rsid w:val="00CC65B9"/>
    <w:rsid w:val="00CC65E4"/>
    <w:rsid w:val="00CC6720"/>
    <w:rsid w:val="00CC67BA"/>
    <w:rsid w:val="00CC687D"/>
    <w:rsid w:val="00CC690A"/>
    <w:rsid w:val="00CC69EB"/>
    <w:rsid w:val="00CC6A09"/>
    <w:rsid w:val="00CC6A15"/>
    <w:rsid w:val="00CC6A16"/>
    <w:rsid w:val="00CC6A35"/>
    <w:rsid w:val="00CC6A86"/>
    <w:rsid w:val="00CC6B74"/>
    <w:rsid w:val="00CC6C4D"/>
    <w:rsid w:val="00CC6C51"/>
    <w:rsid w:val="00CC6C66"/>
    <w:rsid w:val="00CC6C85"/>
    <w:rsid w:val="00CC6CD2"/>
    <w:rsid w:val="00CC6CD8"/>
    <w:rsid w:val="00CC6CD9"/>
    <w:rsid w:val="00CC6D4D"/>
    <w:rsid w:val="00CC6DEB"/>
    <w:rsid w:val="00CC6DFD"/>
    <w:rsid w:val="00CC6E0C"/>
    <w:rsid w:val="00CC6E52"/>
    <w:rsid w:val="00CC6E6E"/>
    <w:rsid w:val="00CC6E71"/>
    <w:rsid w:val="00CC6EB0"/>
    <w:rsid w:val="00CC6F1E"/>
    <w:rsid w:val="00CC6F74"/>
    <w:rsid w:val="00CC6F87"/>
    <w:rsid w:val="00CC6FEB"/>
    <w:rsid w:val="00CC6FF6"/>
    <w:rsid w:val="00CC700E"/>
    <w:rsid w:val="00CC702D"/>
    <w:rsid w:val="00CC7036"/>
    <w:rsid w:val="00CC7082"/>
    <w:rsid w:val="00CC7160"/>
    <w:rsid w:val="00CC7198"/>
    <w:rsid w:val="00CC7224"/>
    <w:rsid w:val="00CC729E"/>
    <w:rsid w:val="00CC72C5"/>
    <w:rsid w:val="00CC7308"/>
    <w:rsid w:val="00CC730C"/>
    <w:rsid w:val="00CC7366"/>
    <w:rsid w:val="00CC73C2"/>
    <w:rsid w:val="00CC7458"/>
    <w:rsid w:val="00CC7468"/>
    <w:rsid w:val="00CC7506"/>
    <w:rsid w:val="00CC7513"/>
    <w:rsid w:val="00CC7532"/>
    <w:rsid w:val="00CC7549"/>
    <w:rsid w:val="00CC7594"/>
    <w:rsid w:val="00CC75BF"/>
    <w:rsid w:val="00CC75D7"/>
    <w:rsid w:val="00CC75D8"/>
    <w:rsid w:val="00CC75E7"/>
    <w:rsid w:val="00CC7626"/>
    <w:rsid w:val="00CC769B"/>
    <w:rsid w:val="00CC76DB"/>
    <w:rsid w:val="00CC770F"/>
    <w:rsid w:val="00CC777F"/>
    <w:rsid w:val="00CC7849"/>
    <w:rsid w:val="00CC7862"/>
    <w:rsid w:val="00CC7874"/>
    <w:rsid w:val="00CC78A8"/>
    <w:rsid w:val="00CC78CB"/>
    <w:rsid w:val="00CC78CD"/>
    <w:rsid w:val="00CC7945"/>
    <w:rsid w:val="00CC794A"/>
    <w:rsid w:val="00CC79AA"/>
    <w:rsid w:val="00CC79CA"/>
    <w:rsid w:val="00CC7A6E"/>
    <w:rsid w:val="00CC7A97"/>
    <w:rsid w:val="00CC7B44"/>
    <w:rsid w:val="00CC7B85"/>
    <w:rsid w:val="00CC7BA5"/>
    <w:rsid w:val="00CC7D25"/>
    <w:rsid w:val="00CC7D8A"/>
    <w:rsid w:val="00CC7DA0"/>
    <w:rsid w:val="00CC7DCD"/>
    <w:rsid w:val="00CC7EC2"/>
    <w:rsid w:val="00CC7ED0"/>
    <w:rsid w:val="00CC7F0F"/>
    <w:rsid w:val="00CC7F38"/>
    <w:rsid w:val="00CC7F6A"/>
    <w:rsid w:val="00CC7F8B"/>
    <w:rsid w:val="00CC7FA3"/>
    <w:rsid w:val="00CD018E"/>
    <w:rsid w:val="00CD01AD"/>
    <w:rsid w:val="00CD0236"/>
    <w:rsid w:val="00CD0333"/>
    <w:rsid w:val="00CD033B"/>
    <w:rsid w:val="00CD0445"/>
    <w:rsid w:val="00CD04F9"/>
    <w:rsid w:val="00CD0555"/>
    <w:rsid w:val="00CD0557"/>
    <w:rsid w:val="00CD07CF"/>
    <w:rsid w:val="00CD07D3"/>
    <w:rsid w:val="00CD07D7"/>
    <w:rsid w:val="00CD083C"/>
    <w:rsid w:val="00CD085B"/>
    <w:rsid w:val="00CD0877"/>
    <w:rsid w:val="00CD089C"/>
    <w:rsid w:val="00CD0900"/>
    <w:rsid w:val="00CD0950"/>
    <w:rsid w:val="00CD0957"/>
    <w:rsid w:val="00CD0960"/>
    <w:rsid w:val="00CD09F0"/>
    <w:rsid w:val="00CD0A8B"/>
    <w:rsid w:val="00CD0A8D"/>
    <w:rsid w:val="00CD0AA2"/>
    <w:rsid w:val="00CD0B4C"/>
    <w:rsid w:val="00CD0B53"/>
    <w:rsid w:val="00CD0BF3"/>
    <w:rsid w:val="00CD0BF5"/>
    <w:rsid w:val="00CD0C0D"/>
    <w:rsid w:val="00CD0C13"/>
    <w:rsid w:val="00CD0C24"/>
    <w:rsid w:val="00CD0CFC"/>
    <w:rsid w:val="00CD0D2F"/>
    <w:rsid w:val="00CD0D4E"/>
    <w:rsid w:val="00CD0D9D"/>
    <w:rsid w:val="00CD0DA4"/>
    <w:rsid w:val="00CD0DBA"/>
    <w:rsid w:val="00CD0E1E"/>
    <w:rsid w:val="00CD0EC7"/>
    <w:rsid w:val="00CD0FB2"/>
    <w:rsid w:val="00CD0FCB"/>
    <w:rsid w:val="00CD1096"/>
    <w:rsid w:val="00CD112B"/>
    <w:rsid w:val="00CD1232"/>
    <w:rsid w:val="00CD12FC"/>
    <w:rsid w:val="00CD136D"/>
    <w:rsid w:val="00CD138A"/>
    <w:rsid w:val="00CD14E1"/>
    <w:rsid w:val="00CD1545"/>
    <w:rsid w:val="00CD15E2"/>
    <w:rsid w:val="00CD170B"/>
    <w:rsid w:val="00CD170F"/>
    <w:rsid w:val="00CD177B"/>
    <w:rsid w:val="00CD1788"/>
    <w:rsid w:val="00CD17D8"/>
    <w:rsid w:val="00CD184B"/>
    <w:rsid w:val="00CD1951"/>
    <w:rsid w:val="00CD19B2"/>
    <w:rsid w:val="00CD1A1A"/>
    <w:rsid w:val="00CD1B86"/>
    <w:rsid w:val="00CD1BAC"/>
    <w:rsid w:val="00CD1BB9"/>
    <w:rsid w:val="00CD1BF0"/>
    <w:rsid w:val="00CD1C17"/>
    <w:rsid w:val="00CD1CC4"/>
    <w:rsid w:val="00CD1D05"/>
    <w:rsid w:val="00CD1D51"/>
    <w:rsid w:val="00CD1D96"/>
    <w:rsid w:val="00CD1DBF"/>
    <w:rsid w:val="00CD1DE5"/>
    <w:rsid w:val="00CD1EAA"/>
    <w:rsid w:val="00CD1ED1"/>
    <w:rsid w:val="00CD1F1C"/>
    <w:rsid w:val="00CD2039"/>
    <w:rsid w:val="00CD20FC"/>
    <w:rsid w:val="00CD2119"/>
    <w:rsid w:val="00CD2125"/>
    <w:rsid w:val="00CD213B"/>
    <w:rsid w:val="00CD2193"/>
    <w:rsid w:val="00CD219A"/>
    <w:rsid w:val="00CD21FF"/>
    <w:rsid w:val="00CD223A"/>
    <w:rsid w:val="00CD22CD"/>
    <w:rsid w:val="00CD22EC"/>
    <w:rsid w:val="00CD2340"/>
    <w:rsid w:val="00CD234D"/>
    <w:rsid w:val="00CD23E7"/>
    <w:rsid w:val="00CD242B"/>
    <w:rsid w:val="00CD2470"/>
    <w:rsid w:val="00CD24D4"/>
    <w:rsid w:val="00CD24E0"/>
    <w:rsid w:val="00CD2525"/>
    <w:rsid w:val="00CD2552"/>
    <w:rsid w:val="00CD25A9"/>
    <w:rsid w:val="00CD25B5"/>
    <w:rsid w:val="00CD2792"/>
    <w:rsid w:val="00CD27EE"/>
    <w:rsid w:val="00CD2899"/>
    <w:rsid w:val="00CD28F8"/>
    <w:rsid w:val="00CD2930"/>
    <w:rsid w:val="00CD2975"/>
    <w:rsid w:val="00CD2B47"/>
    <w:rsid w:val="00CD2B6F"/>
    <w:rsid w:val="00CD2B83"/>
    <w:rsid w:val="00CD2BF0"/>
    <w:rsid w:val="00CD2C57"/>
    <w:rsid w:val="00CD2C66"/>
    <w:rsid w:val="00CD2C88"/>
    <w:rsid w:val="00CD2CCA"/>
    <w:rsid w:val="00CD2D3A"/>
    <w:rsid w:val="00CD2DB4"/>
    <w:rsid w:val="00CD2DEE"/>
    <w:rsid w:val="00CD2DF2"/>
    <w:rsid w:val="00CD2E2E"/>
    <w:rsid w:val="00CD2EC2"/>
    <w:rsid w:val="00CD2F10"/>
    <w:rsid w:val="00CD2F4E"/>
    <w:rsid w:val="00CD2F5E"/>
    <w:rsid w:val="00CD2FD1"/>
    <w:rsid w:val="00CD2FDA"/>
    <w:rsid w:val="00CD3061"/>
    <w:rsid w:val="00CD3100"/>
    <w:rsid w:val="00CD3169"/>
    <w:rsid w:val="00CD3173"/>
    <w:rsid w:val="00CD327E"/>
    <w:rsid w:val="00CD32A1"/>
    <w:rsid w:val="00CD32C4"/>
    <w:rsid w:val="00CD32DA"/>
    <w:rsid w:val="00CD32EE"/>
    <w:rsid w:val="00CD3300"/>
    <w:rsid w:val="00CD335E"/>
    <w:rsid w:val="00CD3363"/>
    <w:rsid w:val="00CD33CD"/>
    <w:rsid w:val="00CD33E6"/>
    <w:rsid w:val="00CD33EF"/>
    <w:rsid w:val="00CD3406"/>
    <w:rsid w:val="00CD3435"/>
    <w:rsid w:val="00CD3486"/>
    <w:rsid w:val="00CD34E3"/>
    <w:rsid w:val="00CD3527"/>
    <w:rsid w:val="00CD3591"/>
    <w:rsid w:val="00CD35B1"/>
    <w:rsid w:val="00CD36D6"/>
    <w:rsid w:val="00CD3741"/>
    <w:rsid w:val="00CD380C"/>
    <w:rsid w:val="00CD3823"/>
    <w:rsid w:val="00CD3830"/>
    <w:rsid w:val="00CD3870"/>
    <w:rsid w:val="00CD38BD"/>
    <w:rsid w:val="00CD38C6"/>
    <w:rsid w:val="00CD3924"/>
    <w:rsid w:val="00CD3935"/>
    <w:rsid w:val="00CD39BE"/>
    <w:rsid w:val="00CD39ED"/>
    <w:rsid w:val="00CD3A71"/>
    <w:rsid w:val="00CD3AF0"/>
    <w:rsid w:val="00CD3C19"/>
    <w:rsid w:val="00CD3C9A"/>
    <w:rsid w:val="00CD3CDC"/>
    <w:rsid w:val="00CD3D6E"/>
    <w:rsid w:val="00CD3DB0"/>
    <w:rsid w:val="00CD3E0B"/>
    <w:rsid w:val="00CD3E21"/>
    <w:rsid w:val="00CD3E69"/>
    <w:rsid w:val="00CD3EAA"/>
    <w:rsid w:val="00CD3EE3"/>
    <w:rsid w:val="00CD3F9F"/>
    <w:rsid w:val="00CD406A"/>
    <w:rsid w:val="00CD4149"/>
    <w:rsid w:val="00CD4163"/>
    <w:rsid w:val="00CD416D"/>
    <w:rsid w:val="00CD4242"/>
    <w:rsid w:val="00CD4254"/>
    <w:rsid w:val="00CD4340"/>
    <w:rsid w:val="00CD43EB"/>
    <w:rsid w:val="00CD43FB"/>
    <w:rsid w:val="00CD444D"/>
    <w:rsid w:val="00CD4463"/>
    <w:rsid w:val="00CD446F"/>
    <w:rsid w:val="00CD4493"/>
    <w:rsid w:val="00CD44C9"/>
    <w:rsid w:val="00CD4588"/>
    <w:rsid w:val="00CD4592"/>
    <w:rsid w:val="00CD459B"/>
    <w:rsid w:val="00CD45C4"/>
    <w:rsid w:val="00CD4604"/>
    <w:rsid w:val="00CD4620"/>
    <w:rsid w:val="00CD46FB"/>
    <w:rsid w:val="00CD4704"/>
    <w:rsid w:val="00CD47CB"/>
    <w:rsid w:val="00CD4863"/>
    <w:rsid w:val="00CD48BB"/>
    <w:rsid w:val="00CD4901"/>
    <w:rsid w:val="00CD4918"/>
    <w:rsid w:val="00CD4A83"/>
    <w:rsid w:val="00CD4A95"/>
    <w:rsid w:val="00CD4B16"/>
    <w:rsid w:val="00CD4B62"/>
    <w:rsid w:val="00CD4C5D"/>
    <w:rsid w:val="00CD4CB9"/>
    <w:rsid w:val="00CD4CBD"/>
    <w:rsid w:val="00CD4CED"/>
    <w:rsid w:val="00CD4D8B"/>
    <w:rsid w:val="00CD4D98"/>
    <w:rsid w:val="00CD4DB9"/>
    <w:rsid w:val="00CD4E8E"/>
    <w:rsid w:val="00CD4EB0"/>
    <w:rsid w:val="00CD4F2A"/>
    <w:rsid w:val="00CD4F3D"/>
    <w:rsid w:val="00CD4F4C"/>
    <w:rsid w:val="00CD4F5B"/>
    <w:rsid w:val="00CD4F5F"/>
    <w:rsid w:val="00CD5077"/>
    <w:rsid w:val="00CD507F"/>
    <w:rsid w:val="00CD50D3"/>
    <w:rsid w:val="00CD50EF"/>
    <w:rsid w:val="00CD524E"/>
    <w:rsid w:val="00CD5277"/>
    <w:rsid w:val="00CD5305"/>
    <w:rsid w:val="00CD5391"/>
    <w:rsid w:val="00CD53F6"/>
    <w:rsid w:val="00CD5409"/>
    <w:rsid w:val="00CD5412"/>
    <w:rsid w:val="00CD5417"/>
    <w:rsid w:val="00CD5443"/>
    <w:rsid w:val="00CD54EA"/>
    <w:rsid w:val="00CD5545"/>
    <w:rsid w:val="00CD5567"/>
    <w:rsid w:val="00CD558E"/>
    <w:rsid w:val="00CD559D"/>
    <w:rsid w:val="00CD55D9"/>
    <w:rsid w:val="00CD564F"/>
    <w:rsid w:val="00CD5663"/>
    <w:rsid w:val="00CD5683"/>
    <w:rsid w:val="00CD56FF"/>
    <w:rsid w:val="00CD5738"/>
    <w:rsid w:val="00CD576E"/>
    <w:rsid w:val="00CD576F"/>
    <w:rsid w:val="00CD577D"/>
    <w:rsid w:val="00CD57B0"/>
    <w:rsid w:val="00CD57E7"/>
    <w:rsid w:val="00CD587C"/>
    <w:rsid w:val="00CD58FD"/>
    <w:rsid w:val="00CD5A32"/>
    <w:rsid w:val="00CD5A6A"/>
    <w:rsid w:val="00CD5ACA"/>
    <w:rsid w:val="00CD5B51"/>
    <w:rsid w:val="00CD5B5F"/>
    <w:rsid w:val="00CD5BFC"/>
    <w:rsid w:val="00CD5C0E"/>
    <w:rsid w:val="00CD5C20"/>
    <w:rsid w:val="00CD5C8D"/>
    <w:rsid w:val="00CD5CBF"/>
    <w:rsid w:val="00CD5E23"/>
    <w:rsid w:val="00CD5ED6"/>
    <w:rsid w:val="00CD5EDC"/>
    <w:rsid w:val="00CD5F72"/>
    <w:rsid w:val="00CD5F98"/>
    <w:rsid w:val="00CD5FA5"/>
    <w:rsid w:val="00CD612D"/>
    <w:rsid w:val="00CD61ED"/>
    <w:rsid w:val="00CD622C"/>
    <w:rsid w:val="00CD62E8"/>
    <w:rsid w:val="00CD631F"/>
    <w:rsid w:val="00CD6320"/>
    <w:rsid w:val="00CD636F"/>
    <w:rsid w:val="00CD63D2"/>
    <w:rsid w:val="00CD6407"/>
    <w:rsid w:val="00CD651F"/>
    <w:rsid w:val="00CD654B"/>
    <w:rsid w:val="00CD667B"/>
    <w:rsid w:val="00CD66B1"/>
    <w:rsid w:val="00CD66F0"/>
    <w:rsid w:val="00CD66F3"/>
    <w:rsid w:val="00CD6786"/>
    <w:rsid w:val="00CD67B3"/>
    <w:rsid w:val="00CD67F2"/>
    <w:rsid w:val="00CD6841"/>
    <w:rsid w:val="00CD687F"/>
    <w:rsid w:val="00CD68D0"/>
    <w:rsid w:val="00CD691B"/>
    <w:rsid w:val="00CD6944"/>
    <w:rsid w:val="00CD6952"/>
    <w:rsid w:val="00CD6963"/>
    <w:rsid w:val="00CD69A9"/>
    <w:rsid w:val="00CD6A0D"/>
    <w:rsid w:val="00CD6A38"/>
    <w:rsid w:val="00CD6AC3"/>
    <w:rsid w:val="00CD6AED"/>
    <w:rsid w:val="00CD6B59"/>
    <w:rsid w:val="00CD6B97"/>
    <w:rsid w:val="00CD6BBC"/>
    <w:rsid w:val="00CD6C61"/>
    <w:rsid w:val="00CD6C7B"/>
    <w:rsid w:val="00CD6C84"/>
    <w:rsid w:val="00CD6C88"/>
    <w:rsid w:val="00CD6CDD"/>
    <w:rsid w:val="00CD6D0D"/>
    <w:rsid w:val="00CD6D1F"/>
    <w:rsid w:val="00CD6D2C"/>
    <w:rsid w:val="00CD6D3B"/>
    <w:rsid w:val="00CD6DE1"/>
    <w:rsid w:val="00CD6DE8"/>
    <w:rsid w:val="00CD6E4C"/>
    <w:rsid w:val="00CD6E71"/>
    <w:rsid w:val="00CD6E94"/>
    <w:rsid w:val="00CD6ED7"/>
    <w:rsid w:val="00CD6F70"/>
    <w:rsid w:val="00CD6FF1"/>
    <w:rsid w:val="00CD6FF3"/>
    <w:rsid w:val="00CD705B"/>
    <w:rsid w:val="00CD7105"/>
    <w:rsid w:val="00CD7151"/>
    <w:rsid w:val="00CD71A5"/>
    <w:rsid w:val="00CD71DE"/>
    <w:rsid w:val="00CD71F4"/>
    <w:rsid w:val="00CD72BE"/>
    <w:rsid w:val="00CD72D9"/>
    <w:rsid w:val="00CD72E1"/>
    <w:rsid w:val="00CD736E"/>
    <w:rsid w:val="00CD7383"/>
    <w:rsid w:val="00CD7400"/>
    <w:rsid w:val="00CD74C6"/>
    <w:rsid w:val="00CD74EB"/>
    <w:rsid w:val="00CD752E"/>
    <w:rsid w:val="00CD75AA"/>
    <w:rsid w:val="00CD75FB"/>
    <w:rsid w:val="00CD75FE"/>
    <w:rsid w:val="00CD7605"/>
    <w:rsid w:val="00CD7638"/>
    <w:rsid w:val="00CD76E7"/>
    <w:rsid w:val="00CD778F"/>
    <w:rsid w:val="00CD782D"/>
    <w:rsid w:val="00CD782E"/>
    <w:rsid w:val="00CD78CD"/>
    <w:rsid w:val="00CD78DF"/>
    <w:rsid w:val="00CD78ED"/>
    <w:rsid w:val="00CD79A6"/>
    <w:rsid w:val="00CD7A09"/>
    <w:rsid w:val="00CD7A37"/>
    <w:rsid w:val="00CD7A8E"/>
    <w:rsid w:val="00CD7AEC"/>
    <w:rsid w:val="00CD7B80"/>
    <w:rsid w:val="00CD7BBD"/>
    <w:rsid w:val="00CD7C5C"/>
    <w:rsid w:val="00CD7C73"/>
    <w:rsid w:val="00CD7D17"/>
    <w:rsid w:val="00CD7E07"/>
    <w:rsid w:val="00CD7E46"/>
    <w:rsid w:val="00CD7EC3"/>
    <w:rsid w:val="00CD7F55"/>
    <w:rsid w:val="00CD7FD1"/>
    <w:rsid w:val="00CE0000"/>
    <w:rsid w:val="00CE00B1"/>
    <w:rsid w:val="00CE00C4"/>
    <w:rsid w:val="00CE01A0"/>
    <w:rsid w:val="00CE01D1"/>
    <w:rsid w:val="00CE01EE"/>
    <w:rsid w:val="00CE02BB"/>
    <w:rsid w:val="00CE02C2"/>
    <w:rsid w:val="00CE0313"/>
    <w:rsid w:val="00CE0326"/>
    <w:rsid w:val="00CE0329"/>
    <w:rsid w:val="00CE034D"/>
    <w:rsid w:val="00CE0385"/>
    <w:rsid w:val="00CE03B0"/>
    <w:rsid w:val="00CE03CD"/>
    <w:rsid w:val="00CE03EC"/>
    <w:rsid w:val="00CE042D"/>
    <w:rsid w:val="00CE048E"/>
    <w:rsid w:val="00CE052D"/>
    <w:rsid w:val="00CE0546"/>
    <w:rsid w:val="00CE0596"/>
    <w:rsid w:val="00CE0619"/>
    <w:rsid w:val="00CE062B"/>
    <w:rsid w:val="00CE0631"/>
    <w:rsid w:val="00CE067E"/>
    <w:rsid w:val="00CE06B2"/>
    <w:rsid w:val="00CE075B"/>
    <w:rsid w:val="00CE07A0"/>
    <w:rsid w:val="00CE07A4"/>
    <w:rsid w:val="00CE07C2"/>
    <w:rsid w:val="00CE0843"/>
    <w:rsid w:val="00CE0868"/>
    <w:rsid w:val="00CE0869"/>
    <w:rsid w:val="00CE08A3"/>
    <w:rsid w:val="00CE0937"/>
    <w:rsid w:val="00CE0959"/>
    <w:rsid w:val="00CE096B"/>
    <w:rsid w:val="00CE09CB"/>
    <w:rsid w:val="00CE0A81"/>
    <w:rsid w:val="00CE0A8D"/>
    <w:rsid w:val="00CE0AC3"/>
    <w:rsid w:val="00CE0B3B"/>
    <w:rsid w:val="00CE0B9B"/>
    <w:rsid w:val="00CE0C74"/>
    <w:rsid w:val="00CE0CA3"/>
    <w:rsid w:val="00CE0CFE"/>
    <w:rsid w:val="00CE0DCA"/>
    <w:rsid w:val="00CE0DE1"/>
    <w:rsid w:val="00CE0E55"/>
    <w:rsid w:val="00CE0E60"/>
    <w:rsid w:val="00CE0E6F"/>
    <w:rsid w:val="00CE0E93"/>
    <w:rsid w:val="00CE0E99"/>
    <w:rsid w:val="00CE0EAA"/>
    <w:rsid w:val="00CE0F32"/>
    <w:rsid w:val="00CE0FAB"/>
    <w:rsid w:val="00CE0FAC"/>
    <w:rsid w:val="00CE0FD9"/>
    <w:rsid w:val="00CE102E"/>
    <w:rsid w:val="00CE1079"/>
    <w:rsid w:val="00CE1085"/>
    <w:rsid w:val="00CE1096"/>
    <w:rsid w:val="00CE10BF"/>
    <w:rsid w:val="00CE116E"/>
    <w:rsid w:val="00CE117E"/>
    <w:rsid w:val="00CE11E2"/>
    <w:rsid w:val="00CE1258"/>
    <w:rsid w:val="00CE1305"/>
    <w:rsid w:val="00CE1327"/>
    <w:rsid w:val="00CE135D"/>
    <w:rsid w:val="00CE13C7"/>
    <w:rsid w:val="00CE1412"/>
    <w:rsid w:val="00CE1417"/>
    <w:rsid w:val="00CE14A2"/>
    <w:rsid w:val="00CE14C1"/>
    <w:rsid w:val="00CE151E"/>
    <w:rsid w:val="00CE153C"/>
    <w:rsid w:val="00CE15BF"/>
    <w:rsid w:val="00CE1648"/>
    <w:rsid w:val="00CE1688"/>
    <w:rsid w:val="00CE16D1"/>
    <w:rsid w:val="00CE16E7"/>
    <w:rsid w:val="00CE16FB"/>
    <w:rsid w:val="00CE173B"/>
    <w:rsid w:val="00CE1773"/>
    <w:rsid w:val="00CE1850"/>
    <w:rsid w:val="00CE18B6"/>
    <w:rsid w:val="00CE18C8"/>
    <w:rsid w:val="00CE1906"/>
    <w:rsid w:val="00CE1919"/>
    <w:rsid w:val="00CE1952"/>
    <w:rsid w:val="00CE1954"/>
    <w:rsid w:val="00CE19C4"/>
    <w:rsid w:val="00CE19D8"/>
    <w:rsid w:val="00CE19EF"/>
    <w:rsid w:val="00CE1A20"/>
    <w:rsid w:val="00CE1B11"/>
    <w:rsid w:val="00CE1B8E"/>
    <w:rsid w:val="00CE1C33"/>
    <w:rsid w:val="00CE1CE5"/>
    <w:rsid w:val="00CE1D04"/>
    <w:rsid w:val="00CE1D27"/>
    <w:rsid w:val="00CE1D8B"/>
    <w:rsid w:val="00CE1DAB"/>
    <w:rsid w:val="00CE1DAC"/>
    <w:rsid w:val="00CE1DF7"/>
    <w:rsid w:val="00CE1F44"/>
    <w:rsid w:val="00CE1F79"/>
    <w:rsid w:val="00CE2091"/>
    <w:rsid w:val="00CE2097"/>
    <w:rsid w:val="00CE20D0"/>
    <w:rsid w:val="00CE2111"/>
    <w:rsid w:val="00CE2139"/>
    <w:rsid w:val="00CE2182"/>
    <w:rsid w:val="00CE218E"/>
    <w:rsid w:val="00CE21E4"/>
    <w:rsid w:val="00CE2219"/>
    <w:rsid w:val="00CE223E"/>
    <w:rsid w:val="00CE223F"/>
    <w:rsid w:val="00CE22D0"/>
    <w:rsid w:val="00CE2301"/>
    <w:rsid w:val="00CE2343"/>
    <w:rsid w:val="00CE2438"/>
    <w:rsid w:val="00CE24BE"/>
    <w:rsid w:val="00CE2594"/>
    <w:rsid w:val="00CE2653"/>
    <w:rsid w:val="00CE270E"/>
    <w:rsid w:val="00CE277F"/>
    <w:rsid w:val="00CE2784"/>
    <w:rsid w:val="00CE27E7"/>
    <w:rsid w:val="00CE27EE"/>
    <w:rsid w:val="00CE281D"/>
    <w:rsid w:val="00CE2856"/>
    <w:rsid w:val="00CE2864"/>
    <w:rsid w:val="00CE28B3"/>
    <w:rsid w:val="00CE292E"/>
    <w:rsid w:val="00CE2999"/>
    <w:rsid w:val="00CE29C2"/>
    <w:rsid w:val="00CE29CD"/>
    <w:rsid w:val="00CE29CE"/>
    <w:rsid w:val="00CE29D8"/>
    <w:rsid w:val="00CE29DF"/>
    <w:rsid w:val="00CE29F4"/>
    <w:rsid w:val="00CE2B3E"/>
    <w:rsid w:val="00CE2B47"/>
    <w:rsid w:val="00CE2BBC"/>
    <w:rsid w:val="00CE2C4E"/>
    <w:rsid w:val="00CE2C66"/>
    <w:rsid w:val="00CE2CE7"/>
    <w:rsid w:val="00CE2D7D"/>
    <w:rsid w:val="00CE2D83"/>
    <w:rsid w:val="00CE2D9E"/>
    <w:rsid w:val="00CE2ED8"/>
    <w:rsid w:val="00CE2EDD"/>
    <w:rsid w:val="00CE2F64"/>
    <w:rsid w:val="00CE2FB7"/>
    <w:rsid w:val="00CE3055"/>
    <w:rsid w:val="00CE3057"/>
    <w:rsid w:val="00CE30DA"/>
    <w:rsid w:val="00CE313C"/>
    <w:rsid w:val="00CE3233"/>
    <w:rsid w:val="00CE323A"/>
    <w:rsid w:val="00CE327F"/>
    <w:rsid w:val="00CE339E"/>
    <w:rsid w:val="00CE3449"/>
    <w:rsid w:val="00CE34AE"/>
    <w:rsid w:val="00CE3512"/>
    <w:rsid w:val="00CE3564"/>
    <w:rsid w:val="00CE35C4"/>
    <w:rsid w:val="00CE363F"/>
    <w:rsid w:val="00CE36B9"/>
    <w:rsid w:val="00CE36CF"/>
    <w:rsid w:val="00CE36EF"/>
    <w:rsid w:val="00CE38CB"/>
    <w:rsid w:val="00CE38CF"/>
    <w:rsid w:val="00CE38E6"/>
    <w:rsid w:val="00CE3900"/>
    <w:rsid w:val="00CE3989"/>
    <w:rsid w:val="00CE399E"/>
    <w:rsid w:val="00CE39E4"/>
    <w:rsid w:val="00CE3A5E"/>
    <w:rsid w:val="00CE3A8B"/>
    <w:rsid w:val="00CE3B63"/>
    <w:rsid w:val="00CE3C00"/>
    <w:rsid w:val="00CE3C99"/>
    <w:rsid w:val="00CE3D06"/>
    <w:rsid w:val="00CE3D3F"/>
    <w:rsid w:val="00CE3D4C"/>
    <w:rsid w:val="00CE3D67"/>
    <w:rsid w:val="00CE3DF1"/>
    <w:rsid w:val="00CE3F20"/>
    <w:rsid w:val="00CE3F63"/>
    <w:rsid w:val="00CE3F82"/>
    <w:rsid w:val="00CE3FA5"/>
    <w:rsid w:val="00CE402E"/>
    <w:rsid w:val="00CE409D"/>
    <w:rsid w:val="00CE40EC"/>
    <w:rsid w:val="00CE4110"/>
    <w:rsid w:val="00CE4216"/>
    <w:rsid w:val="00CE421F"/>
    <w:rsid w:val="00CE428A"/>
    <w:rsid w:val="00CE42CB"/>
    <w:rsid w:val="00CE4308"/>
    <w:rsid w:val="00CE43AA"/>
    <w:rsid w:val="00CE43E2"/>
    <w:rsid w:val="00CE4401"/>
    <w:rsid w:val="00CE4453"/>
    <w:rsid w:val="00CE449D"/>
    <w:rsid w:val="00CE44D4"/>
    <w:rsid w:val="00CE44D9"/>
    <w:rsid w:val="00CE453A"/>
    <w:rsid w:val="00CE4541"/>
    <w:rsid w:val="00CE45AE"/>
    <w:rsid w:val="00CE45BD"/>
    <w:rsid w:val="00CE4666"/>
    <w:rsid w:val="00CE467C"/>
    <w:rsid w:val="00CE4711"/>
    <w:rsid w:val="00CE4717"/>
    <w:rsid w:val="00CE4730"/>
    <w:rsid w:val="00CE4740"/>
    <w:rsid w:val="00CE47B1"/>
    <w:rsid w:val="00CE48A5"/>
    <w:rsid w:val="00CE48E9"/>
    <w:rsid w:val="00CE4928"/>
    <w:rsid w:val="00CE4A30"/>
    <w:rsid w:val="00CE4B91"/>
    <w:rsid w:val="00CE4BBF"/>
    <w:rsid w:val="00CE4C15"/>
    <w:rsid w:val="00CE4C18"/>
    <w:rsid w:val="00CE4C9D"/>
    <w:rsid w:val="00CE4CB5"/>
    <w:rsid w:val="00CE4D0D"/>
    <w:rsid w:val="00CE4D38"/>
    <w:rsid w:val="00CE4D6C"/>
    <w:rsid w:val="00CE4D6E"/>
    <w:rsid w:val="00CE4DD0"/>
    <w:rsid w:val="00CE4E01"/>
    <w:rsid w:val="00CE4E8D"/>
    <w:rsid w:val="00CE4F1B"/>
    <w:rsid w:val="00CE4F4C"/>
    <w:rsid w:val="00CE4F80"/>
    <w:rsid w:val="00CE4FC7"/>
    <w:rsid w:val="00CE4FDB"/>
    <w:rsid w:val="00CE4FF4"/>
    <w:rsid w:val="00CE4FF6"/>
    <w:rsid w:val="00CE5003"/>
    <w:rsid w:val="00CE5020"/>
    <w:rsid w:val="00CE505D"/>
    <w:rsid w:val="00CE507F"/>
    <w:rsid w:val="00CE5090"/>
    <w:rsid w:val="00CE51E1"/>
    <w:rsid w:val="00CE5212"/>
    <w:rsid w:val="00CE521F"/>
    <w:rsid w:val="00CE529F"/>
    <w:rsid w:val="00CE52A2"/>
    <w:rsid w:val="00CE52E7"/>
    <w:rsid w:val="00CE52FE"/>
    <w:rsid w:val="00CE5322"/>
    <w:rsid w:val="00CE538B"/>
    <w:rsid w:val="00CE549D"/>
    <w:rsid w:val="00CE54E1"/>
    <w:rsid w:val="00CE5686"/>
    <w:rsid w:val="00CE573C"/>
    <w:rsid w:val="00CE5740"/>
    <w:rsid w:val="00CE585C"/>
    <w:rsid w:val="00CE58CB"/>
    <w:rsid w:val="00CE58D2"/>
    <w:rsid w:val="00CE5901"/>
    <w:rsid w:val="00CE5961"/>
    <w:rsid w:val="00CE5975"/>
    <w:rsid w:val="00CE59B3"/>
    <w:rsid w:val="00CE5A02"/>
    <w:rsid w:val="00CE5A49"/>
    <w:rsid w:val="00CE5A4A"/>
    <w:rsid w:val="00CE5A7A"/>
    <w:rsid w:val="00CE5A94"/>
    <w:rsid w:val="00CE5AC9"/>
    <w:rsid w:val="00CE5B31"/>
    <w:rsid w:val="00CE5B7F"/>
    <w:rsid w:val="00CE5B96"/>
    <w:rsid w:val="00CE5BBD"/>
    <w:rsid w:val="00CE5BD7"/>
    <w:rsid w:val="00CE5C3B"/>
    <w:rsid w:val="00CE5C61"/>
    <w:rsid w:val="00CE5C6A"/>
    <w:rsid w:val="00CE5C6D"/>
    <w:rsid w:val="00CE5D20"/>
    <w:rsid w:val="00CE5D4F"/>
    <w:rsid w:val="00CE5D75"/>
    <w:rsid w:val="00CE5DAF"/>
    <w:rsid w:val="00CE5E26"/>
    <w:rsid w:val="00CE5E39"/>
    <w:rsid w:val="00CE5EE5"/>
    <w:rsid w:val="00CE5FDC"/>
    <w:rsid w:val="00CE5FFF"/>
    <w:rsid w:val="00CE6014"/>
    <w:rsid w:val="00CE6037"/>
    <w:rsid w:val="00CE610C"/>
    <w:rsid w:val="00CE6120"/>
    <w:rsid w:val="00CE61BC"/>
    <w:rsid w:val="00CE6222"/>
    <w:rsid w:val="00CE6227"/>
    <w:rsid w:val="00CE6297"/>
    <w:rsid w:val="00CE62DB"/>
    <w:rsid w:val="00CE633F"/>
    <w:rsid w:val="00CE6350"/>
    <w:rsid w:val="00CE6370"/>
    <w:rsid w:val="00CE6407"/>
    <w:rsid w:val="00CE6511"/>
    <w:rsid w:val="00CE657E"/>
    <w:rsid w:val="00CE662D"/>
    <w:rsid w:val="00CE66E7"/>
    <w:rsid w:val="00CE671F"/>
    <w:rsid w:val="00CE673A"/>
    <w:rsid w:val="00CE6762"/>
    <w:rsid w:val="00CE6787"/>
    <w:rsid w:val="00CE67DA"/>
    <w:rsid w:val="00CE681C"/>
    <w:rsid w:val="00CE68EB"/>
    <w:rsid w:val="00CE6916"/>
    <w:rsid w:val="00CE6968"/>
    <w:rsid w:val="00CE6980"/>
    <w:rsid w:val="00CE69BC"/>
    <w:rsid w:val="00CE69C7"/>
    <w:rsid w:val="00CE6A65"/>
    <w:rsid w:val="00CE6ABB"/>
    <w:rsid w:val="00CE6AF7"/>
    <w:rsid w:val="00CE6B18"/>
    <w:rsid w:val="00CE6B3F"/>
    <w:rsid w:val="00CE6B41"/>
    <w:rsid w:val="00CE6C32"/>
    <w:rsid w:val="00CE6E16"/>
    <w:rsid w:val="00CE6E81"/>
    <w:rsid w:val="00CE6F16"/>
    <w:rsid w:val="00CE6F8B"/>
    <w:rsid w:val="00CE6FFD"/>
    <w:rsid w:val="00CE709B"/>
    <w:rsid w:val="00CE709C"/>
    <w:rsid w:val="00CE70D9"/>
    <w:rsid w:val="00CE729D"/>
    <w:rsid w:val="00CE730B"/>
    <w:rsid w:val="00CE730E"/>
    <w:rsid w:val="00CE7327"/>
    <w:rsid w:val="00CE7357"/>
    <w:rsid w:val="00CE73D2"/>
    <w:rsid w:val="00CE740F"/>
    <w:rsid w:val="00CE7476"/>
    <w:rsid w:val="00CE7618"/>
    <w:rsid w:val="00CE7640"/>
    <w:rsid w:val="00CE7671"/>
    <w:rsid w:val="00CE76F0"/>
    <w:rsid w:val="00CE76FB"/>
    <w:rsid w:val="00CE77F3"/>
    <w:rsid w:val="00CE77F7"/>
    <w:rsid w:val="00CE787B"/>
    <w:rsid w:val="00CE7904"/>
    <w:rsid w:val="00CE790D"/>
    <w:rsid w:val="00CE7919"/>
    <w:rsid w:val="00CE792D"/>
    <w:rsid w:val="00CE79DD"/>
    <w:rsid w:val="00CE79EB"/>
    <w:rsid w:val="00CE7A05"/>
    <w:rsid w:val="00CE7A90"/>
    <w:rsid w:val="00CE7B6E"/>
    <w:rsid w:val="00CE7C41"/>
    <w:rsid w:val="00CE7CB5"/>
    <w:rsid w:val="00CE7CBA"/>
    <w:rsid w:val="00CE7CF7"/>
    <w:rsid w:val="00CE7D03"/>
    <w:rsid w:val="00CE7D69"/>
    <w:rsid w:val="00CE7D7D"/>
    <w:rsid w:val="00CE7DB1"/>
    <w:rsid w:val="00CE7FF5"/>
    <w:rsid w:val="00CF0049"/>
    <w:rsid w:val="00CF0050"/>
    <w:rsid w:val="00CF007E"/>
    <w:rsid w:val="00CF0093"/>
    <w:rsid w:val="00CF00A2"/>
    <w:rsid w:val="00CF00AE"/>
    <w:rsid w:val="00CF010E"/>
    <w:rsid w:val="00CF0141"/>
    <w:rsid w:val="00CF017D"/>
    <w:rsid w:val="00CF020F"/>
    <w:rsid w:val="00CF0226"/>
    <w:rsid w:val="00CF0402"/>
    <w:rsid w:val="00CF0564"/>
    <w:rsid w:val="00CF05F6"/>
    <w:rsid w:val="00CF0669"/>
    <w:rsid w:val="00CF0675"/>
    <w:rsid w:val="00CF067D"/>
    <w:rsid w:val="00CF06D5"/>
    <w:rsid w:val="00CF0777"/>
    <w:rsid w:val="00CF07F2"/>
    <w:rsid w:val="00CF081E"/>
    <w:rsid w:val="00CF0831"/>
    <w:rsid w:val="00CF0889"/>
    <w:rsid w:val="00CF08F2"/>
    <w:rsid w:val="00CF099F"/>
    <w:rsid w:val="00CF09A2"/>
    <w:rsid w:val="00CF09A5"/>
    <w:rsid w:val="00CF09B6"/>
    <w:rsid w:val="00CF0A99"/>
    <w:rsid w:val="00CF0AC7"/>
    <w:rsid w:val="00CF0AE3"/>
    <w:rsid w:val="00CF0B02"/>
    <w:rsid w:val="00CF0B2D"/>
    <w:rsid w:val="00CF0B73"/>
    <w:rsid w:val="00CF0BC1"/>
    <w:rsid w:val="00CF0BDC"/>
    <w:rsid w:val="00CF0C45"/>
    <w:rsid w:val="00CF0CA2"/>
    <w:rsid w:val="00CF0DDE"/>
    <w:rsid w:val="00CF0E1A"/>
    <w:rsid w:val="00CF0E77"/>
    <w:rsid w:val="00CF0E97"/>
    <w:rsid w:val="00CF0EA2"/>
    <w:rsid w:val="00CF0F48"/>
    <w:rsid w:val="00CF0F76"/>
    <w:rsid w:val="00CF0F8D"/>
    <w:rsid w:val="00CF0F96"/>
    <w:rsid w:val="00CF100A"/>
    <w:rsid w:val="00CF1047"/>
    <w:rsid w:val="00CF1111"/>
    <w:rsid w:val="00CF11ED"/>
    <w:rsid w:val="00CF1286"/>
    <w:rsid w:val="00CF1375"/>
    <w:rsid w:val="00CF13C9"/>
    <w:rsid w:val="00CF13F0"/>
    <w:rsid w:val="00CF1458"/>
    <w:rsid w:val="00CF1471"/>
    <w:rsid w:val="00CF14B8"/>
    <w:rsid w:val="00CF14D7"/>
    <w:rsid w:val="00CF14EC"/>
    <w:rsid w:val="00CF14FD"/>
    <w:rsid w:val="00CF1529"/>
    <w:rsid w:val="00CF1549"/>
    <w:rsid w:val="00CF16E0"/>
    <w:rsid w:val="00CF1738"/>
    <w:rsid w:val="00CF1741"/>
    <w:rsid w:val="00CF1756"/>
    <w:rsid w:val="00CF176D"/>
    <w:rsid w:val="00CF1772"/>
    <w:rsid w:val="00CF1806"/>
    <w:rsid w:val="00CF1814"/>
    <w:rsid w:val="00CF1836"/>
    <w:rsid w:val="00CF184B"/>
    <w:rsid w:val="00CF1871"/>
    <w:rsid w:val="00CF1879"/>
    <w:rsid w:val="00CF18A9"/>
    <w:rsid w:val="00CF18AE"/>
    <w:rsid w:val="00CF196B"/>
    <w:rsid w:val="00CF19D5"/>
    <w:rsid w:val="00CF19E5"/>
    <w:rsid w:val="00CF1A79"/>
    <w:rsid w:val="00CF1B46"/>
    <w:rsid w:val="00CF1C3D"/>
    <w:rsid w:val="00CF1C4A"/>
    <w:rsid w:val="00CF1C72"/>
    <w:rsid w:val="00CF1CB1"/>
    <w:rsid w:val="00CF1D1B"/>
    <w:rsid w:val="00CF1D57"/>
    <w:rsid w:val="00CF1D63"/>
    <w:rsid w:val="00CF1E32"/>
    <w:rsid w:val="00CF1F3E"/>
    <w:rsid w:val="00CF1F46"/>
    <w:rsid w:val="00CF1F6C"/>
    <w:rsid w:val="00CF1F6E"/>
    <w:rsid w:val="00CF2015"/>
    <w:rsid w:val="00CF2053"/>
    <w:rsid w:val="00CF2074"/>
    <w:rsid w:val="00CF2119"/>
    <w:rsid w:val="00CF212D"/>
    <w:rsid w:val="00CF2154"/>
    <w:rsid w:val="00CF221B"/>
    <w:rsid w:val="00CF2228"/>
    <w:rsid w:val="00CF222B"/>
    <w:rsid w:val="00CF22C2"/>
    <w:rsid w:val="00CF22CB"/>
    <w:rsid w:val="00CF22E9"/>
    <w:rsid w:val="00CF22EA"/>
    <w:rsid w:val="00CF235E"/>
    <w:rsid w:val="00CF2384"/>
    <w:rsid w:val="00CF239C"/>
    <w:rsid w:val="00CF2437"/>
    <w:rsid w:val="00CF2473"/>
    <w:rsid w:val="00CF2498"/>
    <w:rsid w:val="00CF24A4"/>
    <w:rsid w:val="00CF24AA"/>
    <w:rsid w:val="00CF24D1"/>
    <w:rsid w:val="00CF2517"/>
    <w:rsid w:val="00CF2593"/>
    <w:rsid w:val="00CF25AF"/>
    <w:rsid w:val="00CF25DE"/>
    <w:rsid w:val="00CF2615"/>
    <w:rsid w:val="00CF2617"/>
    <w:rsid w:val="00CF2636"/>
    <w:rsid w:val="00CF26A6"/>
    <w:rsid w:val="00CF270D"/>
    <w:rsid w:val="00CF274F"/>
    <w:rsid w:val="00CF277A"/>
    <w:rsid w:val="00CF27A4"/>
    <w:rsid w:val="00CF28C2"/>
    <w:rsid w:val="00CF28C4"/>
    <w:rsid w:val="00CF2933"/>
    <w:rsid w:val="00CF2948"/>
    <w:rsid w:val="00CF2955"/>
    <w:rsid w:val="00CF2A4F"/>
    <w:rsid w:val="00CF2A82"/>
    <w:rsid w:val="00CF2A90"/>
    <w:rsid w:val="00CF2B39"/>
    <w:rsid w:val="00CF2B9B"/>
    <w:rsid w:val="00CF2BA0"/>
    <w:rsid w:val="00CF2C96"/>
    <w:rsid w:val="00CF2CB0"/>
    <w:rsid w:val="00CF2CBC"/>
    <w:rsid w:val="00CF2D71"/>
    <w:rsid w:val="00CF2D72"/>
    <w:rsid w:val="00CF2E4A"/>
    <w:rsid w:val="00CF2EDA"/>
    <w:rsid w:val="00CF2EF2"/>
    <w:rsid w:val="00CF3082"/>
    <w:rsid w:val="00CF3088"/>
    <w:rsid w:val="00CF3089"/>
    <w:rsid w:val="00CF30C5"/>
    <w:rsid w:val="00CF3140"/>
    <w:rsid w:val="00CF31E8"/>
    <w:rsid w:val="00CF32DD"/>
    <w:rsid w:val="00CF330A"/>
    <w:rsid w:val="00CF3378"/>
    <w:rsid w:val="00CF33D5"/>
    <w:rsid w:val="00CF34A5"/>
    <w:rsid w:val="00CF34C7"/>
    <w:rsid w:val="00CF356D"/>
    <w:rsid w:val="00CF3577"/>
    <w:rsid w:val="00CF3582"/>
    <w:rsid w:val="00CF35D9"/>
    <w:rsid w:val="00CF362F"/>
    <w:rsid w:val="00CF369E"/>
    <w:rsid w:val="00CF36EB"/>
    <w:rsid w:val="00CF3758"/>
    <w:rsid w:val="00CF375F"/>
    <w:rsid w:val="00CF37EE"/>
    <w:rsid w:val="00CF37FE"/>
    <w:rsid w:val="00CF3833"/>
    <w:rsid w:val="00CF3855"/>
    <w:rsid w:val="00CF38BD"/>
    <w:rsid w:val="00CF38FF"/>
    <w:rsid w:val="00CF3932"/>
    <w:rsid w:val="00CF3967"/>
    <w:rsid w:val="00CF3975"/>
    <w:rsid w:val="00CF39B6"/>
    <w:rsid w:val="00CF3A1A"/>
    <w:rsid w:val="00CF3A3B"/>
    <w:rsid w:val="00CF3B2E"/>
    <w:rsid w:val="00CF3B36"/>
    <w:rsid w:val="00CF3B55"/>
    <w:rsid w:val="00CF3B89"/>
    <w:rsid w:val="00CF3BD1"/>
    <w:rsid w:val="00CF3BF4"/>
    <w:rsid w:val="00CF3C05"/>
    <w:rsid w:val="00CF3CA1"/>
    <w:rsid w:val="00CF3CFC"/>
    <w:rsid w:val="00CF3E0D"/>
    <w:rsid w:val="00CF3E25"/>
    <w:rsid w:val="00CF3E64"/>
    <w:rsid w:val="00CF3ECC"/>
    <w:rsid w:val="00CF3F0D"/>
    <w:rsid w:val="00CF3F24"/>
    <w:rsid w:val="00CF3F30"/>
    <w:rsid w:val="00CF3F9B"/>
    <w:rsid w:val="00CF3FE4"/>
    <w:rsid w:val="00CF4012"/>
    <w:rsid w:val="00CF40DC"/>
    <w:rsid w:val="00CF40F8"/>
    <w:rsid w:val="00CF410E"/>
    <w:rsid w:val="00CF4139"/>
    <w:rsid w:val="00CF4169"/>
    <w:rsid w:val="00CF41A6"/>
    <w:rsid w:val="00CF420B"/>
    <w:rsid w:val="00CF4242"/>
    <w:rsid w:val="00CF4274"/>
    <w:rsid w:val="00CF4275"/>
    <w:rsid w:val="00CF427D"/>
    <w:rsid w:val="00CF4370"/>
    <w:rsid w:val="00CF43A9"/>
    <w:rsid w:val="00CF43B7"/>
    <w:rsid w:val="00CF43FC"/>
    <w:rsid w:val="00CF4441"/>
    <w:rsid w:val="00CF4534"/>
    <w:rsid w:val="00CF45BA"/>
    <w:rsid w:val="00CF45D9"/>
    <w:rsid w:val="00CF45ED"/>
    <w:rsid w:val="00CF4699"/>
    <w:rsid w:val="00CF46B4"/>
    <w:rsid w:val="00CF46B5"/>
    <w:rsid w:val="00CF46C5"/>
    <w:rsid w:val="00CF46C6"/>
    <w:rsid w:val="00CF4785"/>
    <w:rsid w:val="00CF47E6"/>
    <w:rsid w:val="00CF481D"/>
    <w:rsid w:val="00CF4825"/>
    <w:rsid w:val="00CF4857"/>
    <w:rsid w:val="00CF4A09"/>
    <w:rsid w:val="00CF4A2A"/>
    <w:rsid w:val="00CF4A95"/>
    <w:rsid w:val="00CF4C33"/>
    <w:rsid w:val="00CF4CA5"/>
    <w:rsid w:val="00CF4DFB"/>
    <w:rsid w:val="00CF4E05"/>
    <w:rsid w:val="00CF4E10"/>
    <w:rsid w:val="00CF4EDA"/>
    <w:rsid w:val="00CF5003"/>
    <w:rsid w:val="00CF505C"/>
    <w:rsid w:val="00CF5098"/>
    <w:rsid w:val="00CF518E"/>
    <w:rsid w:val="00CF5292"/>
    <w:rsid w:val="00CF52D7"/>
    <w:rsid w:val="00CF52D8"/>
    <w:rsid w:val="00CF532D"/>
    <w:rsid w:val="00CF5348"/>
    <w:rsid w:val="00CF53A2"/>
    <w:rsid w:val="00CF54C4"/>
    <w:rsid w:val="00CF552C"/>
    <w:rsid w:val="00CF5530"/>
    <w:rsid w:val="00CF553E"/>
    <w:rsid w:val="00CF55B9"/>
    <w:rsid w:val="00CF55FC"/>
    <w:rsid w:val="00CF5658"/>
    <w:rsid w:val="00CF5669"/>
    <w:rsid w:val="00CF5733"/>
    <w:rsid w:val="00CF573A"/>
    <w:rsid w:val="00CF578A"/>
    <w:rsid w:val="00CF57B8"/>
    <w:rsid w:val="00CF57C9"/>
    <w:rsid w:val="00CF5834"/>
    <w:rsid w:val="00CF5842"/>
    <w:rsid w:val="00CF5854"/>
    <w:rsid w:val="00CF58F5"/>
    <w:rsid w:val="00CF58F6"/>
    <w:rsid w:val="00CF59C6"/>
    <w:rsid w:val="00CF59D7"/>
    <w:rsid w:val="00CF59E1"/>
    <w:rsid w:val="00CF5A14"/>
    <w:rsid w:val="00CF5AA1"/>
    <w:rsid w:val="00CF5B10"/>
    <w:rsid w:val="00CF5BF0"/>
    <w:rsid w:val="00CF5BF1"/>
    <w:rsid w:val="00CF5C0A"/>
    <w:rsid w:val="00CF5C45"/>
    <w:rsid w:val="00CF5C97"/>
    <w:rsid w:val="00CF5C9F"/>
    <w:rsid w:val="00CF5CA0"/>
    <w:rsid w:val="00CF5CD0"/>
    <w:rsid w:val="00CF5CFE"/>
    <w:rsid w:val="00CF5DF6"/>
    <w:rsid w:val="00CF5E17"/>
    <w:rsid w:val="00CF5E4C"/>
    <w:rsid w:val="00CF5E68"/>
    <w:rsid w:val="00CF5E75"/>
    <w:rsid w:val="00CF5ECE"/>
    <w:rsid w:val="00CF5F62"/>
    <w:rsid w:val="00CF6003"/>
    <w:rsid w:val="00CF6013"/>
    <w:rsid w:val="00CF603E"/>
    <w:rsid w:val="00CF6040"/>
    <w:rsid w:val="00CF6088"/>
    <w:rsid w:val="00CF60DF"/>
    <w:rsid w:val="00CF6118"/>
    <w:rsid w:val="00CF61E5"/>
    <w:rsid w:val="00CF61F9"/>
    <w:rsid w:val="00CF622C"/>
    <w:rsid w:val="00CF624C"/>
    <w:rsid w:val="00CF643D"/>
    <w:rsid w:val="00CF6505"/>
    <w:rsid w:val="00CF6516"/>
    <w:rsid w:val="00CF674C"/>
    <w:rsid w:val="00CF67A7"/>
    <w:rsid w:val="00CF67B1"/>
    <w:rsid w:val="00CF6854"/>
    <w:rsid w:val="00CF694D"/>
    <w:rsid w:val="00CF699C"/>
    <w:rsid w:val="00CF69BF"/>
    <w:rsid w:val="00CF6A3F"/>
    <w:rsid w:val="00CF6A59"/>
    <w:rsid w:val="00CF6A66"/>
    <w:rsid w:val="00CF6A96"/>
    <w:rsid w:val="00CF6AC8"/>
    <w:rsid w:val="00CF6ACA"/>
    <w:rsid w:val="00CF6B0E"/>
    <w:rsid w:val="00CF6B1B"/>
    <w:rsid w:val="00CF6B2C"/>
    <w:rsid w:val="00CF6B4B"/>
    <w:rsid w:val="00CF6B53"/>
    <w:rsid w:val="00CF6BFF"/>
    <w:rsid w:val="00CF6C8E"/>
    <w:rsid w:val="00CF6D3D"/>
    <w:rsid w:val="00CF6E31"/>
    <w:rsid w:val="00CF6F10"/>
    <w:rsid w:val="00CF6F13"/>
    <w:rsid w:val="00CF6F24"/>
    <w:rsid w:val="00CF6F5C"/>
    <w:rsid w:val="00CF6FA1"/>
    <w:rsid w:val="00CF6FA5"/>
    <w:rsid w:val="00CF703F"/>
    <w:rsid w:val="00CF70AB"/>
    <w:rsid w:val="00CF70B3"/>
    <w:rsid w:val="00CF70EB"/>
    <w:rsid w:val="00CF71A2"/>
    <w:rsid w:val="00CF73AB"/>
    <w:rsid w:val="00CF744D"/>
    <w:rsid w:val="00CF746D"/>
    <w:rsid w:val="00CF7492"/>
    <w:rsid w:val="00CF74F3"/>
    <w:rsid w:val="00CF74FE"/>
    <w:rsid w:val="00CF756F"/>
    <w:rsid w:val="00CF7586"/>
    <w:rsid w:val="00CF7591"/>
    <w:rsid w:val="00CF7686"/>
    <w:rsid w:val="00CF76D5"/>
    <w:rsid w:val="00CF76EC"/>
    <w:rsid w:val="00CF775A"/>
    <w:rsid w:val="00CF7761"/>
    <w:rsid w:val="00CF77EF"/>
    <w:rsid w:val="00CF781B"/>
    <w:rsid w:val="00CF7869"/>
    <w:rsid w:val="00CF78C5"/>
    <w:rsid w:val="00CF78DA"/>
    <w:rsid w:val="00CF7968"/>
    <w:rsid w:val="00CF79BF"/>
    <w:rsid w:val="00CF79CB"/>
    <w:rsid w:val="00CF7A05"/>
    <w:rsid w:val="00CF7A40"/>
    <w:rsid w:val="00CF7AC3"/>
    <w:rsid w:val="00CF7B30"/>
    <w:rsid w:val="00CF7B67"/>
    <w:rsid w:val="00CF7BC6"/>
    <w:rsid w:val="00CF7C5D"/>
    <w:rsid w:val="00CF7C75"/>
    <w:rsid w:val="00CF7CBF"/>
    <w:rsid w:val="00CF7D3F"/>
    <w:rsid w:val="00CF7E47"/>
    <w:rsid w:val="00CF7E5D"/>
    <w:rsid w:val="00CF7E96"/>
    <w:rsid w:val="00CF7F48"/>
    <w:rsid w:val="00CF7F6D"/>
    <w:rsid w:val="00D0001C"/>
    <w:rsid w:val="00D0011F"/>
    <w:rsid w:val="00D00132"/>
    <w:rsid w:val="00D00183"/>
    <w:rsid w:val="00D00223"/>
    <w:rsid w:val="00D00261"/>
    <w:rsid w:val="00D00267"/>
    <w:rsid w:val="00D002CE"/>
    <w:rsid w:val="00D002D9"/>
    <w:rsid w:val="00D00306"/>
    <w:rsid w:val="00D00358"/>
    <w:rsid w:val="00D003F2"/>
    <w:rsid w:val="00D00437"/>
    <w:rsid w:val="00D00480"/>
    <w:rsid w:val="00D00492"/>
    <w:rsid w:val="00D004A2"/>
    <w:rsid w:val="00D004E8"/>
    <w:rsid w:val="00D004F0"/>
    <w:rsid w:val="00D00504"/>
    <w:rsid w:val="00D005BA"/>
    <w:rsid w:val="00D00624"/>
    <w:rsid w:val="00D0064F"/>
    <w:rsid w:val="00D0065E"/>
    <w:rsid w:val="00D006B4"/>
    <w:rsid w:val="00D008DB"/>
    <w:rsid w:val="00D008FA"/>
    <w:rsid w:val="00D00904"/>
    <w:rsid w:val="00D00948"/>
    <w:rsid w:val="00D009BB"/>
    <w:rsid w:val="00D009CC"/>
    <w:rsid w:val="00D00A15"/>
    <w:rsid w:val="00D00B64"/>
    <w:rsid w:val="00D00B9A"/>
    <w:rsid w:val="00D00BCA"/>
    <w:rsid w:val="00D00BE2"/>
    <w:rsid w:val="00D00BE7"/>
    <w:rsid w:val="00D00C95"/>
    <w:rsid w:val="00D00CF1"/>
    <w:rsid w:val="00D00D8E"/>
    <w:rsid w:val="00D00DD1"/>
    <w:rsid w:val="00D00E69"/>
    <w:rsid w:val="00D00ED2"/>
    <w:rsid w:val="00D00F12"/>
    <w:rsid w:val="00D00F84"/>
    <w:rsid w:val="00D00FAB"/>
    <w:rsid w:val="00D01059"/>
    <w:rsid w:val="00D010D8"/>
    <w:rsid w:val="00D0110B"/>
    <w:rsid w:val="00D01136"/>
    <w:rsid w:val="00D0115D"/>
    <w:rsid w:val="00D01163"/>
    <w:rsid w:val="00D01186"/>
    <w:rsid w:val="00D011D2"/>
    <w:rsid w:val="00D01260"/>
    <w:rsid w:val="00D012B5"/>
    <w:rsid w:val="00D012E8"/>
    <w:rsid w:val="00D012F5"/>
    <w:rsid w:val="00D01318"/>
    <w:rsid w:val="00D01366"/>
    <w:rsid w:val="00D0136D"/>
    <w:rsid w:val="00D013AA"/>
    <w:rsid w:val="00D013AE"/>
    <w:rsid w:val="00D013C7"/>
    <w:rsid w:val="00D013DF"/>
    <w:rsid w:val="00D013E7"/>
    <w:rsid w:val="00D01480"/>
    <w:rsid w:val="00D015BE"/>
    <w:rsid w:val="00D015C2"/>
    <w:rsid w:val="00D0161B"/>
    <w:rsid w:val="00D016AD"/>
    <w:rsid w:val="00D0173C"/>
    <w:rsid w:val="00D017BC"/>
    <w:rsid w:val="00D017C8"/>
    <w:rsid w:val="00D017FE"/>
    <w:rsid w:val="00D01820"/>
    <w:rsid w:val="00D0186A"/>
    <w:rsid w:val="00D0186E"/>
    <w:rsid w:val="00D0189A"/>
    <w:rsid w:val="00D018CA"/>
    <w:rsid w:val="00D01942"/>
    <w:rsid w:val="00D0197D"/>
    <w:rsid w:val="00D01A48"/>
    <w:rsid w:val="00D01A61"/>
    <w:rsid w:val="00D01AB2"/>
    <w:rsid w:val="00D01AB9"/>
    <w:rsid w:val="00D01AF6"/>
    <w:rsid w:val="00D01B0F"/>
    <w:rsid w:val="00D01BCD"/>
    <w:rsid w:val="00D01C32"/>
    <w:rsid w:val="00D01C37"/>
    <w:rsid w:val="00D01D06"/>
    <w:rsid w:val="00D01D31"/>
    <w:rsid w:val="00D01D39"/>
    <w:rsid w:val="00D01D78"/>
    <w:rsid w:val="00D01D85"/>
    <w:rsid w:val="00D01DD9"/>
    <w:rsid w:val="00D01DEF"/>
    <w:rsid w:val="00D01DF1"/>
    <w:rsid w:val="00D01E7C"/>
    <w:rsid w:val="00D01F72"/>
    <w:rsid w:val="00D01F81"/>
    <w:rsid w:val="00D0200D"/>
    <w:rsid w:val="00D02113"/>
    <w:rsid w:val="00D02128"/>
    <w:rsid w:val="00D021E6"/>
    <w:rsid w:val="00D022CB"/>
    <w:rsid w:val="00D022F1"/>
    <w:rsid w:val="00D02322"/>
    <w:rsid w:val="00D02324"/>
    <w:rsid w:val="00D02340"/>
    <w:rsid w:val="00D023A3"/>
    <w:rsid w:val="00D023F7"/>
    <w:rsid w:val="00D02424"/>
    <w:rsid w:val="00D02468"/>
    <w:rsid w:val="00D024B3"/>
    <w:rsid w:val="00D024E9"/>
    <w:rsid w:val="00D024EE"/>
    <w:rsid w:val="00D02654"/>
    <w:rsid w:val="00D0270C"/>
    <w:rsid w:val="00D027C8"/>
    <w:rsid w:val="00D0283A"/>
    <w:rsid w:val="00D0283D"/>
    <w:rsid w:val="00D02869"/>
    <w:rsid w:val="00D0287A"/>
    <w:rsid w:val="00D028B1"/>
    <w:rsid w:val="00D0291C"/>
    <w:rsid w:val="00D02970"/>
    <w:rsid w:val="00D029CF"/>
    <w:rsid w:val="00D02A68"/>
    <w:rsid w:val="00D02AB5"/>
    <w:rsid w:val="00D02B03"/>
    <w:rsid w:val="00D02B16"/>
    <w:rsid w:val="00D02B42"/>
    <w:rsid w:val="00D02C37"/>
    <w:rsid w:val="00D02C52"/>
    <w:rsid w:val="00D02C6F"/>
    <w:rsid w:val="00D02C86"/>
    <w:rsid w:val="00D02D07"/>
    <w:rsid w:val="00D02D28"/>
    <w:rsid w:val="00D02D53"/>
    <w:rsid w:val="00D02EB0"/>
    <w:rsid w:val="00D02EC1"/>
    <w:rsid w:val="00D02F01"/>
    <w:rsid w:val="00D02F2A"/>
    <w:rsid w:val="00D02F4A"/>
    <w:rsid w:val="00D02FF8"/>
    <w:rsid w:val="00D03015"/>
    <w:rsid w:val="00D03047"/>
    <w:rsid w:val="00D03076"/>
    <w:rsid w:val="00D03085"/>
    <w:rsid w:val="00D03088"/>
    <w:rsid w:val="00D030CA"/>
    <w:rsid w:val="00D030E8"/>
    <w:rsid w:val="00D031CC"/>
    <w:rsid w:val="00D033AF"/>
    <w:rsid w:val="00D03478"/>
    <w:rsid w:val="00D0357F"/>
    <w:rsid w:val="00D036DA"/>
    <w:rsid w:val="00D03742"/>
    <w:rsid w:val="00D03754"/>
    <w:rsid w:val="00D037CB"/>
    <w:rsid w:val="00D0384E"/>
    <w:rsid w:val="00D038AE"/>
    <w:rsid w:val="00D038E9"/>
    <w:rsid w:val="00D038EE"/>
    <w:rsid w:val="00D038FB"/>
    <w:rsid w:val="00D038FD"/>
    <w:rsid w:val="00D039FE"/>
    <w:rsid w:val="00D03A0D"/>
    <w:rsid w:val="00D03B5B"/>
    <w:rsid w:val="00D03B84"/>
    <w:rsid w:val="00D03BCC"/>
    <w:rsid w:val="00D03BD0"/>
    <w:rsid w:val="00D03CD3"/>
    <w:rsid w:val="00D03D80"/>
    <w:rsid w:val="00D03DD7"/>
    <w:rsid w:val="00D03E13"/>
    <w:rsid w:val="00D03E1E"/>
    <w:rsid w:val="00D03EC9"/>
    <w:rsid w:val="00D03FA2"/>
    <w:rsid w:val="00D04051"/>
    <w:rsid w:val="00D04178"/>
    <w:rsid w:val="00D041BE"/>
    <w:rsid w:val="00D043A5"/>
    <w:rsid w:val="00D043B9"/>
    <w:rsid w:val="00D04430"/>
    <w:rsid w:val="00D04552"/>
    <w:rsid w:val="00D0455F"/>
    <w:rsid w:val="00D04580"/>
    <w:rsid w:val="00D045A3"/>
    <w:rsid w:val="00D045C4"/>
    <w:rsid w:val="00D046F6"/>
    <w:rsid w:val="00D0470B"/>
    <w:rsid w:val="00D0474B"/>
    <w:rsid w:val="00D0476D"/>
    <w:rsid w:val="00D04774"/>
    <w:rsid w:val="00D0477B"/>
    <w:rsid w:val="00D04805"/>
    <w:rsid w:val="00D04811"/>
    <w:rsid w:val="00D04854"/>
    <w:rsid w:val="00D04889"/>
    <w:rsid w:val="00D0488E"/>
    <w:rsid w:val="00D048C3"/>
    <w:rsid w:val="00D0492D"/>
    <w:rsid w:val="00D0492E"/>
    <w:rsid w:val="00D04975"/>
    <w:rsid w:val="00D049D1"/>
    <w:rsid w:val="00D04A13"/>
    <w:rsid w:val="00D04A3D"/>
    <w:rsid w:val="00D04A7E"/>
    <w:rsid w:val="00D04AA3"/>
    <w:rsid w:val="00D04AF9"/>
    <w:rsid w:val="00D04B4B"/>
    <w:rsid w:val="00D04BB9"/>
    <w:rsid w:val="00D04C6F"/>
    <w:rsid w:val="00D04CC7"/>
    <w:rsid w:val="00D04D5B"/>
    <w:rsid w:val="00D04D5E"/>
    <w:rsid w:val="00D04DE8"/>
    <w:rsid w:val="00D04E08"/>
    <w:rsid w:val="00D04F9F"/>
    <w:rsid w:val="00D05020"/>
    <w:rsid w:val="00D05066"/>
    <w:rsid w:val="00D05070"/>
    <w:rsid w:val="00D05090"/>
    <w:rsid w:val="00D050AB"/>
    <w:rsid w:val="00D050B7"/>
    <w:rsid w:val="00D050BE"/>
    <w:rsid w:val="00D0514D"/>
    <w:rsid w:val="00D05174"/>
    <w:rsid w:val="00D0517D"/>
    <w:rsid w:val="00D0517E"/>
    <w:rsid w:val="00D05184"/>
    <w:rsid w:val="00D05268"/>
    <w:rsid w:val="00D05346"/>
    <w:rsid w:val="00D053B2"/>
    <w:rsid w:val="00D053CA"/>
    <w:rsid w:val="00D05414"/>
    <w:rsid w:val="00D0544C"/>
    <w:rsid w:val="00D054B2"/>
    <w:rsid w:val="00D05508"/>
    <w:rsid w:val="00D05534"/>
    <w:rsid w:val="00D05564"/>
    <w:rsid w:val="00D05588"/>
    <w:rsid w:val="00D055BE"/>
    <w:rsid w:val="00D05612"/>
    <w:rsid w:val="00D05649"/>
    <w:rsid w:val="00D056F8"/>
    <w:rsid w:val="00D05751"/>
    <w:rsid w:val="00D0579C"/>
    <w:rsid w:val="00D057BD"/>
    <w:rsid w:val="00D057E8"/>
    <w:rsid w:val="00D05814"/>
    <w:rsid w:val="00D058EE"/>
    <w:rsid w:val="00D0591D"/>
    <w:rsid w:val="00D05973"/>
    <w:rsid w:val="00D059C7"/>
    <w:rsid w:val="00D059C9"/>
    <w:rsid w:val="00D059FD"/>
    <w:rsid w:val="00D05A18"/>
    <w:rsid w:val="00D05A71"/>
    <w:rsid w:val="00D05A7A"/>
    <w:rsid w:val="00D05B6B"/>
    <w:rsid w:val="00D05C43"/>
    <w:rsid w:val="00D05D2E"/>
    <w:rsid w:val="00D05DA1"/>
    <w:rsid w:val="00D05E23"/>
    <w:rsid w:val="00D05E81"/>
    <w:rsid w:val="00D05EFF"/>
    <w:rsid w:val="00D05F3A"/>
    <w:rsid w:val="00D06046"/>
    <w:rsid w:val="00D06062"/>
    <w:rsid w:val="00D0608D"/>
    <w:rsid w:val="00D060C3"/>
    <w:rsid w:val="00D061B2"/>
    <w:rsid w:val="00D06226"/>
    <w:rsid w:val="00D0622D"/>
    <w:rsid w:val="00D0635C"/>
    <w:rsid w:val="00D0635D"/>
    <w:rsid w:val="00D064E4"/>
    <w:rsid w:val="00D06579"/>
    <w:rsid w:val="00D065B4"/>
    <w:rsid w:val="00D065EE"/>
    <w:rsid w:val="00D0679A"/>
    <w:rsid w:val="00D067FD"/>
    <w:rsid w:val="00D0681A"/>
    <w:rsid w:val="00D0688F"/>
    <w:rsid w:val="00D068A1"/>
    <w:rsid w:val="00D068A2"/>
    <w:rsid w:val="00D06916"/>
    <w:rsid w:val="00D06A1E"/>
    <w:rsid w:val="00D06A72"/>
    <w:rsid w:val="00D06A96"/>
    <w:rsid w:val="00D06ACA"/>
    <w:rsid w:val="00D06ACE"/>
    <w:rsid w:val="00D06B32"/>
    <w:rsid w:val="00D06B80"/>
    <w:rsid w:val="00D06BDA"/>
    <w:rsid w:val="00D06C06"/>
    <w:rsid w:val="00D06C3C"/>
    <w:rsid w:val="00D06C94"/>
    <w:rsid w:val="00D06CFB"/>
    <w:rsid w:val="00D06D44"/>
    <w:rsid w:val="00D06DF4"/>
    <w:rsid w:val="00D06E0B"/>
    <w:rsid w:val="00D06EBE"/>
    <w:rsid w:val="00D06EDB"/>
    <w:rsid w:val="00D06F2A"/>
    <w:rsid w:val="00D06F53"/>
    <w:rsid w:val="00D0710A"/>
    <w:rsid w:val="00D07145"/>
    <w:rsid w:val="00D0719C"/>
    <w:rsid w:val="00D07224"/>
    <w:rsid w:val="00D07226"/>
    <w:rsid w:val="00D07244"/>
    <w:rsid w:val="00D07279"/>
    <w:rsid w:val="00D073C5"/>
    <w:rsid w:val="00D0745E"/>
    <w:rsid w:val="00D07520"/>
    <w:rsid w:val="00D07726"/>
    <w:rsid w:val="00D07738"/>
    <w:rsid w:val="00D07757"/>
    <w:rsid w:val="00D077B7"/>
    <w:rsid w:val="00D07882"/>
    <w:rsid w:val="00D0792B"/>
    <w:rsid w:val="00D07939"/>
    <w:rsid w:val="00D07986"/>
    <w:rsid w:val="00D079BA"/>
    <w:rsid w:val="00D079F7"/>
    <w:rsid w:val="00D07A0B"/>
    <w:rsid w:val="00D07A28"/>
    <w:rsid w:val="00D07B43"/>
    <w:rsid w:val="00D07DCB"/>
    <w:rsid w:val="00D07DE5"/>
    <w:rsid w:val="00D07DF7"/>
    <w:rsid w:val="00D07E57"/>
    <w:rsid w:val="00D07E5B"/>
    <w:rsid w:val="00D07E8B"/>
    <w:rsid w:val="00D07EAB"/>
    <w:rsid w:val="00D07F95"/>
    <w:rsid w:val="00D10062"/>
    <w:rsid w:val="00D1007A"/>
    <w:rsid w:val="00D1007B"/>
    <w:rsid w:val="00D100EB"/>
    <w:rsid w:val="00D10123"/>
    <w:rsid w:val="00D10124"/>
    <w:rsid w:val="00D10169"/>
    <w:rsid w:val="00D101AA"/>
    <w:rsid w:val="00D101B2"/>
    <w:rsid w:val="00D101B5"/>
    <w:rsid w:val="00D101E4"/>
    <w:rsid w:val="00D101F7"/>
    <w:rsid w:val="00D102E6"/>
    <w:rsid w:val="00D103D7"/>
    <w:rsid w:val="00D103EB"/>
    <w:rsid w:val="00D10469"/>
    <w:rsid w:val="00D10532"/>
    <w:rsid w:val="00D1055A"/>
    <w:rsid w:val="00D1059C"/>
    <w:rsid w:val="00D105ED"/>
    <w:rsid w:val="00D10682"/>
    <w:rsid w:val="00D106A3"/>
    <w:rsid w:val="00D106E1"/>
    <w:rsid w:val="00D10704"/>
    <w:rsid w:val="00D107F8"/>
    <w:rsid w:val="00D107FB"/>
    <w:rsid w:val="00D1083C"/>
    <w:rsid w:val="00D108BF"/>
    <w:rsid w:val="00D10969"/>
    <w:rsid w:val="00D1098C"/>
    <w:rsid w:val="00D10A07"/>
    <w:rsid w:val="00D10A30"/>
    <w:rsid w:val="00D10A5E"/>
    <w:rsid w:val="00D10A8A"/>
    <w:rsid w:val="00D10A9D"/>
    <w:rsid w:val="00D10ABE"/>
    <w:rsid w:val="00D10AFA"/>
    <w:rsid w:val="00D10B26"/>
    <w:rsid w:val="00D10B2C"/>
    <w:rsid w:val="00D10BF3"/>
    <w:rsid w:val="00D10C2B"/>
    <w:rsid w:val="00D10C95"/>
    <w:rsid w:val="00D10C97"/>
    <w:rsid w:val="00D10CC5"/>
    <w:rsid w:val="00D10CED"/>
    <w:rsid w:val="00D10D13"/>
    <w:rsid w:val="00D10D52"/>
    <w:rsid w:val="00D10DF4"/>
    <w:rsid w:val="00D10E63"/>
    <w:rsid w:val="00D10E82"/>
    <w:rsid w:val="00D10FDB"/>
    <w:rsid w:val="00D11017"/>
    <w:rsid w:val="00D1104D"/>
    <w:rsid w:val="00D11052"/>
    <w:rsid w:val="00D11241"/>
    <w:rsid w:val="00D112C2"/>
    <w:rsid w:val="00D113BA"/>
    <w:rsid w:val="00D113E8"/>
    <w:rsid w:val="00D1141A"/>
    <w:rsid w:val="00D1145F"/>
    <w:rsid w:val="00D11464"/>
    <w:rsid w:val="00D114B7"/>
    <w:rsid w:val="00D114D2"/>
    <w:rsid w:val="00D114E5"/>
    <w:rsid w:val="00D11599"/>
    <w:rsid w:val="00D115B5"/>
    <w:rsid w:val="00D115CC"/>
    <w:rsid w:val="00D115CE"/>
    <w:rsid w:val="00D116D5"/>
    <w:rsid w:val="00D11766"/>
    <w:rsid w:val="00D1180A"/>
    <w:rsid w:val="00D1184F"/>
    <w:rsid w:val="00D1186C"/>
    <w:rsid w:val="00D11966"/>
    <w:rsid w:val="00D119A0"/>
    <w:rsid w:val="00D11A1E"/>
    <w:rsid w:val="00D11A25"/>
    <w:rsid w:val="00D11A9E"/>
    <w:rsid w:val="00D11B09"/>
    <w:rsid w:val="00D11B85"/>
    <w:rsid w:val="00D11B92"/>
    <w:rsid w:val="00D11BD0"/>
    <w:rsid w:val="00D11C21"/>
    <w:rsid w:val="00D11DC3"/>
    <w:rsid w:val="00D11DCF"/>
    <w:rsid w:val="00D11FAF"/>
    <w:rsid w:val="00D12042"/>
    <w:rsid w:val="00D12127"/>
    <w:rsid w:val="00D12134"/>
    <w:rsid w:val="00D121FC"/>
    <w:rsid w:val="00D12205"/>
    <w:rsid w:val="00D12221"/>
    <w:rsid w:val="00D12251"/>
    <w:rsid w:val="00D12265"/>
    <w:rsid w:val="00D12291"/>
    <w:rsid w:val="00D1245E"/>
    <w:rsid w:val="00D12521"/>
    <w:rsid w:val="00D12570"/>
    <w:rsid w:val="00D125BC"/>
    <w:rsid w:val="00D126DF"/>
    <w:rsid w:val="00D126E0"/>
    <w:rsid w:val="00D1272C"/>
    <w:rsid w:val="00D1278E"/>
    <w:rsid w:val="00D127DE"/>
    <w:rsid w:val="00D12846"/>
    <w:rsid w:val="00D1287A"/>
    <w:rsid w:val="00D1288D"/>
    <w:rsid w:val="00D128B3"/>
    <w:rsid w:val="00D128D7"/>
    <w:rsid w:val="00D129B4"/>
    <w:rsid w:val="00D12A90"/>
    <w:rsid w:val="00D12BD6"/>
    <w:rsid w:val="00D12CA1"/>
    <w:rsid w:val="00D12CA2"/>
    <w:rsid w:val="00D12CA7"/>
    <w:rsid w:val="00D12CD9"/>
    <w:rsid w:val="00D12D0F"/>
    <w:rsid w:val="00D12D48"/>
    <w:rsid w:val="00D12E70"/>
    <w:rsid w:val="00D12F04"/>
    <w:rsid w:val="00D12F25"/>
    <w:rsid w:val="00D12F4C"/>
    <w:rsid w:val="00D12F4D"/>
    <w:rsid w:val="00D12FAD"/>
    <w:rsid w:val="00D13019"/>
    <w:rsid w:val="00D1302F"/>
    <w:rsid w:val="00D1306A"/>
    <w:rsid w:val="00D1307F"/>
    <w:rsid w:val="00D13095"/>
    <w:rsid w:val="00D130E1"/>
    <w:rsid w:val="00D13102"/>
    <w:rsid w:val="00D13177"/>
    <w:rsid w:val="00D13191"/>
    <w:rsid w:val="00D131D4"/>
    <w:rsid w:val="00D131E6"/>
    <w:rsid w:val="00D132EB"/>
    <w:rsid w:val="00D1335F"/>
    <w:rsid w:val="00D133EF"/>
    <w:rsid w:val="00D13447"/>
    <w:rsid w:val="00D1347F"/>
    <w:rsid w:val="00D13484"/>
    <w:rsid w:val="00D13534"/>
    <w:rsid w:val="00D135BC"/>
    <w:rsid w:val="00D135D6"/>
    <w:rsid w:val="00D13652"/>
    <w:rsid w:val="00D1369A"/>
    <w:rsid w:val="00D136BD"/>
    <w:rsid w:val="00D13770"/>
    <w:rsid w:val="00D13797"/>
    <w:rsid w:val="00D1382E"/>
    <w:rsid w:val="00D13887"/>
    <w:rsid w:val="00D1389A"/>
    <w:rsid w:val="00D13969"/>
    <w:rsid w:val="00D139B3"/>
    <w:rsid w:val="00D13A58"/>
    <w:rsid w:val="00D13AC3"/>
    <w:rsid w:val="00D13AE9"/>
    <w:rsid w:val="00D13B44"/>
    <w:rsid w:val="00D13B6A"/>
    <w:rsid w:val="00D13BBC"/>
    <w:rsid w:val="00D13BF4"/>
    <w:rsid w:val="00D13D3F"/>
    <w:rsid w:val="00D13DD0"/>
    <w:rsid w:val="00D13E0A"/>
    <w:rsid w:val="00D13E61"/>
    <w:rsid w:val="00D13EC2"/>
    <w:rsid w:val="00D13F49"/>
    <w:rsid w:val="00D13FB8"/>
    <w:rsid w:val="00D140CB"/>
    <w:rsid w:val="00D1411C"/>
    <w:rsid w:val="00D141E5"/>
    <w:rsid w:val="00D14243"/>
    <w:rsid w:val="00D1425B"/>
    <w:rsid w:val="00D143B6"/>
    <w:rsid w:val="00D143E5"/>
    <w:rsid w:val="00D143EB"/>
    <w:rsid w:val="00D14470"/>
    <w:rsid w:val="00D144B9"/>
    <w:rsid w:val="00D145AD"/>
    <w:rsid w:val="00D145F5"/>
    <w:rsid w:val="00D1463E"/>
    <w:rsid w:val="00D1476C"/>
    <w:rsid w:val="00D1483B"/>
    <w:rsid w:val="00D14841"/>
    <w:rsid w:val="00D1484E"/>
    <w:rsid w:val="00D14884"/>
    <w:rsid w:val="00D148B4"/>
    <w:rsid w:val="00D148BB"/>
    <w:rsid w:val="00D148F5"/>
    <w:rsid w:val="00D14997"/>
    <w:rsid w:val="00D149BB"/>
    <w:rsid w:val="00D14A2B"/>
    <w:rsid w:val="00D14AC8"/>
    <w:rsid w:val="00D14AF0"/>
    <w:rsid w:val="00D14B10"/>
    <w:rsid w:val="00D14B40"/>
    <w:rsid w:val="00D14B83"/>
    <w:rsid w:val="00D14BE1"/>
    <w:rsid w:val="00D14BFB"/>
    <w:rsid w:val="00D14C8B"/>
    <w:rsid w:val="00D14CBC"/>
    <w:rsid w:val="00D14CC0"/>
    <w:rsid w:val="00D14DAD"/>
    <w:rsid w:val="00D14DC1"/>
    <w:rsid w:val="00D14DED"/>
    <w:rsid w:val="00D14E88"/>
    <w:rsid w:val="00D14F0C"/>
    <w:rsid w:val="00D14F5D"/>
    <w:rsid w:val="00D14F83"/>
    <w:rsid w:val="00D15088"/>
    <w:rsid w:val="00D150F3"/>
    <w:rsid w:val="00D1513A"/>
    <w:rsid w:val="00D15164"/>
    <w:rsid w:val="00D1516A"/>
    <w:rsid w:val="00D1521E"/>
    <w:rsid w:val="00D15233"/>
    <w:rsid w:val="00D152CA"/>
    <w:rsid w:val="00D15302"/>
    <w:rsid w:val="00D1532E"/>
    <w:rsid w:val="00D15351"/>
    <w:rsid w:val="00D15354"/>
    <w:rsid w:val="00D15390"/>
    <w:rsid w:val="00D1548F"/>
    <w:rsid w:val="00D1556E"/>
    <w:rsid w:val="00D155BE"/>
    <w:rsid w:val="00D15762"/>
    <w:rsid w:val="00D1577B"/>
    <w:rsid w:val="00D1579D"/>
    <w:rsid w:val="00D157BA"/>
    <w:rsid w:val="00D157CB"/>
    <w:rsid w:val="00D1589E"/>
    <w:rsid w:val="00D15909"/>
    <w:rsid w:val="00D15936"/>
    <w:rsid w:val="00D1596D"/>
    <w:rsid w:val="00D15AA5"/>
    <w:rsid w:val="00D15B52"/>
    <w:rsid w:val="00D15B78"/>
    <w:rsid w:val="00D15C45"/>
    <w:rsid w:val="00D15C6D"/>
    <w:rsid w:val="00D15C8E"/>
    <w:rsid w:val="00D15CD7"/>
    <w:rsid w:val="00D15CE1"/>
    <w:rsid w:val="00D15D4B"/>
    <w:rsid w:val="00D15DA4"/>
    <w:rsid w:val="00D15F0F"/>
    <w:rsid w:val="00D15F5E"/>
    <w:rsid w:val="00D15F6C"/>
    <w:rsid w:val="00D15F76"/>
    <w:rsid w:val="00D15FB9"/>
    <w:rsid w:val="00D15FEF"/>
    <w:rsid w:val="00D16049"/>
    <w:rsid w:val="00D1606D"/>
    <w:rsid w:val="00D16089"/>
    <w:rsid w:val="00D160DB"/>
    <w:rsid w:val="00D160E0"/>
    <w:rsid w:val="00D16191"/>
    <w:rsid w:val="00D161B4"/>
    <w:rsid w:val="00D16204"/>
    <w:rsid w:val="00D16236"/>
    <w:rsid w:val="00D1627C"/>
    <w:rsid w:val="00D16281"/>
    <w:rsid w:val="00D162BE"/>
    <w:rsid w:val="00D162DD"/>
    <w:rsid w:val="00D162DE"/>
    <w:rsid w:val="00D163A5"/>
    <w:rsid w:val="00D163CD"/>
    <w:rsid w:val="00D164CE"/>
    <w:rsid w:val="00D16563"/>
    <w:rsid w:val="00D1656A"/>
    <w:rsid w:val="00D16583"/>
    <w:rsid w:val="00D166F2"/>
    <w:rsid w:val="00D16730"/>
    <w:rsid w:val="00D1677A"/>
    <w:rsid w:val="00D167CF"/>
    <w:rsid w:val="00D1682A"/>
    <w:rsid w:val="00D16838"/>
    <w:rsid w:val="00D16859"/>
    <w:rsid w:val="00D168A0"/>
    <w:rsid w:val="00D16901"/>
    <w:rsid w:val="00D16902"/>
    <w:rsid w:val="00D1690D"/>
    <w:rsid w:val="00D1690E"/>
    <w:rsid w:val="00D16920"/>
    <w:rsid w:val="00D16926"/>
    <w:rsid w:val="00D16942"/>
    <w:rsid w:val="00D16A13"/>
    <w:rsid w:val="00D16B23"/>
    <w:rsid w:val="00D16B8F"/>
    <w:rsid w:val="00D16BA5"/>
    <w:rsid w:val="00D16C54"/>
    <w:rsid w:val="00D16C9D"/>
    <w:rsid w:val="00D16CFE"/>
    <w:rsid w:val="00D16D2F"/>
    <w:rsid w:val="00D16DF3"/>
    <w:rsid w:val="00D16F36"/>
    <w:rsid w:val="00D16FC3"/>
    <w:rsid w:val="00D1701A"/>
    <w:rsid w:val="00D1706C"/>
    <w:rsid w:val="00D170C4"/>
    <w:rsid w:val="00D1711F"/>
    <w:rsid w:val="00D17124"/>
    <w:rsid w:val="00D171B7"/>
    <w:rsid w:val="00D171BB"/>
    <w:rsid w:val="00D171F4"/>
    <w:rsid w:val="00D1720A"/>
    <w:rsid w:val="00D172AA"/>
    <w:rsid w:val="00D172FA"/>
    <w:rsid w:val="00D1734C"/>
    <w:rsid w:val="00D17430"/>
    <w:rsid w:val="00D17469"/>
    <w:rsid w:val="00D174F2"/>
    <w:rsid w:val="00D17532"/>
    <w:rsid w:val="00D17586"/>
    <w:rsid w:val="00D17588"/>
    <w:rsid w:val="00D17595"/>
    <w:rsid w:val="00D175BB"/>
    <w:rsid w:val="00D175C5"/>
    <w:rsid w:val="00D1760C"/>
    <w:rsid w:val="00D17677"/>
    <w:rsid w:val="00D1767B"/>
    <w:rsid w:val="00D17749"/>
    <w:rsid w:val="00D17832"/>
    <w:rsid w:val="00D17845"/>
    <w:rsid w:val="00D1784B"/>
    <w:rsid w:val="00D178A5"/>
    <w:rsid w:val="00D17AC3"/>
    <w:rsid w:val="00D17AFC"/>
    <w:rsid w:val="00D17B71"/>
    <w:rsid w:val="00D17C04"/>
    <w:rsid w:val="00D17C67"/>
    <w:rsid w:val="00D17CBF"/>
    <w:rsid w:val="00D17D2C"/>
    <w:rsid w:val="00D17D5B"/>
    <w:rsid w:val="00D17D78"/>
    <w:rsid w:val="00D17DC8"/>
    <w:rsid w:val="00D17E31"/>
    <w:rsid w:val="00D17E50"/>
    <w:rsid w:val="00D17E7D"/>
    <w:rsid w:val="00D17E83"/>
    <w:rsid w:val="00D17F6D"/>
    <w:rsid w:val="00D2001D"/>
    <w:rsid w:val="00D200BC"/>
    <w:rsid w:val="00D20147"/>
    <w:rsid w:val="00D20192"/>
    <w:rsid w:val="00D2019C"/>
    <w:rsid w:val="00D201FB"/>
    <w:rsid w:val="00D20244"/>
    <w:rsid w:val="00D2026D"/>
    <w:rsid w:val="00D202F9"/>
    <w:rsid w:val="00D20378"/>
    <w:rsid w:val="00D203F3"/>
    <w:rsid w:val="00D20552"/>
    <w:rsid w:val="00D205D0"/>
    <w:rsid w:val="00D2068D"/>
    <w:rsid w:val="00D206C4"/>
    <w:rsid w:val="00D20747"/>
    <w:rsid w:val="00D2076D"/>
    <w:rsid w:val="00D20854"/>
    <w:rsid w:val="00D20A04"/>
    <w:rsid w:val="00D20A77"/>
    <w:rsid w:val="00D20B6B"/>
    <w:rsid w:val="00D20BD6"/>
    <w:rsid w:val="00D20BE4"/>
    <w:rsid w:val="00D20D42"/>
    <w:rsid w:val="00D20DC6"/>
    <w:rsid w:val="00D20DE9"/>
    <w:rsid w:val="00D20E19"/>
    <w:rsid w:val="00D20EAE"/>
    <w:rsid w:val="00D20F4C"/>
    <w:rsid w:val="00D20F51"/>
    <w:rsid w:val="00D20F53"/>
    <w:rsid w:val="00D20FDA"/>
    <w:rsid w:val="00D2100E"/>
    <w:rsid w:val="00D2114F"/>
    <w:rsid w:val="00D211AD"/>
    <w:rsid w:val="00D211F1"/>
    <w:rsid w:val="00D2120B"/>
    <w:rsid w:val="00D21217"/>
    <w:rsid w:val="00D21221"/>
    <w:rsid w:val="00D21222"/>
    <w:rsid w:val="00D21249"/>
    <w:rsid w:val="00D2133B"/>
    <w:rsid w:val="00D21375"/>
    <w:rsid w:val="00D21379"/>
    <w:rsid w:val="00D213E6"/>
    <w:rsid w:val="00D2146C"/>
    <w:rsid w:val="00D214D8"/>
    <w:rsid w:val="00D21526"/>
    <w:rsid w:val="00D21542"/>
    <w:rsid w:val="00D2154E"/>
    <w:rsid w:val="00D21603"/>
    <w:rsid w:val="00D21647"/>
    <w:rsid w:val="00D21658"/>
    <w:rsid w:val="00D216D6"/>
    <w:rsid w:val="00D2176E"/>
    <w:rsid w:val="00D2177B"/>
    <w:rsid w:val="00D217A1"/>
    <w:rsid w:val="00D217B3"/>
    <w:rsid w:val="00D21835"/>
    <w:rsid w:val="00D218F1"/>
    <w:rsid w:val="00D21A43"/>
    <w:rsid w:val="00D21AA7"/>
    <w:rsid w:val="00D21B20"/>
    <w:rsid w:val="00D21BE0"/>
    <w:rsid w:val="00D21BFB"/>
    <w:rsid w:val="00D21C45"/>
    <w:rsid w:val="00D21CCF"/>
    <w:rsid w:val="00D21CE4"/>
    <w:rsid w:val="00D21D82"/>
    <w:rsid w:val="00D21D8A"/>
    <w:rsid w:val="00D21E06"/>
    <w:rsid w:val="00D21E34"/>
    <w:rsid w:val="00D21ECB"/>
    <w:rsid w:val="00D21F3B"/>
    <w:rsid w:val="00D21F4A"/>
    <w:rsid w:val="00D21F93"/>
    <w:rsid w:val="00D21FBC"/>
    <w:rsid w:val="00D21FDF"/>
    <w:rsid w:val="00D21FE3"/>
    <w:rsid w:val="00D2207D"/>
    <w:rsid w:val="00D2208A"/>
    <w:rsid w:val="00D2210F"/>
    <w:rsid w:val="00D2213A"/>
    <w:rsid w:val="00D2214A"/>
    <w:rsid w:val="00D22159"/>
    <w:rsid w:val="00D22175"/>
    <w:rsid w:val="00D2217B"/>
    <w:rsid w:val="00D2219C"/>
    <w:rsid w:val="00D22233"/>
    <w:rsid w:val="00D22234"/>
    <w:rsid w:val="00D2224E"/>
    <w:rsid w:val="00D2229C"/>
    <w:rsid w:val="00D222B2"/>
    <w:rsid w:val="00D222B3"/>
    <w:rsid w:val="00D2235B"/>
    <w:rsid w:val="00D22402"/>
    <w:rsid w:val="00D22416"/>
    <w:rsid w:val="00D22419"/>
    <w:rsid w:val="00D22420"/>
    <w:rsid w:val="00D22422"/>
    <w:rsid w:val="00D224CB"/>
    <w:rsid w:val="00D22507"/>
    <w:rsid w:val="00D2250B"/>
    <w:rsid w:val="00D225F4"/>
    <w:rsid w:val="00D2262E"/>
    <w:rsid w:val="00D22699"/>
    <w:rsid w:val="00D22747"/>
    <w:rsid w:val="00D227CB"/>
    <w:rsid w:val="00D227E5"/>
    <w:rsid w:val="00D228A8"/>
    <w:rsid w:val="00D2293D"/>
    <w:rsid w:val="00D2295C"/>
    <w:rsid w:val="00D22960"/>
    <w:rsid w:val="00D229EB"/>
    <w:rsid w:val="00D22A42"/>
    <w:rsid w:val="00D22AA9"/>
    <w:rsid w:val="00D22ABE"/>
    <w:rsid w:val="00D22AE0"/>
    <w:rsid w:val="00D22B2F"/>
    <w:rsid w:val="00D22B53"/>
    <w:rsid w:val="00D22BBE"/>
    <w:rsid w:val="00D22BEA"/>
    <w:rsid w:val="00D22BF0"/>
    <w:rsid w:val="00D22C00"/>
    <w:rsid w:val="00D22C0E"/>
    <w:rsid w:val="00D22C15"/>
    <w:rsid w:val="00D22C20"/>
    <w:rsid w:val="00D22C5D"/>
    <w:rsid w:val="00D22C65"/>
    <w:rsid w:val="00D22D0C"/>
    <w:rsid w:val="00D22E1C"/>
    <w:rsid w:val="00D22E29"/>
    <w:rsid w:val="00D22E4C"/>
    <w:rsid w:val="00D22E6B"/>
    <w:rsid w:val="00D22EEC"/>
    <w:rsid w:val="00D22F06"/>
    <w:rsid w:val="00D22F38"/>
    <w:rsid w:val="00D23051"/>
    <w:rsid w:val="00D2306D"/>
    <w:rsid w:val="00D230B3"/>
    <w:rsid w:val="00D23118"/>
    <w:rsid w:val="00D2317E"/>
    <w:rsid w:val="00D23183"/>
    <w:rsid w:val="00D231A3"/>
    <w:rsid w:val="00D231B2"/>
    <w:rsid w:val="00D231B3"/>
    <w:rsid w:val="00D2326E"/>
    <w:rsid w:val="00D232B7"/>
    <w:rsid w:val="00D233AA"/>
    <w:rsid w:val="00D233BC"/>
    <w:rsid w:val="00D23423"/>
    <w:rsid w:val="00D2349F"/>
    <w:rsid w:val="00D234B9"/>
    <w:rsid w:val="00D23502"/>
    <w:rsid w:val="00D2352E"/>
    <w:rsid w:val="00D23554"/>
    <w:rsid w:val="00D2358C"/>
    <w:rsid w:val="00D235DF"/>
    <w:rsid w:val="00D235F2"/>
    <w:rsid w:val="00D23728"/>
    <w:rsid w:val="00D237F4"/>
    <w:rsid w:val="00D237F8"/>
    <w:rsid w:val="00D238C5"/>
    <w:rsid w:val="00D2395B"/>
    <w:rsid w:val="00D23997"/>
    <w:rsid w:val="00D239A2"/>
    <w:rsid w:val="00D239D6"/>
    <w:rsid w:val="00D23A00"/>
    <w:rsid w:val="00D23A20"/>
    <w:rsid w:val="00D23A21"/>
    <w:rsid w:val="00D23A26"/>
    <w:rsid w:val="00D23AB0"/>
    <w:rsid w:val="00D23AC4"/>
    <w:rsid w:val="00D23ACC"/>
    <w:rsid w:val="00D23B72"/>
    <w:rsid w:val="00D23B79"/>
    <w:rsid w:val="00D23B8F"/>
    <w:rsid w:val="00D23BA0"/>
    <w:rsid w:val="00D23BD5"/>
    <w:rsid w:val="00D23BE4"/>
    <w:rsid w:val="00D23C73"/>
    <w:rsid w:val="00D23C92"/>
    <w:rsid w:val="00D23D08"/>
    <w:rsid w:val="00D23D74"/>
    <w:rsid w:val="00D23DC9"/>
    <w:rsid w:val="00D23E71"/>
    <w:rsid w:val="00D23E8D"/>
    <w:rsid w:val="00D23EB4"/>
    <w:rsid w:val="00D23EC4"/>
    <w:rsid w:val="00D23EE8"/>
    <w:rsid w:val="00D23F0E"/>
    <w:rsid w:val="00D23F5E"/>
    <w:rsid w:val="00D23FD8"/>
    <w:rsid w:val="00D24069"/>
    <w:rsid w:val="00D24084"/>
    <w:rsid w:val="00D24096"/>
    <w:rsid w:val="00D240D5"/>
    <w:rsid w:val="00D24100"/>
    <w:rsid w:val="00D24119"/>
    <w:rsid w:val="00D24155"/>
    <w:rsid w:val="00D242AD"/>
    <w:rsid w:val="00D2435F"/>
    <w:rsid w:val="00D24366"/>
    <w:rsid w:val="00D24382"/>
    <w:rsid w:val="00D243C3"/>
    <w:rsid w:val="00D243CD"/>
    <w:rsid w:val="00D244A3"/>
    <w:rsid w:val="00D244D9"/>
    <w:rsid w:val="00D24530"/>
    <w:rsid w:val="00D24551"/>
    <w:rsid w:val="00D245D3"/>
    <w:rsid w:val="00D24674"/>
    <w:rsid w:val="00D24727"/>
    <w:rsid w:val="00D247CC"/>
    <w:rsid w:val="00D247E7"/>
    <w:rsid w:val="00D248F4"/>
    <w:rsid w:val="00D24931"/>
    <w:rsid w:val="00D2498E"/>
    <w:rsid w:val="00D249A6"/>
    <w:rsid w:val="00D24A1A"/>
    <w:rsid w:val="00D24AB5"/>
    <w:rsid w:val="00D24AB6"/>
    <w:rsid w:val="00D24AC2"/>
    <w:rsid w:val="00D24AD8"/>
    <w:rsid w:val="00D24B9D"/>
    <w:rsid w:val="00D24B9F"/>
    <w:rsid w:val="00D24BD0"/>
    <w:rsid w:val="00D24C3A"/>
    <w:rsid w:val="00D24C4E"/>
    <w:rsid w:val="00D24C79"/>
    <w:rsid w:val="00D24CAD"/>
    <w:rsid w:val="00D24E33"/>
    <w:rsid w:val="00D24E5E"/>
    <w:rsid w:val="00D24E86"/>
    <w:rsid w:val="00D24E8A"/>
    <w:rsid w:val="00D24F4E"/>
    <w:rsid w:val="00D24F78"/>
    <w:rsid w:val="00D2507D"/>
    <w:rsid w:val="00D250E6"/>
    <w:rsid w:val="00D25111"/>
    <w:rsid w:val="00D2519F"/>
    <w:rsid w:val="00D25245"/>
    <w:rsid w:val="00D25283"/>
    <w:rsid w:val="00D2534D"/>
    <w:rsid w:val="00D253E1"/>
    <w:rsid w:val="00D25442"/>
    <w:rsid w:val="00D25451"/>
    <w:rsid w:val="00D254D4"/>
    <w:rsid w:val="00D254E7"/>
    <w:rsid w:val="00D2551D"/>
    <w:rsid w:val="00D25529"/>
    <w:rsid w:val="00D2552A"/>
    <w:rsid w:val="00D2555F"/>
    <w:rsid w:val="00D25563"/>
    <w:rsid w:val="00D25578"/>
    <w:rsid w:val="00D2557D"/>
    <w:rsid w:val="00D25585"/>
    <w:rsid w:val="00D25591"/>
    <w:rsid w:val="00D2559B"/>
    <w:rsid w:val="00D25613"/>
    <w:rsid w:val="00D25672"/>
    <w:rsid w:val="00D25779"/>
    <w:rsid w:val="00D257C7"/>
    <w:rsid w:val="00D25803"/>
    <w:rsid w:val="00D25932"/>
    <w:rsid w:val="00D259FA"/>
    <w:rsid w:val="00D25A94"/>
    <w:rsid w:val="00D25A97"/>
    <w:rsid w:val="00D25AB8"/>
    <w:rsid w:val="00D25B38"/>
    <w:rsid w:val="00D25BD9"/>
    <w:rsid w:val="00D25BE2"/>
    <w:rsid w:val="00D25C58"/>
    <w:rsid w:val="00D25C5F"/>
    <w:rsid w:val="00D25CDA"/>
    <w:rsid w:val="00D25CEA"/>
    <w:rsid w:val="00D25D8A"/>
    <w:rsid w:val="00D25DCF"/>
    <w:rsid w:val="00D25E02"/>
    <w:rsid w:val="00D25E03"/>
    <w:rsid w:val="00D25E15"/>
    <w:rsid w:val="00D25E39"/>
    <w:rsid w:val="00D25EFD"/>
    <w:rsid w:val="00D25F47"/>
    <w:rsid w:val="00D26088"/>
    <w:rsid w:val="00D260A6"/>
    <w:rsid w:val="00D260D5"/>
    <w:rsid w:val="00D261D6"/>
    <w:rsid w:val="00D2624A"/>
    <w:rsid w:val="00D2624D"/>
    <w:rsid w:val="00D2628C"/>
    <w:rsid w:val="00D262BB"/>
    <w:rsid w:val="00D262C9"/>
    <w:rsid w:val="00D2636D"/>
    <w:rsid w:val="00D26462"/>
    <w:rsid w:val="00D2648B"/>
    <w:rsid w:val="00D26503"/>
    <w:rsid w:val="00D26509"/>
    <w:rsid w:val="00D26676"/>
    <w:rsid w:val="00D266E3"/>
    <w:rsid w:val="00D26909"/>
    <w:rsid w:val="00D269C1"/>
    <w:rsid w:val="00D269D0"/>
    <w:rsid w:val="00D269DC"/>
    <w:rsid w:val="00D26AC4"/>
    <w:rsid w:val="00D26B6C"/>
    <w:rsid w:val="00D26BB8"/>
    <w:rsid w:val="00D26C0D"/>
    <w:rsid w:val="00D26CF7"/>
    <w:rsid w:val="00D26D37"/>
    <w:rsid w:val="00D26D57"/>
    <w:rsid w:val="00D26D5C"/>
    <w:rsid w:val="00D26DAA"/>
    <w:rsid w:val="00D26DB3"/>
    <w:rsid w:val="00D26DB7"/>
    <w:rsid w:val="00D26E18"/>
    <w:rsid w:val="00D26E77"/>
    <w:rsid w:val="00D26EA7"/>
    <w:rsid w:val="00D26EBD"/>
    <w:rsid w:val="00D26F3D"/>
    <w:rsid w:val="00D26F6F"/>
    <w:rsid w:val="00D26FB5"/>
    <w:rsid w:val="00D26FCA"/>
    <w:rsid w:val="00D26FFF"/>
    <w:rsid w:val="00D27047"/>
    <w:rsid w:val="00D27127"/>
    <w:rsid w:val="00D27219"/>
    <w:rsid w:val="00D2723C"/>
    <w:rsid w:val="00D27246"/>
    <w:rsid w:val="00D2725B"/>
    <w:rsid w:val="00D27287"/>
    <w:rsid w:val="00D27289"/>
    <w:rsid w:val="00D2734E"/>
    <w:rsid w:val="00D27355"/>
    <w:rsid w:val="00D2747F"/>
    <w:rsid w:val="00D274B0"/>
    <w:rsid w:val="00D27507"/>
    <w:rsid w:val="00D275E2"/>
    <w:rsid w:val="00D2764A"/>
    <w:rsid w:val="00D27680"/>
    <w:rsid w:val="00D276AC"/>
    <w:rsid w:val="00D27736"/>
    <w:rsid w:val="00D27766"/>
    <w:rsid w:val="00D27767"/>
    <w:rsid w:val="00D27776"/>
    <w:rsid w:val="00D277A2"/>
    <w:rsid w:val="00D277AD"/>
    <w:rsid w:val="00D277BC"/>
    <w:rsid w:val="00D278E6"/>
    <w:rsid w:val="00D27950"/>
    <w:rsid w:val="00D279D2"/>
    <w:rsid w:val="00D27A09"/>
    <w:rsid w:val="00D27A36"/>
    <w:rsid w:val="00D27A91"/>
    <w:rsid w:val="00D27B3A"/>
    <w:rsid w:val="00D27BDB"/>
    <w:rsid w:val="00D27BE6"/>
    <w:rsid w:val="00D27BFA"/>
    <w:rsid w:val="00D27CED"/>
    <w:rsid w:val="00D27D53"/>
    <w:rsid w:val="00D27E5C"/>
    <w:rsid w:val="00D27E6D"/>
    <w:rsid w:val="00D27EF2"/>
    <w:rsid w:val="00D27F29"/>
    <w:rsid w:val="00D27FC4"/>
    <w:rsid w:val="00D27FDB"/>
    <w:rsid w:val="00D300CE"/>
    <w:rsid w:val="00D301A5"/>
    <w:rsid w:val="00D30278"/>
    <w:rsid w:val="00D302E7"/>
    <w:rsid w:val="00D30323"/>
    <w:rsid w:val="00D3035F"/>
    <w:rsid w:val="00D30379"/>
    <w:rsid w:val="00D3038C"/>
    <w:rsid w:val="00D3045A"/>
    <w:rsid w:val="00D30460"/>
    <w:rsid w:val="00D304A9"/>
    <w:rsid w:val="00D304F1"/>
    <w:rsid w:val="00D30582"/>
    <w:rsid w:val="00D306DD"/>
    <w:rsid w:val="00D30708"/>
    <w:rsid w:val="00D30750"/>
    <w:rsid w:val="00D30774"/>
    <w:rsid w:val="00D307AF"/>
    <w:rsid w:val="00D307DF"/>
    <w:rsid w:val="00D307F2"/>
    <w:rsid w:val="00D30876"/>
    <w:rsid w:val="00D308CD"/>
    <w:rsid w:val="00D308D8"/>
    <w:rsid w:val="00D308EB"/>
    <w:rsid w:val="00D30934"/>
    <w:rsid w:val="00D3099D"/>
    <w:rsid w:val="00D309A6"/>
    <w:rsid w:val="00D30B41"/>
    <w:rsid w:val="00D30B52"/>
    <w:rsid w:val="00D30B7B"/>
    <w:rsid w:val="00D30C0A"/>
    <w:rsid w:val="00D30C81"/>
    <w:rsid w:val="00D30CA3"/>
    <w:rsid w:val="00D30CC0"/>
    <w:rsid w:val="00D30D45"/>
    <w:rsid w:val="00D30D58"/>
    <w:rsid w:val="00D30D61"/>
    <w:rsid w:val="00D30D99"/>
    <w:rsid w:val="00D30DB4"/>
    <w:rsid w:val="00D30DE7"/>
    <w:rsid w:val="00D30E29"/>
    <w:rsid w:val="00D30E81"/>
    <w:rsid w:val="00D30EC2"/>
    <w:rsid w:val="00D30EED"/>
    <w:rsid w:val="00D30F11"/>
    <w:rsid w:val="00D30F47"/>
    <w:rsid w:val="00D3109B"/>
    <w:rsid w:val="00D310AA"/>
    <w:rsid w:val="00D310D3"/>
    <w:rsid w:val="00D31118"/>
    <w:rsid w:val="00D311CC"/>
    <w:rsid w:val="00D311E4"/>
    <w:rsid w:val="00D311E5"/>
    <w:rsid w:val="00D31252"/>
    <w:rsid w:val="00D312A3"/>
    <w:rsid w:val="00D312CF"/>
    <w:rsid w:val="00D31382"/>
    <w:rsid w:val="00D31389"/>
    <w:rsid w:val="00D313E5"/>
    <w:rsid w:val="00D31430"/>
    <w:rsid w:val="00D31432"/>
    <w:rsid w:val="00D31495"/>
    <w:rsid w:val="00D314A3"/>
    <w:rsid w:val="00D314EC"/>
    <w:rsid w:val="00D316A1"/>
    <w:rsid w:val="00D3170F"/>
    <w:rsid w:val="00D317D6"/>
    <w:rsid w:val="00D31807"/>
    <w:rsid w:val="00D3184B"/>
    <w:rsid w:val="00D31A5C"/>
    <w:rsid w:val="00D31AA6"/>
    <w:rsid w:val="00D31AAC"/>
    <w:rsid w:val="00D31B00"/>
    <w:rsid w:val="00D31B3B"/>
    <w:rsid w:val="00D31B64"/>
    <w:rsid w:val="00D31CBC"/>
    <w:rsid w:val="00D31CFE"/>
    <w:rsid w:val="00D31D43"/>
    <w:rsid w:val="00D31D69"/>
    <w:rsid w:val="00D31D6E"/>
    <w:rsid w:val="00D31D91"/>
    <w:rsid w:val="00D31D92"/>
    <w:rsid w:val="00D31DCA"/>
    <w:rsid w:val="00D31DD7"/>
    <w:rsid w:val="00D31E44"/>
    <w:rsid w:val="00D31F1B"/>
    <w:rsid w:val="00D31F32"/>
    <w:rsid w:val="00D31F3E"/>
    <w:rsid w:val="00D31F74"/>
    <w:rsid w:val="00D31FB4"/>
    <w:rsid w:val="00D31FD0"/>
    <w:rsid w:val="00D3203B"/>
    <w:rsid w:val="00D32058"/>
    <w:rsid w:val="00D320B3"/>
    <w:rsid w:val="00D32156"/>
    <w:rsid w:val="00D3218D"/>
    <w:rsid w:val="00D3222F"/>
    <w:rsid w:val="00D3226C"/>
    <w:rsid w:val="00D322A0"/>
    <w:rsid w:val="00D323B4"/>
    <w:rsid w:val="00D32408"/>
    <w:rsid w:val="00D32423"/>
    <w:rsid w:val="00D32554"/>
    <w:rsid w:val="00D32575"/>
    <w:rsid w:val="00D325AC"/>
    <w:rsid w:val="00D326C3"/>
    <w:rsid w:val="00D327B1"/>
    <w:rsid w:val="00D327BF"/>
    <w:rsid w:val="00D327E0"/>
    <w:rsid w:val="00D327E1"/>
    <w:rsid w:val="00D32827"/>
    <w:rsid w:val="00D32842"/>
    <w:rsid w:val="00D3285E"/>
    <w:rsid w:val="00D32892"/>
    <w:rsid w:val="00D328AC"/>
    <w:rsid w:val="00D328C6"/>
    <w:rsid w:val="00D329F1"/>
    <w:rsid w:val="00D32AA6"/>
    <w:rsid w:val="00D32ADA"/>
    <w:rsid w:val="00D32AE4"/>
    <w:rsid w:val="00D32AE8"/>
    <w:rsid w:val="00D32B25"/>
    <w:rsid w:val="00D32B7E"/>
    <w:rsid w:val="00D32BAC"/>
    <w:rsid w:val="00D32C56"/>
    <w:rsid w:val="00D32C6D"/>
    <w:rsid w:val="00D32C9B"/>
    <w:rsid w:val="00D32CB9"/>
    <w:rsid w:val="00D32D07"/>
    <w:rsid w:val="00D32D4C"/>
    <w:rsid w:val="00D32D89"/>
    <w:rsid w:val="00D32DFC"/>
    <w:rsid w:val="00D32E46"/>
    <w:rsid w:val="00D32E5B"/>
    <w:rsid w:val="00D32E65"/>
    <w:rsid w:val="00D32E8A"/>
    <w:rsid w:val="00D32EB1"/>
    <w:rsid w:val="00D32EC0"/>
    <w:rsid w:val="00D32ED0"/>
    <w:rsid w:val="00D32F70"/>
    <w:rsid w:val="00D32FBF"/>
    <w:rsid w:val="00D3305C"/>
    <w:rsid w:val="00D3305D"/>
    <w:rsid w:val="00D33066"/>
    <w:rsid w:val="00D3306B"/>
    <w:rsid w:val="00D3306E"/>
    <w:rsid w:val="00D3308D"/>
    <w:rsid w:val="00D33193"/>
    <w:rsid w:val="00D33206"/>
    <w:rsid w:val="00D33212"/>
    <w:rsid w:val="00D3328D"/>
    <w:rsid w:val="00D332BF"/>
    <w:rsid w:val="00D3331C"/>
    <w:rsid w:val="00D3338E"/>
    <w:rsid w:val="00D3339A"/>
    <w:rsid w:val="00D333CF"/>
    <w:rsid w:val="00D333D6"/>
    <w:rsid w:val="00D333F7"/>
    <w:rsid w:val="00D33436"/>
    <w:rsid w:val="00D3344C"/>
    <w:rsid w:val="00D334CD"/>
    <w:rsid w:val="00D3351E"/>
    <w:rsid w:val="00D3356F"/>
    <w:rsid w:val="00D33570"/>
    <w:rsid w:val="00D335A4"/>
    <w:rsid w:val="00D335E3"/>
    <w:rsid w:val="00D33637"/>
    <w:rsid w:val="00D336AA"/>
    <w:rsid w:val="00D336AC"/>
    <w:rsid w:val="00D336B9"/>
    <w:rsid w:val="00D336E5"/>
    <w:rsid w:val="00D33795"/>
    <w:rsid w:val="00D337AF"/>
    <w:rsid w:val="00D337BA"/>
    <w:rsid w:val="00D337D3"/>
    <w:rsid w:val="00D337E3"/>
    <w:rsid w:val="00D33884"/>
    <w:rsid w:val="00D33887"/>
    <w:rsid w:val="00D338EF"/>
    <w:rsid w:val="00D33963"/>
    <w:rsid w:val="00D33A78"/>
    <w:rsid w:val="00D33AAA"/>
    <w:rsid w:val="00D33B28"/>
    <w:rsid w:val="00D33B3F"/>
    <w:rsid w:val="00D33C03"/>
    <w:rsid w:val="00D33C39"/>
    <w:rsid w:val="00D33C63"/>
    <w:rsid w:val="00D33C72"/>
    <w:rsid w:val="00D33C99"/>
    <w:rsid w:val="00D33D36"/>
    <w:rsid w:val="00D33E23"/>
    <w:rsid w:val="00D33E6E"/>
    <w:rsid w:val="00D33EAC"/>
    <w:rsid w:val="00D33ECF"/>
    <w:rsid w:val="00D33F8E"/>
    <w:rsid w:val="00D33FB5"/>
    <w:rsid w:val="00D33FD3"/>
    <w:rsid w:val="00D33FF7"/>
    <w:rsid w:val="00D34080"/>
    <w:rsid w:val="00D3408F"/>
    <w:rsid w:val="00D340D8"/>
    <w:rsid w:val="00D34101"/>
    <w:rsid w:val="00D3410F"/>
    <w:rsid w:val="00D34127"/>
    <w:rsid w:val="00D34158"/>
    <w:rsid w:val="00D34159"/>
    <w:rsid w:val="00D34182"/>
    <w:rsid w:val="00D3418D"/>
    <w:rsid w:val="00D34242"/>
    <w:rsid w:val="00D3424A"/>
    <w:rsid w:val="00D34288"/>
    <w:rsid w:val="00D34378"/>
    <w:rsid w:val="00D343E8"/>
    <w:rsid w:val="00D3440D"/>
    <w:rsid w:val="00D34429"/>
    <w:rsid w:val="00D3443D"/>
    <w:rsid w:val="00D345DB"/>
    <w:rsid w:val="00D345DC"/>
    <w:rsid w:val="00D34647"/>
    <w:rsid w:val="00D34654"/>
    <w:rsid w:val="00D346E3"/>
    <w:rsid w:val="00D34747"/>
    <w:rsid w:val="00D347BE"/>
    <w:rsid w:val="00D3486E"/>
    <w:rsid w:val="00D3487F"/>
    <w:rsid w:val="00D348CE"/>
    <w:rsid w:val="00D348DD"/>
    <w:rsid w:val="00D34944"/>
    <w:rsid w:val="00D34968"/>
    <w:rsid w:val="00D3499E"/>
    <w:rsid w:val="00D349D8"/>
    <w:rsid w:val="00D34A7D"/>
    <w:rsid w:val="00D34B4A"/>
    <w:rsid w:val="00D34BF4"/>
    <w:rsid w:val="00D34C2E"/>
    <w:rsid w:val="00D34CB7"/>
    <w:rsid w:val="00D34D7F"/>
    <w:rsid w:val="00D34D85"/>
    <w:rsid w:val="00D34DE3"/>
    <w:rsid w:val="00D34E80"/>
    <w:rsid w:val="00D34EA3"/>
    <w:rsid w:val="00D34EF5"/>
    <w:rsid w:val="00D34F16"/>
    <w:rsid w:val="00D3500E"/>
    <w:rsid w:val="00D35056"/>
    <w:rsid w:val="00D3505D"/>
    <w:rsid w:val="00D3507D"/>
    <w:rsid w:val="00D350D5"/>
    <w:rsid w:val="00D350F1"/>
    <w:rsid w:val="00D350F2"/>
    <w:rsid w:val="00D35112"/>
    <w:rsid w:val="00D35128"/>
    <w:rsid w:val="00D35141"/>
    <w:rsid w:val="00D35158"/>
    <w:rsid w:val="00D351F0"/>
    <w:rsid w:val="00D351FB"/>
    <w:rsid w:val="00D3520B"/>
    <w:rsid w:val="00D3524E"/>
    <w:rsid w:val="00D352B5"/>
    <w:rsid w:val="00D35359"/>
    <w:rsid w:val="00D35411"/>
    <w:rsid w:val="00D35453"/>
    <w:rsid w:val="00D35469"/>
    <w:rsid w:val="00D354C7"/>
    <w:rsid w:val="00D354D5"/>
    <w:rsid w:val="00D354D9"/>
    <w:rsid w:val="00D35583"/>
    <w:rsid w:val="00D355F0"/>
    <w:rsid w:val="00D355F3"/>
    <w:rsid w:val="00D35629"/>
    <w:rsid w:val="00D3563B"/>
    <w:rsid w:val="00D35662"/>
    <w:rsid w:val="00D35664"/>
    <w:rsid w:val="00D356E8"/>
    <w:rsid w:val="00D3576B"/>
    <w:rsid w:val="00D35787"/>
    <w:rsid w:val="00D35798"/>
    <w:rsid w:val="00D357A9"/>
    <w:rsid w:val="00D357C1"/>
    <w:rsid w:val="00D35897"/>
    <w:rsid w:val="00D358BB"/>
    <w:rsid w:val="00D35925"/>
    <w:rsid w:val="00D3596D"/>
    <w:rsid w:val="00D35977"/>
    <w:rsid w:val="00D359E6"/>
    <w:rsid w:val="00D35A1E"/>
    <w:rsid w:val="00D35A24"/>
    <w:rsid w:val="00D35AB9"/>
    <w:rsid w:val="00D35ABA"/>
    <w:rsid w:val="00D35B0B"/>
    <w:rsid w:val="00D35BBE"/>
    <w:rsid w:val="00D35C27"/>
    <w:rsid w:val="00D35C77"/>
    <w:rsid w:val="00D35C7B"/>
    <w:rsid w:val="00D35D3A"/>
    <w:rsid w:val="00D35DE7"/>
    <w:rsid w:val="00D35E20"/>
    <w:rsid w:val="00D35E22"/>
    <w:rsid w:val="00D35E28"/>
    <w:rsid w:val="00D35E70"/>
    <w:rsid w:val="00D35E82"/>
    <w:rsid w:val="00D35F08"/>
    <w:rsid w:val="00D35F3E"/>
    <w:rsid w:val="00D35FF1"/>
    <w:rsid w:val="00D36035"/>
    <w:rsid w:val="00D360B0"/>
    <w:rsid w:val="00D3611F"/>
    <w:rsid w:val="00D36167"/>
    <w:rsid w:val="00D3631C"/>
    <w:rsid w:val="00D36493"/>
    <w:rsid w:val="00D364A7"/>
    <w:rsid w:val="00D36525"/>
    <w:rsid w:val="00D36581"/>
    <w:rsid w:val="00D36599"/>
    <w:rsid w:val="00D36612"/>
    <w:rsid w:val="00D3668B"/>
    <w:rsid w:val="00D3668F"/>
    <w:rsid w:val="00D366C8"/>
    <w:rsid w:val="00D366E2"/>
    <w:rsid w:val="00D3674C"/>
    <w:rsid w:val="00D36765"/>
    <w:rsid w:val="00D36779"/>
    <w:rsid w:val="00D3680A"/>
    <w:rsid w:val="00D36825"/>
    <w:rsid w:val="00D36A06"/>
    <w:rsid w:val="00D36A60"/>
    <w:rsid w:val="00D36AB0"/>
    <w:rsid w:val="00D36B0D"/>
    <w:rsid w:val="00D36B19"/>
    <w:rsid w:val="00D36CBA"/>
    <w:rsid w:val="00D36CC6"/>
    <w:rsid w:val="00D36D60"/>
    <w:rsid w:val="00D36D9F"/>
    <w:rsid w:val="00D36DA8"/>
    <w:rsid w:val="00D36E2A"/>
    <w:rsid w:val="00D36E2B"/>
    <w:rsid w:val="00D36E7D"/>
    <w:rsid w:val="00D36EF5"/>
    <w:rsid w:val="00D36F7D"/>
    <w:rsid w:val="00D36F83"/>
    <w:rsid w:val="00D36FC8"/>
    <w:rsid w:val="00D36FFF"/>
    <w:rsid w:val="00D37054"/>
    <w:rsid w:val="00D37057"/>
    <w:rsid w:val="00D37135"/>
    <w:rsid w:val="00D371C7"/>
    <w:rsid w:val="00D3720C"/>
    <w:rsid w:val="00D37223"/>
    <w:rsid w:val="00D3722F"/>
    <w:rsid w:val="00D37297"/>
    <w:rsid w:val="00D372AD"/>
    <w:rsid w:val="00D372EE"/>
    <w:rsid w:val="00D37357"/>
    <w:rsid w:val="00D37474"/>
    <w:rsid w:val="00D374C7"/>
    <w:rsid w:val="00D37533"/>
    <w:rsid w:val="00D375FD"/>
    <w:rsid w:val="00D3760E"/>
    <w:rsid w:val="00D37664"/>
    <w:rsid w:val="00D37687"/>
    <w:rsid w:val="00D376A0"/>
    <w:rsid w:val="00D37727"/>
    <w:rsid w:val="00D37743"/>
    <w:rsid w:val="00D37816"/>
    <w:rsid w:val="00D37829"/>
    <w:rsid w:val="00D3795B"/>
    <w:rsid w:val="00D379DA"/>
    <w:rsid w:val="00D37A76"/>
    <w:rsid w:val="00D37B5E"/>
    <w:rsid w:val="00D37C01"/>
    <w:rsid w:val="00D37C4F"/>
    <w:rsid w:val="00D37C57"/>
    <w:rsid w:val="00D37C9A"/>
    <w:rsid w:val="00D37D39"/>
    <w:rsid w:val="00D37D93"/>
    <w:rsid w:val="00D37DD9"/>
    <w:rsid w:val="00D37E70"/>
    <w:rsid w:val="00D37F22"/>
    <w:rsid w:val="00D37F58"/>
    <w:rsid w:val="00D37F73"/>
    <w:rsid w:val="00D37F8E"/>
    <w:rsid w:val="00D4000D"/>
    <w:rsid w:val="00D40016"/>
    <w:rsid w:val="00D4001E"/>
    <w:rsid w:val="00D40086"/>
    <w:rsid w:val="00D40155"/>
    <w:rsid w:val="00D401B5"/>
    <w:rsid w:val="00D4024F"/>
    <w:rsid w:val="00D40297"/>
    <w:rsid w:val="00D402C4"/>
    <w:rsid w:val="00D40333"/>
    <w:rsid w:val="00D4036A"/>
    <w:rsid w:val="00D403A1"/>
    <w:rsid w:val="00D403F3"/>
    <w:rsid w:val="00D4041F"/>
    <w:rsid w:val="00D40440"/>
    <w:rsid w:val="00D40494"/>
    <w:rsid w:val="00D404D1"/>
    <w:rsid w:val="00D404E6"/>
    <w:rsid w:val="00D404E7"/>
    <w:rsid w:val="00D40513"/>
    <w:rsid w:val="00D40542"/>
    <w:rsid w:val="00D4062B"/>
    <w:rsid w:val="00D4063A"/>
    <w:rsid w:val="00D40673"/>
    <w:rsid w:val="00D40771"/>
    <w:rsid w:val="00D40774"/>
    <w:rsid w:val="00D40795"/>
    <w:rsid w:val="00D4084A"/>
    <w:rsid w:val="00D408AD"/>
    <w:rsid w:val="00D408B6"/>
    <w:rsid w:val="00D408E0"/>
    <w:rsid w:val="00D408E1"/>
    <w:rsid w:val="00D40976"/>
    <w:rsid w:val="00D4098E"/>
    <w:rsid w:val="00D409CD"/>
    <w:rsid w:val="00D40A36"/>
    <w:rsid w:val="00D40A3E"/>
    <w:rsid w:val="00D40A4E"/>
    <w:rsid w:val="00D40AB6"/>
    <w:rsid w:val="00D40AD2"/>
    <w:rsid w:val="00D40B25"/>
    <w:rsid w:val="00D40CC2"/>
    <w:rsid w:val="00D40D44"/>
    <w:rsid w:val="00D40D72"/>
    <w:rsid w:val="00D40E1E"/>
    <w:rsid w:val="00D40EC2"/>
    <w:rsid w:val="00D41027"/>
    <w:rsid w:val="00D4118B"/>
    <w:rsid w:val="00D41198"/>
    <w:rsid w:val="00D411EC"/>
    <w:rsid w:val="00D41205"/>
    <w:rsid w:val="00D41235"/>
    <w:rsid w:val="00D41252"/>
    <w:rsid w:val="00D412FC"/>
    <w:rsid w:val="00D41321"/>
    <w:rsid w:val="00D413BE"/>
    <w:rsid w:val="00D41486"/>
    <w:rsid w:val="00D41498"/>
    <w:rsid w:val="00D414DD"/>
    <w:rsid w:val="00D414F7"/>
    <w:rsid w:val="00D415CA"/>
    <w:rsid w:val="00D41647"/>
    <w:rsid w:val="00D416D4"/>
    <w:rsid w:val="00D41748"/>
    <w:rsid w:val="00D4177B"/>
    <w:rsid w:val="00D418A8"/>
    <w:rsid w:val="00D419BC"/>
    <w:rsid w:val="00D41A5B"/>
    <w:rsid w:val="00D41A74"/>
    <w:rsid w:val="00D41A9A"/>
    <w:rsid w:val="00D41AEB"/>
    <w:rsid w:val="00D41AF5"/>
    <w:rsid w:val="00D41B62"/>
    <w:rsid w:val="00D41BA2"/>
    <w:rsid w:val="00D41BA7"/>
    <w:rsid w:val="00D41BB2"/>
    <w:rsid w:val="00D41CF7"/>
    <w:rsid w:val="00D41D74"/>
    <w:rsid w:val="00D41D84"/>
    <w:rsid w:val="00D41DC5"/>
    <w:rsid w:val="00D41DE4"/>
    <w:rsid w:val="00D41DEA"/>
    <w:rsid w:val="00D41E17"/>
    <w:rsid w:val="00D41E94"/>
    <w:rsid w:val="00D41E9D"/>
    <w:rsid w:val="00D41ED5"/>
    <w:rsid w:val="00D41EFF"/>
    <w:rsid w:val="00D41F45"/>
    <w:rsid w:val="00D41F4C"/>
    <w:rsid w:val="00D41F6F"/>
    <w:rsid w:val="00D41F84"/>
    <w:rsid w:val="00D41FB4"/>
    <w:rsid w:val="00D41FC1"/>
    <w:rsid w:val="00D41FF5"/>
    <w:rsid w:val="00D4209C"/>
    <w:rsid w:val="00D42116"/>
    <w:rsid w:val="00D42182"/>
    <w:rsid w:val="00D4219B"/>
    <w:rsid w:val="00D421DA"/>
    <w:rsid w:val="00D4223B"/>
    <w:rsid w:val="00D4224A"/>
    <w:rsid w:val="00D42250"/>
    <w:rsid w:val="00D4237C"/>
    <w:rsid w:val="00D423C3"/>
    <w:rsid w:val="00D42427"/>
    <w:rsid w:val="00D42480"/>
    <w:rsid w:val="00D42495"/>
    <w:rsid w:val="00D424AF"/>
    <w:rsid w:val="00D424F5"/>
    <w:rsid w:val="00D42530"/>
    <w:rsid w:val="00D4253A"/>
    <w:rsid w:val="00D42564"/>
    <w:rsid w:val="00D42587"/>
    <w:rsid w:val="00D425AB"/>
    <w:rsid w:val="00D425B3"/>
    <w:rsid w:val="00D425EE"/>
    <w:rsid w:val="00D42665"/>
    <w:rsid w:val="00D426FB"/>
    <w:rsid w:val="00D4270D"/>
    <w:rsid w:val="00D4271C"/>
    <w:rsid w:val="00D42744"/>
    <w:rsid w:val="00D42829"/>
    <w:rsid w:val="00D42863"/>
    <w:rsid w:val="00D42874"/>
    <w:rsid w:val="00D428F9"/>
    <w:rsid w:val="00D42944"/>
    <w:rsid w:val="00D42997"/>
    <w:rsid w:val="00D429C4"/>
    <w:rsid w:val="00D42A5D"/>
    <w:rsid w:val="00D42ACB"/>
    <w:rsid w:val="00D42B58"/>
    <w:rsid w:val="00D42B5B"/>
    <w:rsid w:val="00D42B82"/>
    <w:rsid w:val="00D42B8D"/>
    <w:rsid w:val="00D42B9F"/>
    <w:rsid w:val="00D42BAC"/>
    <w:rsid w:val="00D42C9D"/>
    <w:rsid w:val="00D42D02"/>
    <w:rsid w:val="00D42D67"/>
    <w:rsid w:val="00D42D6D"/>
    <w:rsid w:val="00D42DD1"/>
    <w:rsid w:val="00D42E53"/>
    <w:rsid w:val="00D42F1A"/>
    <w:rsid w:val="00D42FDA"/>
    <w:rsid w:val="00D42FEC"/>
    <w:rsid w:val="00D42FFE"/>
    <w:rsid w:val="00D430AD"/>
    <w:rsid w:val="00D430FF"/>
    <w:rsid w:val="00D4311C"/>
    <w:rsid w:val="00D43279"/>
    <w:rsid w:val="00D43283"/>
    <w:rsid w:val="00D43373"/>
    <w:rsid w:val="00D433F8"/>
    <w:rsid w:val="00D4341A"/>
    <w:rsid w:val="00D43451"/>
    <w:rsid w:val="00D4345A"/>
    <w:rsid w:val="00D4358B"/>
    <w:rsid w:val="00D43604"/>
    <w:rsid w:val="00D43736"/>
    <w:rsid w:val="00D4379A"/>
    <w:rsid w:val="00D437CF"/>
    <w:rsid w:val="00D43899"/>
    <w:rsid w:val="00D438F6"/>
    <w:rsid w:val="00D439AD"/>
    <w:rsid w:val="00D439E2"/>
    <w:rsid w:val="00D43A14"/>
    <w:rsid w:val="00D43A2C"/>
    <w:rsid w:val="00D43AC6"/>
    <w:rsid w:val="00D43AC8"/>
    <w:rsid w:val="00D43B47"/>
    <w:rsid w:val="00D43BE1"/>
    <w:rsid w:val="00D43C4E"/>
    <w:rsid w:val="00D43C70"/>
    <w:rsid w:val="00D43C77"/>
    <w:rsid w:val="00D43CC6"/>
    <w:rsid w:val="00D43D01"/>
    <w:rsid w:val="00D43D13"/>
    <w:rsid w:val="00D43D31"/>
    <w:rsid w:val="00D43E2F"/>
    <w:rsid w:val="00D43E99"/>
    <w:rsid w:val="00D43EAC"/>
    <w:rsid w:val="00D43EF8"/>
    <w:rsid w:val="00D43F22"/>
    <w:rsid w:val="00D43FC2"/>
    <w:rsid w:val="00D43FD1"/>
    <w:rsid w:val="00D43FDF"/>
    <w:rsid w:val="00D43FEA"/>
    <w:rsid w:val="00D44064"/>
    <w:rsid w:val="00D44078"/>
    <w:rsid w:val="00D4419C"/>
    <w:rsid w:val="00D441CC"/>
    <w:rsid w:val="00D44213"/>
    <w:rsid w:val="00D4423A"/>
    <w:rsid w:val="00D4423C"/>
    <w:rsid w:val="00D44263"/>
    <w:rsid w:val="00D442A6"/>
    <w:rsid w:val="00D442A7"/>
    <w:rsid w:val="00D4432B"/>
    <w:rsid w:val="00D44337"/>
    <w:rsid w:val="00D44341"/>
    <w:rsid w:val="00D44374"/>
    <w:rsid w:val="00D443B7"/>
    <w:rsid w:val="00D443ED"/>
    <w:rsid w:val="00D444E6"/>
    <w:rsid w:val="00D44528"/>
    <w:rsid w:val="00D445A9"/>
    <w:rsid w:val="00D445DC"/>
    <w:rsid w:val="00D44675"/>
    <w:rsid w:val="00D446A5"/>
    <w:rsid w:val="00D446BA"/>
    <w:rsid w:val="00D4471B"/>
    <w:rsid w:val="00D44725"/>
    <w:rsid w:val="00D447C1"/>
    <w:rsid w:val="00D44850"/>
    <w:rsid w:val="00D44885"/>
    <w:rsid w:val="00D448AF"/>
    <w:rsid w:val="00D449F5"/>
    <w:rsid w:val="00D44A6A"/>
    <w:rsid w:val="00D44C5F"/>
    <w:rsid w:val="00D44D01"/>
    <w:rsid w:val="00D44D1B"/>
    <w:rsid w:val="00D44D29"/>
    <w:rsid w:val="00D44D9F"/>
    <w:rsid w:val="00D44DEF"/>
    <w:rsid w:val="00D44E77"/>
    <w:rsid w:val="00D44EB1"/>
    <w:rsid w:val="00D44EEC"/>
    <w:rsid w:val="00D44EF4"/>
    <w:rsid w:val="00D44F09"/>
    <w:rsid w:val="00D44F3C"/>
    <w:rsid w:val="00D44F59"/>
    <w:rsid w:val="00D44F70"/>
    <w:rsid w:val="00D44FA8"/>
    <w:rsid w:val="00D4506C"/>
    <w:rsid w:val="00D450E4"/>
    <w:rsid w:val="00D45150"/>
    <w:rsid w:val="00D451B0"/>
    <w:rsid w:val="00D451F7"/>
    <w:rsid w:val="00D45299"/>
    <w:rsid w:val="00D4529E"/>
    <w:rsid w:val="00D45303"/>
    <w:rsid w:val="00D45327"/>
    <w:rsid w:val="00D4535E"/>
    <w:rsid w:val="00D45395"/>
    <w:rsid w:val="00D4539A"/>
    <w:rsid w:val="00D453C3"/>
    <w:rsid w:val="00D453D0"/>
    <w:rsid w:val="00D4541C"/>
    <w:rsid w:val="00D45439"/>
    <w:rsid w:val="00D454C0"/>
    <w:rsid w:val="00D454EE"/>
    <w:rsid w:val="00D45562"/>
    <w:rsid w:val="00D4557A"/>
    <w:rsid w:val="00D45609"/>
    <w:rsid w:val="00D45678"/>
    <w:rsid w:val="00D4577E"/>
    <w:rsid w:val="00D4578D"/>
    <w:rsid w:val="00D4580E"/>
    <w:rsid w:val="00D4584A"/>
    <w:rsid w:val="00D45862"/>
    <w:rsid w:val="00D45874"/>
    <w:rsid w:val="00D4587C"/>
    <w:rsid w:val="00D458BD"/>
    <w:rsid w:val="00D458F8"/>
    <w:rsid w:val="00D458F9"/>
    <w:rsid w:val="00D45961"/>
    <w:rsid w:val="00D459CE"/>
    <w:rsid w:val="00D45A1E"/>
    <w:rsid w:val="00D45AA2"/>
    <w:rsid w:val="00D45B2B"/>
    <w:rsid w:val="00D45B42"/>
    <w:rsid w:val="00D45B43"/>
    <w:rsid w:val="00D45B58"/>
    <w:rsid w:val="00D45B66"/>
    <w:rsid w:val="00D45B81"/>
    <w:rsid w:val="00D45B86"/>
    <w:rsid w:val="00D45BA9"/>
    <w:rsid w:val="00D45CFC"/>
    <w:rsid w:val="00D45D1B"/>
    <w:rsid w:val="00D45E06"/>
    <w:rsid w:val="00D45F60"/>
    <w:rsid w:val="00D4614F"/>
    <w:rsid w:val="00D461BB"/>
    <w:rsid w:val="00D461D5"/>
    <w:rsid w:val="00D462B4"/>
    <w:rsid w:val="00D462E1"/>
    <w:rsid w:val="00D46336"/>
    <w:rsid w:val="00D463C7"/>
    <w:rsid w:val="00D463DE"/>
    <w:rsid w:val="00D463E6"/>
    <w:rsid w:val="00D46404"/>
    <w:rsid w:val="00D46541"/>
    <w:rsid w:val="00D46603"/>
    <w:rsid w:val="00D4660A"/>
    <w:rsid w:val="00D4661C"/>
    <w:rsid w:val="00D46653"/>
    <w:rsid w:val="00D46688"/>
    <w:rsid w:val="00D4669E"/>
    <w:rsid w:val="00D466C9"/>
    <w:rsid w:val="00D46726"/>
    <w:rsid w:val="00D46774"/>
    <w:rsid w:val="00D467B4"/>
    <w:rsid w:val="00D46869"/>
    <w:rsid w:val="00D4692E"/>
    <w:rsid w:val="00D4698E"/>
    <w:rsid w:val="00D469A7"/>
    <w:rsid w:val="00D469F0"/>
    <w:rsid w:val="00D469F3"/>
    <w:rsid w:val="00D46A29"/>
    <w:rsid w:val="00D46B2F"/>
    <w:rsid w:val="00D46B80"/>
    <w:rsid w:val="00D46C16"/>
    <w:rsid w:val="00D46C9A"/>
    <w:rsid w:val="00D46CDB"/>
    <w:rsid w:val="00D46D0E"/>
    <w:rsid w:val="00D46D7E"/>
    <w:rsid w:val="00D46DA1"/>
    <w:rsid w:val="00D46E33"/>
    <w:rsid w:val="00D46E45"/>
    <w:rsid w:val="00D46E69"/>
    <w:rsid w:val="00D46E94"/>
    <w:rsid w:val="00D46E9E"/>
    <w:rsid w:val="00D46EE6"/>
    <w:rsid w:val="00D46F22"/>
    <w:rsid w:val="00D46F38"/>
    <w:rsid w:val="00D46F7C"/>
    <w:rsid w:val="00D47087"/>
    <w:rsid w:val="00D4709F"/>
    <w:rsid w:val="00D47136"/>
    <w:rsid w:val="00D471A5"/>
    <w:rsid w:val="00D471FA"/>
    <w:rsid w:val="00D47260"/>
    <w:rsid w:val="00D47292"/>
    <w:rsid w:val="00D472DF"/>
    <w:rsid w:val="00D4734E"/>
    <w:rsid w:val="00D47377"/>
    <w:rsid w:val="00D4740A"/>
    <w:rsid w:val="00D4740D"/>
    <w:rsid w:val="00D474DE"/>
    <w:rsid w:val="00D47545"/>
    <w:rsid w:val="00D47548"/>
    <w:rsid w:val="00D475AF"/>
    <w:rsid w:val="00D475F6"/>
    <w:rsid w:val="00D47607"/>
    <w:rsid w:val="00D47682"/>
    <w:rsid w:val="00D476A5"/>
    <w:rsid w:val="00D47772"/>
    <w:rsid w:val="00D4779B"/>
    <w:rsid w:val="00D47825"/>
    <w:rsid w:val="00D47841"/>
    <w:rsid w:val="00D47849"/>
    <w:rsid w:val="00D478F0"/>
    <w:rsid w:val="00D47917"/>
    <w:rsid w:val="00D4791B"/>
    <w:rsid w:val="00D47922"/>
    <w:rsid w:val="00D4795D"/>
    <w:rsid w:val="00D47A4A"/>
    <w:rsid w:val="00D47B4F"/>
    <w:rsid w:val="00D47C13"/>
    <w:rsid w:val="00D47C28"/>
    <w:rsid w:val="00D47C38"/>
    <w:rsid w:val="00D47C49"/>
    <w:rsid w:val="00D47D2A"/>
    <w:rsid w:val="00D47D4D"/>
    <w:rsid w:val="00D47DC4"/>
    <w:rsid w:val="00D47DD3"/>
    <w:rsid w:val="00D47DF0"/>
    <w:rsid w:val="00D47EE4"/>
    <w:rsid w:val="00D47F9B"/>
    <w:rsid w:val="00D47FB4"/>
    <w:rsid w:val="00D47FE4"/>
    <w:rsid w:val="00D500D6"/>
    <w:rsid w:val="00D50105"/>
    <w:rsid w:val="00D50138"/>
    <w:rsid w:val="00D501D2"/>
    <w:rsid w:val="00D501E6"/>
    <w:rsid w:val="00D501E9"/>
    <w:rsid w:val="00D50218"/>
    <w:rsid w:val="00D50229"/>
    <w:rsid w:val="00D50232"/>
    <w:rsid w:val="00D50314"/>
    <w:rsid w:val="00D50354"/>
    <w:rsid w:val="00D50355"/>
    <w:rsid w:val="00D503B7"/>
    <w:rsid w:val="00D503BE"/>
    <w:rsid w:val="00D503CB"/>
    <w:rsid w:val="00D504FA"/>
    <w:rsid w:val="00D5052A"/>
    <w:rsid w:val="00D50563"/>
    <w:rsid w:val="00D50574"/>
    <w:rsid w:val="00D5058A"/>
    <w:rsid w:val="00D5060E"/>
    <w:rsid w:val="00D5062C"/>
    <w:rsid w:val="00D50666"/>
    <w:rsid w:val="00D506B1"/>
    <w:rsid w:val="00D506CB"/>
    <w:rsid w:val="00D507E1"/>
    <w:rsid w:val="00D5085A"/>
    <w:rsid w:val="00D50862"/>
    <w:rsid w:val="00D50879"/>
    <w:rsid w:val="00D508DE"/>
    <w:rsid w:val="00D50964"/>
    <w:rsid w:val="00D50991"/>
    <w:rsid w:val="00D509D3"/>
    <w:rsid w:val="00D50A5C"/>
    <w:rsid w:val="00D50AD0"/>
    <w:rsid w:val="00D50AF5"/>
    <w:rsid w:val="00D50B22"/>
    <w:rsid w:val="00D50B63"/>
    <w:rsid w:val="00D50B88"/>
    <w:rsid w:val="00D50BBD"/>
    <w:rsid w:val="00D50C5F"/>
    <w:rsid w:val="00D50CAC"/>
    <w:rsid w:val="00D50D4B"/>
    <w:rsid w:val="00D50DB3"/>
    <w:rsid w:val="00D50E47"/>
    <w:rsid w:val="00D50E65"/>
    <w:rsid w:val="00D50ECB"/>
    <w:rsid w:val="00D50F13"/>
    <w:rsid w:val="00D50F23"/>
    <w:rsid w:val="00D50FA6"/>
    <w:rsid w:val="00D5109B"/>
    <w:rsid w:val="00D5110B"/>
    <w:rsid w:val="00D5122E"/>
    <w:rsid w:val="00D5123E"/>
    <w:rsid w:val="00D51284"/>
    <w:rsid w:val="00D512CF"/>
    <w:rsid w:val="00D5134C"/>
    <w:rsid w:val="00D51369"/>
    <w:rsid w:val="00D51396"/>
    <w:rsid w:val="00D51451"/>
    <w:rsid w:val="00D51473"/>
    <w:rsid w:val="00D5150A"/>
    <w:rsid w:val="00D51527"/>
    <w:rsid w:val="00D51559"/>
    <w:rsid w:val="00D51578"/>
    <w:rsid w:val="00D515D7"/>
    <w:rsid w:val="00D51600"/>
    <w:rsid w:val="00D51610"/>
    <w:rsid w:val="00D51623"/>
    <w:rsid w:val="00D51645"/>
    <w:rsid w:val="00D51653"/>
    <w:rsid w:val="00D516AA"/>
    <w:rsid w:val="00D516D4"/>
    <w:rsid w:val="00D5175E"/>
    <w:rsid w:val="00D517BE"/>
    <w:rsid w:val="00D5181D"/>
    <w:rsid w:val="00D518A2"/>
    <w:rsid w:val="00D518D7"/>
    <w:rsid w:val="00D51936"/>
    <w:rsid w:val="00D51954"/>
    <w:rsid w:val="00D5196C"/>
    <w:rsid w:val="00D519C6"/>
    <w:rsid w:val="00D519F2"/>
    <w:rsid w:val="00D51AD5"/>
    <w:rsid w:val="00D51B5F"/>
    <w:rsid w:val="00D51B68"/>
    <w:rsid w:val="00D51BB7"/>
    <w:rsid w:val="00D51C31"/>
    <w:rsid w:val="00D51C53"/>
    <w:rsid w:val="00D51C55"/>
    <w:rsid w:val="00D51CAC"/>
    <w:rsid w:val="00D51D1C"/>
    <w:rsid w:val="00D51DB5"/>
    <w:rsid w:val="00D51E26"/>
    <w:rsid w:val="00D51ECC"/>
    <w:rsid w:val="00D51ED0"/>
    <w:rsid w:val="00D51F2F"/>
    <w:rsid w:val="00D51F95"/>
    <w:rsid w:val="00D5204E"/>
    <w:rsid w:val="00D5207D"/>
    <w:rsid w:val="00D52181"/>
    <w:rsid w:val="00D52190"/>
    <w:rsid w:val="00D52195"/>
    <w:rsid w:val="00D521C4"/>
    <w:rsid w:val="00D5224C"/>
    <w:rsid w:val="00D52277"/>
    <w:rsid w:val="00D522E1"/>
    <w:rsid w:val="00D5235C"/>
    <w:rsid w:val="00D523CA"/>
    <w:rsid w:val="00D523CD"/>
    <w:rsid w:val="00D523E0"/>
    <w:rsid w:val="00D523E3"/>
    <w:rsid w:val="00D523EC"/>
    <w:rsid w:val="00D5243D"/>
    <w:rsid w:val="00D5248F"/>
    <w:rsid w:val="00D52492"/>
    <w:rsid w:val="00D524A7"/>
    <w:rsid w:val="00D5250D"/>
    <w:rsid w:val="00D52605"/>
    <w:rsid w:val="00D5263C"/>
    <w:rsid w:val="00D5267A"/>
    <w:rsid w:val="00D526EE"/>
    <w:rsid w:val="00D52759"/>
    <w:rsid w:val="00D52786"/>
    <w:rsid w:val="00D527A2"/>
    <w:rsid w:val="00D527B1"/>
    <w:rsid w:val="00D5280E"/>
    <w:rsid w:val="00D5284E"/>
    <w:rsid w:val="00D528CE"/>
    <w:rsid w:val="00D528FC"/>
    <w:rsid w:val="00D5292A"/>
    <w:rsid w:val="00D5294A"/>
    <w:rsid w:val="00D529E0"/>
    <w:rsid w:val="00D529E2"/>
    <w:rsid w:val="00D529FC"/>
    <w:rsid w:val="00D52A27"/>
    <w:rsid w:val="00D52A81"/>
    <w:rsid w:val="00D52AC3"/>
    <w:rsid w:val="00D52B7D"/>
    <w:rsid w:val="00D52BCD"/>
    <w:rsid w:val="00D52C10"/>
    <w:rsid w:val="00D52C7D"/>
    <w:rsid w:val="00D52CA0"/>
    <w:rsid w:val="00D52D55"/>
    <w:rsid w:val="00D52D5A"/>
    <w:rsid w:val="00D52D6B"/>
    <w:rsid w:val="00D52DBF"/>
    <w:rsid w:val="00D52E5F"/>
    <w:rsid w:val="00D52E71"/>
    <w:rsid w:val="00D52E75"/>
    <w:rsid w:val="00D52E7E"/>
    <w:rsid w:val="00D52ED3"/>
    <w:rsid w:val="00D52FF2"/>
    <w:rsid w:val="00D5304D"/>
    <w:rsid w:val="00D53075"/>
    <w:rsid w:val="00D530AD"/>
    <w:rsid w:val="00D530E0"/>
    <w:rsid w:val="00D53110"/>
    <w:rsid w:val="00D531B6"/>
    <w:rsid w:val="00D531E1"/>
    <w:rsid w:val="00D531F9"/>
    <w:rsid w:val="00D53218"/>
    <w:rsid w:val="00D53231"/>
    <w:rsid w:val="00D53241"/>
    <w:rsid w:val="00D53242"/>
    <w:rsid w:val="00D53311"/>
    <w:rsid w:val="00D533AB"/>
    <w:rsid w:val="00D533C2"/>
    <w:rsid w:val="00D5340A"/>
    <w:rsid w:val="00D53418"/>
    <w:rsid w:val="00D5343A"/>
    <w:rsid w:val="00D534AE"/>
    <w:rsid w:val="00D53580"/>
    <w:rsid w:val="00D53599"/>
    <w:rsid w:val="00D53654"/>
    <w:rsid w:val="00D536B8"/>
    <w:rsid w:val="00D53720"/>
    <w:rsid w:val="00D53743"/>
    <w:rsid w:val="00D53769"/>
    <w:rsid w:val="00D53776"/>
    <w:rsid w:val="00D5378D"/>
    <w:rsid w:val="00D537BD"/>
    <w:rsid w:val="00D537D4"/>
    <w:rsid w:val="00D53859"/>
    <w:rsid w:val="00D53895"/>
    <w:rsid w:val="00D53A72"/>
    <w:rsid w:val="00D53B67"/>
    <w:rsid w:val="00D53B7B"/>
    <w:rsid w:val="00D53BC0"/>
    <w:rsid w:val="00D53C1E"/>
    <w:rsid w:val="00D53D05"/>
    <w:rsid w:val="00D53D63"/>
    <w:rsid w:val="00D53E31"/>
    <w:rsid w:val="00D53EB5"/>
    <w:rsid w:val="00D53ED3"/>
    <w:rsid w:val="00D53F18"/>
    <w:rsid w:val="00D53F58"/>
    <w:rsid w:val="00D5404D"/>
    <w:rsid w:val="00D540A4"/>
    <w:rsid w:val="00D540DF"/>
    <w:rsid w:val="00D54124"/>
    <w:rsid w:val="00D541E7"/>
    <w:rsid w:val="00D5423F"/>
    <w:rsid w:val="00D5425F"/>
    <w:rsid w:val="00D5437C"/>
    <w:rsid w:val="00D543BC"/>
    <w:rsid w:val="00D543C4"/>
    <w:rsid w:val="00D543EA"/>
    <w:rsid w:val="00D543EF"/>
    <w:rsid w:val="00D5457D"/>
    <w:rsid w:val="00D54583"/>
    <w:rsid w:val="00D5458E"/>
    <w:rsid w:val="00D545BE"/>
    <w:rsid w:val="00D545F1"/>
    <w:rsid w:val="00D54611"/>
    <w:rsid w:val="00D54671"/>
    <w:rsid w:val="00D5468C"/>
    <w:rsid w:val="00D54779"/>
    <w:rsid w:val="00D547B4"/>
    <w:rsid w:val="00D547FB"/>
    <w:rsid w:val="00D5484D"/>
    <w:rsid w:val="00D54911"/>
    <w:rsid w:val="00D54936"/>
    <w:rsid w:val="00D5494B"/>
    <w:rsid w:val="00D549C3"/>
    <w:rsid w:val="00D54A38"/>
    <w:rsid w:val="00D54A53"/>
    <w:rsid w:val="00D54B3D"/>
    <w:rsid w:val="00D54B71"/>
    <w:rsid w:val="00D54B9D"/>
    <w:rsid w:val="00D54CC8"/>
    <w:rsid w:val="00D54CEE"/>
    <w:rsid w:val="00D54DDA"/>
    <w:rsid w:val="00D54E65"/>
    <w:rsid w:val="00D54EAB"/>
    <w:rsid w:val="00D54EBB"/>
    <w:rsid w:val="00D54EDD"/>
    <w:rsid w:val="00D54F2F"/>
    <w:rsid w:val="00D54F9D"/>
    <w:rsid w:val="00D54FA8"/>
    <w:rsid w:val="00D54FC9"/>
    <w:rsid w:val="00D54FCB"/>
    <w:rsid w:val="00D5508A"/>
    <w:rsid w:val="00D550E8"/>
    <w:rsid w:val="00D55123"/>
    <w:rsid w:val="00D55188"/>
    <w:rsid w:val="00D551C1"/>
    <w:rsid w:val="00D5522A"/>
    <w:rsid w:val="00D55241"/>
    <w:rsid w:val="00D552B8"/>
    <w:rsid w:val="00D55303"/>
    <w:rsid w:val="00D55324"/>
    <w:rsid w:val="00D5536D"/>
    <w:rsid w:val="00D553A5"/>
    <w:rsid w:val="00D553DD"/>
    <w:rsid w:val="00D55427"/>
    <w:rsid w:val="00D5544A"/>
    <w:rsid w:val="00D5544B"/>
    <w:rsid w:val="00D55478"/>
    <w:rsid w:val="00D554A7"/>
    <w:rsid w:val="00D555CC"/>
    <w:rsid w:val="00D556AF"/>
    <w:rsid w:val="00D556D5"/>
    <w:rsid w:val="00D55702"/>
    <w:rsid w:val="00D5572B"/>
    <w:rsid w:val="00D55756"/>
    <w:rsid w:val="00D55782"/>
    <w:rsid w:val="00D557CB"/>
    <w:rsid w:val="00D55826"/>
    <w:rsid w:val="00D558E4"/>
    <w:rsid w:val="00D5594E"/>
    <w:rsid w:val="00D559AB"/>
    <w:rsid w:val="00D55B04"/>
    <w:rsid w:val="00D55B1E"/>
    <w:rsid w:val="00D55BB3"/>
    <w:rsid w:val="00D55BBF"/>
    <w:rsid w:val="00D55BD3"/>
    <w:rsid w:val="00D55C99"/>
    <w:rsid w:val="00D55D9E"/>
    <w:rsid w:val="00D55EC8"/>
    <w:rsid w:val="00D55F04"/>
    <w:rsid w:val="00D55F1F"/>
    <w:rsid w:val="00D55F43"/>
    <w:rsid w:val="00D55F92"/>
    <w:rsid w:val="00D55FB1"/>
    <w:rsid w:val="00D56023"/>
    <w:rsid w:val="00D56113"/>
    <w:rsid w:val="00D5617C"/>
    <w:rsid w:val="00D561B1"/>
    <w:rsid w:val="00D561F6"/>
    <w:rsid w:val="00D561FA"/>
    <w:rsid w:val="00D561FD"/>
    <w:rsid w:val="00D56224"/>
    <w:rsid w:val="00D56270"/>
    <w:rsid w:val="00D5629E"/>
    <w:rsid w:val="00D56312"/>
    <w:rsid w:val="00D56367"/>
    <w:rsid w:val="00D56372"/>
    <w:rsid w:val="00D56427"/>
    <w:rsid w:val="00D564B1"/>
    <w:rsid w:val="00D564E1"/>
    <w:rsid w:val="00D564E4"/>
    <w:rsid w:val="00D564F8"/>
    <w:rsid w:val="00D56531"/>
    <w:rsid w:val="00D56590"/>
    <w:rsid w:val="00D56597"/>
    <w:rsid w:val="00D565D2"/>
    <w:rsid w:val="00D5663E"/>
    <w:rsid w:val="00D5668A"/>
    <w:rsid w:val="00D566B1"/>
    <w:rsid w:val="00D56741"/>
    <w:rsid w:val="00D56767"/>
    <w:rsid w:val="00D56793"/>
    <w:rsid w:val="00D567BE"/>
    <w:rsid w:val="00D5681A"/>
    <w:rsid w:val="00D569A1"/>
    <w:rsid w:val="00D569E0"/>
    <w:rsid w:val="00D56A46"/>
    <w:rsid w:val="00D56A75"/>
    <w:rsid w:val="00D56B28"/>
    <w:rsid w:val="00D56B32"/>
    <w:rsid w:val="00D56B59"/>
    <w:rsid w:val="00D56C55"/>
    <w:rsid w:val="00D56C62"/>
    <w:rsid w:val="00D56C7B"/>
    <w:rsid w:val="00D56CA3"/>
    <w:rsid w:val="00D56D3B"/>
    <w:rsid w:val="00D56DF3"/>
    <w:rsid w:val="00D56E90"/>
    <w:rsid w:val="00D56EF5"/>
    <w:rsid w:val="00D56F1F"/>
    <w:rsid w:val="00D56F7B"/>
    <w:rsid w:val="00D57035"/>
    <w:rsid w:val="00D57078"/>
    <w:rsid w:val="00D570C9"/>
    <w:rsid w:val="00D570DC"/>
    <w:rsid w:val="00D5713B"/>
    <w:rsid w:val="00D571C9"/>
    <w:rsid w:val="00D571DC"/>
    <w:rsid w:val="00D57201"/>
    <w:rsid w:val="00D57213"/>
    <w:rsid w:val="00D572D8"/>
    <w:rsid w:val="00D57394"/>
    <w:rsid w:val="00D573EC"/>
    <w:rsid w:val="00D57420"/>
    <w:rsid w:val="00D5744A"/>
    <w:rsid w:val="00D574A0"/>
    <w:rsid w:val="00D574B8"/>
    <w:rsid w:val="00D574BC"/>
    <w:rsid w:val="00D57556"/>
    <w:rsid w:val="00D57566"/>
    <w:rsid w:val="00D57591"/>
    <w:rsid w:val="00D5762D"/>
    <w:rsid w:val="00D5763A"/>
    <w:rsid w:val="00D5768B"/>
    <w:rsid w:val="00D576B0"/>
    <w:rsid w:val="00D5776F"/>
    <w:rsid w:val="00D5777B"/>
    <w:rsid w:val="00D577C2"/>
    <w:rsid w:val="00D577D0"/>
    <w:rsid w:val="00D577E7"/>
    <w:rsid w:val="00D57858"/>
    <w:rsid w:val="00D57887"/>
    <w:rsid w:val="00D57919"/>
    <w:rsid w:val="00D579AC"/>
    <w:rsid w:val="00D579B9"/>
    <w:rsid w:val="00D579BD"/>
    <w:rsid w:val="00D57A74"/>
    <w:rsid w:val="00D57AE4"/>
    <w:rsid w:val="00D57AEC"/>
    <w:rsid w:val="00D57B39"/>
    <w:rsid w:val="00D57B60"/>
    <w:rsid w:val="00D57C1F"/>
    <w:rsid w:val="00D57CA3"/>
    <w:rsid w:val="00D57CAF"/>
    <w:rsid w:val="00D57CEA"/>
    <w:rsid w:val="00D57D68"/>
    <w:rsid w:val="00D57DDC"/>
    <w:rsid w:val="00D57DEC"/>
    <w:rsid w:val="00D57E1B"/>
    <w:rsid w:val="00D57E5B"/>
    <w:rsid w:val="00D57EB9"/>
    <w:rsid w:val="00D57EF3"/>
    <w:rsid w:val="00D57F29"/>
    <w:rsid w:val="00D57FD4"/>
    <w:rsid w:val="00D57FE6"/>
    <w:rsid w:val="00D57FF8"/>
    <w:rsid w:val="00D6004E"/>
    <w:rsid w:val="00D6005C"/>
    <w:rsid w:val="00D600FB"/>
    <w:rsid w:val="00D60126"/>
    <w:rsid w:val="00D60178"/>
    <w:rsid w:val="00D601AB"/>
    <w:rsid w:val="00D601E1"/>
    <w:rsid w:val="00D60244"/>
    <w:rsid w:val="00D602EF"/>
    <w:rsid w:val="00D60316"/>
    <w:rsid w:val="00D60366"/>
    <w:rsid w:val="00D60421"/>
    <w:rsid w:val="00D60479"/>
    <w:rsid w:val="00D605CB"/>
    <w:rsid w:val="00D605E3"/>
    <w:rsid w:val="00D605F6"/>
    <w:rsid w:val="00D6061A"/>
    <w:rsid w:val="00D6063B"/>
    <w:rsid w:val="00D606E6"/>
    <w:rsid w:val="00D606FF"/>
    <w:rsid w:val="00D60742"/>
    <w:rsid w:val="00D6076F"/>
    <w:rsid w:val="00D6077F"/>
    <w:rsid w:val="00D6090D"/>
    <w:rsid w:val="00D60A29"/>
    <w:rsid w:val="00D60A86"/>
    <w:rsid w:val="00D60AC2"/>
    <w:rsid w:val="00D60B11"/>
    <w:rsid w:val="00D60B55"/>
    <w:rsid w:val="00D60B57"/>
    <w:rsid w:val="00D60C3A"/>
    <w:rsid w:val="00D60C4F"/>
    <w:rsid w:val="00D60C81"/>
    <w:rsid w:val="00D60CD6"/>
    <w:rsid w:val="00D60CF6"/>
    <w:rsid w:val="00D60CFA"/>
    <w:rsid w:val="00D60D49"/>
    <w:rsid w:val="00D60E32"/>
    <w:rsid w:val="00D60E40"/>
    <w:rsid w:val="00D60EA8"/>
    <w:rsid w:val="00D60EBC"/>
    <w:rsid w:val="00D60EE7"/>
    <w:rsid w:val="00D60F0B"/>
    <w:rsid w:val="00D60F38"/>
    <w:rsid w:val="00D60F74"/>
    <w:rsid w:val="00D61014"/>
    <w:rsid w:val="00D6101E"/>
    <w:rsid w:val="00D61090"/>
    <w:rsid w:val="00D610AD"/>
    <w:rsid w:val="00D610B9"/>
    <w:rsid w:val="00D6120A"/>
    <w:rsid w:val="00D61219"/>
    <w:rsid w:val="00D61256"/>
    <w:rsid w:val="00D612C1"/>
    <w:rsid w:val="00D612ED"/>
    <w:rsid w:val="00D6135C"/>
    <w:rsid w:val="00D613A8"/>
    <w:rsid w:val="00D6142F"/>
    <w:rsid w:val="00D61439"/>
    <w:rsid w:val="00D61529"/>
    <w:rsid w:val="00D615BD"/>
    <w:rsid w:val="00D615DB"/>
    <w:rsid w:val="00D6168F"/>
    <w:rsid w:val="00D616A9"/>
    <w:rsid w:val="00D616EC"/>
    <w:rsid w:val="00D6171E"/>
    <w:rsid w:val="00D61752"/>
    <w:rsid w:val="00D61786"/>
    <w:rsid w:val="00D617C3"/>
    <w:rsid w:val="00D617CD"/>
    <w:rsid w:val="00D61979"/>
    <w:rsid w:val="00D61996"/>
    <w:rsid w:val="00D61A26"/>
    <w:rsid w:val="00D61AA4"/>
    <w:rsid w:val="00D61B5A"/>
    <w:rsid w:val="00D61B9A"/>
    <w:rsid w:val="00D61BB1"/>
    <w:rsid w:val="00D61BBD"/>
    <w:rsid w:val="00D61BCC"/>
    <w:rsid w:val="00D61BE2"/>
    <w:rsid w:val="00D61C18"/>
    <w:rsid w:val="00D61C1B"/>
    <w:rsid w:val="00D61C37"/>
    <w:rsid w:val="00D61C4F"/>
    <w:rsid w:val="00D61DBE"/>
    <w:rsid w:val="00D61DC0"/>
    <w:rsid w:val="00D61DC5"/>
    <w:rsid w:val="00D61E48"/>
    <w:rsid w:val="00D61E95"/>
    <w:rsid w:val="00D61F31"/>
    <w:rsid w:val="00D61FC4"/>
    <w:rsid w:val="00D61FD9"/>
    <w:rsid w:val="00D620AC"/>
    <w:rsid w:val="00D62133"/>
    <w:rsid w:val="00D62148"/>
    <w:rsid w:val="00D62158"/>
    <w:rsid w:val="00D62167"/>
    <w:rsid w:val="00D6217D"/>
    <w:rsid w:val="00D62187"/>
    <w:rsid w:val="00D62204"/>
    <w:rsid w:val="00D622EA"/>
    <w:rsid w:val="00D622FB"/>
    <w:rsid w:val="00D62327"/>
    <w:rsid w:val="00D62372"/>
    <w:rsid w:val="00D62396"/>
    <w:rsid w:val="00D623A6"/>
    <w:rsid w:val="00D623AD"/>
    <w:rsid w:val="00D623BC"/>
    <w:rsid w:val="00D623D2"/>
    <w:rsid w:val="00D623D3"/>
    <w:rsid w:val="00D623DC"/>
    <w:rsid w:val="00D623E9"/>
    <w:rsid w:val="00D623EF"/>
    <w:rsid w:val="00D62419"/>
    <w:rsid w:val="00D62458"/>
    <w:rsid w:val="00D624DD"/>
    <w:rsid w:val="00D62523"/>
    <w:rsid w:val="00D62529"/>
    <w:rsid w:val="00D6256D"/>
    <w:rsid w:val="00D625A5"/>
    <w:rsid w:val="00D6266D"/>
    <w:rsid w:val="00D626C3"/>
    <w:rsid w:val="00D626C9"/>
    <w:rsid w:val="00D62762"/>
    <w:rsid w:val="00D6276E"/>
    <w:rsid w:val="00D627C3"/>
    <w:rsid w:val="00D628CB"/>
    <w:rsid w:val="00D62978"/>
    <w:rsid w:val="00D6299A"/>
    <w:rsid w:val="00D629F5"/>
    <w:rsid w:val="00D62ADE"/>
    <w:rsid w:val="00D62BF2"/>
    <w:rsid w:val="00D62C0B"/>
    <w:rsid w:val="00D62C39"/>
    <w:rsid w:val="00D62C4E"/>
    <w:rsid w:val="00D62C57"/>
    <w:rsid w:val="00D62C6D"/>
    <w:rsid w:val="00D62C95"/>
    <w:rsid w:val="00D62CF8"/>
    <w:rsid w:val="00D62D42"/>
    <w:rsid w:val="00D62D52"/>
    <w:rsid w:val="00D62E2E"/>
    <w:rsid w:val="00D62E48"/>
    <w:rsid w:val="00D62E4E"/>
    <w:rsid w:val="00D62E90"/>
    <w:rsid w:val="00D62F0A"/>
    <w:rsid w:val="00D62F14"/>
    <w:rsid w:val="00D62F22"/>
    <w:rsid w:val="00D62F40"/>
    <w:rsid w:val="00D62F4F"/>
    <w:rsid w:val="00D62F7B"/>
    <w:rsid w:val="00D62FAB"/>
    <w:rsid w:val="00D62FB4"/>
    <w:rsid w:val="00D62FB6"/>
    <w:rsid w:val="00D62FB9"/>
    <w:rsid w:val="00D63084"/>
    <w:rsid w:val="00D631E7"/>
    <w:rsid w:val="00D6325C"/>
    <w:rsid w:val="00D6326D"/>
    <w:rsid w:val="00D632A8"/>
    <w:rsid w:val="00D632AB"/>
    <w:rsid w:val="00D6331F"/>
    <w:rsid w:val="00D6333F"/>
    <w:rsid w:val="00D633FA"/>
    <w:rsid w:val="00D633FE"/>
    <w:rsid w:val="00D6342E"/>
    <w:rsid w:val="00D63438"/>
    <w:rsid w:val="00D634AD"/>
    <w:rsid w:val="00D634C2"/>
    <w:rsid w:val="00D634C7"/>
    <w:rsid w:val="00D63514"/>
    <w:rsid w:val="00D636C3"/>
    <w:rsid w:val="00D63835"/>
    <w:rsid w:val="00D63889"/>
    <w:rsid w:val="00D6393F"/>
    <w:rsid w:val="00D639B3"/>
    <w:rsid w:val="00D639DD"/>
    <w:rsid w:val="00D639F7"/>
    <w:rsid w:val="00D639FC"/>
    <w:rsid w:val="00D63A34"/>
    <w:rsid w:val="00D63ACE"/>
    <w:rsid w:val="00D63B13"/>
    <w:rsid w:val="00D63B16"/>
    <w:rsid w:val="00D63B3E"/>
    <w:rsid w:val="00D63C51"/>
    <w:rsid w:val="00D63CA6"/>
    <w:rsid w:val="00D63CBE"/>
    <w:rsid w:val="00D63CD2"/>
    <w:rsid w:val="00D63CEF"/>
    <w:rsid w:val="00D63CF4"/>
    <w:rsid w:val="00D63D55"/>
    <w:rsid w:val="00D63DF3"/>
    <w:rsid w:val="00D63E30"/>
    <w:rsid w:val="00D63E3F"/>
    <w:rsid w:val="00D63E56"/>
    <w:rsid w:val="00D63EB9"/>
    <w:rsid w:val="00D63F4E"/>
    <w:rsid w:val="00D63F59"/>
    <w:rsid w:val="00D63F5B"/>
    <w:rsid w:val="00D63F60"/>
    <w:rsid w:val="00D63F6C"/>
    <w:rsid w:val="00D64044"/>
    <w:rsid w:val="00D64092"/>
    <w:rsid w:val="00D640F6"/>
    <w:rsid w:val="00D641FC"/>
    <w:rsid w:val="00D64312"/>
    <w:rsid w:val="00D6437C"/>
    <w:rsid w:val="00D6438C"/>
    <w:rsid w:val="00D643D5"/>
    <w:rsid w:val="00D643F4"/>
    <w:rsid w:val="00D6444C"/>
    <w:rsid w:val="00D644A8"/>
    <w:rsid w:val="00D644BF"/>
    <w:rsid w:val="00D64561"/>
    <w:rsid w:val="00D64599"/>
    <w:rsid w:val="00D64617"/>
    <w:rsid w:val="00D64658"/>
    <w:rsid w:val="00D6472A"/>
    <w:rsid w:val="00D647E1"/>
    <w:rsid w:val="00D647FC"/>
    <w:rsid w:val="00D648CB"/>
    <w:rsid w:val="00D64925"/>
    <w:rsid w:val="00D64993"/>
    <w:rsid w:val="00D6499D"/>
    <w:rsid w:val="00D64A31"/>
    <w:rsid w:val="00D64B78"/>
    <w:rsid w:val="00D64C65"/>
    <w:rsid w:val="00D64C6F"/>
    <w:rsid w:val="00D64C9E"/>
    <w:rsid w:val="00D64D01"/>
    <w:rsid w:val="00D64D1D"/>
    <w:rsid w:val="00D64D74"/>
    <w:rsid w:val="00D64DA2"/>
    <w:rsid w:val="00D64DC5"/>
    <w:rsid w:val="00D64DFF"/>
    <w:rsid w:val="00D64E04"/>
    <w:rsid w:val="00D64E29"/>
    <w:rsid w:val="00D64E3A"/>
    <w:rsid w:val="00D64E85"/>
    <w:rsid w:val="00D64EAA"/>
    <w:rsid w:val="00D64FA4"/>
    <w:rsid w:val="00D6501A"/>
    <w:rsid w:val="00D6501C"/>
    <w:rsid w:val="00D65032"/>
    <w:rsid w:val="00D65092"/>
    <w:rsid w:val="00D650DA"/>
    <w:rsid w:val="00D65106"/>
    <w:rsid w:val="00D6514E"/>
    <w:rsid w:val="00D6518B"/>
    <w:rsid w:val="00D651D2"/>
    <w:rsid w:val="00D65272"/>
    <w:rsid w:val="00D6536B"/>
    <w:rsid w:val="00D65383"/>
    <w:rsid w:val="00D653C4"/>
    <w:rsid w:val="00D653D2"/>
    <w:rsid w:val="00D65431"/>
    <w:rsid w:val="00D65443"/>
    <w:rsid w:val="00D65463"/>
    <w:rsid w:val="00D65481"/>
    <w:rsid w:val="00D654E2"/>
    <w:rsid w:val="00D65511"/>
    <w:rsid w:val="00D65569"/>
    <w:rsid w:val="00D65573"/>
    <w:rsid w:val="00D65657"/>
    <w:rsid w:val="00D656AD"/>
    <w:rsid w:val="00D656D3"/>
    <w:rsid w:val="00D656D8"/>
    <w:rsid w:val="00D6576B"/>
    <w:rsid w:val="00D657AE"/>
    <w:rsid w:val="00D65841"/>
    <w:rsid w:val="00D658F3"/>
    <w:rsid w:val="00D65933"/>
    <w:rsid w:val="00D659F9"/>
    <w:rsid w:val="00D65A16"/>
    <w:rsid w:val="00D65A3E"/>
    <w:rsid w:val="00D65A6A"/>
    <w:rsid w:val="00D65B24"/>
    <w:rsid w:val="00D65B4A"/>
    <w:rsid w:val="00D65B51"/>
    <w:rsid w:val="00D65B8D"/>
    <w:rsid w:val="00D65BA0"/>
    <w:rsid w:val="00D65C84"/>
    <w:rsid w:val="00D65C90"/>
    <w:rsid w:val="00D65E8A"/>
    <w:rsid w:val="00D65EBD"/>
    <w:rsid w:val="00D65ED4"/>
    <w:rsid w:val="00D65EF9"/>
    <w:rsid w:val="00D65F10"/>
    <w:rsid w:val="00D66133"/>
    <w:rsid w:val="00D661A2"/>
    <w:rsid w:val="00D661F8"/>
    <w:rsid w:val="00D66234"/>
    <w:rsid w:val="00D66272"/>
    <w:rsid w:val="00D66330"/>
    <w:rsid w:val="00D6637E"/>
    <w:rsid w:val="00D663DC"/>
    <w:rsid w:val="00D66468"/>
    <w:rsid w:val="00D664E6"/>
    <w:rsid w:val="00D665A8"/>
    <w:rsid w:val="00D66643"/>
    <w:rsid w:val="00D666CE"/>
    <w:rsid w:val="00D666EA"/>
    <w:rsid w:val="00D6673E"/>
    <w:rsid w:val="00D66758"/>
    <w:rsid w:val="00D6675A"/>
    <w:rsid w:val="00D66772"/>
    <w:rsid w:val="00D66781"/>
    <w:rsid w:val="00D66809"/>
    <w:rsid w:val="00D6687D"/>
    <w:rsid w:val="00D669A3"/>
    <w:rsid w:val="00D66A09"/>
    <w:rsid w:val="00D66B3C"/>
    <w:rsid w:val="00D66B4E"/>
    <w:rsid w:val="00D66BA7"/>
    <w:rsid w:val="00D66C7B"/>
    <w:rsid w:val="00D66C82"/>
    <w:rsid w:val="00D66C85"/>
    <w:rsid w:val="00D66C87"/>
    <w:rsid w:val="00D66C88"/>
    <w:rsid w:val="00D66C98"/>
    <w:rsid w:val="00D66CFD"/>
    <w:rsid w:val="00D66D95"/>
    <w:rsid w:val="00D66E2F"/>
    <w:rsid w:val="00D66E5E"/>
    <w:rsid w:val="00D66EAE"/>
    <w:rsid w:val="00D66F3A"/>
    <w:rsid w:val="00D66F58"/>
    <w:rsid w:val="00D66F66"/>
    <w:rsid w:val="00D66FC3"/>
    <w:rsid w:val="00D66FD6"/>
    <w:rsid w:val="00D66FD9"/>
    <w:rsid w:val="00D670F6"/>
    <w:rsid w:val="00D670F8"/>
    <w:rsid w:val="00D670FF"/>
    <w:rsid w:val="00D67180"/>
    <w:rsid w:val="00D67257"/>
    <w:rsid w:val="00D672BE"/>
    <w:rsid w:val="00D672F1"/>
    <w:rsid w:val="00D67325"/>
    <w:rsid w:val="00D673B5"/>
    <w:rsid w:val="00D673BF"/>
    <w:rsid w:val="00D67404"/>
    <w:rsid w:val="00D67419"/>
    <w:rsid w:val="00D67431"/>
    <w:rsid w:val="00D67441"/>
    <w:rsid w:val="00D674E6"/>
    <w:rsid w:val="00D67538"/>
    <w:rsid w:val="00D675AB"/>
    <w:rsid w:val="00D675E0"/>
    <w:rsid w:val="00D675F7"/>
    <w:rsid w:val="00D6762D"/>
    <w:rsid w:val="00D6766E"/>
    <w:rsid w:val="00D67681"/>
    <w:rsid w:val="00D677BA"/>
    <w:rsid w:val="00D67805"/>
    <w:rsid w:val="00D67821"/>
    <w:rsid w:val="00D67878"/>
    <w:rsid w:val="00D67883"/>
    <w:rsid w:val="00D67894"/>
    <w:rsid w:val="00D678B6"/>
    <w:rsid w:val="00D67912"/>
    <w:rsid w:val="00D67969"/>
    <w:rsid w:val="00D679D7"/>
    <w:rsid w:val="00D67A77"/>
    <w:rsid w:val="00D67B8E"/>
    <w:rsid w:val="00D67BE8"/>
    <w:rsid w:val="00D67C72"/>
    <w:rsid w:val="00D67C74"/>
    <w:rsid w:val="00D67CBD"/>
    <w:rsid w:val="00D67D02"/>
    <w:rsid w:val="00D67D2B"/>
    <w:rsid w:val="00D67D8F"/>
    <w:rsid w:val="00D67DB6"/>
    <w:rsid w:val="00D67E90"/>
    <w:rsid w:val="00D67ECE"/>
    <w:rsid w:val="00D67F9B"/>
    <w:rsid w:val="00D7003A"/>
    <w:rsid w:val="00D70060"/>
    <w:rsid w:val="00D70064"/>
    <w:rsid w:val="00D7007B"/>
    <w:rsid w:val="00D700C4"/>
    <w:rsid w:val="00D700F6"/>
    <w:rsid w:val="00D70152"/>
    <w:rsid w:val="00D7015C"/>
    <w:rsid w:val="00D70204"/>
    <w:rsid w:val="00D70227"/>
    <w:rsid w:val="00D702AA"/>
    <w:rsid w:val="00D702CF"/>
    <w:rsid w:val="00D7035A"/>
    <w:rsid w:val="00D7039A"/>
    <w:rsid w:val="00D703CA"/>
    <w:rsid w:val="00D703E4"/>
    <w:rsid w:val="00D7043C"/>
    <w:rsid w:val="00D70459"/>
    <w:rsid w:val="00D7046E"/>
    <w:rsid w:val="00D704A5"/>
    <w:rsid w:val="00D70509"/>
    <w:rsid w:val="00D705B6"/>
    <w:rsid w:val="00D705B8"/>
    <w:rsid w:val="00D7060A"/>
    <w:rsid w:val="00D70650"/>
    <w:rsid w:val="00D70656"/>
    <w:rsid w:val="00D70657"/>
    <w:rsid w:val="00D706BE"/>
    <w:rsid w:val="00D706CE"/>
    <w:rsid w:val="00D706DE"/>
    <w:rsid w:val="00D70704"/>
    <w:rsid w:val="00D70736"/>
    <w:rsid w:val="00D7074E"/>
    <w:rsid w:val="00D707A6"/>
    <w:rsid w:val="00D707E6"/>
    <w:rsid w:val="00D70818"/>
    <w:rsid w:val="00D70852"/>
    <w:rsid w:val="00D708B0"/>
    <w:rsid w:val="00D708DE"/>
    <w:rsid w:val="00D70930"/>
    <w:rsid w:val="00D70A12"/>
    <w:rsid w:val="00D70A15"/>
    <w:rsid w:val="00D70A3E"/>
    <w:rsid w:val="00D70A40"/>
    <w:rsid w:val="00D70BF4"/>
    <w:rsid w:val="00D70BF7"/>
    <w:rsid w:val="00D70C69"/>
    <w:rsid w:val="00D70DC4"/>
    <w:rsid w:val="00D70E10"/>
    <w:rsid w:val="00D70E9C"/>
    <w:rsid w:val="00D70EAE"/>
    <w:rsid w:val="00D70EE9"/>
    <w:rsid w:val="00D70F2D"/>
    <w:rsid w:val="00D70FE8"/>
    <w:rsid w:val="00D71182"/>
    <w:rsid w:val="00D711A6"/>
    <w:rsid w:val="00D711BE"/>
    <w:rsid w:val="00D7123B"/>
    <w:rsid w:val="00D7124D"/>
    <w:rsid w:val="00D71260"/>
    <w:rsid w:val="00D71274"/>
    <w:rsid w:val="00D71279"/>
    <w:rsid w:val="00D712A1"/>
    <w:rsid w:val="00D712A4"/>
    <w:rsid w:val="00D712B1"/>
    <w:rsid w:val="00D712E2"/>
    <w:rsid w:val="00D712E9"/>
    <w:rsid w:val="00D712F4"/>
    <w:rsid w:val="00D713AF"/>
    <w:rsid w:val="00D713B7"/>
    <w:rsid w:val="00D713D4"/>
    <w:rsid w:val="00D713F3"/>
    <w:rsid w:val="00D7140B"/>
    <w:rsid w:val="00D71549"/>
    <w:rsid w:val="00D7156F"/>
    <w:rsid w:val="00D7174D"/>
    <w:rsid w:val="00D71774"/>
    <w:rsid w:val="00D717FC"/>
    <w:rsid w:val="00D7185B"/>
    <w:rsid w:val="00D718ED"/>
    <w:rsid w:val="00D71A4F"/>
    <w:rsid w:val="00D71A5B"/>
    <w:rsid w:val="00D71AD8"/>
    <w:rsid w:val="00D71B1B"/>
    <w:rsid w:val="00D71B68"/>
    <w:rsid w:val="00D71BBA"/>
    <w:rsid w:val="00D71D2A"/>
    <w:rsid w:val="00D71D7D"/>
    <w:rsid w:val="00D71D93"/>
    <w:rsid w:val="00D71E49"/>
    <w:rsid w:val="00D71E6F"/>
    <w:rsid w:val="00D71EA3"/>
    <w:rsid w:val="00D71EBF"/>
    <w:rsid w:val="00D71F13"/>
    <w:rsid w:val="00D71F52"/>
    <w:rsid w:val="00D71F95"/>
    <w:rsid w:val="00D71F9C"/>
    <w:rsid w:val="00D71FF4"/>
    <w:rsid w:val="00D72022"/>
    <w:rsid w:val="00D72089"/>
    <w:rsid w:val="00D720B7"/>
    <w:rsid w:val="00D720DA"/>
    <w:rsid w:val="00D720E7"/>
    <w:rsid w:val="00D7224E"/>
    <w:rsid w:val="00D72282"/>
    <w:rsid w:val="00D7228A"/>
    <w:rsid w:val="00D722E5"/>
    <w:rsid w:val="00D7233A"/>
    <w:rsid w:val="00D7234B"/>
    <w:rsid w:val="00D72361"/>
    <w:rsid w:val="00D72363"/>
    <w:rsid w:val="00D7236E"/>
    <w:rsid w:val="00D72376"/>
    <w:rsid w:val="00D723C1"/>
    <w:rsid w:val="00D72404"/>
    <w:rsid w:val="00D7242A"/>
    <w:rsid w:val="00D72454"/>
    <w:rsid w:val="00D724F5"/>
    <w:rsid w:val="00D72511"/>
    <w:rsid w:val="00D72562"/>
    <w:rsid w:val="00D725B4"/>
    <w:rsid w:val="00D725E8"/>
    <w:rsid w:val="00D72633"/>
    <w:rsid w:val="00D7267F"/>
    <w:rsid w:val="00D72691"/>
    <w:rsid w:val="00D727A0"/>
    <w:rsid w:val="00D727B4"/>
    <w:rsid w:val="00D727D5"/>
    <w:rsid w:val="00D72815"/>
    <w:rsid w:val="00D728A7"/>
    <w:rsid w:val="00D728C6"/>
    <w:rsid w:val="00D728F1"/>
    <w:rsid w:val="00D72917"/>
    <w:rsid w:val="00D7297D"/>
    <w:rsid w:val="00D729BF"/>
    <w:rsid w:val="00D729D7"/>
    <w:rsid w:val="00D72A57"/>
    <w:rsid w:val="00D72B3E"/>
    <w:rsid w:val="00D72B7B"/>
    <w:rsid w:val="00D72BC2"/>
    <w:rsid w:val="00D72BFD"/>
    <w:rsid w:val="00D72C4A"/>
    <w:rsid w:val="00D72C8E"/>
    <w:rsid w:val="00D72C93"/>
    <w:rsid w:val="00D72CBC"/>
    <w:rsid w:val="00D72D14"/>
    <w:rsid w:val="00D72D45"/>
    <w:rsid w:val="00D72D61"/>
    <w:rsid w:val="00D72DA3"/>
    <w:rsid w:val="00D72E1E"/>
    <w:rsid w:val="00D72F22"/>
    <w:rsid w:val="00D72F4B"/>
    <w:rsid w:val="00D72FB1"/>
    <w:rsid w:val="00D7300D"/>
    <w:rsid w:val="00D7305A"/>
    <w:rsid w:val="00D73092"/>
    <w:rsid w:val="00D73130"/>
    <w:rsid w:val="00D731B1"/>
    <w:rsid w:val="00D73399"/>
    <w:rsid w:val="00D7340E"/>
    <w:rsid w:val="00D7341C"/>
    <w:rsid w:val="00D7345A"/>
    <w:rsid w:val="00D7346B"/>
    <w:rsid w:val="00D73475"/>
    <w:rsid w:val="00D734F0"/>
    <w:rsid w:val="00D73541"/>
    <w:rsid w:val="00D73690"/>
    <w:rsid w:val="00D7375D"/>
    <w:rsid w:val="00D7378B"/>
    <w:rsid w:val="00D737F0"/>
    <w:rsid w:val="00D73888"/>
    <w:rsid w:val="00D738AC"/>
    <w:rsid w:val="00D738B1"/>
    <w:rsid w:val="00D738B5"/>
    <w:rsid w:val="00D73996"/>
    <w:rsid w:val="00D739D0"/>
    <w:rsid w:val="00D73A1F"/>
    <w:rsid w:val="00D73A29"/>
    <w:rsid w:val="00D73A51"/>
    <w:rsid w:val="00D73AEC"/>
    <w:rsid w:val="00D73AF4"/>
    <w:rsid w:val="00D73B06"/>
    <w:rsid w:val="00D73B14"/>
    <w:rsid w:val="00D73B3D"/>
    <w:rsid w:val="00D73B63"/>
    <w:rsid w:val="00D73B75"/>
    <w:rsid w:val="00D73B76"/>
    <w:rsid w:val="00D73BAB"/>
    <w:rsid w:val="00D73C07"/>
    <w:rsid w:val="00D73CFC"/>
    <w:rsid w:val="00D73D05"/>
    <w:rsid w:val="00D73D2D"/>
    <w:rsid w:val="00D73D55"/>
    <w:rsid w:val="00D73D62"/>
    <w:rsid w:val="00D73D68"/>
    <w:rsid w:val="00D73DA3"/>
    <w:rsid w:val="00D73E80"/>
    <w:rsid w:val="00D73EBA"/>
    <w:rsid w:val="00D73F20"/>
    <w:rsid w:val="00D73F23"/>
    <w:rsid w:val="00D73FAF"/>
    <w:rsid w:val="00D73FE7"/>
    <w:rsid w:val="00D74160"/>
    <w:rsid w:val="00D74183"/>
    <w:rsid w:val="00D74198"/>
    <w:rsid w:val="00D742E5"/>
    <w:rsid w:val="00D74305"/>
    <w:rsid w:val="00D74342"/>
    <w:rsid w:val="00D74361"/>
    <w:rsid w:val="00D74393"/>
    <w:rsid w:val="00D74419"/>
    <w:rsid w:val="00D7445B"/>
    <w:rsid w:val="00D744B8"/>
    <w:rsid w:val="00D744D2"/>
    <w:rsid w:val="00D744E7"/>
    <w:rsid w:val="00D74558"/>
    <w:rsid w:val="00D745B0"/>
    <w:rsid w:val="00D745E7"/>
    <w:rsid w:val="00D7460B"/>
    <w:rsid w:val="00D74628"/>
    <w:rsid w:val="00D7463F"/>
    <w:rsid w:val="00D74670"/>
    <w:rsid w:val="00D74671"/>
    <w:rsid w:val="00D74684"/>
    <w:rsid w:val="00D746B5"/>
    <w:rsid w:val="00D746BC"/>
    <w:rsid w:val="00D746F3"/>
    <w:rsid w:val="00D74712"/>
    <w:rsid w:val="00D74799"/>
    <w:rsid w:val="00D7481B"/>
    <w:rsid w:val="00D7484B"/>
    <w:rsid w:val="00D7484F"/>
    <w:rsid w:val="00D7493B"/>
    <w:rsid w:val="00D749F3"/>
    <w:rsid w:val="00D74A21"/>
    <w:rsid w:val="00D74AA6"/>
    <w:rsid w:val="00D74B52"/>
    <w:rsid w:val="00D74B57"/>
    <w:rsid w:val="00D74B60"/>
    <w:rsid w:val="00D74B69"/>
    <w:rsid w:val="00D74B6E"/>
    <w:rsid w:val="00D74B75"/>
    <w:rsid w:val="00D74C02"/>
    <w:rsid w:val="00D74C35"/>
    <w:rsid w:val="00D74C83"/>
    <w:rsid w:val="00D74C84"/>
    <w:rsid w:val="00D74C9B"/>
    <w:rsid w:val="00D74DF1"/>
    <w:rsid w:val="00D74E43"/>
    <w:rsid w:val="00D74EF3"/>
    <w:rsid w:val="00D74F09"/>
    <w:rsid w:val="00D74FA0"/>
    <w:rsid w:val="00D75017"/>
    <w:rsid w:val="00D750D8"/>
    <w:rsid w:val="00D750EE"/>
    <w:rsid w:val="00D75103"/>
    <w:rsid w:val="00D75177"/>
    <w:rsid w:val="00D7518B"/>
    <w:rsid w:val="00D75227"/>
    <w:rsid w:val="00D7527F"/>
    <w:rsid w:val="00D75308"/>
    <w:rsid w:val="00D7531C"/>
    <w:rsid w:val="00D75381"/>
    <w:rsid w:val="00D7539F"/>
    <w:rsid w:val="00D753AD"/>
    <w:rsid w:val="00D75521"/>
    <w:rsid w:val="00D75558"/>
    <w:rsid w:val="00D75574"/>
    <w:rsid w:val="00D75595"/>
    <w:rsid w:val="00D755E9"/>
    <w:rsid w:val="00D7562E"/>
    <w:rsid w:val="00D75671"/>
    <w:rsid w:val="00D75738"/>
    <w:rsid w:val="00D75771"/>
    <w:rsid w:val="00D7578B"/>
    <w:rsid w:val="00D757D9"/>
    <w:rsid w:val="00D75855"/>
    <w:rsid w:val="00D7586A"/>
    <w:rsid w:val="00D75935"/>
    <w:rsid w:val="00D75991"/>
    <w:rsid w:val="00D759B2"/>
    <w:rsid w:val="00D759BC"/>
    <w:rsid w:val="00D759D0"/>
    <w:rsid w:val="00D759ED"/>
    <w:rsid w:val="00D75A2A"/>
    <w:rsid w:val="00D75A56"/>
    <w:rsid w:val="00D75AC2"/>
    <w:rsid w:val="00D75AE5"/>
    <w:rsid w:val="00D75B5D"/>
    <w:rsid w:val="00D75B96"/>
    <w:rsid w:val="00D75BE5"/>
    <w:rsid w:val="00D75BE9"/>
    <w:rsid w:val="00D75BFA"/>
    <w:rsid w:val="00D75C50"/>
    <w:rsid w:val="00D75C98"/>
    <w:rsid w:val="00D75D25"/>
    <w:rsid w:val="00D75DC2"/>
    <w:rsid w:val="00D75DC7"/>
    <w:rsid w:val="00D75E1B"/>
    <w:rsid w:val="00D75E9D"/>
    <w:rsid w:val="00D75EA0"/>
    <w:rsid w:val="00D75ED5"/>
    <w:rsid w:val="00D75EDF"/>
    <w:rsid w:val="00D75F3A"/>
    <w:rsid w:val="00D75FB5"/>
    <w:rsid w:val="00D7602B"/>
    <w:rsid w:val="00D76150"/>
    <w:rsid w:val="00D76180"/>
    <w:rsid w:val="00D761BB"/>
    <w:rsid w:val="00D761DC"/>
    <w:rsid w:val="00D76251"/>
    <w:rsid w:val="00D762F0"/>
    <w:rsid w:val="00D762F8"/>
    <w:rsid w:val="00D7639B"/>
    <w:rsid w:val="00D763B5"/>
    <w:rsid w:val="00D7641B"/>
    <w:rsid w:val="00D7647D"/>
    <w:rsid w:val="00D764D3"/>
    <w:rsid w:val="00D7656A"/>
    <w:rsid w:val="00D76572"/>
    <w:rsid w:val="00D765A1"/>
    <w:rsid w:val="00D765A2"/>
    <w:rsid w:val="00D765C1"/>
    <w:rsid w:val="00D765D5"/>
    <w:rsid w:val="00D76614"/>
    <w:rsid w:val="00D766AB"/>
    <w:rsid w:val="00D766C6"/>
    <w:rsid w:val="00D766D8"/>
    <w:rsid w:val="00D7678E"/>
    <w:rsid w:val="00D7678F"/>
    <w:rsid w:val="00D76816"/>
    <w:rsid w:val="00D76831"/>
    <w:rsid w:val="00D76872"/>
    <w:rsid w:val="00D7687B"/>
    <w:rsid w:val="00D76881"/>
    <w:rsid w:val="00D7696A"/>
    <w:rsid w:val="00D769D1"/>
    <w:rsid w:val="00D76A77"/>
    <w:rsid w:val="00D76A8B"/>
    <w:rsid w:val="00D76AAE"/>
    <w:rsid w:val="00D76AED"/>
    <w:rsid w:val="00D76BE5"/>
    <w:rsid w:val="00D76C92"/>
    <w:rsid w:val="00D76D70"/>
    <w:rsid w:val="00D76D94"/>
    <w:rsid w:val="00D76DE5"/>
    <w:rsid w:val="00D76E44"/>
    <w:rsid w:val="00D76EBE"/>
    <w:rsid w:val="00D76EDB"/>
    <w:rsid w:val="00D76F7D"/>
    <w:rsid w:val="00D77070"/>
    <w:rsid w:val="00D770F2"/>
    <w:rsid w:val="00D77110"/>
    <w:rsid w:val="00D7719C"/>
    <w:rsid w:val="00D77214"/>
    <w:rsid w:val="00D7725C"/>
    <w:rsid w:val="00D772F1"/>
    <w:rsid w:val="00D77320"/>
    <w:rsid w:val="00D773BF"/>
    <w:rsid w:val="00D7740B"/>
    <w:rsid w:val="00D7744E"/>
    <w:rsid w:val="00D77482"/>
    <w:rsid w:val="00D7749E"/>
    <w:rsid w:val="00D774D8"/>
    <w:rsid w:val="00D774F2"/>
    <w:rsid w:val="00D7758E"/>
    <w:rsid w:val="00D77685"/>
    <w:rsid w:val="00D776A2"/>
    <w:rsid w:val="00D777BB"/>
    <w:rsid w:val="00D77829"/>
    <w:rsid w:val="00D77860"/>
    <w:rsid w:val="00D77908"/>
    <w:rsid w:val="00D7792B"/>
    <w:rsid w:val="00D77933"/>
    <w:rsid w:val="00D77954"/>
    <w:rsid w:val="00D7796C"/>
    <w:rsid w:val="00D779C1"/>
    <w:rsid w:val="00D77AAE"/>
    <w:rsid w:val="00D77AF6"/>
    <w:rsid w:val="00D77B24"/>
    <w:rsid w:val="00D77B88"/>
    <w:rsid w:val="00D77BBD"/>
    <w:rsid w:val="00D77BBE"/>
    <w:rsid w:val="00D77BC5"/>
    <w:rsid w:val="00D77BD5"/>
    <w:rsid w:val="00D77CE1"/>
    <w:rsid w:val="00D77CE4"/>
    <w:rsid w:val="00D77D44"/>
    <w:rsid w:val="00D77F34"/>
    <w:rsid w:val="00D77F59"/>
    <w:rsid w:val="00D77F6B"/>
    <w:rsid w:val="00D77FAE"/>
    <w:rsid w:val="00D8000B"/>
    <w:rsid w:val="00D80105"/>
    <w:rsid w:val="00D80113"/>
    <w:rsid w:val="00D8012D"/>
    <w:rsid w:val="00D801BC"/>
    <w:rsid w:val="00D801E0"/>
    <w:rsid w:val="00D80231"/>
    <w:rsid w:val="00D8024D"/>
    <w:rsid w:val="00D80288"/>
    <w:rsid w:val="00D8028C"/>
    <w:rsid w:val="00D802BB"/>
    <w:rsid w:val="00D802DD"/>
    <w:rsid w:val="00D80319"/>
    <w:rsid w:val="00D803EE"/>
    <w:rsid w:val="00D80430"/>
    <w:rsid w:val="00D8047B"/>
    <w:rsid w:val="00D804E9"/>
    <w:rsid w:val="00D8053B"/>
    <w:rsid w:val="00D80662"/>
    <w:rsid w:val="00D80673"/>
    <w:rsid w:val="00D806C1"/>
    <w:rsid w:val="00D806FB"/>
    <w:rsid w:val="00D80748"/>
    <w:rsid w:val="00D80807"/>
    <w:rsid w:val="00D80833"/>
    <w:rsid w:val="00D8084E"/>
    <w:rsid w:val="00D8087E"/>
    <w:rsid w:val="00D80927"/>
    <w:rsid w:val="00D80966"/>
    <w:rsid w:val="00D8098C"/>
    <w:rsid w:val="00D80A6D"/>
    <w:rsid w:val="00D80AA6"/>
    <w:rsid w:val="00D80AE8"/>
    <w:rsid w:val="00D80BAC"/>
    <w:rsid w:val="00D80BF2"/>
    <w:rsid w:val="00D80C59"/>
    <w:rsid w:val="00D80C99"/>
    <w:rsid w:val="00D80CEA"/>
    <w:rsid w:val="00D80D8A"/>
    <w:rsid w:val="00D80DE9"/>
    <w:rsid w:val="00D80DEE"/>
    <w:rsid w:val="00D80E07"/>
    <w:rsid w:val="00D80E7A"/>
    <w:rsid w:val="00D80EB4"/>
    <w:rsid w:val="00D80ED5"/>
    <w:rsid w:val="00D80F3F"/>
    <w:rsid w:val="00D80F72"/>
    <w:rsid w:val="00D80F9E"/>
    <w:rsid w:val="00D81030"/>
    <w:rsid w:val="00D8103F"/>
    <w:rsid w:val="00D81088"/>
    <w:rsid w:val="00D8109F"/>
    <w:rsid w:val="00D810EA"/>
    <w:rsid w:val="00D81134"/>
    <w:rsid w:val="00D81174"/>
    <w:rsid w:val="00D8121A"/>
    <w:rsid w:val="00D81266"/>
    <w:rsid w:val="00D81333"/>
    <w:rsid w:val="00D81341"/>
    <w:rsid w:val="00D81349"/>
    <w:rsid w:val="00D813BC"/>
    <w:rsid w:val="00D81422"/>
    <w:rsid w:val="00D81425"/>
    <w:rsid w:val="00D814DF"/>
    <w:rsid w:val="00D81583"/>
    <w:rsid w:val="00D81587"/>
    <w:rsid w:val="00D815E7"/>
    <w:rsid w:val="00D81610"/>
    <w:rsid w:val="00D81689"/>
    <w:rsid w:val="00D816FC"/>
    <w:rsid w:val="00D81794"/>
    <w:rsid w:val="00D81821"/>
    <w:rsid w:val="00D81916"/>
    <w:rsid w:val="00D81A32"/>
    <w:rsid w:val="00D81A46"/>
    <w:rsid w:val="00D81AD2"/>
    <w:rsid w:val="00D81BC9"/>
    <w:rsid w:val="00D81BD9"/>
    <w:rsid w:val="00D81CD6"/>
    <w:rsid w:val="00D81D3F"/>
    <w:rsid w:val="00D81DD6"/>
    <w:rsid w:val="00D81EA4"/>
    <w:rsid w:val="00D81F42"/>
    <w:rsid w:val="00D82007"/>
    <w:rsid w:val="00D82027"/>
    <w:rsid w:val="00D8206C"/>
    <w:rsid w:val="00D820D3"/>
    <w:rsid w:val="00D82169"/>
    <w:rsid w:val="00D8216E"/>
    <w:rsid w:val="00D82262"/>
    <w:rsid w:val="00D822DC"/>
    <w:rsid w:val="00D822E5"/>
    <w:rsid w:val="00D823C4"/>
    <w:rsid w:val="00D82408"/>
    <w:rsid w:val="00D824A1"/>
    <w:rsid w:val="00D824B6"/>
    <w:rsid w:val="00D824DF"/>
    <w:rsid w:val="00D824E4"/>
    <w:rsid w:val="00D824EB"/>
    <w:rsid w:val="00D8253A"/>
    <w:rsid w:val="00D82542"/>
    <w:rsid w:val="00D825B2"/>
    <w:rsid w:val="00D8271A"/>
    <w:rsid w:val="00D82732"/>
    <w:rsid w:val="00D82754"/>
    <w:rsid w:val="00D827CA"/>
    <w:rsid w:val="00D828DB"/>
    <w:rsid w:val="00D82A80"/>
    <w:rsid w:val="00D82A89"/>
    <w:rsid w:val="00D82BFD"/>
    <w:rsid w:val="00D82D07"/>
    <w:rsid w:val="00D82D2A"/>
    <w:rsid w:val="00D82D2F"/>
    <w:rsid w:val="00D82D5A"/>
    <w:rsid w:val="00D82D5C"/>
    <w:rsid w:val="00D82D64"/>
    <w:rsid w:val="00D82E82"/>
    <w:rsid w:val="00D82E9D"/>
    <w:rsid w:val="00D82EC5"/>
    <w:rsid w:val="00D82EFE"/>
    <w:rsid w:val="00D82F15"/>
    <w:rsid w:val="00D82F34"/>
    <w:rsid w:val="00D82F88"/>
    <w:rsid w:val="00D82F8F"/>
    <w:rsid w:val="00D82FA1"/>
    <w:rsid w:val="00D82FCD"/>
    <w:rsid w:val="00D83070"/>
    <w:rsid w:val="00D830B2"/>
    <w:rsid w:val="00D830D7"/>
    <w:rsid w:val="00D830F4"/>
    <w:rsid w:val="00D8310B"/>
    <w:rsid w:val="00D8312F"/>
    <w:rsid w:val="00D831A7"/>
    <w:rsid w:val="00D831F5"/>
    <w:rsid w:val="00D83200"/>
    <w:rsid w:val="00D83234"/>
    <w:rsid w:val="00D83374"/>
    <w:rsid w:val="00D8338D"/>
    <w:rsid w:val="00D833A6"/>
    <w:rsid w:val="00D833D9"/>
    <w:rsid w:val="00D83433"/>
    <w:rsid w:val="00D83499"/>
    <w:rsid w:val="00D8349B"/>
    <w:rsid w:val="00D83502"/>
    <w:rsid w:val="00D83585"/>
    <w:rsid w:val="00D83588"/>
    <w:rsid w:val="00D835C2"/>
    <w:rsid w:val="00D8363A"/>
    <w:rsid w:val="00D836C5"/>
    <w:rsid w:val="00D837CB"/>
    <w:rsid w:val="00D837CD"/>
    <w:rsid w:val="00D83815"/>
    <w:rsid w:val="00D838F7"/>
    <w:rsid w:val="00D83925"/>
    <w:rsid w:val="00D839CE"/>
    <w:rsid w:val="00D83AFA"/>
    <w:rsid w:val="00D83BD9"/>
    <w:rsid w:val="00D83C15"/>
    <w:rsid w:val="00D83C85"/>
    <w:rsid w:val="00D83C88"/>
    <w:rsid w:val="00D83EB4"/>
    <w:rsid w:val="00D83EC7"/>
    <w:rsid w:val="00D83ED0"/>
    <w:rsid w:val="00D83ED6"/>
    <w:rsid w:val="00D83EDD"/>
    <w:rsid w:val="00D83F64"/>
    <w:rsid w:val="00D83FFC"/>
    <w:rsid w:val="00D84050"/>
    <w:rsid w:val="00D84078"/>
    <w:rsid w:val="00D840EE"/>
    <w:rsid w:val="00D840F1"/>
    <w:rsid w:val="00D8418B"/>
    <w:rsid w:val="00D842D2"/>
    <w:rsid w:val="00D843FD"/>
    <w:rsid w:val="00D84402"/>
    <w:rsid w:val="00D84408"/>
    <w:rsid w:val="00D84457"/>
    <w:rsid w:val="00D84479"/>
    <w:rsid w:val="00D84577"/>
    <w:rsid w:val="00D84606"/>
    <w:rsid w:val="00D84671"/>
    <w:rsid w:val="00D846A3"/>
    <w:rsid w:val="00D846F0"/>
    <w:rsid w:val="00D846FC"/>
    <w:rsid w:val="00D8471F"/>
    <w:rsid w:val="00D84726"/>
    <w:rsid w:val="00D8472F"/>
    <w:rsid w:val="00D84734"/>
    <w:rsid w:val="00D847A2"/>
    <w:rsid w:val="00D8486B"/>
    <w:rsid w:val="00D84876"/>
    <w:rsid w:val="00D848AE"/>
    <w:rsid w:val="00D8490E"/>
    <w:rsid w:val="00D84A08"/>
    <w:rsid w:val="00D84A15"/>
    <w:rsid w:val="00D84A17"/>
    <w:rsid w:val="00D84A41"/>
    <w:rsid w:val="00D84A9E"/>
    <w:rsid w:val="00D84B0F"/>
    <w:rsid w:val="00D84B25"/>
    <w:rsid w:val="00D84B26"/>
    <w:rsid w:val="00D84B6A"/>
    <w:rsid w:val="00D84B88"/>
    <w:rsid w:val="00D84BF2"/>
    <w:rsid w:val="00D84C4F"/>
    <w:rsid w:val="00D84C68"/>
    <w:rsid w:val="00D84C89"/>
    <w:rsid w:val="00D84CCC"/>
    <w:rsid w:val="00D84D41"/>
    <w:rsid w:val="00D84D65"/>
    <w:rsid w:val="00D84E02"/>
    <w:rsid w:val="00D84E32"/>
    <w:rsid w:val="00D84E88"/>
    <w:rsid w:val="00D850B6"/>
    <w:rsid w:val="00D850EA"/>
    <w:rsid w:val="00D85115"/>
    <w:rsid w:val="00D8514E"/>
    <w:rsid w:val="00D85207"/>
    <w:rsid w:val="00D85217"/>
    <w:rsid w:val="00D85266"/>
    <w:rsid w:val="00D852C2"/>
    <w:rsid w:val="00D85321"/>
    <w:rsid w:val="00D85380"/>
    <w:rsid w:val="00D853EA"/>
    <w:rsid w:val="00D854BD"/>
    <w:rsid w:val="00D855D7"/>
    <w:rsid w:val="00D85631"/>
    <w:rsid w:val="00D85648"/>
    <w:rsid w:val="00D856F3"/>
    <w:rsid w:val="00D85716"/>
    <w:rsid w:val="00D8571A"/>
    <w:rsid w:val="00D8573D"/>
    <w:rsid w:val="00D8573E"/>
    <w:rsid w:val="00D8578F"/>
    <w:rsid w:val="00D857A4"/>
    <w:rsid w:val="00D85964"/>
    <w:rsid w:val="00D859A4"/>
    <w:rsid w:val="00D859CC"/>
    <w:rsid w:val="00D859E6"/>
    <w:rsid w:val="00D85B03"/>
    <w:rsid w:val="00D85B34"/>
    <w:rsid w:val="00D85BEF"/>
    <w:rsid w:val="00D85C31"/>
    <w:rsid w:val="00D85CB9"/>
    <w:rsid w:val="00D85CD1"/>
    <w:rsid w:val="00D85D2C"/>
    <w:rsid w:val="00D85D2E"/>
    <w:rsid w:val="00D85D9E"/>
    <w:rsid w:val="00D85E10"/>
    <w:rsid w:val="00D8602D"/>
    <w:rsid w:val="00D86152"/>
    <w:rsid w:val="00D8627B"/>
    <w:rsid w:val="00D862B5"/>
    <w:rsid w:val="00D862E0"/>
    <w:rsid w:val="00D862E7"/>
    <w:rsid w:val="00D8635B"/>
    <w:rsid w:val="00D863D7"/>
    <w:rsid w:val="00D864A6"/>
    <w:rsid w:val="00D86527"/>
    <w:rsid w:val="00D86562"/>
    <w:rsid w:val="00D86654"/>
    <w:rsid w:val="00D8668C"/>
    <w:rsid w:val="00D8670D"/>
    <w:rsid w:val="00D86764"/>
    <w:rsid w:val="00D86863"/>
    <w:rsid w:val="00D868ED"/>
    <w:rsid w:val="00D86914"/>
    <w:rsid w:val="00D86959"/>
    <w:rsid w:val="00D8695F"/>
    <w:rsid w:val="00D86965"/>
    <w:rsid w:val="00D86966"/>
    <w:rsid w:val="00D869AD"/>
    <w:rsid w:val="00D869F5"/>
    <w:rsid w:val="00D869F6"/>
    <w:rsid w:val="00D869F7"/>
    <w:rsid w:val="00D86A5E"/>
    <w:rsid w:val="00D86AA8"/>
    <w:rsid w:val="00D86AC3"/>
    <w:rsid w:val="00D86B83"/>
    <w:rsid w:val="00D86BE3"/>
    <w:rsid w:val="00D86C3A"/>
    <w:rsid w:val="00D86C68"/>
    <w:rsid w:val="00D86CA1"/>
    <w:rsid w:val="00D86CCE"/>
    <w:rsid w:val="00D86D23"/>
    <w:rsid w:val="00D86D4A"/>
    <w:rsid w:val="00D86D69"/>
    <w:rsid w:val="00D86D8A"/>
    <w:rsid w:val="00D86DAD"/>
    <w:rsid w:val="00D86E0E"/>
    <w:rsid w:val="00D86F64"/>
    <w:rsid w:val="00D86F7D"/>
    <w:rsid w:val="00D86FBB"/>
    <w:rsid w:val="00D87009"/>
    <w:rsid w:val="00D8701C"/>
    <w:rsid w:val="00D87177"/>
    <w:rsid w:val="00D871BD"/>
    <w:rsid w:val="00D871F9"/>
    <w:rsid w:val="00D87251"/>
    <w:rsid w:val="00D8727A"/>
    <w:rsid w:val="00D872B9"/>
    <w:rsid w:val="00D872C7"/>
    <w:rsid w:val="00D87339"/>
    <w:rsid w:val="00D87461"/>
    <w:rsid w:val="00D87480"/>
    <w:rsid w:val="00D87557"/>
    <w:rsid w:val="00D875D4"/>
    <w:rsid w:val="00D875DC"/>
    <w:rsid w:val="00D87625"/>
    <w:rsid w:val="00D876EE"/>
    <w:rsid w:val="00D87708"/>
    <w:rsid w:val="00D87723"/>
    <w:rsid w:val="00D87741"/>
    <w:rsid w:val="00D87742"/>
    <w:rsid w:val="00D87778"/>
    <w:rsid w:val="00D8780C"/>
    <w:rsid w:val="00D87826"/>
    <w:rsid w:val="00D87845"/>
    <w:rsid w:val="00D8788A"/>
    <w:rsid w:val="00D87930"/>
    <w:rsid w:val="00D87971"/>
    <w:rsid w:val="00D87988"/>
    <w:rsid w:val="00D8799D"/>
    <w:rsid w:val="00D8799E"/>
    <w:rsid w:val="00D87A38"/>
    <w:rsid w:val="00D87A48"/>
    <w:rsid w:val="00D87A7C"/>
    <w:rsid w:val="00D87A8F"/>
    <w:rsid w:val="00D87AA7"/>
    <w:rsid w:val="00D87B70"/>
    <w:rsid w:val="00D87BFC"/>
    <w:rsid w:val="00D87C1B"/>
    <w:rsid w:val="00D87CD2"/>
    <w:rsid w:val="00D87CE5"/>
    <w:rsid w:val="00D87D15"/>
    <w:rsid w:val="00D87DB3"/>
    <w:rsid w:val="00D87E25"/>
    <w:rsid w:val="00D87E7D"/>
    <w:rsid w:val="00D87E88"/>
    <w:rsid w:val="00D87EEB"/>
    <w:rsid w:val="00D87F56"/>
    <w:rsid w:val="00D87F58"/>
    <w:rsid w:val="00D9002B"/>
    <w:rsid w:val="00D9005A"/>
    <w:rsid w:val="00D90078"/>
    <w:rsid w:val="00D9007C"/>
    <w:rsid w:val="00D90119"/>
    <w:rsid w:val="00D90129"/>
    <w:rsid w:val="00D9015A"/>
    <w:rsid w:val="00D902FA"/>
    <w:rsid w:val="00D90309"/>
    <w:rsid w:val="00D90310"/>
    <w:rsid w:val="00D9031A"/>
    <w:rsid w:val="00D9031F"/>
    <w:rsid w:val="00D9035A"/>
    <w:rsid w:val="00D9036E"/>
    <w:rsid w:val="00D90396"/>
    <w:rsid w:val="00D903C4"/>
    <w:rsid w:val="00D903C8"/>
    <w:rsid w:val="00D903E3"/>
    <w:rsid w:val="00D9041F"/>
    <w:rsid w:val="00D9044E"/>
    <w:rsid w:val="00D9052F"/>
    <w:rsid w:val="00D90589"/>
    <w:rsid w:val="00D905A3"/>
    <w:rsid w:val="00D905CB"/>
    <w:rsid w:val="00D905D1"/>
    <w:rsid w:val="00D906C5"/>
    <w:rsid w:val="00D9071D"/>
    <w:rsid w:val="00D9071F"/>
    <w:rsid w:val="00D90798"/>
    <w:rsid w:val="00D907CE"/>
    <w:rsid w:val="00D9085D"/>
    <w:rsid w:val="00D908BD"/>
    <w:rsid w:val="00D909DA"/>
    <w:rsid w:val="00D90A27"/>
    <w:rsid w:val="00D90A9E"/>
    <w:rsid w:val="00D90BB6"/>
    <w:rsid w:val="00D90BD9"/>
    <w:rsid w:val="00D90BF4"/>
    <w:rsid w:val="00D90C06"/>
    <w:rsid w:val="00D90C23"/>
    <w:rsid w:val="00D90C9E"/>
    <w:rsid w:val="00D90CF3"/>
    <w:rsid w:val="00D90CF8"/>
    <w:rsid w:val="00D90D28"/>
    <w:rsid w:val="00D90D33"/>
    <w:rsid w:val="00D90D3E"/>
    <w:rsid w:val="00D90E2B"/>
    <w:rsid w:val="00D90E73"/>
    <w:rsid w:val="00D90E7F"/>
    <w:rsid w:val="00D90E8F"/>
    <w:rsid w:val="00D90EDB"/>
    <w:rsid w:val="00D90FD5"/>
    <w:rsid w:val="00D9102F"/>
    <w:rsid w:val="00D9115D"/>
    <w:rsid w:val="00D911A3"/>
    <w:rsid w:val="00D911C9"/>
    <w:rsid w:val="00D91207"/>
    <w:rsid w:val="00D91287"/>
    <w:rsid w:val="00D912BD"/>
    <w:rsid w:val="00D913CD"/>
    <w:rsid w:val="00D914DD"/>
    <w:rsid w:val="00D91513"/>
    <w:rsid w:val="00D91556"/>
    <w:rsid w:val="00D91566"/>
    <w:rsid w:val="00D91598"/>
    <w:rsid w:val="00D9163D"/>
    <w:rsid w:val="00D91685"/>
    <w:rsid w:val="00D916AF"/>
    <w:rsid w:val="00D916CD"/>
    <w:rsid w:val="00D91714"/>
    <w:rsid w:val="00D9172C"/>
    <w:rsid w:val="00D917B4"/>
    <w:rsid w:val="00D917F8"/>
    <w:rsid w:val="00D9180B"/>
    <w:rsid w:val="00D91823"/>
    <w:rsid w:val="00D91845"/>
    <w:rsid w:val="00D918FF"/>
    <w:rsid w:val="00D91A0A"/>
    <w:rsid w:val="00D91B14"/>
    <w:rsid w:val="00D91B6D"/>
    <w:rsid w:val="00D91B9C"/>
    <w:rsid w:val="00D91BA5"/>
    <w:rsid w:val="00D91C32"/>
    <w:rsid w:val="00D91C49"/>
    <w:rsid w:val="00D91C85"/>
    <w:rsid w:val="00D91CAA"/>
    <w:rsid w:val="00D91CD3"/>
    <w:rsid w:val="00D91CE5"/>
    <w:rsid w:val="00D91CF5"/>
    <w:rsid w:val="00D91CF8"/>
    <w:rsid w:val="00D91D00"/>
    <w:rsid w:val="00D91D5F"/>
    <w:rsid w:val="00D91D6D"/>
    <w:rsid w:val="00D91E53"/>
    <w:rsid w:val="00D91EE8"/>
    <w:rsid w:val="00D91F30"/>
    <w:rsid w:val="00D91F5A"/>
    <w:rsid w:val="00D91F7D"/>
    <w:rsid w:val="00D91F8E"/>
    <w:rsid w:val="00D92060"/>
    <w:rsid w:val="00D920EF"/>
    <w:rsid w:val="00D9215D"/>
    <w:rsid w:val="00D921C8"/>
    <w:rsid w:val="00D92201"/>
    <w:rsid w:val="00D92245"/>
    <w:rsid w:val="00D923E5"/>
    <w:rsid w:val="00D92542"/>
    <w:rsid w:val="00D92548"/>
    <w:rsid w:val="00D9266B"/>
    <w:rsid w:val="00D927AB"/>
    <w:rsid w:val="00D92892"/>
    <w:rsid w:val="00D928E1"/>
    <w:rsid w:val="00D9291E"/>
    <w:rsid w:val="00D92921"/>
    <w:rsid w:val="00D92949"/>
    <w:rsid w:val="00D92966"/>
    <w:rsid w:val="00D9296B"/>
    <w:rsid w:val="00D9296E"/>
    <w:rsid w:val="00D92A1A"/>
    <w:rsid w:val="00D92B0B"/>
    <w:rsid w:val="00D92B53"/>
    <w:rsid w:val="00D92BEB"/>
    <w:rsid w:val="00D92CB7"/>
    <w:rsid w:val="00D92CD6"/>
    <w:rsid w:val="00D92D58"/>
    <w:rsid w:val="00D92DCE"/>
    <w:rsid w:val="00D92DFB"/>
    <w:rsid w:val="00D92DFE"/>
    <w:rsid w:val="00D92E3C"/>
    <w:rsid w:val="00D92E6F"/>
    <w:rsid w:val="00D92ECA"/>
    <w:rsid w:val="00D92FDD"/>
    <w:rsid w:val="00D92FE0"/>
    <w:rsid w:val="00D93013"/>
    <w:rsid w:val="00D93055"/>
    <w:rsid w:val="00D93060"/>
    <w:rsid w:val="00D93095"/>
    <w:rsid w:val="00D930E9"/>
    <w:rsid w:val="00D93104"/>
    <w:rsid w:val="00D9311B"/>
    <w:rsid w:val="00D9311D"/>
    <w:rsid w:val="00D93182"/>
    <w:rsid w:val="00D931CE"/>
    <w:rsid w:val="00D931F2"/>
    <w:rsid w:val="00D93277"/>
    <w:rsid w:val="00D93356"/>
    <w:rsid w:val="00D93372"/>
    <w:rsid w:val="00D9337F"/>
    <w:rsid w:val="00D93405"/>
    <w:rsid w:val="00D9346D"/>
    <w:rsid w:val="00D934F7"/>
    <w:rsid w:val="00D9351D"/>
    <w:rsid w:val="00D9356F"/>
    <w:rsid w:val="00D93570"/>
    <w:rsid w:val="00D93585"/>
    <w:rsid w:val="00D935BF"/>
    <w:rsid w:val="00D93670"/>
    <w:rsid w:val="00D93781"/>
    <w:rsid w:val="00D937A1"/>
    <w:rsid w:val="00D93822"/>
    <w:rsid w:val="00D93882"/>
    <w:rsid w:val="00D9388B"/>
    <w:rsid w:val="00D938E9"/>
    <w:rsid w:val="00D9390D"/>
    <w:rsid w:val="00D9394D"/>
    <w:rsid w:val="00D9399D"/>
    <w:rsid w:val="00D93A3F"/>
    <w:rsid w:val="00D93A71"/>
    <w:rsid w:val="00D93A95"/>
    <w:rsid w:val="00D93B15"/>
    <w:rsid w:val="00D93B2C"/>
    <w:rsid w:val="00D93B3E"/>
    <w:rsid w:val="00D93BBA"/>
    <w:rsid w:val="00D93BF9"/>
    <w:rsid w:val="00D93C83"/>
    <w:rsid w:val="00D93CA0"/>
    <w:rsid w:val="00D93CCD"/>
    <w:rsid w:val="00D93CED"/>
    <w:rsid w:val="00D93D4E"/>
    <w:rsid w:val="00D93D73"/>
    <w:rsid w:val="00D93DED"/>
    <w:rsid w:val="00D93E49"/>
    <w:rsid w:val="00D93EBC"/>
    <w:rsid w:val="00D94016"/>
    <w:rsid w:val="00D94079"/>
    <w:rsid w:val="00D940DB"/>
    <w:rsid w:val="00D940DD"/>
    <w:rsid w:val="00D94143"/>
    <w:rsid w:val="00D941E7"/>
    <w:rsid w:val="00D941F6"/>
    <w:rsid w:val="00D9427E"/>
    <w:rsid w:val="00D94345"/>
    <w:rsid w:val="00D94388"/>
    <w:rsid w:val="00D943C6"/>
    <w:rsid w:val="00D94437"/>
    <w:rsid w:val="00D94472"/>
    <w:rsid w:val="00D9447A"/>
    <w:rsid w:val="00D94536"/>
    <w:rsid w:val="00D945D4"/>
    <w:rsid w:val="00D945F8"/>
    <w:rsid w:val="00D94617"/>
    <w:rsid w:val="00D9467B"/>
    <w:rsid w:val="00D94739"/>
    <w:rsid w:val="00D94747"/>
    <w:rsid w:val="00D9476E"/>
    <w:rsid w:val="00D947B9"/>
    <w:rsid w:val="00D947D8"/>
    <w:rsid w:val="00D9489F"/>
    <w:rsid w:val="00D948D3"/>
    <w:rsid w:val="00D94977"/>
    <w:rsid w:val="00D9498F"/>
    <w:rsid w:val="00D94996"/>
    <w:rsid w:val="00D9499F"/>
    <w:rsid w:val="00D94A6A"/>
    <w:rsid w:val="00D94B0F"/>
    <w:rsid w:val="00D94BC7"/>
    <w:rsid w:val="00D94BF8"/>
    <w:rsid w:val="00D94C4B"/>
    <w:rsid w:val="00D94C60"/>
    <w:rsid w:val="00D94CC5"/>
    <w:rsid w:val="00D94CE4"/>
    <w:rsid w:val="00D94D28"/>
    <w:rsid w:val="00D94D67"/>
    <w:rsid w:val="00D94DCF"/>
    <w:rsid w:val="00D94E88"/>
    <w:rsid w:val="00D94E89"/>
    <w:rsid w:val="00D94EA4"/>
    <w:rsid w:val="00D94EAE"/>
    <w:rsid w:val="00D94FA2"/>
    <w:rsid w:val="00D950C4"/>
    <w:rsid w:val="00D950FC"/>
    <w:rsid w:val="00D9517A"/>
    <w:rsid w:val="00D951E0"/>
    <w:rsid w:val="00D95255"/>
    <w:rsid w:val="00D9537D"/>
    <w:rsid w:val="00D95469"/>
    <w:rsid w:val="00D954D2"/>
    <w:rsid w:val="00D95528"/>
    <w:rsid w:val="00D955A1"/>
    <w:rsid w:val="00D955B1"/>
    <w:rsid w:val="00D95605"/>
    <w:rsid w:val="00D95619"/>
    <w:rsid w:val="00D95620"/>
    <w:rsid w:val="00D95627"/>
    <w:rsid w:val="00D95672"/>
    <w:rsid w:val="00D956A0"/>
    <w:rsid w:val="00D956B0"/>
    <w:rsid w:val="00D956DB"/>
    <w:rsid w:val="00D957BB"/>
    <w:rsid w:val="00D957E1"/>
    <w:rsid w:val="00D95830"/>
    <w:rsid w:val="00D9587E"/>
    <w:rsid w:val="00D95910"/>
    <w:rsid w:val="00D95912"/>
    <w:rsid w:val="00D95A3F"/>
    <w:rsid w:val="00D95A9F"/>
    <w:rsid w:val="00D95AA6"/>
    <w:rsid w:val="00D95AD0"/>
    <w:rsid w:val="00D95AD1"/>
    <w:rsid w:val="00D95B6B"/>
    <w:rsid w:val="00D95B91"/>
    <w:rsid w:val="00D95BE0"/>
    <w:rsid w:val="00D95BE9"/>
    <w:rsid w:val="00D95C27"/>
    <w:rsid w:val="00D95C69"/>
    <w:rsid w:val="00D95CE6"/>
    <w:rsid w:val="00D95D4F"/>
    <w:rsid w:val="00D95D66"/>
    <w:rsid w:val="00D95DED"/>
    <w:rsid w:val="00D95ED5"/>
    <w:rsid w:val="00D95ED8"/>
    <w:rsid w:val="00D95F01"/>
    <w:rsid w:val="00D95FB4"/>
    <w:rsid w:val="00D95FFB"/>
    <w:rsid w:val="00D96089"/>
    <w:rsid w:val="00D96147"/>
    <w:rsid w:val="00D9616E"/>
    <w:rsid w:val="00D961A3"/>
    <w:rsid w:val="00D961E7"/>
    <w:rsid w:val="00D962AD"/>
    <w:rsid w:val="00D962CE"/>
    <w:rsid w:val="00D962F7"/>
    <w:rsid w:val="00D963B0"/>
    <w:rsid w:val="00D9640F"/>
    <w:rsid w:val="00D96440"/>
    <w:rsid w:val="00D96456"/>
    <w:rsid w:val="00D964E9"/>
    <w:rsid w:val="00D9650C"/>
    <w:rsid w:val="00D96547"/>
    <w:rsid w:val="00D9662C"/>
    <w:rsid w:val="00D96646"/>
    <w:rsid w:val="00D966DC"/>
    <w:rsid w:val="00D966F5"/>
    <w:rsid w:val="00D96734"/>
    <w:rsid w:val="00D96789"/>
    <w:rsid w:val="00D967D1"/>
    <w:rsid w:val="00D968C3"/>
    <w:rsid w:val="00D968EA"/>
    <w:rsid w:val="00D968FF"/>
    <w:rsid w:val="00D96952"/>
    <w:rsid w:val="00D96972"/>
    <w:rsid w:val="00D969AC"/>
    <w:rsid w:val="00D969FC"/>
    <w:rsid w:val="00D969FE"/>
    <w:rsid w:val="00D96A65"/>
    <w:rsid w:val="00D96A9E"/>
    <w:rsid w:val="00D96AF9"/>
    <w:rsid w:val="00D96C88"/>
    <w:rsid w:val="00D96CD7"/>
    <w:rsid w:val="00D96D5F"/>
    <w:rsid w:val="00D96DC0"/>
    <w:rsid w:val="00D96EFB"/>
    <w:rsid w:val="00D96F14"/>
    <w:rsid w:val="00D96F33"/>
    <w:rsid w:val="00D96F4C"/>
    <w:rsid w:val="00D96FBD"/>
    <w:rsid w:val="00D97044"/>
    <w:rsid w:val="00D97084"/>
    <w:rsid w:val="00D970E3"/>
    <w:rsid w:val="00D97168"/>
    <w:rsid w:val="00D971BE"/>
    <w:rsid w:val="00D971DD"/>
    <w:rsid w:val="00D97251"/>
    <w:rsid w:val="00D972E1"/>
    <w:rsid w:val="00D973BA"/>
    <w:rsid w:val="00D973DC"/>
    <w:rsid w:val="00D973FD"/>
    <w:rsid w:val="00D9743D"/>
    <w:rsid w:val="00D9748B"/>
    <w:rsid w:val="00D974AF"/>
    <w:rsid w:val="00D974DC"/>
    <w:rsid w:val="00D974F9"/>
    <w:rsid w:val="00D97516"/>
    <w:rsid w:val="00D97533"/>
    <w:rsid w:val="00D9754E"/>
    <w:rsid w:val="00D97586"/>
    <w:rsid w:val="00D975C9"/>
    <w:rsid w:val="00D9761C"/>
    <w:rsid w:val="00D976DC"/>
    <w:rsid w:val="00D976F5"/>
    <w:rsid w:val="00D97751"/>
    <w:rsid w:val="00D97767"/>
    <w:rsid w:val="00D977D8"/>
    <w:rsid w:val="00D978A1"/>
    <w:rsid w:val="00D978C1"/>
    <w:rsid w:val="00D978D7"/>
    <w:rsid w:val="00D978ED"/>
    <w:rsid w:val="00D97961"/>
    <w:rsid w:val="00D979AC"/>
    <w:rsid w:val="00D97A02"/>
    <w:rsid w:val="00D97AD7"/>
    <w:rsid w:val="00D97B48"/>
    <w:rsid w:val="00D97B89"/>
    <w:rsid w:val="00D97BF2"/>
    <w:rsid w:val="00D97CD4"/>
    <w:rsid w:val="00D97E71"/>
    <w:rsid w:val="00D97E8E"/>
    <w:rsid w:val="00D97EE4"/>
    <w:rsid w:val="00DA0034"/>
    <w:rsid w:val="00DA014E"/>
    <w:rsid w:val="00DA01AC"/>
    <w:rsid w:val="00DA023D"/>
    <w:rsid w:val="00DA027A"/>
    <w:rsid w:val="00DA02A6"/>
    <w:rsid w:val="00DA03C2"/>
    <w:rsid w:val="00DA0408"/>
    <w:rsid w:val="00DA044E"/>
    <w:rsid w:val="00DA0465"/>
    <w:rsid w:val="00DA04E7"/>
    <w:rsid w:val="00DA04FF"/>
    <w:rsid w:val="00DA050C"/>
    <w:rsid w:val="00DA057C"/>
    <w:rsid w:val="00DA05D6"/>
    <w:rsid w:val="00DA05E2"/>
    <w:rsid w:val="00DA065B"/>
    <w:rsid w:val="00DA06A7"/>
    <w:rsid w:val="00DA06AF"/>
    <w:rsid w:val="00DA0737"/>
    <w:rsid w:val="00DA076C"/>
    <w:rsid w:val="00DA0795"/>
    <w:rsid w:val="00DA0808"/>
    <w:rsid w:val="00DA08CC"/>
    <w:rsid w:val="00DA0945"/>
    <w:rsid w:val="00DA0957"/>
    <w:rsid w:val="00DA0968"/>
    <w:rsid w:val="00DA098D"/>
    <w:rsid w:val="00DA0996"/>
    <w:rsid w:val="00DA09F2"/>
    <w:rsid w:val="00DA0AFA"/>
    <w:rsid w:val="00DA0AFE"/>
    <w:rsid w:val="00DA0B87"/>
    <w:rsid w:val="00DA0BAA"/>
    <w:rsid w:val="00DA0BE1"/>
    <w:rsid w:val="00DA0C4C"/>
    <w:rsid w:val="00DA0CE9"/>
    <w:rsid w:val="00DA0E2F"/>
    <w:rsid w:val="00DA0E34"/>
    <w:rsid w:val="00DA0EA6"/>
    <w:rsid w:val="00DA0F1A"/>
    <w:rsid w:val="00DA0F21"/>
    <w:rsid w:val="00DA0F5A"/>
    <w:rsid w:val="00DA0F7A"/>
    <w:rsid w:val="00DA0FAE"/>
    <w:rsid w:val="00DA0FC4"/>
    <w:rsid w:val="00DA0FC6"/>
    <w:rsid w:val="00DA0FC7"/>
    <w:rsid w:val="00DA102D"/>
    <w:rsid w:val="00DA10D4"/>
    <w:rsid w:val="00DA1117"/>
    <w:rsid w:val="00DA1170"/>
    <w:rsid w:val="00DA11A6"/>
    <w:rsid w:val="00DA11FB"/>
    <w:rsid w:val="00DA123F"/>
    <w:rsid w:val="00DA1246"/>
    <w:rsid w:val="00DA1309"/>
    <w:rsid w:val="00DA1348"/>
    <w:rsid w:val="00DA143D"/>
    <w:rsid w:val="00DA145D"/>
    <w:rsid w:val="00DA14AC"/>
    <w:rsid w:val="00DA150D"/>
    <w:rsid w:val="00DA15A3"/>
    <w:rsid w:val="00DA1686"/>
    <w:rsid w:val="00DA172A"/>
    <w:rsid w:val="00DA1733"/>
    <w:rsid w:val="00DA1734"/>
    <w:rsid w:val="00DA17A2"/>
    <w:rsid w:val="00DA17AC"/>
    <w:rsid w:val="00DA17AD"/>
    <w:rsid w:val="00DA17DF"/>
    <w:rsid w:val="00DA1861"/>
    <w:rsid w:val="00DA1916"/>
    <w:rsid w:val="00DA19D0"/>
    <w:rsid w:val="00DA19EE"/>
    <w:rsid w:val="00DA1A1B"/>
    <w:rsid w:val="00DA1BC2"/>
    <w:rsid w:val="00DA1BFB"/>
    <w:rsid w:val="00DA1C36"/>
    <w:rsid w:val="00DA1C72"/>
    <w:rsid w:val="00DA1CD3"/>
    <w:rsid w:val="00DA1D39"/>
    <w:rsid w:val="00DA1D8B"/>
    <w:rsid w:val="00DA1D9F"/>
    <w:rsid w:val="00DA1E68"/>
    <w:rsid w:val="00DA1E88"/>
    <w:rsid w:val="00DA1E8C"/>
    <w:rsid w:val="00DA1EC3"/>
    <w:rsid w:val="00DA1ED4"/>
    <w:rsid w:val="00DA1F0D"/>
    <w:rsid w:val="00DA1F49"/>
    <w:rsid w:val="00DA1FB8"/>
    <w:rsid w:val="00DA202A"/>
    <w:rsid w:val="00DA202C"/>
    <w:rsid w:val="00DA2076"/>
    <w:rsid w:val="00DA20B4"/>
    <w:rsid w:val="00DA20E9"/>
    <w:rsid w:val="00DA2125"/>
    <w:rsid w:val="00DA2136"/>
    <w:rsid w:val="00DA2138"/>
    <w:rsid w:val="00DA2200"/>
    <w:rsid w:val="00DA2230"/>
    <w:rsid w:val="00DA23A3"/>
    <w:rsid w:val="00DA241C"/>
    <w:rsid w:val="00DA243E"/>
    <w:rsid w:val="00DA24B3"/>
    <w:rsid w:val="00DA24C5"/>
    <w:rsid w:val="00DA24DB"/>
    <w:rsid w:val="00DA24E7"/>
    <w:rsid w:val="00DA2513"/>
    <w:rsid w:val="00DA2538"/>
    <w:rsid w:val="00DA2545"/>
    <w:rsid w:val="00DA25BD"/>
    <w:rsid w:val="00DA25F0"/>
    <w:rsid w:val="00DA2756"/>
    <w:rsid w:val="00DA2793"/>
    <w:rsid w:val="00DA27B2"/>
    <w:rsid w:val="00DA27FC"/>
    <w:rsid w:val="00DA2856"/>
    <w:rsid w:val="00DA29B3"/>
    <w:rsid w:val="00DA2B22"/>
    <w:rsid w:val="00DA2B52"/>
    <w:rsid w:val="00DA2B6C"/>
    <w:rsid w:val="00DA2B7E"/>
    <w:rsid w:val="00DA2B9D"/>
    <w:rsid w:val="00DA2BB2"/>
    <w:rsid w:val="00DA2BBC"/>
    <w:rsid w:val="00DA2C13"/>
    <w:rsid w:val="00DA2CE6"/>
    <w:rsid w:val="00DA2CFD"/>
    <w:rsid w:val="00DA2D3C"/>
    <w:rsid w:val="00DA2DA3"/>
    <w:rsid w:val="00DA2DE4"/>
    <w:rsid w:val="00DA2E3B"/>
    <w:rsid w:val="00DA2F1B"/>
    <w:rsid w:val="00DA2F24"/>
    <w:rsid w:val="00DA2F65"/>
    <w:rsid w:val="00DA2F8C"/>
    <w:rsid w:val="00DA302B"/>
    <w:rsid w:val="00DA304E"/>
    <w:rsid w:val="00DA3083"/>
    <w:rsid w:val="00DA309F"/>
    <w:rsid w:val="00DA30F8"/>
    <w:rsid w:val="00DA31E6"/>
    <w:rsid w:val="00DA31E9"/>
    <w:rsid w:val="00DA322A"/>
    <w:rsid w:val="00DA328B"/>
    <w:rsid w:val="00DA32BC"/>
    <w:rsid w:val="00DA339F"/>
    <w:rsid w:val="00DA3485"/>
    <w:rsid w:val="00DA34AF"/>
    <w:rsid w:val="00DA34CD"/>
    <w:rsid w:val="00DA3580"/>
    <w:rsid w:val="00DA3653"/>
    <w:rsid w:val="00DA366F"/>
    <w:rsid w:val="00DA369E"/>
    <w:rsid w:val="00DA36A6"/>
    <w:rsid w:val="00DA36E0"/>
    <w:rsid w:val="00DA3749"/>
    <w:rsid w:val="00DA37A6"/>
    <w:rsid w:val="00DA37B8"/>
    <w:rsid w:val="00DA37E9"/>
    <w:rsid w:val="00DA381F"/>
    <w:rsid w:val="00DA383E"/>
    <w:rsid w:val="00DA38D4"/>
    <w:rsid w:val="00DA3906"/>
    <w:rsid w:val="00DA3934"/>
    <w:rsid w:val="00DA3958"/>
    <w:rsid w:val="00DA39BC"/>
    <w:rsid w:val="00DA3A89"/>
    <w:rsid w:val="00DA3AA9"/>
    <w:rsid w:val="00DA3B90"/>
    <w:rsid w:val="00DA3BF0"/>
    <w:rsid w:val="00DA3C1B"/>
    <w:rsid w:val="00DA3C2B"/>
    <w:rsid w:val="00DA3C31"/>
    <w:rsid w:val="00DA3C45"/>
    <w:rsid w:val="00DA3C8E"/>
    <w:rsid w:val="00DA3CCB"/>
    <w:rsid w:val="00DA3CE6"/>
    <w:rsid w:val="00DA3CF1"/>
    <w:rsid w:val="00DA3D74"/>
    <w:rsid w:val="00DA3DC6"/>
    <w:rsid w:val="00DA3DE2"/>
    <w:rsid w:val="00DA3E01"/>
    <w:rsid w:val="00DA3E10"/>
    <w:rsid w:val="00DA3E9F"/>
    <w:rsid w:val="00DA3EF1"/>
    <w:rsid w:val="00DA3F0A"/>
    <w:rsid w:val="00DA409F"/>
    <w:rsid w:val="00DA40AE"/>
    <w:rsid w:val="00DA40F0"/>
    <w:rsid w:val="00DA4188"/>
    <w:rsid w:val="00DA4314"/>
    <w:rsid w:val="00DA435B"/>
    <w:rsid w:val="00DA43E8"/>
    <w:rsid w:val="00DA43FD"/>
    <w:rsid w:val="00DA4546"/>
    <w:rsid w:val="00DA455A"/>
    <w:rsid w:val="00DA45E8"/>
    <w:rsid w:val="00DA468A"/>
    <w:rsid w:val="00DA4748"/>
    <w:rsid w:val="00DA474A"/>
    <w:rsid w:val="00DA4842"/>
    <w:rsid w:val="00DA485C"/>
    <w:rsid w:val="00DA486C"/>
    <w:rsid w:val="00DA4886"/>
    <w:rsid w:val="00DA4957"/>
    <w:rsid w:val="00DA496F"/>
    <w:rsid w:val="00DA4995"/>
    <w:rsid w:val="00DA49C9"/>
    <w:rsid w:val="00DA49ED"/>
    <w:rsid w:val="00DA49F7"/>
    <w:rsid w:val="00DA4A83"/>
    <w:rsid w:val="00DA4AA8"/>
    <w:rsid w:val="00DA4AC6"/>
    <w:rsid w:val="00DA4AF5"/>
    <w:rsid w:val="00DA4B1A"/>
    <w:rsid w:val="00DA4B73"/>
    <w:rsid w:val="00DA4BAA"/>
    <w:rsid w:val="00DA4D52"/>
    <w:rsid w:val="00DA4E7A"/>
    <w:rsid w:val="00DA4E9A"/>
    <w:rsid w:val="00DA4EC3"/>
    <w:rsid w:val="00DA4EF0"/>
    <w:rsid w:val="00DA4EFD"/>
    <w:rsid w:val="00DA4F1F"/>
    <w:rsid w:val="00DA4FCD"/>
    <w:rsid w:val="00DA5065"/>
    <w:rsid w:val="00DA5111"/>
    <w:rsid w:val="00DA5136"/>
    <w:rsid w:val="00DA52A7"/>
    <w:rsid w:val="00DA540B"/>
    <w:rsid w:val="00DA547E"/>
    <w:rsid w:val="00DA548E"/>
    <w:rsid w:val="00DA54DA"/>
    <w:rsid w:val="00DA5531"/>
    <w:rsid w:val="00DA5582"/>
    <w:rsid w:val="00DA560F"/>
    <w:rsid w:val="00DA5689"/>
    <w:rsid w:val="00DA571A"/>
    <w:rsid w:val="00DA573D"/>
    <w:rsid w:val="00DA574C"/>
    <w:rsid w:val="00DA57A6"/>
    <w:rsid w:val="00DA57E7"/>
    <w:rsid w:val="00DA57EC"/>
    <w:rsid w:val="00DA5860"/>
    <w:rsid w:val="00DA586F"/>
    <w:rsid w:val="00DA59F4"/>
    <w:rsid w:val="00DA5A8B"/>
    <w:rsid w:val="00DA5A95"/>
    <w:rsid w:val="00DA5B1F"/>
    <w:rsid w:val="00DA5B20"/>
    <w:rsid w:val="00DA5B38"/>
    <w:rsid w:val="00DA5C3F"/>
    <w:rsid w:val="00DA5C40"/>
    <w:rsid w:val="00DA5D02"/>
    <w:rsid w:val="00DA5D75"/>
    <w:rsid w:val="00DA5DAA"/>
    <w:rsid w:val="00DA5DBC"/>
    <w:rsid w:val="00DA5DDA"/>
    <w:rsid w:val="00DA5DF1"/>
    <w:rsid w:val="00DA5E1B"/>
    <w:rsid w:val="00DA5E25"/>
    <w:rsid w:val="00DA5E9D"/>
    <w:rsid w:val="00DA5EAD"/>
    <w:rsid w:val="00DA5EB5"/>
    <w:rsid w:val="00DA5EED"/>
    <w:rsid w:val="00DA601F"/>
    <w:rsid w:val="00DA6025"/>
    <w:rsid w:val="00DA60A3"/>
    <w:rsid w:val="00DA60A4"/>
    <w:rsid w:val="00DA61B7"/>
    <w:rsid w:val="00DA6291"/>
    <w:rsid w:val="00DA62C8"/>
    <w:rsid w:val="00DA6446"/>
    <w:rsid w:val="00DA64BB"/>
    <w:rsid w:val="00DA654D"/>
    <w:rsid w:val="00DA65AD"/>
    <w:rsid w:val="00DA65D8"/>
    <w:rsid w:val="00DA6608"/>
    <w:rsid w:val="00DA6624"/>
    <w:rsid w:val="00DA662B"/>
    <w:rsid w:val="00DA6722"/>
    <w:rsid w:val="00DA6762"/>
    <w:rsid w:val="00DA680E"/>
    <w:rsid w:val="00DA6895"/>
    <w:rsid w:val="00DA68BC"/>
    <w:rsid w:val="00DA69F0"/>
    <w:rsid w:val="00DA6AA6"/>
    <w:rsid w:val="00DA6ABF"/>
    <w:rsid w:val="00DA6AD4"/>
    <w:rsid w:val="00DA6B13"/>
    <w:rsid w:val="00DA6B36"/>
    <w:rsid w:val="00DA6B83"/>
    <w:rsid w:val="00DA6BAD"/>
    <w:rsid w:val="00DA6BB8"/>
    <w:rsid w:val="00DA6C0F"/>
    <w:rsid w:val="00DA6C71"/>
    <w:rsid w:val="00DA6D0F"/>
    <w:rsid w:val="00DA6D8C"/>
    <w:rsid w:val="00DA6DB9"/>
    <w:rsid w:val="00DA6E01"/>
    <w:rsid w:val="00DA6E04"/>
    <w:rsid w:val="00DA6E2F"/>
    <w:rsid w:val="00DA6E4A"/>
    <w:rsid w:val="00DA6E9C"/>
    <w:rsid w:val="00DA6EA3"/>
    <w:rsid w:val="00DA6EDF"/>
    <w:rsid w:val="00DA6F5F"/>
    <w:rsid w:val="00DA70CA"/>
    <w:rsid w:val="00DA7197"/>
    <w:rsid w:val="00DA7231"/>
    <w:rsid w:val="00DA7245"/>
    <w:rsid w:val="00DA72BB"/>
    <w:rsid w:val="00DA72C3"/>
    <w:rsid w:val="00DA7349"/>
    <w:rsid w:val="00DA735B"/>
    <w:rsid w:val="00DA7386"/>
    <w:rsid w:val="00DA73FC"/>
    <w:rsid w:val="00DA745A"/>
    <w:rsid w:val="00DA74AB"/>
    <w:rsid w:val="00DA74D0"/>
    <w:rsid w:val="00DA754B"/>
    <w:rsid w:val="00DA75B2"/>
    <w:rsid w:val="00DA75C4"/>
    <w:rsid w:val="00DA75F3"/>
    <w:rsid w:val="00DA76C4"/>
    <w:rsid w:val="00DA778B"/>
    <w:rsid w:val="00DA77A9"/>
    <w:rsid w:val="00DA77C4"/>
    <w:rsid w:val="00DA780F"/>
    <w:rsid w:val="00DA7858"/>
    <w:rsid w:val="00DA788D"/>
    <w:rsid w:val="00DA78DF"/>
    <w:rsid w:val="00DA78F7"/>
    <w:rsid w:val="00DA7940"/>
    <w:rsid w:val="00DA7A80"/>
    <w:rsid w:val="00DA7B52"/>
    <w:rsid w:val="00DA7B60"/>
    <w:rsid w:val="00DA7B65"/>
    <w:rsid w:val="00DA7BC4"/>
    <w:rsid w:val="00DA7C01"/>
    <w:rsid w:val="00DA7C2A"/>
    <w:rsid w:val="00DA7D05"/>
    <w:rsid w:val="00DA7D79"/>
    <w:rsid w:val="00DA7DC6"/>
    <w:rsid w:val="00DA7DF9"/>
    <w:rsid w:val="00DA7ED0"/>
    <w:rsid w:val="00DA7FC8"/>
    <w:rsid w:val="00DA7FE3"/>
    <w:rsid w:val="00DB00A4"/>
    <w:rsid w:val="00DB00C8"/>
    <w:rsid w:val="00DB0111"/>
    <w:rsid w:val="00DB0127"/>
    <w:rsid w:val="00DB0145"/>
    <w:rsid w:val="00DB023A"/>
    <w:rsid w:val="00DB0272"/>
    <w:rsid w:val="00DB0298"/>
    <w:rsid w:val="00DB0339"/>
    <w:rsid w:val="00DB033B"/>
    <w:rsid w:val="00DB045B"/>
    <w:rsid w:val="00DB04AA"/>
    <w:rsid w:val="00DB04B7"/>
    <w:rsid w:val="00DB04CB"/>
    <w:rsid w:val="00DB04F6"/>
    <w:rsid w:val="00DB0536"/>
    <w:rsid w:val="00DB053C"/>
    <w:rsid w:val="00DB0554"/>
    <w:rsid w:val="00DB056E"/>
    <w:rsid w:val="00DB05E5"/>
    <w:rsid w:val="00DB0616"/>
    <w:rsid w:val="00DB063B"/>
    <w:rsid w:val="00DB0645"/>
    <w:rsid w:val="00DB06BA"/>
    <w:rsid w:val="00DB06CB"/>
    <w:rsid w:val="00DB078A"/>
    <w:rsid w:val="00DB07DE"/>
    <w:rsid w:val="00DB08C6"/>
    <w:rsid w:val="00DB08DA"/>
    <w:rsid w:val="00DB08F4"/>
    <w:rsid w:val="00DB0941"/>
    <w:rsid w:val="00DB098C"/>
    <w:rsid w:val="00DB0992"/>
    <w:rsid w:val="00DB09C3"/>
    <w:rsid w:val="00DB09D6"/>
    <w:rsid w:val="00DB0A7D"/>
    <w:rsid w:val="00DB0A99"/>
    <w:rsid w:val="00DB0B9A"/>
    <w:rsid w:val="00DB0CAF"/>
    <w:rsid w:val="00DB0D39"/>
    <w:rsid w:val="00DB0D43"/>
    <w:rsid w:val="00DB0E2D"/>
    <w:rsid w:val="00DB0E56"/>
    <w:rsid w:val="00DB0FF5"/>
    <w:rsid w:val="00DB1055"/>
    <w:rsid w:val="00DB10A1"/>
    <w:rsid w:val="00DB10D3"/>
    <w:rsid w:val="00DB1105"/>
    <w:rsid w:val="00DB1157"/>
    <w:rsid w:val="00DB117F"/>
    <w:rsid w:val="00DB11A1"/>
    <w:rsid w:val="00DB11E6"/>
    <w:rsid w:val="00DB11EB"/>
    <w:rsid w:val="00DB1202"/>
    <w:rsid w:val="00DB1277"/>
    <w:rsid w:val="00DB12D1"/>
    <w:rsid w:val="00DB12D8"/>
    <w:rsid w:val="00DB1312"/>
    <w:rsid w:val="00DB1321"/>
    <w:rsid w:val="00DB1393"/>
    <w:rsid w:val="00DB13BC"/>
    <w:rsid w:val="00DB13CF"/>
    <w:rsid w:val="00DB13EF"/>
    <w:rsid w:val="00DB1452"/>
    <w:rsid w:val="00DB14B8"/>
    <w:rsid w:val="00DB152A"/>
    <w:rsid w:val="00DB1545"/>
    <w:rsid w:val="00DB154E"/>
    <w:rsid w:val="00DB1766"/>
    <w:rsid w:val="00DB1827"/>
    <w:rsid w:val="00DB18B2"/>
    <w:rsid w:val="00DB18B5"/>
    <w:rsid w:val="00DB1982"/>
    <w:rsid w:val="00DB199B"/>
    <w:rsid w:val="00DB19F2"/>
    <w:rsid w:val="00DB1A0A"/>
    <w:rsid w:val="00DB1A9A"/>
    <w:rsid w:val="00DB1AB5"/>
    <w:rsid w:val="00DB1B81"/>
    <w:rsid w:val="00DB1C30"/>
    <w:rsid w:val="00DB1C7D"/>
    <w:rsid w:val="00DB1CEE"/>
    <w:rsid w:val="00DB1E1A"/>
    <w:rsid w:val="00DB1F62"/>
    <w:rsid w:val="00DB1F9C"/>
    <w:rsid w:val="00DB200D"/>
    <w:rsid w:val="00DB2012"/>
    <w:rsid w:val="00DB201E"/>
    <w:rsid w:val="00DB2029"/>
    <w:rsid w:val="00DB20E5"/>
    <w:rsid w:val="00DB213B"/>
    <w:rsid w:val="00DB21D2"/>
    <w:rsid w:val="00DB221F"/>
    <w:rsid w:val="00DB22A4"/>
    <w:rsid w:val="00DB23D0"/>
    <w:rsid w:val="00DB2455"/>
    <w:rsid w:val="00DB248B"/>
    <w:rsid w:val="00DB26AA"/>
    <w:rsid w:val="00DB26AE"/>
    <w:rsid w:val="00DB26D5"/>
    <w:rsid w:val="00DB2734"/>
    <w:rsid w:val="00DB27BB"/>
    <w:rsid w:val="00DB27CE"/>
    <w:rsid w:val="00DB2877"/>
    <w:rsid w:val="00DB289A"/>
    <w:rsid w:val="00DB28C2"/>
    <w:rsid w:val="00DB28DF"/>
    <w:rsid w:val="00DB28F0"/>
    <w:rsid w:val="00DB2906"/>
    <w:rsid w:val="00DB292B"/>
    <w:rsid w:val="00DB2A22"/>
    <w:rsid w:val="00DB2A8A"/>
    <w:rsid w:val="00DB2B4E"/>
    <w:rsid w:val="00DB2BC2"/>
    <w:rsid w:val="00DB2BC6"/>
    <w:rsid w:val="00DB2BE0"/>
    <w:rsid w:val="00DB2BEB"/>
    <w:rsid w:val="00DB2C7D"/>
    <w:rsid w:val="00DB2CCF"/>
    <w:rsid w:val="00DB2DC1"/>
    <w:rsid w:val="00DB2DE7"/>
    <w:rsid w:val="00DB2E2A"/>
    <w:rsid w:val="00DB2E4C"/>
    <w:rsid w:val="00DB2EF3"/>
    <w:rsid w:val="00DB2F1B"/>
    <w:rsid w:val="00DB2F5E"/>
    <w:rsid w:val="00DB2F61"/>
    <w:rsid w:val="00DB3020"/>
    <w:rsid w:val="00DB3029"/>
    <w:rsid w:val="00DB305F"/>
    <w:rsid w:val="00DB3144"/>
    <w:rsid w:val="00DB3180"/>
    <w:rsid w:val="00DB31D4"/>
    <w:rsid w:val="00DB32A6"/>
    <w:rsid w:val="00DB334B"/>
    <w:rsid w:val="00DB338D"/>
    <w:rsid w:val="00DB33EF"/>
    <w:rsid w:val="00DB340B"/>
    <w:rsid w:val="00DB343D"/>
    <w:rsid w:val="00DB34F2"/>
    <w:rsid w:val="00DB3557"/>
    <w:rsid w:val="00DB3808"/>
    <w:rsid w:val="00DB391C"/>
    <w:rsid w:val="00DB3973"/>
    <w:rsid w:val="00DB39AC"/>
    <w:rsid w:val="00DB3A3F"/>
    <w:rsid w:val="00DB3A47"/>
    <w:rsid w:val="00DB3A9C"/>
    <w:rsid w:val="00DB3B15"/>
    <w:rsid w:val="00DB3B27"/>
    <w:rsid w:val="00DB3B96"/>
    <w:rsid w:val="00DB3BA9"/>
    <w:rsid w:val="00DB3C70"/>
    <w:rsid w:val="00DB3C7E"/>
    <w:rsid w:val="00DB3CAD"/>
    <w:rsid w:val="00DB3D0D"/>
    <w:rsid w:val="00DB3D10"/>
    <w:rsid w:val="00DB3D56"/>
    <w:rsid w:val="00DB3F1B"/>
    <w:rsid w:val="00DB3F5E"/>
    <w:rsid w:val="00DB3F8C"/>
    <w:rsid w:val="00DB3FF3"/>
    <w:rsid w:val="00DB4034"/>
    <w:rsid w:val="00DB4082"/>
    <w:rsid w:val="00DB41A0"/>
    <w:rsid w:val="00DB41A3"/>
    <w:rsid w:val="00DB41BB"/>
    <w:rsid w:val="00DB42F1"/>
    <w:rsid w:val="00DB434A"/>
    <w:rsid w:val="00DB438F"/>
    <w:rsid w:val="00DB4482"/>
    <w:rsid w:val="00DB44A0"/>
    <w:rsid w:val="00DB44A9"/>
    <w:rsid w:val="00DB46A3"/>
    <w:rsid w:val="00DB46DC"/>
    <w:rsid w:val="00DB46E7"/>
    <w:rsid w:val="00DB47BA"/>
    <w:rsid w:val="00DB47DD"/>
    <w:rsid w:val="00DB48F9"/>
    <w:rsid w:val="00DB4910"/>
    <w:rsid w:val="00DB4959"/>
    <w:rsid w:val="00DB4975"/>
    <w:rsid w:val="00DB4992"/>
    <w:rsid w:val="00DB49B1"/>
    <w:rsid w:val="00DB49B9"/>
    <w:rsid w:val="00DB49BC"/>
    <w:rsid w:val="00DB4A0D"/>
    <w:rsid w:val="00DB4A57"/>
    <w:rsid w:val="00DB4A96"/>
    <w:rsid w:val="00DB4AE8"/>
    <w:rsid w:val="00DB4AF1"/>
    <w:rsid w:val="00DB4B5F"/>
    <w:rsid w:val="00DB4B99"/>
    <w:rsid w:val="00DB4BAB"/>
    <w:rsid w:val="00DB4C61"/>
    <w:rsid w:val="00DB4C84"/>
    <w:rsid w:val="00DB4C8B"/>
    <w:rsid w:val="00DB4CA2"/>
    <w:rsid w:val="00DB4D0B"/>
    <w:rsid w:val="00DB4DE5"/>
    <w:rsid w:val="00DB4E19"/>
    <w:rsid w:val="00DB4E30"/>
    <w:rsid w:val="00DB4EAD"/>
    <w:rsid w:val="00DB4F3C"/>
    <w:rsid w:val="00DB4F4F"/>
    <w:rsid w:val="00DB5082"/>
    <w:rsid w:val="00DB5104"/>
    <w:rsid w:val="00DB519E"/>
    <w:rsid w:val="00DB51BD"/>
    <w:rsid w:val="00DB51FD"/>
    <w:rsid w:val="00DB5214"/>
    <w:rsid w:val="00DB530B"/>
    <w:rsid w:val="00DB5364"/>
    <w:rsid w:val="00DB5366"/>
    <w:rsid w:val="00DB5392"/>
    <w:rsid w:val="00DB53B1"/>
    <w:rsid w:val="00DB53DC"/>
    <w:rsid w:val="00DB53E5"/>
    <w:rsid w:val="00DB53F7"/>
    <w:rsid w:val="00DB5412"/>
    <w:rsid w:val="00DB54A3"/>
    <w:rsid w:val="00DB54BD"/>
    <w:rsid w:val="00DB557C"/>
    <w:rsid w:val="00DB5594"/>
    <w:rsid w:val="00DB55A4"/>
    <w:rsid w:val="00DB55DA"/>
    <w:rsid w:val="00DB5609"/>
    <w:rsid w:val="00DB5674"/>
    <w:rsid w:val="00DB5734"/>
    <w:rsid w:val="00DB5751"/>
    <w:rsid w:val="00DB57C4"/>
    <w:rsid w:val="00DB57CD"/>
    <w:rsid w:val="00DB57F7"/>
    <w:rsid w:val="00DB583C"/>
    <w:rsid w:val="00DB58A2"/>
    <w:rsid w:val="00DB58A5"/>
    <w:rsid w:val="00DB58C5"/>
    <w:rsid w:val="00DB58DC"/>
    <w:rsid w:val="00DB593F"/>
    <w:rsid w:val="00DB5988"/>
    <w:rsid w:val="00DB598B"/>
    <w:rsid w:val="00DB599E"/>
    <w:rsid w:val="00DB59A9"/>
    <w:rsid w:val="00DB59B2"/>
    <w:rsid w:val="00DB59BC"/>
    <w:rsid w:val="00DB59BF"/>
    <w:rsid w:val="00DB5A02"/>
    <w:rsid w:val="00DB5ADA"/>
    <w:rsid w:val="00DB5AF0"/>
    <w:rsid w:val="00DB5B1D"/>
    <w:rsid w:val="00DB5B58"/>
    <w:rsid w:val="00DB5C61"/>
    <w:rsid w:val="00DB5C95"/>
    <w:rsid w:val="00DB5C96"/>
    <w:rsid w:val="00DB5CA1"/>
    <w:rsid w:val="00DB5CE6"/>
    <w:rsid w:val="00DB5CF3"/>
    <w:rsid w:val="00DB5D57"/>
    <w:rsid w:val="00DB5D96"/>
    <w:rsid w:val="00DB5ECA"/>
    <w:rsid w:val="00DB5F4F"/>
    <w:rsid w:val="00DB6015"/>
    <w:rsid w:val="00DB6159"/>
    <w:rsid w:val="00DB6274"/>
    <w:rsid w:val="00DB62F7"/>
    <w:rsid w:val="00DB6382"/>
    <w:rsid w:val="00DB63C0"/>
    <w:rsid w:val="00DB6403"/>
    <w:rsid w:val="00DB640B"/>
    <w:rsid w:val="00DB6428"/>
    <w:rsid w:val="00DB650D"/>
    <w:rsid w:val="00DB660B"/>
    <w:rsid w:val="00DB6699"/>
    <w:rsid w:val="00DB66AE"/>
    <w:rsid w:val="00DB66B6"/>
    <w:rsid w:val="00DB66CE"/>
    <w:rsid w:val="00DB681D"/>
    <w:rsid w:val="00DB681E"/>
    <w:rsid w:val="00DB6836"/>
    <w:rsid w:val="00DB6848"/>
    <w:rsid w:val="00DB686F"/>
    <w:rsid w:val="00DB69AB"/>
    <w:rsid w:val="00DB6A18"/>
    <w:rsid w:val="00DB6A30"/>
    <w:rsid w:val="00DB6A97"/>
    <w:rsid w:val="00DB6ABE"/>
    <w:rsid w:val="00DB6C18"/>
    <w:rsid w:val="00DB6C31"/>
    <w:rsid w:val="00DB6CB6"/>
    <w:rsid w:val="00DB6D10"/>
    <w:rsid w:val="00DB6DA6"/>
    <w:rsid w:val="00DB6DCE"/>
    <w:rsid w:val="00DB6E0D"/>
    <w:rsid w:val="00DB6E8D"/>
    <w:rsid w:val="00DB6EE4"/>
    <w:rsid w:val="00DB6F18"/>
    <w:rsid w:val="00DB6FFC"/>
    <w:rsid w:val="00DB7062"/>
    <w:rsid w:val="00DB70A8"/>
    <w:rsid w:val="00DB70F4"/>
    <w:rsid w:val="00DB70FD"/>
    <w:rsid w:val="00DB714C"/>
    <w:rsid w:val="00DB7182"/>
    <w:rsid w:val="00DB71C0"/>
    <w:rsid w:val="00DB7233"/>
    <w:rsid w:val="00DB7236"/>
    <w:rsid w:val="00DB7348"/>
    <w:rsid w:val="00DB7366"/>
    <w:rsid w:val="00DB7396"/>
    <w:rsid w:val="00DB7460"/>
    <w:rsid w:val="00DB74C1"/>
    <w:rsid w:val="00DB753E"/>
    <w:rsid w:val="00DB75EC"/>
    <w:rsid w:val="00DB760C"/>
    <w:rsid w:val="00DB7610"/>
    <w:rsid w:val="00DB78C1"/>
    <w:rsid w:val="00DB7931"/>
    <w:rsid w:val="00DB79AE"/>
    <w:rsid w:val="00DB7A2A"/>
    <w:rsid w:val="00DB7A86"/>
    <w:rsid w:val="00DB7AC6"/>
    <w:rsid w:val="00DB7B59"/>
    <w:rsid w:val="00DB7B96"/>
    <w:rsid w:val="00DB7BDC"/>
    <w:rsid w:val="00DB7BF4"/>
    <w:rsid w:val="00DB7C0B"/>
    <w:rsid w:val="00DB7C1A"/>
    <w:rsid w:val="00DB7CDE"/>
    <w:rsid w:val="00DB7CFB"/>
    <w:rsid w:val="00DB7CFE"/>
    <w:rsid w:val="00DB7D0E"/>
    <w:rsid w:val="00DB7DEE"/>
    <w:rsid w:val="00DB7E25"/>
    <w:rsid w:val="00DB7E9B"/>
    <w:rsid w:val="00DB7F09"/>
    <w:rsid w:val="00DB7F1C"/>
    <w:rsid w:val="00DB7F32"/>
    <w:rsid w:val="00DB7FD3"/>
    <w:rsid w:val="00DC001A"/>
    <w:rsid w:val="00DC001B"/>
    <w:rsid w:val="00DC003A"/>
    <w:rsid w:val="00DC0048"/>
    <w:rsid w:val="00DC008C"/>
    <w:rsid w:val="00DC00B0"/>
    <w:rsid w:val="00DC00E8"/>
    <w:rsid w:val="00DC0136"/>
    <w:rsid w:val="00DC016B"/>
    <w:rsid w:val="00DC016D"/>
    <w:rsid w:val="00DC01E7"/>
    <w:rsid w:val="00DC01F7"/>
    <w:rsid w:val="00DC0275"/>
    <w:rsid w:val="00DC0287"/>
    <w:rsid w:val="00DC0311"/>
    <w:rsid w:val="00DC03EC"/>
    <w:rsid w:val="00DC0470"/>
    <w:rsid w:val="00DC0577"/>
    <w:rsid w:val="00DC0588"/>
    <w:rsid w:val="00DC058A"/>
    <w:rsid w:val="00DC05AC"/>
    <w:rsid w:val="00DC05EA"/>
    <w:rsid w:val="00DC0600"/>
    <w:rsid w:val="00DC0659"/>
    <w:rsid w:val="00DC06D6"/>
    <w:rsid w:val="00DC0738"/>
    <w:rsid w:val="00DC073F"/>
    <w:rsid w:val="00DC0741"/>
    <w:rsid w:val="00DC07FC"/>
    <w:rsid w:val="00DC0826"/>
    <w:rsid w:val="00DC089E"/>
    <w:rsid w:val="00DC08C3"/>
    <w:rsid w:val="00DC090C"/>
    <w:rsid w:val="00DC0943"/>
    <w:rsid w:val="00DC0A12"/>
    <w:rsid w:val="00DC0A58"/>
    <w:rsid w:val="00DC0A7A"/>
    <w:rsid w:val="00DC0B7A"/>
    <w:rsid w:val="00DC0B7E"/>
    <w:rsid w:val="00DC0BB6"/>
    <w:rsid w:val="00DC0BC9"/>
    <w:rsid w:val="00DC0BF0"/>
    <w:rsid w:val="00DC0C42"/>
    <w:rsid w:val="00DC0C89"/>
    <w:rsid w:val="00DC0CBE"/>
    <w:rsid w:val="00DC0D7F"/>
    <w:rsid w:val="00DC0D82"/>
    <w:rsid w:val="00DC0F6F"/>
    <w:rsid w:val="00DC0FB8"/>
    <w:rsid w:val="00DC0FE8"/>
    <w:rsid w:val="00DC0FEF"/>
    <w:rsid w:val="00DC100D"/>
    <w:rsid w:val="00DC101D"/>
    <w:rsid w:val="00DC106D"/>
    <w:rsid w:val="00DC10A6"/>
    <w:rsid w:val="00DC11A5"/>
    <w:rsid w:val="00DC11CA"/>
    <w:rsid w:val="00DC11DE"/>
    <w:rsid w:val="00DC1200"/>
    <w:rsid w:val="00DC1268"/>
    <w:rsid w:val="00DC12BF"/>
    <w:rsid w:val="00DC12C2"/>
    <w:rsid w:val="00DC12CA"/>
    <w:rsid w:val="00DC12F1"/>
    <w:rsid w:val="00DC1376"/>
    <w:rsid w:val="00DC1392"/>
    <w:rsid w:val="00DC13EB"/>
    <w:rsid w:val="00DC1451"/>
    <w:rsid w:val="00DC14C2"/>
    <w:rsid w:val="00DC14E0"/>
    <w:rsid w:val="00DC14ED"/>
    <w:rsid w:val="00DC1508"/>
    <w:rsid w:val="00DC1660"/>
    <w:rsid w:val="00DC16C3"/>
    <w:rsid w:val="00DC16E4"/>
    <w:rsid w:val="00DC1712"/>
    <w:rsid w:val="00DC17A9"/>
    <w:rsid w:val="00DC17DC"/>
    <w:rsid w:val="00DC17DD"/>
    <w:rsid w:val="00DC1841"/>
    <w:rsid w:val="00DC18D6"/>
    <w:rsid w:val="00DC1909"/>
    <w:rsid w:val="00DC194A"/>
    <w:rsid w:val="00DC1952"/>
    <w:rsid w:val="00DC1B4A"/>
    <w:rsid w:val="00DC1BB1"/>
    <w:rsid w:val="00DC1C01"/>
    <w:rsid w:val="00DC1C22"/>
    <w:rsid w:val="00DC1C49"/>
    <w:rsid w:val="00DC1C56"/>
    <w:rsid w:val="00DC1D2D"/>
    <w:rsid w:val="00DC1D3F"/>
    <w:rsid w:val="00DC1D73"/>
    <w:rsid w:val="00DC1DEE"/>
    <w:rsid w:val="00DC1EE6"/>
    <w:rsid w:val="00DC1F96"/>
    <w:rsid w:val="00DC2099"/>
    <w:rsid w:val="00DC214E"/>
    <w:rsid w:val="00DC2182"/>
    <w:rsid w:val="00DC21AB"/>
    <w:rsid w:val="00DC2216"/>
    <w:rsid w:val="00DC2256"/>
    <w:rsid w:val="00DC225C"/>
    <w:rsid w:val="00DC22B9"/>
    <w:rsid w:val="00DC22F1"/>
    <w:rsid w:val="00DC23AB"/>
    <w:rsid w:val="00DC24A7"/>
    <w:rsid w:val="00DC24DA"/>
    <w:rsid w:val="00DC250D"/>
    <w:rsid w:val="00DC2564"/>
    <w:rsid w:val="00DC2582"/>
    <w:rsid w:val="00DC25AF"/>
    <w:rsid w:val="00DC2603"/>
    <w:rsid w:val="00DC2637"/>
    <w:rsid w:val="00DC271A"/>
    <w:rsid w:val="00DC27B1"/>
    <w:rsid w:val="00DC284F"/>
    <w:rsid w:val="00DC28ED"/>
    <w:rsid w:val="00DC290F"/>
    <w:rsid w:val="00DC292B"/>
    <w:rsid w:val="00DC2982"/>
    <w:rsid w:val="00DC29D8"/>
    <w:rsid w:val="00DC29DF"/>
    <w:rsid w:val="00DC2A00"/>
    <w:rsid w:val="00DC2A4D"/>
    <w:rsid w:val="00DC2ADB"/>
    <w:rsid w:val="00DC2AF2"/>
    <w:rsid w:val="00DC2B52"/>
    <w:rsid w:val="00DC2C2E"/>
    <w:rsid w:val="00DC2C60"/>
    <w:rsid w:val="00DC2CC1"/>
    <w:rsid w:val="00DC2D58"/>
    <w:rsid w:val="00DC2EA6"/>
    <w:rsid w:val="00DC2F66"/>
    <w:rsid w:val="00DC2F96"/>
    <w:rsid w:val="00DC2FC5"/>
    <w:rsid w:val="00DC30A4"/>
    <w:rsid w:val="00DC310D"/>
    <w:rsid w:val="00DC318C"/>
    <w:rsid w:val="00DC31EF"/>
    <w:rsid w:val="00DC3256"/>
    <w:rsid w:val="00DC3291"/>
    <w:rsid w:val="00DC335A"/>
    <w:rsid w:val="00DC33B8"/>
    <w:rsid w:val="00DC33D3"/>
    <w:rsid w:val="00DC342E"/>
    <w:rsid w:val="00DC34C2"/>
    <w:rsid w:val="00DC3536"/>
    <w:rsid w:val="00DC3543"/>
    <w:rsid w:val="00DC3547"/>
    <w:rsid w:val="00DC3577"/>
    <w:rsid w:val="00DC360C"/>
    <w:rsid w:val="00DC3642"/>
    <w:rsid w:val="00DC366C"/>
    <w:rsid w:val="00DC36D6"/>
    <w:rsid w:val="00DC3758"/>
    <w:rsid w:val="00DC377D"/>
    <w:rsid w:val="00DC37CA"/>
    <w:rsid w:val="00DC3805"/>
    <w:rsid w:val="00DC380F"/>
    <w:rsid w:val="00DC38C1"/>
    <w:rsid w:val="00DC38E6"/>
    <w:rsid w:val="00DC3948"/>
    <w:rsid w:val="00DC394B"/>
    <w:rsid w:val="00DC396D"/>
    <w:rsid w:val="00DC3A15"/>
    <w:rsid w:val="00DC3BC6"/>
    <w:rsid w:val="00DC3CCB"/>
    <w:rsid w:val="00DC3D08"/>
    <w:rsid w:val="00DC3E62"/>
    <w:rsid w:val="00DC3EC8"/>
    <w:rsid w:val="00DC3EFD"/>
    <w:rsid w:val="00DC404A"/>
    <w:rsid w:val="00DC404C"/>
    <w:rsid w:val="00DC40F4"/>
    <w:rsid w:val="00DC413C"/>
    <w:rsid w:val="00DC4183"/>
    <w:rsid w:val="00DC419D"/>
    <w:rsid w:val="00DC41B9"/>
    <w:rsid w:val="00DC4251"/>
    <w:rsid w:val="00DC4334"/>
    <w:rsid w:val="00DC4343"/>
    <w:rsid w:val="00DC43A9"/>
    <w:rsid w:val="00DC43AA"/>
    <w:rsid w:val="00DC440A"/>
    <w:rsid w:val="00DC4500"/>
    <w:rsid w:val="00DC45B9"/>
    <w:rsid w:val="00DC466F"/>
    <w:rsid w:val="00DC46A5"/>
    <w:rsid w:val="00DC4756"/>
    <w:rsid w:val="00DC47A4"/>
    <w:rsid w:val="00DC47F9"/>
    <w:rsid w:val="00DC4854"/>
    <w:rsid w:val="00DC4868"/>
    <w:rsid w:val="00DC487D"/>
    <w:rsid w:val="00DC48D6"/>
    <w:rsid w:val="00DC48FB"/>
    <w:rsid w:val="00DC4929"/>
    <w:rsid w:val="00DC4940"/>
    <w:rsid w:val="00DC4A46"/>
    <w:rsid w:val="00DC4A84"/>
    <w:rsid w:val="00DC4B06"/>
    <w:rsid w:val="00DC4B4C"/>
    <w:rsid w:val="00DC4B56"/>
    <w:rsid w:val="00DC4B5C"/>
    <w:rsid w:val="00DC4B6B"/>
    <w:rsid w:val="00DC4B86"/>
    <w:rsid w:val="00DC4BA5"/>
    <w:rsid w:val="00DC4BB3"/>
    <w:rsid w:val="00DC4C19"/>
    <w:rsid w:val="00DC4CA4"/>
    <w:rsid w:val="00DC4DA2"/>
    <w:rsid w:val="00DC4DC4"/>
    <w:rsid w:val="00DC4DDF"/>
    <w:rsid w:val="00DC4E03"/>
    <w:rsid w:val="00DC4E21"/>
    <w:rsid w:val="00DC4ED7"/>
    <w:rsid w:val="00DC4EFB"/>
    <w:rsid w:val="00DC5009"/>
    <w:rsid w:val="00DC5019"/>
    <w:rsid w:val="00DC5059"/>
    <w:rsid w:val="00DC5099"/>
    <w:rsid w:val="00DC50A4"/>
    <w:rsid w:val="00DC5118"/>
    <w:rsid w:val="00DC5265"/>
    <w:rsid w:val="00DC526F"/>
    <w:rsid w:val="00DC527E"/>
    <w:rsid w:val="00DC52A3"/>
    <w:rsid w:val="00DC52D1"/>
    <w:rsid w:val="00DC5359"/>
    <w:rsid w:val="00DC53E4"/>
    <w:rsid w:val="00DC549E"/>
    <w:rsid w:val="00DC54E4"/>
    <w:rsid w:val="00DC55D5"/>
    <w:rsid w:val="00DC55D6"/>
    <w:rsid w:val="00DC55EC"/>
    <w:rsid w:val="00DC5687"/>
    <w:rsid w:val="00DC56A8"/>
    <w:rsid w:val="00DC56C8"/>
    <w:rsid w:val="00DC56F3"/>
    <w:rsid w:val="00DC577E"/>
    <w:rsid w:val="00DC57AB"/>
    <w:rsid w:val="00DC57B3"/>
    <w:rsid w:val="00DC57BC"/>
    <w:rsid w:val="00DC5842"/>
    <w:rsid w:val="00DC5867"/>
    <w:rsid w:val="00DC587B"/>
    <w:rsid w:val="00DC58EC"/>
    <w:rsid w:val="00DC58F2"/>
    <w:rsid w:val="00DC5908"/>
    <w:rsid w:val="00DC5982"/>
    <w:rsid w:val="00DC598A"/>
    <w:rsid w:val="00DC5B1F"/>
    <w:rsid w:val="00DC5B6E"/>
    <w:rsid w:val="00DC5B70"/>
    <w:rsid w:val="00DC5BEE"/>
    <w:rsid w:val="00DC5C5B"/>
    <w:rsid w:val="00DC5C64"/>
    <w:rsid w:val="00DC5C6C"/>
    <w:rsid w:val="00DC5C92"/>
    <w:rsid w:val="00DC5CF4"/>
    <w:rsid w:val="00DC5D01"/>
    <w:rsid w:val="00DC5D08"/>
    <w:rsid w:val="00DC5D4F"/>
    <w:rsid w:val="00DC5D56"/>
    <w:rsid w:val="00DC5D89"/>
    <w:rsid w:val="00DC5DD6"/>
    <w:rsid w:val="00DC5E1D"/>
    <w:rsid w:val="00DC5E39"/>
    <w:rsid w:val="00DC5ECB"/>
    <w:rsid w:val="00DC5FA7"/>
    <w:rsid w:val="00DC6008"/>
    <w:rsid w:val="00DC604B"/>
    <w:rsid w:val="00DC6080"/>
    <w:rsid w:val="00DC6113"/>
    <w:rsid w:val="00DC621F"/>
    <w:rsid w:val="00DC6236"/>
    <w:rsid w:val="00DC626C"/>
    <w:rsid w:val="00DC6299"/>
    <w:rsid w:val="00DC62D9"/>
    <w:rsid w:val="00DC630C"/>
    <w:rsid w:val="00DC6327"/>
    <w:rsid w:val="00DC635A"/>
    <w:rsid w:val="00DC635B"/>
    <w:rsid w:val="00DC6379"/>
    <w:rsid w:val="00DC6405"/>
    <w:rsid w:val="00DC6419"/>
    <w:rsid w:val="00DC6428"/>
    <w:rsid w:val="00DC655F"/>
    <w:rsid w:val="00DC65A3"/>
    <w:rsid w:val="00DC6683"/>
    <w:rsid w:val="00DC66EE"/>
    <w:rsid w:val="00DC66F4"/>
    <w:rsid w:val="00DC6706"/>
    <w:rsid w:val="00DC671F"/>
    <w:rsid w:val="00DC672D"/>
    <w:rsid w:val="00DC6790"/>
    <w:rsid w:val="00DC6830"/>
    <w:rsid w:val="00DC6836"/>
    <w:rsid w:val="00DC68A4"/>
    <w:rsid w:val="00DC6911"/>
    <w:rsid w:val="00DC694C"/>
    <w:rsid w:val="00DC6963"/>
    <w:rsid w:val="00DC69DD"/>
    <w:rsid w:val="00DC6A48"/>
    <w:rsid w:val="00DC6A87"/>
    <w:rsid w:val="00DC6AAD"/>
    <w:rsid w:val="00DC6ACF"/>
    <w:rsid w:val="00DC6BE2"/>
    <w:rsid w:val="00DC6C81"/>
    <w:rsid w:val="00DC6CCF"/>
    <w:rsid w:val="00DC6D22"/>
    <w:rsid w:val="00DC6D34"/>
    <w:rsid w:val="00DC6D8C"/>
    <w:rsid w:val="00DC6D9C"/>
    <w:rsid w:val="00DC6DA2"/>
    <w:rsid w:val="00DC6DB4"/>
    <w:rsid w:val="00DC6DCE"/>
    <w:rsid w:val="00DC6DDE"/>
    <w:rsid w:val="00DC6DF0"/>
    <w:rsid w:val="00DC6E0A"/>
    <w:rsid w:val="00DC6E47"/>
    <w:rsid w:val="00DC6E5D"/>
    <w:rsid w:val="00DC6E7D"/>
    <w:rsid w:val="00DC6F30"/>
    <w:rsid w:val="00DC6F45"/>
    <w:rsid w:val="00DC6F58"/>
    <w:rsid w:val="00DC6FF5"/>
    <w:rsid w:val="00DC7046"/>
    <w:rsid w:val="00DC7093"/>
    <w:rsid w:val="00DC7211"/>
    <w:rsid w:val="00DC7296"/>
    <w:rsid w:val="00DC7297"/>
    <w:rsid w:val="00DC729B"/>
    <w:rsid w:val="00DC72FD"/>
    <w:rsid w:val="00DC734C"/>
    <w:rsid w:val="00DC7408"/>
    <w:rsid w:val="00DC7426"/>
    <w:rsid w:val="00DC748B"/>
    <w:rsid w:val="00DC7491"/>
    <w:rsid w:val="00DC74A8"/>
    <w:rsid w:val="00DC74E2"/>
    <w:rsid w:val="00DC7529"/>
    <w:rsid w:val="00DC755D"/>
    <w:rsid w:val="00DC75D5"/>
    <w:rsid w:val="00DC75FC"/>
    <w:rsid w:val="00DC762A"/>
    <w:rsid w:val="00DC7667"/>
    <w:rsid w:val="00DC76B5"/>
    <w:rsid w:val="00DC772F"/>
    <w:rsid w:val="00DC7806"/>
    <w:rsid w:val="00DC78CC"/>
    <w:rsid w:val="00DC7A77"/>
    <w:rsid w:val="00DC7ABF"/>
    <w:rsid w:val="00DC7AC3"/>
    <w:rsid w:val="00DC7AC8"/>
    <w:rsid w:val="00DC7B48"/>
    <w:rsid w:val="00DC7C3D"/>
    <w:rsid w:val="00DC7C56"/>
    <w:rsid w:val="00DC7D61"/>
    <w:rsid w:val="00DC7DAF"/>
    <w:rsid w:val="00DC7DC5"/>
    <w:rsid w:val="00DC7E1C"/>
    <w:rsid w:val="00DC7EDF"/>
    <w:rsid w:val="00DC7F77"/>
    <w:rsid w:val="00DD0016"/>
    <w:rsid w:val="00DD001A"/>
    <w:rsid w:val="00DD0024"/>
    <w:rsid w:val="00DD003B"/>
    <w:rsid w:val="00DD005A"/>
    <w:rsid w:val="00DD008C"/>
    <w:rsid w:val="00DD01C1"/>
    <w:rsid w:val="00DD01DA"/>
    <w:rsid w:val="00DD0208"/>
    <w:rsid w:val="00DD027E"/>
    <w:rsid w:val="00DD02D2"/>
    <w:rsid w:val="00DD032A"/>
    <w:rsid w:val="00DD036B"/>
    <w:rsid w:val="00DD03C9"/>
    <w:rsid w:val="00DD03CD"/>
    <w:rsid w:val="00DD0404"/>
    <w:rsid w:val="00DD044C"/>
    <w:rsid w:val="00DD0451"/>
    <w:rsid w:val="00DD0459"/>
    <w:rsid w:val="00DD0461"/>
    <w:rsid w:val="00DD0470"/>
    <w:rsid w:val="00DD04B7"/>
    <w:rsid w:val="00DD04C6"/>
    <w:rsid w:val="00DD04D5"/>
    <w:rsid w:val="00DD0509"/>
    <w:rsid w:val="00DD0530"/>
    <w:rsid w:val="00DD05BC"/>
    <w:rsid w:val="00DD05D0"/>
    <w:rsid w:val="00DD05F5"/>
    <w:rsid w:val="00DD0642"/>
    <w:rsid w:val="00DD06D5"/>
    <w:rsid w:val="00DD075D"/>
    <w:rsid w:val="00DD0772"/>
    <w:rsid w:val="00DD07C8"/>
    <w:rsid w:val="00DD081C"/>
    <w:rsid w:val="00DD086C"/>
    <w:rsid w:val="00DD0886"/>
    <w:rsid w:val="00DD08D8"/>
    <w:rsid w:val="00DD08DC"/>
    <w:rsid w:val="00DD0949"/>
    <w:rsid w:val="00DD09CB"/>
    <w:rsid w:val="00DD09DE"/>
    <w:rsid w:val="00DD0B08"/>
    <w:rsid w:val="00DD0B0A"/>
    <w:rsid w:val="00DD0B10"/>
    <w:rsid w:val="00DD0B17"/>
    <w:rsid w:val="00DD0B2D"/>
    <w:rsid w:val="00DD0B31"/>
    <w:rsid w:val="00DD0B86"/>
    <w:rsid w:val="00DD0BE2"/>
    <w:rsid w:val="00DD0C0F"/>
    <w:rsid w:val="00DD0CB7"/>
    <w:rsid w:val="00DD0CBB"/>
    <w:rsid w:val="00DD0CD5"/>
    <w:rsid w:val="00DD0CEA"/>
    <w:rsid w:val="00DD0D04"/>
    <w:rsid w:val="00DD0D52"/>
    <w:rsid w:val="00DD0D56"/>
    <w:rsid w:val="00DD0D8C"/>
    <w:rsid w:val="00DD0DB9"/>
    <w:rsid w:val="00DD0DDB"/>
    <w:rsid w:val="00DD0EF1"/>
    <w:rsid w:val="00DD0F47"/>
    <w:rsid w:val="00DD0F5F"/>
    <w:rsid w:val="00DD0F86"/>
    <w:rsid w:val="00DD0FBC"/>
    <w:rsid w:val="00DD0FCF"/>
    <w:rsid w:val="00DD1017"/>
    <w:rsid w:val="00DD1030"/>
    <w:rsid w:val="00DD1050"/>
    <w:rsid w:val="00DD1091"/>
    <w:rsid w:val="00DD10C2"/>
    <w:rsid w:val="00DD10D4"/>
    <w:rsid w:val="00DD10E6"/>
    <w:rsid w:val="00DD112E"/>
    <w:rsid w:val="00DD1184"/>
    <w:rsid w:val="00DD11B0"/>
    <w:rsid w:val="00DD11CF"/>
    <w:rsid w:val="00DD122C"/>
    <w:rsid w:val="00DD134F"/>
    <w:rsid w:val="00DD1350"/>
    <w:rsid w:val="00DD13C8"/>
    <w:rsid w:val="00DD1464"/>
    <w:rsid w:val="00DD14A1"/>
    <w:rsid w:val="00DD15C0"/>
    <w:rsid w:val="00DD15FA"/>
    <w:rsid w:val="00DD1631"/>
    <w:rsid w:val="00DD165D"/>
    <w:rsid w:val="00DD1698"/>
    <w:rsid w:val="00DD16FA"/>
    <w:rsid w:val="00DD1718"/>
    <w:rsid w:val="00DD1785"/>
    <w:rsid w:val="00DD17D5"/>
    <w:rsid w:val="00DD1815"/>
    <w:rsid w:val="00DD186B"/>
    <w:rsid w:val="00DD198B"/>
    <w:rsid w:val="00DD1995"/>
    <w:rsid w:val="00DD19CB"/>
    <w:rsid w:val="00DD19F8"/>
    <w:rsid w:val="00DD1A54"/>
    <w:rsid w:val="00DD1A73"/>
    <w:rsid w:val="00DD1BC5"/>
    <w:rsid w:val="00DD1BC6"/>
    <w:rsid w:val="00DD1BE2"/>
    <w:rsid w:val="00DD1C28"/>
    <w:rsid w:val="00DD1C47"/>
    <w:rsid w:val="00DD1CC8"/>
    <w:rsid w:val="00DD1D6D"/>
    <w:rsid w:val="00DD1DB0"/>
    <w:rsid w:val="00DD1DD7"/>
    <w:rsid w:val="00DD1E45"/>
    <w:rsid w:val="00DD205B"/>
    <w:rsid w:val="00DD20EA"/>
    <w:rsid w:val="00DD2179"/>
    <w:rsid w:val="00DD219A"/>
    <w:rsid w:val="00DD21BC"/>
    <w:rsid w:val="00DD21FC"/>
    <w:rsid w:val="00DD225A"/>
    <w:rsid w:val="00DD2269"/>
    <w:rsid w:val="00DD22BD"/>
    <w:rsid w:val="00DD2327"/>
    <w:rsid w:val="00DD233B"/>
    <w:rsid w:val="00DD236A"/>
    <w:rsid w:val="00DD238B"/>
    <w:rsid w:val="00DD239E"/>
    <w:rsid w:val="00DD23BA"/>
    <w:rsid w:val="00DD2453"/>
    <w:rsid w:val="00DD24F8"/>
    <w:rsid w:val="00DD2593"/>
    <w:rsid w:val="00DD260E"/>
    <w:rsid w:val="00DD2626"/>
    <w:rsid w:val="00DD26B7"/>
    <w:rsid w:val="00DD26BE"/>
    <w:rsid w:val="00DD2727"/>
    <w:rsid w:val="00DD2768"/>
    <w:rsid w:val="00DD278F"/>
    <w:rsid w:val="00DD27A8"/>
    <w:rsid w:val="00DD27D3"/>
    <w:rsid w:val="00DD27FD"/>
    <w:rsid w:val="00DD281F"/>
    <w:rsid w:val="00DD2836"/>
    <w:rsid w:val="00DD2853"/>
    <w:rsid w:val="00DD2872"/>
    <w:rsid w:val="00DD28D0"/>
    <w:rsid w:val="00DD28E7"/>
    <w:rsid w:val="00DD2909"/>
    <w:rsid w:val="00DD291E"/>
    <w:rsid w:val="00DD2934"/>
    <w:rsid w:val="00DD296C"/>
    <w:rsid w:val="00DD29B0"/>
    <w:rsid w:val="00DD29C6"/>
    <w:rsid w:val="00DD2A68"/>
    <w:rsid w:val="00DD2AA6"/>
    <w:rsid w:val="00DD2AC1"/>
    <w:rsid w:val="00DD2AE4"/>
    <w:rsid w:val="00DD2AFE"/>
    <w:rsid w:val="00DD2B3F"/>
    <w:rsid w:val="00DD2B45"/>
    <w:rsid w:val="00DD2BD4"/>
    <w:rsid w:val="00DD2C5A"/>
    <w:rsid w:val="00DD2D1D"/>
    <w:rsid w:val="00DD2E13"/>
    <w:rsid w:val="00DD2E5C"/>
    <w:rsid w:val="00DD2ECE"/>
    <w:rsid w:val="00DD2F52"/>
    <w:rsid w:val="00DD2FAB"/>
    <w:rsid w:val="00DD2FDC"/>
    <w:rsid w:val="00DD3009"/>
    <w:rsid w:val="00DD309B"/>
    <w:rsid w:val="00DD30F5"/>
    <w:rsid w:val="00DD3152"/>
    <w:rsid w:val="00DD3189"/>
    <w:rsid w:val="00DD31AA"/>
    <w:rsid w:val="00DD3213"/>
    <w:rsid w:val="00DD32E6"/>
    <w:rsid w:val="00DD33FB"/>
    <w:rsid w:val="00DD34D7"/>
    <w:rsid w:val="00DD34EF"/>
    <w:rsid w:val="00DD354B"/>
    <w:rsid w:val="00DD356A"/>
    <w:rsid w:val="00DD3597"/>
    <w:rsid w:val="00DD35C7"/>
    <w:rsid w:val="00DD35F8"/>
    <w:rsid w:val="00DD362B"/>
    <w:rsid w:val="00DD3639"/>
    <w:rsid w:val="00DD3720"/>
    <w:rsid w:val="00DD385B"/>
    <w:rsid w:val="00DD3884"/>
    <w:rsid w:val="00DD38BF"/>
    <w:rsid w:val="00DD3974"/>
    <w:rsid w:val="00DD3984"/>
    <w:rsid w:val="00DD3992"/>
    <w:rsid w:val="00DD39A2"/>
    <w:rsid w:val="00DD39A3"/>
    <w:rsid w:val="00DD39CA"/>
    <w:rsid w:val="00DD3A03"/>
    <w:rsid w:val="00DD3A52"/>
    <w:rsid w:val="00DD3A62"/>
    <w:rsid w:val="00DD3A6B"/>
    <w:rsid w:val="00DD3A70"/>
    <w:rsid w:val="00DD3A7C"/>
    <w:rsid w:val="00DD3A7D"/>
    <w:rsid w:val="00DD3A8D"/>
    <w:rsid w:val="00DD3ABB"/>
    <w:rsid w:val="00DD3BA2"/>
    <w:rsid w:val="00DD3BAB"/>
    <w:rsid w:val="00DD3BC6"/>
    <w:rsid w:val="00DD3C16"/>
    <w:rsid w:val="00DD3C4B"/>
    <w:rsid w:val="00DD3C4F"/>
    <w:rsid w:val="00DD3C6E"/>
    <w:rsid w:val="00DD3C86"/>
    <w:rsid w:val="00DD3D2E"/>
    <w:rsid w:val="00DD3D60"/>
    <w:rsid w:val="00DD3E26"/>
    <w:rsid w:val="00DD3E59"/>
    <w:rsid w:val="00DD3E6E"/>
    <w:rsid w:val="00DD3E7A"/>
    <w:rsid w:val="00DD3E7D"/>
    <w:rsid w:val="00DD3EB4"/>
    <w:rsid w:val="00DD3FAB"/>
    <w:rsid w:val="00DD403D"/>
    <w:rsid w:val="00DD4046"/>
    <w:rsid w:val="00DD4067"/>
    <w:rsid w:val="00DD40B1"/>
    <w:rsid w:val="00DD40E3"/>
    <w:rsid w:val="00DD4101"/>
    <w:rsid w:val="00DD410B"/>
    <w:rsid w:val="00DD4149"/>
    <w:rsid w:val="00DD4202"/>
    <w:rsid w:val="00DD42C8"/>
    <w:rsid w:val="00DD43E3"/>
    <w:rsid w:val="00DD44C8"/>
    <w:rsid w:val="00DD44FC"/>
    <w:rsid w:val="00DD4517"/>
    <w:rsid w:val="00DD4586"/>
    <w:rsid w:val="00DD46C4"/>
    <w:rsid w:val="00DD46D0"/>
    <w:rsid w:val="00DD46D7"/>
    <w:rsid w:val="00DD4756"/>
    <w:rsid w:val="00DD4784"/>
    <w:rsid w:val="00DD4795"/>
    <w:rsid w:val="00DD47CA"/>
    <w:rsid w:val="00DD47D0"/>
    <w:rsid w:val="00DD4857"/>
    <w:rsid w:val="00DD4887"/>
    <w:rsid w:val="00DD49A4"/>
    <w:rsid w:val="00DD4A30"/>
    <w:rsid w:val="00DD4A53"/>
    <w:rsid w:val="00DD4A89"/>
    <w:rsid w:val="00DD4ABE"/>
    <w:rsid w:val="00DD4AFE"/>
    <w:rsid w:val="00DD4C01"/>
    <w:rsid w:val="00DD4D36"/>
    <w:rsid w:val="00DD4DBF"/>
    <w:rsid w:val="00DD4DC9"/>
    <w:rsid w:val="00DD4E57"/>
    <w:rsid w:val="00DD4E74"/>
    <w:rsid w:val="00DD4E78"/>
    <w:rsid w:val="00DD4E88"/>
    <w:rsid w:val="00DD4EC2"/>
    <w:rsid w:val="00DD501D"/>
    <w:rsid w:val="00DD5047"/>
    <w:rsid w:val="00DD504D"/>
    <w:rsid w:val="00DD5082"/>
    <w:rsid w:val="00DD50E3"/>
    <w:rsid w:val="00DD5176"/>
    <w:rsid w:val="00DD51AD"/>
    <w:rsid w:val="00DD520B"/>
    <w:rsid w:val="00DD521F"/>
    <w:rsid w:val="00DD5295"/>
    <w:rsid w:val="00DD5349"/>
    <w:rsid w:val="00DD5363"/>
    <w:rsid w:val="00DD53A5"/>
    <w:rsid w:val="00DD53C0"/>
    <w:rsid w:val="00DD53FB"/>
    <w:rsid w:val="00DD5493"/>
    <w:rsid w:val="00DD5570"/>
    <w:rsid w:val="00DD55AF"/>
    <w:rsid w:val="00DD5603"/>
    <w:rsid w:val="00DD561F"/>
    <w:rsid w:val="00DD56E1"/>
    <w:rsid w:val="00DD56FB"/>
    <w:rsid w:val="00DD5712"/>
    <w:rsid w:val="00DD571B"/>
    <w:rsid w:val="00DD5792"/>
    <w:rsid w:val="00DD5896"/>
    <w:rsid w:val="00DD58BE"/>
    <w:rsid w:val="00DD58F6"/>
    <w:rsid w:val="00DD59B1"/>
    <w:rsid w:val="00DD59C2"/>
    <w:rsid w:val="00DD5AAB"/>
    <w:rsid w:val="00DD5AD3"/>
    <w:rsid w:val="00DD5B1C"/>
    <w:rsid w:val="00DD5B2A"/>
    <w:rsid w:val="00DD5B4C"/>
    <w:rsid w:val="00DD5BAE"/>
    <w:rsid w:val="00DD5BE5"/>
    <w:rsid w:val="00DD5BFC"/>
    <w:rsid w:val="00DD5C11"/>
    <w:rsid w:val="00DD5C22"/>
    <w:rsid w:val="00DD5C5B"/>
    <w:rsid w:val="00DD5C8C"/>
    <w:rsid w:val="00DD5CBA"/>
    <w:rsid w:val="00DD5D0B"/>
    <w:rsid w:val="00DD5DBD"/>
    <w:rsid w:val="00DD5DC1"/>
    <w:rsid w:val="00DD5E1F"/>
    <w:rsid w:val="00DD5E3C"/>
    <w:rsid w:val="00DD5F45"/>
    <w:rsid w:val="00DD5F56"/>
    <w:rsid w:val="00DD5F7F"/>
    <w:rsid w:val="00DD5FA5"/>
    <w:rsid w:val="00DD604A"/>
    <w:rsid w:val="00DD6068"/>
    <w:rsid w:val="00DD6076"/>
    <w:rsid w:val="00DD60E1"/>
    <w:rsid w:val="00DD6132"/>
    <w:rsid w:val="00DD6276"/>
    <w:rsid w:val="00DD6277"/>
    <w:rsid w:val="00DD63C7"/>
    <w:rsid w:val="00DD6413"/>
    <w:rsid w:val="00DD6437"/>
    <w:rsid w:val="00DD6497"/>
    <w:rsid w:val="00DD64E0"/>
    <w:rsid w:val="00DD64EC"/>
    <w:rsid w:val="00DD655B"/>
    <w:rsid w:val="00DD6572"/>
    <w:rsid w:val="00DD6593"/>
    <w:rsid w:val="00DD662F"/>
    <w:rsid w:val="00DD6662"/>
    <w:rsid w:val="00DD66C8"/>
    <w:rsid w:val="00DD684D"/>
    <w:rsid w:val="00DD685D"/>
    <w:rsid w:val="00DD6891"/>
    <w:rsid w:val="00DD693A"/>
    <w:rsid w:val="00DD69B2"/>
    <w:rsid w:val="00DD6A2A"/>
    <w:rsid w:val="00DD6A9C"/>
    <w:rsid w:val="00DD6AB7"/>
    <w:rsid w:val="00DD6B2B"/>
    <w:rsid w:val="00DD6B51"/>
    <w:rsid w:val="00DD6C0A"/>
    <w:rsid w:val="00DD6D56"/>
    <w:rsid w:val="00DD6D78"/>
    <w:rsid w:val="00DD6E2E"/>
    <w:rsid w:val="00DD6E7B"/>
    <w:rsid w:val="00DD6E8F"/>
    <w:rsid w:val="00DD6ED6"/>
    <w:rsid w:val="00DD6F03"/>
    <w:rsid w:val="00DD6F32"/>
    <w:rsid w:val="00DD6F72"/>
    <w:rsid w:val="00DD6F9B"/>
    <w:rsid w:val="00DD6FA1"/>
    <w:rsid w:val="00DD6FDB"/>
    <w:rsid w:val="00DD7031"/>
    <w:rsid w:val="00DD70B4"/>
    <w:rsid w:val="00DD7258"/>
    <w:rsid w:val="00DD7278"/>
    <w:rsid w:val="00DD728E"/>
    <w:rsid w:val="00DD7297"/>
    <w:rsid w:val="00DD72C1"/>
    <w:rsid w:val="00DD7305"/>
    <w:rsid w:val="00DD740A"/>
    <w:rsid w:val="00DD74F2"/>
    <w:rsid w:val="00DD7588"/>
    <w:rsid w:val="00DD7630"/>
    <w:rsid w:val="00DD7662"/>
    <w:rsid w:val="00DD7681"/>
    <w:rsid w:val="00DD76D7"/>
    <w:rsid w:val="00DD7734"/>
    <w:rsid w:val="00DD77D3"/>
    <w:rsid w:val="00DD7820"/>
    <w:rsid w:val="00DD787E"/>
    <w:rsid w:val="00DD796D"/>
    <w:rsid w:val="00DD79A3"/>
    <w:rsid w:val="00DD79C5"/>
    <w:rsid w:val="00DD79D2"/>
    <w:rsid w:val="00DD7AEC"/>
    <w:rsid w:val="00DD7B21"/>
    <w:rsid w:val="00DD7B24"/>
    <w:rsid w:val="00DD7B49"/>
    <w:rsid w:val="00DD7BA4"/>
    <w:rsid w:val="00DD7BFF"/>
    <w:rsid w:val="00DD7C66"/>
    <w:rsid w:val="00DD7DCD"/>
    <w:rsid w:val="00DD7E44"/>
    <w:rsid w:val="00DD7E82"/>
    <w:rsid w:val="00DD7FD7"/>
    <w:rsid w:val="00DE0031"/>
    <w:rsid w:val="00DE0081"/>
    <w:rsid w:val="00DE0105"/>
    <w:rsid w:val="00DE0126"/>
    <w:rsid w:val="00DE0151"/>
    <w:rsid w:val="00DE0163"/>
    <w:rsid w:val="00DE01CB"/>
    <w:rsid w:val="00DE021D"/>
    <w:rsid w:val="00DE0235"/>
    <w:rsid w:val="00DE0246"/>
    <w:rsid w:val="00DE0267"/>
    <w:rsid w:val="00DE0286"/>
    <w:rsid w:val="00DE0292"/>
    <w:rsid w:val="00DE02BA"/>
    <w:rsid w:val="00DE02E4"/>
    <w:rsid w:val="00DE03CF"/>
    <w:rsid w:val="00DE0416"/>
    <w:rsid w:val="00DE046C"/>
    <w:rsid w:val="00DE0541"/>
    <w:rsid w:val="00DE05B9"/>
    <w:rsid w:val="00DE0617"/>
    <w:rsid w:val="00DE0632"/>
    <w:rsid w:val="00DE066C"/>
    <w:rsid w:val="00DE0857"/>
    <w:rsid w:val="00DE0880"/>
    <w:rsid w:val="00DE0902"/>
    <w:rsid w:val="00DE0942"/>
    <w:rsid w:val="00DE0AA0"/>
    <w:rsid w:val="00DE0ADA"/>
    <w:rsid w:val="00DE0B5F"/>
    <w:rsid w:val="00DE0BE6"/>
    <w:rsid w:val="00DE0BE8"/>
    <w:rsid w:val="00DE0C1E"/>
    <w:rsid w:val="00DE0C42"/>
    <w:rsid w:val="00DE0C50"/>
    <w:rsid w:val="00DE0C95"/>
    <w:rsid w:val="00DE0D1D"/>
    <w:rsid w:val="00DE0D20"/>
    <w:rsid w:val="00DE0D42"/>
    <w:rsid w:val="00DE0D6A"/>
    <w:rsid w:val="00DE0D85"/>
    <w:rsid w:val="00DE0DA2"/>
    <w:rsid w:val="00DE0E3A"/>
    <w:rsid w:val="00DE0EBC"/>
    <w:rsid w:val="00DE0ED9"/>
    <w:rsid w:val="00DE0FBD"/>
    <w:rsid w:val="00DE0FD5"/>
    <w:rsid w:val="00DE0FEC"/>
    <w:rsid w:val="00DE1040"/>
    <w:rsid w:val="00DE104D"/>
    <w:rsid w:val="00DE106D"/>
    <w:rsid w:val="00DE1125"/>
    <w:rsid w:val="00DE1126"/>
    <w:rsid w:val="00DE1156"/>
    <w:rsid w:val="00DE11D9"/>
    <w:rsid w:val="00DE11DA"/>
    <w:rsid w:val="00DE12D1"/>
    <w:rsid w:val="00DE1308"/>
    <w:rsid w:val="00DE1311"/>
    <w:rsid w:val="00DE1331"/>
    <w:rsid w:val="00DE1332"/>
    <w:rsid w:val="00DE1386"/>
    <w:rsid w:val="00DE1498"/>
    <w:rsid w:val="00DE14AD"/>
    <w:rsid w:val="00DE154E"/>
    <w:rsid w:val="00DE1669"/>
    <w:rsid w:val="00DE16B3"/>
    <w:rsid w:val="00DE16CF"/>
    <w:rsid w:val="00DE17E9"/>
    <w:rsid w:val="00DE17F3"/>
    <w:rsid w:val="00DE185C"/>
    <w:rsid w:val="00DE1883"/>
    <w:rsid w:val="00DE18B0"/>
    <w:rsid w:val="00DE1A81"/>
    <w:rsid w:val="00DE1ABF"/>
    <w:rsid w:val="00DE1AE2"/>
    <w:rsid w:val="00DE1AFB"/>
    <w:rsid w:val="00DE1BC7"/>
    <w:rsid w:val="00DE1BF9"/>
    <w:rsid w:val="00DE1C1C"/>
    <w:rsid w:val="00DE1CE8"/>
    <w:rsid w:val="00DE1D0F"/>
    <w:rsid w:val="00DE1E39"/>
    <w:rsid w:val="00DE1E43"/>
    <w:rsid w:val="00DE1E45"/>
    <w:rsid w:val="00DE1E4D"/>
    <w:rsid w:val="00DE1EAD"/>
    <w:rsid w:val="00DE1EB6"/>
    <w:rsid w:val="00DE1EBA"/>
    <w:rsid w:val="00DE1EBF"/>
    <w:rsid w:val="00DE1ED9"/>
    <w:rsid w:val="00DE1F93"/>
    <w:rsid w:val="00DE2010"/>
    <w:rsid w:val="00DE2026"/>
    <w:rsid w:val="00DE2027"/>
    <w:rsid w:val="00DE2034"/>
    <w:rsid w:val="00DE2060"/>
    <w:rsid w:val="00DE20CF"/>
    <w:rsid w:val="00DE20DB"/>
    <w:rsid w:val="00DE2115"/>
    <w:rsid w:val="00DE2134"/>
    <w:rsid w:val="00DE2197"/>
    <w:rsid w:val="00DE222C"/>
    <w:rsid w:val="00DE226E"/>
    <w:rsid w:val="00DE22AB"/>
    <w:rsid w:val="00DE22F8"/>
    <w:rsid w:val="00DE22F9"/>
    <w:rsid w:val="00DE2308"/>
    <w:rsid w:val="00DE23FD"/>
    <w:rsid w:val="00DE240B"/>
    <w:rsid w:val="00DE24D5"/>
    <w:rsid w:val="00DE24E3"/>
    <w:rsid w:val="00DE2573"/>
    <w:rsid w:val="00DE2588"/>
    <w:rsid w:val="00DE2607"/>
    <w:rsid w:val="00DE2611"/>
    <w:rsid w:val="00DE2685"/>
    <w:rsid w:val="00DE26A1"/>
    <w:rsid w:val="00DE2707"/>
    <w:rsid w:val="00DE272A"/>
    <w:rsid w:val="00DE2763"/>
    <w:rsid w:val="00DE2765"/>
    <w:rsid w:val="00DE288C"/>
    <w:rsid w:val="00DE28CD"/>
    <w:rsid w:val="00DE2955"/>
    <w:rsid w:val="00DE296B"/>
    <w:rsid w:val="00DE2990"/>
    <w:rsid w:val="00DE29C7"/>
    <w:rsid w:val="00DE2A63"/>
    <w:rsid w:val="00DE2AE6"/>
    <w:rsid w:val="00DE2B03"/>
    <w:rsid w:val="00DE2BF3"/>
    <w:rsid w:val="00DE2D8E"/>
    <w:rsid w:val="00DE2E3D"/>
    <w:rsid w:val="00DE2F28"/>
    <w:rsid w:val="00DE3027"/>
    <w:rsid w:val="00DE306B"/>
    <w:rsid w:val="00DE314E"/>
    <w:rsid w:val="00DE3175"/>
    <w:rsid w:val="00DE3193"/>
    <w:rsid w:val="00DE319A"/>
    <w:rsid w:val="00DE31AB"/>
    <w:rsid w:val="00DE326F"/>
    <w:rsid w:val="00DE3279"/>
    <w:rsid w:val="00DE32F3"/>
    <w:rsid w:val="00DE339C"/>
    <w:rsid w:val="00DE341B"/>
    <w:rsid w:val="00DE3506"/>
    <w:rsid w:val="00DE350D"/>
    <w:rsid w:val="00DE3529"/>
    <w:rsid w:val="00DE3550"/>
    <w:rsid w:val="00DE35EB"/>
    <w:rsid w:val="00DE364C"/>
    <w:rsid w:val="00DE3679"/>
    <w:rsid w:val="00DE36AD"/>
    <w:rsid w:val="00DE37C9"/>
    <w:rsid w:val="00DE37CF"/>
    <w:rsid w:val="00DE37D5"/>
    <w:rsid w:val="00DE3876"/>
    <w:rsid w:val="00DE38C3"/>
    <w:rsid w:val="00DE38D5"/>
    <w:rsid w:val="00DE3933"/>
    <w:rsid w:val="00DE3948"/>
    <w:rsid w:val="00DE3955"/>
    <w:rsid w:val="00DE3A53"/>
    <w:rsid w:val="00DE3A5B"/>
    <w:rsid w:val="00DE3A77"/>
    <w:rsid w:val="00DE3A80"/>
    <w:rsid w:val="00DE3A97"/>
    <w:rsid w:val="00DE3B0A"/>
    <w:rsid w:val="00DE3B4A"/>
    <w:rsid w:val="00DE3C28"/>
    <w:rsid w:val="00DE3C77"/>
    <w:rsid w:val="00DE3C8D"/>
    <w:rsid w:val="00DE3D43"/>
    <w:rsid w:val="00DE3D7A"/>
    <w:rsid w:val="00DE3DCD"/>
    <w:rsid w:val="00DE3E70"/>
    <w:rsid w:val="00DE3F41"/>
    <w:rsid w:val="00DE3F60"/>
    <w:rsid w:val="00DE4083"/>
    <w:rsid w:val="00DE4121"/>
    <w:rsid w:val="00DE4147"/>
    <w:rsid w:val="00DE4222"/>
    <w:rsid w:val="00DE4282"/>
    <w:rsid w:val="00DE4357"/>
    <w:rsid w:val="00DE4375"/>
    <w:rsid w:val="00DE4457"/>
    <w:rsid w:val="00DE4502"/>
    <w:rsid w:val="00DE450A"/>
    <w:rsid w:val="00DE4594"/>
    <w:rsid w:val="00DE4611"/>
    <w:rsid w:val="00DE4647"/>
    <w:rsid w:val="00DE4669"/>
    <w:rsid w:val="00DE46D1"/>
    <w:rsid w:val="00DE47DC"/>
    <w:rsid w:val="00DE4892"/>
    <w:rsid w:val="00DE4906"/>
    <w:rsid w:val="00DE491D"/>
    <w:rsid w:val="00DE4A19"/>
    <w:rsid w:val="00DE4A37"/>
    <w:rsid w:val="00DE4A3A"/>
    <w:rsid w:val="00DE4A6E"/>
    <w:rsid w:val="00DE4A95"/>
    <w:rsid w:val="00DE4AB1"/>
    <w:rsid w:val="00DE4B23"/>
    <w:rsid w:val="00DE4B28"/>
    <w:rsid w:val="00DE4BCE"/>
    <w:rsid w:val="00DE4BFF"/>
    <w:rsid w:val="00DE4C79"/>
    <w:rsid w:val="00DE4C9D"/>
    <w:rsid w:val="00DE4E35"/>
    <w:rsid w:val="00DE4E64"/>
    <w:rsid w:val="00DE4E74"/>
    <w:rsid w:val="00DE4E75"/>
    <w:rsid w:val="00DE4E7E"/>
    <w:rsid w:val="00DE4F57"/>
    <w:rsid w:val="00DE4F5A"/>
    <w:rsid w:val="00DE4F84"/>
    <w:rsid w:val="00DE4FB6"/>
    <w:rsid w:val="00DE5071"/>
    <w:rsid w:val="00DE50BC"/>
    <w:rsid w:val="00DE50CA"/>
    <w:rsid w:val="00DE51B1"/>
    <w:rsid w:val="00DE51C8"/>
    <w:rsid w:val="00DE5207"/>
    <w:rsid w:val="00DE5211"/>
    <w:rsid w:val="00DE522A"/>
    <w:rsid w:val="00DE527A"/>
    <w:rsid w:val="00DE52B0"/>
    <w:rsid w:val="00DE52CD"/>
    <w:rsid w:val="00DE5321"/>
    <w:rsid w:val="00DE5360"/>
    <w:rsid w:val="00DE537E"/>
    <w:rsid w:val="00DE5383"/>
    <w:rsid w:val="00DE53AB"/>
    <w:rsid w:val="00DE53F9"/>
    <w:rsid w:val="00DE5440"/>
    <w:rsid w:val="00DE54CB"/>
    <w:rsid w:val="00DE54E1"/>
    <w:rsid w:val="00DE5536"/>
    <w:rsid w:val="00DE5585"/>
    <w:rsid w:val="00DE55BF"/>
    <w:rsid w:val="00DE5635"/>
    <w:rsid w:val="00DE568B"/>
    <w:rsid w:val="00DE56BC"/>
    <w:rsid w:val="00DE5704"/>
    <w:rsid w:val="00DE5707"/>
    <w:rsid w:val="00DE577E"/>
    <w:rsid w:val="00DE57BF"/>
    <w:rsid w:val="00DE5803"/>
    <w:rsid w:val="00DE5825"/>
    <w:rsid w:val="00DE58B0"/>
    <w:rsid w:val="00DE58BE"/>
    <w:rsid w:val="00DE59FF"/>
    <w:rsid w:val="00DE5A18"/>
    <w:rsid w:val="00DE5A1E"/>
    <w:rsid w:val="00DE5A2A"/>
    <w:rsid w:val="00DE5B10"/>
    <w:rsid w:val="00DE5B17"/>
    <w:rsid w:val="00DE5B9E"/>
    <w:rsid w:val="00DE5BB0"/>
    <w:rsid w:val="00DE5BB3"/>
    <w:rsid w:val="00DE5BDE"/>
    <w:rsid w:val="00DE5C4F"/>
    <w:rsid w:val="00DE5C67"/>
    <w:rsid w:val="00DE5CD4"/>
    <w:rsid w:val="00DE5D1C"/>
    <w:rsid w:val="00DE5D4F"/>
    <w:rsid w:val="00DE5D5B"/>
    <w:rsid w:val="00DE5D5C"/>
    <w:rsid w:val="00DE5D62"/>
    <w:rsid w:val="00DE5DBD"/>
    <w:rsid w:val="00DE5E0A"/>
    <w:rsid w:val="00DE5E55"/>
    <w:rsid w:val="00DE5E8B"/>
    <w:rsid w:val="00DE5ED4"/>
    <w:rsid w:val="00DE5FAE"/>
    <w:rsid w:val="00DE5FB4"/>
    <w:rsid w:val="00DE5FC4"/>
    <w:rsid w:val="00DE5FF4"/>
    <w:rsid w:val="00DE6010"/>
    <w:rsid w:val="00DE6056"/>
    <w:rsid w:val="00DE6063"/>
    <w:rsid w:val="00DE6114"/>
    <w:rsid w:val="00DE6156"/>
    <w:rsid w:val="00DE6178"/>
    <w:rsid w:val="00DE6276"/>
    <w:rsid w:val="00DE629B"/>
    <w:rsid w:val="00DE62C2"/>
    <w:rsid w:val="00DE63CD"/>
    <w:rsid w:val="00DE63F3"/>
    <w:rsid w:val="00DE641E"/>
    <w:rsid w:val="00DE64CC"/>
    <w:rsid w:val="00DE6527"/>
    <w:rsid w:val="00DE6584"/>
    <w:rsid w:val="00DE6616"/>
    <w:rsid w:val="00DE6707"/>
    <w:rsid w:val="00DE6779"/>
    <w:rsid w:val="00DE6837"/>
    <w:rsid w:val="00DE683A"/>
    <w:rsid w:val="00DE688D"/>
    <w:rsid w:val="00DE689B"/>
    <w:rsid w:val="00DE68D6"/>
    <w:rsid w:val="00DE6945"/>
    <w:rsid w:val="00DE6990"/>
    <w:rsid w:val="00DE69AD"/>
    <w:rsid w:val="00DE69E3"/>
    <w:rsid w:val="00DE6A59"/>
    <w:rsid w:val="00DE6A68"/>
    <w:rsid w:val="00DE6AA9"/>
    <w:rsid w:val="00DE6B5F"/>
    <w:rsid w:val="00DE6BD5"/>
    <w:rsid w:val="00DE6CD4"/>
    <w:rsid w:val="00DE6D9A"/>
    <w:rsid w:val="00DE6E34"/>
    <w:rsid w:val="00DE6E90"/>
    <w:rsid w:val="00DE6F16"/>
    <w:rsid w:val="00DE6F5A"/>
    <w:rsid w:val="00DE6FFC"/>
    <w:rsid w:val="00DE7005"/>
    <w:rsid w:val="00DE70F1"/>
    <w:rsid w:val="00DE70F4"/>
    <w:rsid w:val="00DE71A0"/>
    <w:rsid w:val="00DE7202"/>
    <w:rsid w:val="00DE7238"/>
    <w:rsid w:val="00DE7250"/>
    <w:rsid w:val="00DE72FD"/>
    <w:rsid w:val="00DE7305"/>
    <w:rsid w:val="00DE732F"/>
    <w:rsid w:val="00DE7342"/>
    <w:rsid w:val="00DE7369"/>
    <w:rsid w:val="00DE745F"/>
    <w:rsid w:val="00DE7475"/>
    <w:rsid w:val="00DE7478"/>
    <w:rsid w:val="00DE74BB"/>
    <w:rsid w:val="00DE7506"/>
    <w:rsid w:val="00DE750D"/>
    <w:rsid w:val="00DE7621"/>
    <w:rsid w:val="00DE7652"/>
    <w:rsid w:val="00DE77E1"/>
    <w:rsid w:val="00DE77E9"/>
    <w:rsid w:val="00DE7881"/>
    <w:rsid w:val="00DE78E0"/>
    <w:rsid w:val="00DE797B"/>
    <w:rsid w:val="00DE7981"/>
    <w:rsid w:val="00DE7990"/>
    <w:rsid w:val="00DE7A0E"/>
    <w:rsid w:val="00DE7A39"/>
    <w:rsid w:val="00DE7A63"/>
    <w:rsid w:val="00DE7A83"/>
    <w:rsid w:val="00DE7AAA"/>
    <w:rsid w:val="00DE7AC0"/>
    <w:rsid w:val="00DE7B54"/>
    <w:rsid w:val="00DE7B57"/>
    <w:rsid w:val="00DE7C74"/>
    <w:rsid w:val="00DE7C7B"/>
    <w:rsid w:val="00DE7D25"/>
    <w:rsid w:val="00DE7DE5"/>
    <w:rsid w:val="00DE7E56"/>
    <w:rsid w:val="00DE7F3B"/>
    <w:rsid w:val="00DE7F98"/>
    <w:rsid w:val="00DE7FFD"/>
    <w:rsid w:val="00DE7FFE"/>
    <w:rsid w:val="00DF0044"/>
    <w:rsid w:val="00DF00A9"/>
    <w:rsid w:val="00DF00EB"/>
    <w:rsid w:val="00DF0173"/>
    <w:rsid w:val="00DF0289"/>
    <w:rsid w:val="00DF0295"/>
    <w:rsid w:val="00DF032E"/>
    <w:rsid w:val="00DF0382"/>
    <w:rsid w:val="00DF038B"/>
    <w:rsid w:val="00DF03C9"/>
    <w:rsid w:val="00DF03D5"/>
    <w:rsid w:val="00DF03F4"/>
    <w:rsid w:val="00DF0458"/>
    <w:rsid w:val="00DF046A"/>
    <w:rsid w:val="00DF046E"/>
    <w:rsid w:val="00DF0571"/>
    <w:rsid w:val="00DF05A7"/>
    <w:rsid w:val="00DF0659"/>
    <w:rsid w:val="00DF0676"/>
    <w:rsid w:val="00DF06D6"/>
    <w:rsid w:val="00DF0899"/>
    <w:rsid w:val="00DF08F1"/>
    <w:rsid w:val="00DF0908"/>
    <w:rsid w:val="00DF096B"/>
    <w:rsid w:val="00DF09BB"/>
    <w:rsid w:val="00DF09EE"/>
    <w:rsid w:val="00DF09FB"/>
    <w:rsid w:val="00DF0A9B"/>
    <w:rsid w:val="00DF0AA7"/>
    <w:rsid w:val="00DF0AAD"/>
    <w:rsid w:val="00DF0B4E"/>
    <w:rsid w:val="00DF0BDE"/>
    <w:rsid w:val="00DF0BFA"/>
    <w:rsid w:val="00DF0C77"/>
    <w:rsid w:val="00DF0C83"/>
    <w:rsid w:val="00DF0CA4"/>
    <w:rsid w:val="00DF0D04"/>
    <w:rsid w:val="00DF0D81"/>
    <w:rsid w:val="00DF0D94"/>
    <w:rsid w:val="00DF0D99"/>
    <w:rsid w:val="00DF0DDB"/>
    <w:rsid w:val="00DF0E0B"/>
    <w:rsid w:val="00DF0E5E"/>
    <w:rsid w:val="00DF0E8A"/>
    <w:rsid w:val="00DF0EB4"/>
    <w:rsid w:val="00DF0F24"/>
    <w:rsid w:val="00DF0F29"/>
    <w:rsid w:val="00DF0F3F"/>
    <w:rsid w:val="00DF0FF1"/>
    <w:rsid w:val="00DF1093"/>
    <w:rsid w:val="00DF10DF"/>
    <w:rsid w:val="00DF111C"/>
    <w:rsid w:val="00DF11B4"/>
    <w:rsid w:val="00DF11C8"/>
    <w:rsid w:val="00DF12A5"/>
    <w:rsid w:val="00DF12C4"/>
    <w:rsid w:val="00DF12FC"/>
    <w:rsid w:val="00DF1322"/>
    <w:rsid w:val="00DF1335"/>
    <w:rsid w:val="00DF1463"/>
    <w:rsid w:val="00DF1467"/>
    <w:rsid w:val="00DF1503"/>
    <w:rsid w:val="00DF1533"/>
    <w:rsid w:val="00DF1558"/>
    <w:rsid w:val="00DF158C"/>
    <w:rsid w:val="00DF15A5"/>
    <w:rsid w:val="00DF1651"/>
    <w:rsid w:val="00DF1713"/>
    <w:rsid w:val="00DF1769"/>
    <w:rsid w:val="00DF178A"/>
    <w:rsid w:val="00DF1814"/>
    <w:rsid w:val="00DF1818"/>
    <w:rsid w:val="00DF1827"/>
    <w:rsid w:val="00DF1879"/>
    <w:rsid w:val="00DF18A3"/>
    <w:rsid w:val="00DF18C2"/>
    <w:rsid w:val="00DF196E"/>
    <w:rsid w:val="00DF1986"/>
    <w:rsid w:val="00DF1988"/>
    <w:rsid w:val="00DF198B"/>
    <w:rsid w:val="00DF19EE"/>
    <w:rsid w:val="00DF19F5"/>
    <w:rsid w:val="00DF1AC9"/>
    <w:rsid w:val="00DF1B29"/>
    <w:rsid w:val="00DF1B77"/>
    <w:rsid w:val="00DF1C55"/>
    <w:rsid w:val="00DF1C7E"/>
    <w:rsid w:val="00DF1CAA"/>
    <w:rsid w:val="00DF1D7A"/>
    <w:rsid w:val="00DF1D7D"/>
    <w:rsid w:val="00DF1DD1"/>
    <w:rsid w:val="00DF1E18"/>
    <w:rsid w:val="00DF1E82"/>
    <w:rsid w:val="00DF1E93"/>
    <w:rsid w:val="00DF1EBE"/>
    <w:rsid w:val="00DF1FB3"/>
    <w:rsid w:val="00DF1FC7"/>
    <w:rsid w:val="00DF2045"/>
    <w:rsid w:val="00DF20DD"/>
    <w:rsid w:val="00DF20F8"/>
    <w:rsid w:val="00DF2122"/>
    <w:rsid w:val="00DF22C9"/>
    <w:rsid w:val="00DF233B"/>
    <w:rsid w:val="00DF2478"/>
    <w:rsid w:val="00DF2511"/>
    <w:rsid w:val="00DF252B"/>
    <w:rsid w:val="00DF254B"/>
    <w:rsid w:val="00DF25A0"/>
    <w:rsid w:val="00DF2618"/>
    <w:rsid w:val="00DF2745"/>
    <w:rsid w:val="00DF2746"/>
    <w:rsid w:val="00DF276E"/>
    <w:rsid w:val="00DF27AE"/>
    <w:rsid w:val="00DF27CE"/>
    <w:rsid w:val="00DF2833"/>
    <w:rsid w:val="00DF287B"/>
    <w:rsid w:val="00DF28BC"/>
    <w:rsid w:val="00DF28D5"/>
    <w:rsid w:val="00DF2909"/>
    <w:rsid w:val="00DF298C"/>
    <w:rsid w:val="00DF29B8"/>
    <w:rsid w:val="00DF2A26"/>
    <w:rsid w:val="00DF2B1B"/>
    <w:rsid w:val="00DF2B62"/>
    <w:rsid w:val="00DF2C9B"/>
    <w:rsid w:val="00DF2CAA"/>
    <w:rsid w:val="00DF2D83"/>
    <w:rsid w:val="00DF2DC8"/>
    <w:rsid w:val="00DF2DCF"/>
    <w:rsid w:val="00DF2E06"/>
    <w:rsid w:val="00DF2F69"/>
    <w:rsid w:val="00DF2FBD"/>
    <w:rsid w:val="00DF30B8"/>
    <w:rsid w:val="00DF3144"/>
    <w:rsid w:val="00DF315B"/>
    <w:rsid w:val="00DF322E"/>
    <w:rsid w:val="00DF33D8"/>
    <w:rsid w:val="00DF33F4"/>
    <w:rsid w:val="00DF340B"/>
    <w:rsid w:val="00DF3430"/>
    <w:rsid w:val="00DF3445"/>
    <w:rsid w:val="00DF34B8"/>
    <w:rsid w:val="00DF3611"/>
    <w:rsid w:val="00DF3685"/>
    <w:rsid w:val="00DF3697"/>
    <w:rsid w:val="00DF3743"/>
    <w:rsid w:val="00DF3745"/>
    <w:rsid w:val="00DF3764"/>
    <w:rsid w:val="00DF37A9"/>
    <w:rsid w:val="00DF37E6"/>
    <w:rsid w:val="00DF380E"/>
    <w:rsid w:val="00DF3861"/>
    <w:rsid w:val="00DF387B"/>
    <w:rsid w:val="00DF3896"/>
    <w:rsid w:val="00DF38D5"/>
    <w:rsid w:val="00DF38EC"/>
    <w:rsid w:val="00DF38EF"/>
    <w:rsid w:val="00DF3928"/>
    <w:rsid w:val="00DF3968"/>
    <w:rsid w:val="00DF396A"/>
    <w:rsid w:val="00DF399F"/>
    <w:rsid w:val="00DF39F9"/>
    <w:rsid w:val="00DF3AA3"/>
    <w:rsid w:val="00DF3BDE"/>
    <w:rsid w:val="00DF3BFD"/>
    <w:rsid w:val="00DF3C4C"/>
    <w:rsid w:val="00DF3C59"/>
    <w:rsid w:val="00DF3D20"/>
    <w:rsid w:val="00DF3D51"/>
    <w:rsid w:val="00DF3EA2"/>
    <w:rsid w:val="00DF3EAF"/>
    <w:rsid w:val="00DF3EEB"/>
    <w:rsid w:val="00DF3F26"/>
    <w:rsid w:val="00DF3F30"/>
    <w:rsid w:val="00DF3F4F"/>
    <w:rsid w:val="00DF3FF8"/>
    <w:rsid w:val="00DF4101"/>
    <w:rsid w:val="00DF41B5"/>
    <w:rsid w:val="00DF41C7"/>
    <w:rsid w:val="00DF4273"/>
    <w:rsid w:val="00DF43D3"/>
    <w:rsid w:val="00DF4401"/>
    <w:rsid w:val="00DF4412"/>
    <w:rsid w:val="00DF443B"/>
    <w:rsid w:val="00DF44C3"/>
    <w:rsid w:val="00DF455D"/>
    <w:rsid w:val="00DF45B2"/>
    <w:rsid w:val="00DF45BD"/>
    <w:rsid w:val="00DF45CA"/>
    <w:rsid w:val="00DF4618"/>
    <w:rsid w:val="00DF46B4"/>
    <w:rsid w:val="00DF4708"/>
    <w:rsid w:val="00DF4725"/>
    <w:rsid w:val="00DF47BE"/>
    <w:rsid w:val="00DF47F2"/>
    <w:rsid w:val="00DF4871"/>
    <w:rsid w:val="00DF48D7"/>
    <w:rsid w:val="00DF4912"/>
    <w:rsid w:val="00DF4916"/>
    <w:rsid w:val="00DF49CC"/>
    <w:rsid w:val="00DF4A1E"/>
    <w:rsid w:val="00DF4B47"/>
    <w:rsid w:val="00DF4B60"/>
    <w:rsid w:val="00DF4BB1"/>
    <w:rsid w:val="00DF4BCC"/>
    <w:rsid w:val="00DF4C04"/>
    <w:rsid w:val="00DF4C22"/>
    <w:rsid w:val="00DF4CAD"/>
    <w:rsid w:val="00DF4CD1"/>
    <w:rsid w:val="00DF4D31"/>
    <w:rsid w:val="00DF4DF3"/>
    <w:rsid w:val="00DF4E61"/>
    <w:rsid w:val="00DF4F19"/>
    <w:rsid w:val="00DF4F2E"/>
    <w:rsid w:val="00DF5017"/>
    <w:rsid w:val="00DF5029"/>
    <w:rsid w:val="00DF508D"/>
    <w:rsid w:val="00DF5092"/>
    <w:rsid w:val="00DF511D"/>
    <w:rsid w:val="00DF5161"/>
    <w:rsid w:val="00DF520C"/>
    <w:rsid w:val="00DF5292"/>
    <w:rsid w:val="00DF529E"/>
    <w:rsid w:val="00DF52AB"/>
    <w:rsid w:val="00DF52E8"/>
    <w:rsid w:val="00DF5303"/>
    <w:rsid w:val="00DF5468"/>
    <w:rsid w:val="00DF54EF"/>
    <w:rsid w:val="00DF557B"/>
    <w:rsid w:val="00DF5580"/>
    <w:rsid w:val="00DF5581"/>
    <w:rsid w:val="00DF55D3"/>
    <w:rsid w:val="00DF55E7"/>
    <w:rsid w:val="00DF563E"/>
    <w:rsid w:val="00DF5652"/>
    <w:rsid w:val="00DF56AE"/>
    <w:rsid w:val="00DF57A5"/>
    <w:rsid w:val="00DF58C8"/>
    <w:rsid w:val="00DF5942"/>
    <w:rsid w:val="00DF597B"/>
    <w:rsid w:val="00DF59EE"/>
    <w:rsid w:val="00DF5A44"/>
    <w:rsid w:val="00DF5A5C"/>
    <w:rsid w:val="00DF5B42"/>
    <w:rsid w:val="00DF5B79"/>
    <w:rsid w:val="00DF5C24"/>
    <w:rsid w:val="00DF5CC5"/>
    <w:rsid w:val="00DF5D0E"/>
    <w:rsid w:val="00DF5D10"/>
    <w:rsid w:val="00DF5D28"/>
    <w:rsid w:val="00DF5D4A"/>
    <w:rsid w:val="00DF5D5D"/>
    <w:rsid w:val="00DF5D7D"/>
    <w:rsid w:val="00DF5DB9"/>
    <w:rsid w:val="00DF5FEE"/>
    <w:rsid w:val="00DF60C8"/>
    <w:rsid w:val="00DF61DB"/>
    <w:rsid w:val="00DF6250"/>
    <w:rsid w:val="00DF6326"/>
    <w:rsid w:val="00DF63B5"/>
    <w:rsid w:val="00DF6418"/>
    <w:rsid w:val="00DF6459"/>
    <w:rsid w:val="00DF6487"/>
    <w:rsid w:val="00DF64C0"/>
    <w:rsid w:val="00DF64D5"/>
    <w:rsid w:val="00DF6511"/>
    <w:rsid w:val="00DF6512"/>
    <w:rsid w:val="00DF65C5"/>
    <w:rsid w:val="00DF65F2"/>
    <w:rsid w:val="00DF6627"/>
    <w:rsid w:val="00DF6630"/>
    <w:rsid w:val="00DF676C"/>
    <w:rsid w:val="00DF681E"/>
    <w:rsid w:val="00DF684D"/>
    <w:rsid w:val="00DF686A"/>
    <w:rsid w:val="00DF68CC"/>
    <w:rsid w:val="00DF68F5"/>
    <w:rsid w:val="00DF6923"/>
    <w:rsid w:val="00DF694E"/>
    <w:rsid w:val="00DF6959"/>
    <w:rsid w:val="00DF6A2F"/>
    <w:rsid w:val="00DF6A49"/>
    <w:rsid w:val="00DF6A4E"/>
    <w:rsid w:val="00DF6A86"/>
    <w:rsid w:val="00DF6B06"/>
    <w:rsid w:val="00DF6B12"/>
    <w:rsid w:val="00DF6B6F"/>
    <w:rsid w:val="00DF6B99"/>
    <w:rsid w:val="00DF6BEF"/>
    <w:rsid w:val="00DF6C31"/>
    <w:rsid w:val="00DF6CAD"/>
    <w:rsid w:val="00DF6D4F"/>
    <w:rsid w:val="00DF6D50"/>
    <w:rsid w:val="00DF6E41"/>
    <w:rsid w:val="00DF6E59"/>
    <w:rsid w:val="00DF6EBC"/>
    <w:rsid w:val="00DF6F06"/>
    <w:rsid w:val="00DF6F61"/>
    <w:rsid w:val="00DF6F7E"/>
    <w:rsid w:val="00DF6FB7"/>
    <w:rsid w:val="00DF6FCD"/>
    <w:rsid w:val="00DF7014"/>
    <w:rsid w:val="00DF701C"/>
    <w:rsid w:val="00DF706B"/>
    <w:rsid w:val="00DF70CD"/>
    <w:rsid w:val="00DF70D3"/>
    <w:rsid w:val="00DF710A"/>
    <w:rsid w:val="00DF715D"/>
    <w:rsid w:val="00DF71D8"/>
    <w:rsid w:val="00DF71EF"/>
    <w:rsid w:val="00DF723F"/>
    <w:rsid w:val="00DF725B"/>
    <w:rsid w:val="00DF726C"/>
    <w:rsid w:val="00DF72B1"/>
    <w:rsid w:val="00DF72F4"/>
    <w:rsid w:val="00DF73BF"/>
    <w:rsid w:val="00DF73DF"/>
    <w:rsid w:val="00DF73F9"/>
    <w:rsid w:val="00DF7429"/>
    <w:rsid w:val="00DF7450"/>
    <w:rsid w:val="00DF747A"/>
    <w:rsid w:val="00DF74F5"/>
    <w:rsid w:val="00DF7526"/>
    <w:rsid w:val="00DF7545"/>
    <w:rsid w:val="00DF754D"/>
    <w:rsid w:val="00DF758B"/>
    <w:rsid w:val="00DF76E3"/>
    <w:rsid w:val="00DF76F0"/>
    <w:rsid w:val="00DF7759"/>
    <w:rsid w:val="00DF7782"/>
    <w:rsid w:val="00DF77CA"/>
    <w:rsid w:val="00DF7865"/>
    <w:rsid w:val="00DF7875"/>
    <w:rsid w:val="00DF7893"/>
    <w:rsid w:val="00DF797A"/>
    <w:rsid w:val="00DF7980"/>
    <w:rsid w:val="00DF79CA"/>
    <w:rsid w:val="00DF79E5"/>
    <w:rsid w:val="00DF7A50"/>
    <w:rsid w:val="00DF7AD9"/>
    <w:rsid w:val="00DF7AF5"/>
    <w:rsid w:val="00DF7B4A"/>
    <w:rsid w:val="00DF7BA9"/>
    <w:rsid w:val="00DF7C01"/>
    <w:rsid w:val="00DF7C0D"/>
    <w:rsid w:val="00DF7C94"/>
    <w:rsid w:val="00DF7D0A"/>
    <w:rsid w:val="00DF7D32"/>
    <w:rsid w:val="00DF7D4E"/>
    <w:rsid w:val="00DF7D66"/>
    <w:rsid w:val="00DF7DB8"/>
    <w:rsid w:val="00DF7E39"/>
    <w:rsid w:val="00DF7E62"/>
    <w:rsid w:val="00DF7E68"/>
    <w:rsid w:val="00DF7E7A"/>
    <w:rsid w:val="00DF7F23"/>
    <w:rsid w:val="00DF7F82"/>
    <w:rsid w:val="00DF7FC4"/>
    <w:rsid w:val="00DF7FCF"/>
    <w:rsid w:val="00E00029"/>
    <w:rsid w:val="00E0004D"/>
    <w:rsid w:val="00E00071"/>
    <w:rsid w:val="00E00094"/>
    <w:rsid w:val="00E00244"/>
    <w:rsid w:val="00E0028D"/>
    <w:rsid w:val="00E0035D"/>
    <w:rsid w:val="00E0038A"/>
    <w:rsid w:val="00E00393"/>
    <w:rsid w:val="00E003D7"/>
    <w:rsid w:val="00E00403"/>
    <w:rsid w:val="00E0041A"/>
    <w:rsid w:val="00E004B2"/>
    <w:rsid w:val="00E00525"/>
    <w:rsid w:val="00E00595"/>
    <w:rsid w:val="00E00688"/>
    <w:rsid w:val="00E006E8"/>
    <w:rsid w:val="00E0071F"/>
    <w:rsid w:val="00E0072D"/>
    <w:rsid w:val="00E007BC"/>
    <w:rsid w:val="00E007C3"/>
    <w:rsid w:val="00E0083B"/>
    <w:rsid w:val="00E0087B"/>
    <w:rsid w:val="00E008AB"/>
    <w:rsid w:val="00E008AC"/>
    <w:rsid w:val="00E00A57"/>
    <w:rsid w:val="00E00AA9"/>
    <w:rsid w:val="00E00BFB"/>
    <w:rsid w:val="00E00C2B"/>
    <w:rsid w:val="00E00C40"/>
    <w:rsid w:val="00E00CA1"/>
    <w:rsid w:val="00E00CDB"/>
    <w:rsid w:val="00E00D41"/>
    <w:rsid w:val="00E00D60"/>
    <w:rsid w:val="00E00E2F"/>
    <w:rsid w:val="00E00EA4"/>
    <w:rsid w:val="00E00EAD"/>
    <w:rsid w:val="00E00EE8"/>
    <w:rsid w:val="00E00FB7"/>
    <w:rsid w:val="00E010C2"/>
    <w:rsid w:val="00E0113F"/>
    <w:rsid w:val="00E011B1"/>
    <w:rsid w:val="00E011B9"/>
    <w:rsid w:val="00E0122C"/>
    <w:rsid w:val="00E0122E"/>
    <w:rsid w:val="00E012E3"/>
    <w:rsid w:val="00E014A0"/>
    <w:rsid w:val="00E0150B"/>
    <w:rsid w:val="00E01616"/>
    <w:rsid w:val="00E016AD"/>
    <w:rsid w:val="00E0185F"/>
    <w:rsid w:val="00E01894"/>
    <w:rsid w:val="00E018AC"/>
    <w:rsid w:val="00E018AF"/>
    <w:rsid w:val="00E018DB"/>
    <w:rsid w:val="00E0191E"/>
    <w:rsid w:val="00E01961"/>
    <w:rsid w:val="00E019A3"/>
    <w:rsid w:val="00E019D0"/>
    <w:rsid w:val="00E019DD"/>
    <w:rsid w:val="00E019FD"/>
    <w:rsid w:val="00E01A01"/>
    <w:rsid w:val="00E01A63"/>
    <w:rsid w:val="00E01A95"/>
    <w:rsid w:val="00E01ADD"/>
    <w:rsid w:val="00E01AE2"/>
    <w:rsid w:val="00E01B2C"/>
    <w:rsid w:val="00E01B37"/>
    <w:rsid w:val="00E01BD6"/>
    <w:rsid w:val="00E01C83"/>
    <w:rsid w:val="00E01D16"/>
    <w:rsid w:val="00E01D47"/>
    <w:rsid w:val="00E01DA7"/>
    <w:rsid w:val="00E01E89"/>
    <w:rsid w:val="00E01EBE"/>
    <w:rsid w:val="00E01F17"/>
    <w:rsid w:val="00E01F56"/>
    <w:rsid w:val="00E01F69"/>
    <w:rsid w:val="00E01F9C"/>
    <w:rsid w:val="00E0200F"/>
    <w:rsid w:val="00E02109"/>
    <w:rsid w:val="00E0213B"/>
    <w:rsid w:val="00E021C1"/>
    <w:rsid w:val="00E0221F"/>
    <w:rsid w:val="00E02245"/>
    <w:rsid w:val="00E022C1"/>
    <w:rsid w:val="00E022D6"/>
    <w:rsid w:val="00E0233B"/>
    <w:rsid w:val="00E0236E"/>
    <w:rsid w:val="00E023A8"/>
    <w:rsid w:val="00E023BF"/>
    <w:rsid w:val="00E02447"/>
    <w:rsid w:val="00E024C9"/>
    <w:rsid w:val="00E024DE"/>
    <w:rsid w:val="00E024E2"/>
    <w:rsid w:val="00E025D9"/>
    <w:rsid w:val="00E025E7"/>
    <w:rsid w:val="00E02607"/>
    <w:rsid w:val="00E02632"/>
    <w:rsid w:val="00E02688"/>
    <w:rsid w:val="00E026BA"/>
    <w:rsid w:val="00E026D2"/>
    <w:rsid w:val="00E02719"/>
    <w:rsid w:val="00E02814"/>
    <w:rsid w:val="00E02850"/>
    <w:rsid w:val="00E028A0"/>
    <w:rsid w:val="00E02901"/>
    <w:rsid w:val="00E029B9"/>
    <w:rsid w:val="00E029D7"/>
    <w:rsid w:val="00E029DE"/>
    <w:rsid w:val="00E02A5D"/>
    <w:rsid w:val="00E02AFD"/>
    <w:rsid w:val="00E02B12"/>
    <w:rsid w:val="00E02B1A"/>
    <w:rsid w:val="00E02B89"/>
    <w:rsid w:val="00E02B8C"/>
    <w:rsid w:val="00E02BF4"/>
    <w:rsid w:val="00E02C7E"/>
    <w:rsid w:val="00E02CE8"/>
    <w:rsid w:val="00E02E42"/>
    <w:rsid w:val="00E02F03"/>
    <w:rsid w:val="00E02F25"/>
    <w:rsid w:val="00E02F34"/>
    <w:rsid w:val="00E02F36"/>
    <w:rsid w:val="00E02F4B"/>
    <w:rsid w:val="00E02F5F"/>
    <w:rsid w:val="00E02FD1"/>
    <w:rsid w:val="00E03083"/>
    <w:rsid w:val="00E031F3"/>
    <w:rsid w:val="00E031F7"/>
    <w:rsid w:val="00E03202"/>
    <w:rsid w:val="00E033B5"/>
    <w:rsid w:val="00E033CA"/>
    <w:rsid w:val="00E033D5"/>
    <w:rsid w:val="00E033FA"/>
    <w:rsid w:val="00E03478"/>
    <w:rsid w:val="00E036D3"/>
    <w:rsid w:val="00E0370C"/>
    <w:rsid w:val="00E03711"/>
    <w:rsid w:val="00E03770"/>
    <w:rsid w:val="00E03777"/>
    <w:rsid w:val="00E03793"/>
    <w:rsid w:val="00E0388D"/>
    <w:rsid w:val="00E03AA5"/>
    <w:rsid w:val="00E03AB5"/>
    <w:rsid w:val="00E03ACC"/>
    <w:rsid w:val="00E03B93"/>
    <w:rsid w:val="00E03BAF"/>
    <w:rsid w:val="00E03C13"/>
    <w:rsid w:val="00E03C59"/>
    <w:rsid w:val="00E03C65"/>
    <w:rsid w:val="00E03CE0"/>
    <w:rsid w:val="00E03DA1"/>
    <w:rsid w:val="00E03DB4"/>
    <w:rsid w:val="00E03E1D"/>
    <w:rsid w:val="00E03E41"/>
    <w:rsid w:val="00E03E75"/>
    <w:rsid w:val="00E03E86"/>
    <w:rsid w:val="00E03E9E"/>
    <w:rsid w:val="00E03EA8"/>
    <w:rsid w:val="00E03F61"/>
    <w:rsid w:val="00E03FAB"/>
    <w:rsid w:val="00E03FCE"/>
    <w:rsid w:val="00E04030"/>
    <w:rsid w:val="00E04035"/>
    <w:rsid w:val="00E0403E"/>
    <w:rsid w:val="00E040B5"/>
    <w:rsid w:val="00E040EA"/>
    <w:rsid w:val="00E041F8"/>
    <w:rsid w:val="00E04206"/>
    <w:rsid w:val="00E0423C"/>
    <w:rsid w:val="00E042B8"/>
    <w:rsid w:val="00E04338"/>
    <w:rsid w:val="00E0441B"/>
    <w:rsid w:val="00E04495"/>
    <w:rsid w:val="00E04497"/>
    <w:rsid w:val="00E04516"/>
    <w:rsid w:val="00E0453A"/>
    <w:rsid w:val="00E0454F"/>
    <w:rsid w:val="00E04567"/>
    <w:rsid w:val="00E045CB"/>
    <w:rsid w:val="00E045D3"/>
    <w:rsid w:val="00E04681"/>
    <w:rsid w:val="00E04726"/>
    <w:rsid w:val="00E04733"/>
    <w:rsid w:val="00E04778"/>
    <w:rsid w:val="00E047D1"/>
    <w:rsid w:val="00E047F5"/>
    <w:rsid w:val="00E0482A"/>
    <w:rsid w:val="00E04833"/>
    <w:rsid w:val="00E04885"/>
    <w:rsid w:val="00E04889"/>
    <w:rsid w:val="00E048AE"/>
    <w:rsid w:val="00E048CA"/>
    <w:rsid w:val="00E048D9"/>
    <w:rsid w:val="00E048F6"/>
    <w:rsid w:val="00E04916"/>
    <w:rsid w:val="00E04953"/>
    <w:rsid w:val="00E0495F"/>
    <w:rsid w:val="00E04975"/>
    <w:rsid w:val="00E049BC"/>
    <w:rsid w:val="00E04A16"/>
    <w:rsid w:val="00E04A61"/>
    <w:rsid w:val="00E04A86"/>
    <w:rsid w:val="00E04A87"/>
    <w:rsid w:val="00E04ABA"/>
    <w:rsid w:val="00E04AC5"/>
    <w:rsid w:val="00E04AF0"/>
    <w:rsid w:val="00E04B35"/>
    <w:rsid w:val="00E04BD1"/>
    <w:rsid w:val="00E04C97"/>
    <w:rsid w:val="00E04CB1"/>
    <w:rsid w:val="00E04CF8"/>
    <w:rsid w:val="00E04D2A"/>
    <w:rsid w:val="00E04DB8"/>
    <w:rsid w:val="00E04DBD"/>
    <w:rsid w:val="00E04DD5"/>
    <w:rsid w:val="00E04DD6"/>
    <w:rsid w:val="00E04E07"/>
    <w:rsid w:val="00E04E8E"/>
    <w:rsid w:val="00E04EB7"/>
    <w:rsid w:val="00E04EDE"/>
    <w:rsid w:val="00E04F0F"/>
    <w:rsid w:val="00E04F73"/>
    <w:rsid w:val="00E05005"/>
    <w:rsid w:val="00E0506F"/>
    <w:rsid w:val="00E0515B"/>
    <w:rsid w:val="00E051F0"/>
    <w:rsid w:val="00E051F7"/>
    <w:rsid w:val="00E0520C"/>
    <w:rsid w:val="00E05305"/>
    <w:rsid w:val="00E0533E"/>
    <w:rsid w:val="00E05341"/>
    <w:rsid w:val="00E053A9"/>
    <w:rsid w:val="00E053C2"/>
    <w:rsid w:val="00E05416"/>
    <w:rsid w:val="00E0545E"/>
    <w:rsid w:val="00E05491"/>
    <w:rsid w:val="00E054CF"/>
    <w:rsid w:val="00E05612"/>
    <w:rsid w:val="00E0566C"/>
    <w:rsid w:val="00E0569D"/>
    <w:rsid w:val="00E056A1"/>
    <w:rsid w:val="00E05743"/>
    <w:rsid w:val="00E05756"/>
    <w:rsid w:val="00E058C7"/>
    <w:rsid w:val="00E05907"/>
    <w:rsid w:val="00E0592D"/>
    <w:rsid w:val="00E059CD"/>
    <w:rsid w:val="00E059E9"/>
    <w:rsid w:val="00E05A13"/>
    <w:rsid w:val="00E05AC2"/>
    <w:rsid w:val="00E05B56"/>
    <w:rsid w:val="00E05B69"/>
    <w:rsid w:val="00E05C26"/>
    <w:rsid w:val="00E05C6F"/>
    <w:rsid w:val="00E05C75"/>
    <w:rsid w:val="00E05CDF"/>
    <w:rsid w:val="00E05D30"/>
    <w:rsid w:val="00E05D63"/>
    <w:rsid w:val="00E05DA9"/>
    <w:rsid w:val="00E05DE4"/>
    <w:rsid w:val="00E05E2F"/>
    <w:rsid w:val="00E05EE5"/>
    <w:rsid w:val="00E05F1B"/>
    <w:rsid w:val="00E05F79"/>
    <w:rsid w:val="00E05FE1"/>
    <w:rsid w:val="00E06081"/>
    <w:rsid w:val="00E06094"/>
    <w:rsid w:val="00E06125"/>
    <w:rsid w:val="00E06161"/>
    <w:rsid w:val="00E06166"/>
    <w:rsid w:val="00E06292"/>
    <w:rsid w:val="00E063AC"/>
    <w:rsid w:val="00E0644A"/>
    <w:rsid w:val="00E0648D"/>
    <w:rsid w:val="00E064DF"/>
    <w:rsid w:val="00E064FF"/>
    <w:rsid w:val="00E0665E"/>
    <w:rsid w:val="00E06664"/>
    <w:rsid w:val="00E06712"/>
    <w:rsid w:val="00E067D9"/>
    <w:rsid w:val="00E067DF"/>
    <w:rsid w:val="00E0686D"/>
    <w:rsid w:val="00E0687F"/>
    <w:rsid w:val="00E06901"/>
    <w:rsid w:val="00E06916"/>
    <w:rsid w:val="00E069CE"/>
    <w:rsid w:val="00E069FD"/>
    <w:rsid w:val="00E06A0F"/>
    <w:rsid w:val="00E06A17"/>
    <w:rsid w:val="00E06A49"/>
    <w:rsid w:val="00E06A71"/>
    <w:rsid w:val="00E06A80"/>
    <w:rsid w:val="00E06B02"/>
    <w:rsid w:val="00E06BFC"/>
    <w:rsid w:val="00E06C24"/>
    <w:rsid w:val="00E06C31"/>
    <w:rsid w:val="00E06C8C"/>
    <w:rsid w:val="00E06C94"/>
    <w:rsid w:val="00E06CCA"/>
    <w:rsid w:val="00E06CD8"/>
    <w:rsid w:val="00E06DB0"/>
    <w:rsid w:val="00E06DB6"/>
    <w:rsid w:val="00E06DC2"/>
    <w:rsid w:val="00E06DE3"/>
    <w:rsid w:val="00E06E15"/>
    <w:rsid w:val="00E06E1C"/>
    <w:rsid w:val="00E06E21"/>
    <w:rsid w:val="00E06E26"/>
    <w:rsid w:val="00E06E33"/>
    <w:rsid w:val="00E06EF2"/>
    <w:rsid w:val="00E06EFA"/>
    <w:rsid w:val="00E06F2D"/>
    <w:rsid w:val="00E06FC4"/>
    <w:rsid w:val="00E06FD2"/>
    <w:rsid w:val="00E06FDA"/>
    <w:rsid w:val="00E07046"/>
    <w:rsid w:val="00E0708F"/>
    <w:rsid w:val="00E070C8"/>
    <w:rsid w:val="00E07101"/>
    <w:rsid w:val="00E07195"/>
    <w:rsid w:val="00E071C3"/>
    <w:rsid w:val="00E07370"/>
    <w:rsid w:val="00E07398"/>
    <w:rsid w:val="00E073E4"/>
    <w:rsid w:val="00E0740F"/>
    <w:rsid w:val="00E074B4"/>
    <w:rsid w:val="00E0757A"/>
    <w:rsid w:val="00E07580"/>
    <w:rsid w:val="00E075B5"/>
    <w:rsid w:val="00E075CA"/>
    <w:rsid w:val="00E075FB"/>
    <w:rsid w:val="00E07614"/>
    <w:rsid w:val="00E076D0"/>
    <w:rsid w:val="00E076E5"/>
    <w:rsid w:val="00E0770E"/>
    <w:rsid w:val="00E07715"/>
    <w:rsid w:val="00E077B9"/>
    <w:rsid w:val="00E07878"/>
    <w:rsid w:val="00E0798F"/>
    <w:rsid w:val="00E079B3"/>
    <w:rsid w:val="00E079F9"/>
    <w:rsid w:val="00E07A6B"/>
    <w:rsid w:val="00E07A85"/>
    <w:rsid w:val="00E07AFD"/>
    <w:rsid w:val="00E07B29"/>
    <w:rsid w:val="00E07B52"/>
    <w:rsid w:val="00E07B56"/>
    <w:rsid w:val="00E07C2E"/>
    <w:rsid w:val="00E07C45"/>
    <w:rsid w:val="00E07C5F"/>
    <w:rsid w:val="00E07CD8"/>
    <w:rsid w:val="00E07D99"/>
    <w:rsid w:val="00E07E0F"/>
    <w:rsid w:val="00E07E67"/>
    <w:rsid w:val="00E07E82"/>
    <w:rsid w:val="00E07EAE"/>
    <w:rsid w:val="00E07F5D"/>
    <w:rsid w:val="00E07FC3"/>
    <w:rsid w:val="00E07FDD"/>
    <w:rsid w:val="00E07FE3"/>
    <w:rsid w:val="00E1006D"/>
    <w:rsid w:val="00E10075"/>
    <w:rsid w:val="00E1007D"/>
    <w:rsid w:val="00E100B5"/>
    <w:rsid w:val="00E100D3"/>
    <w:rsid w:val="00E10102"/>
    <w:rsid w:val="00E10163"/>
    <w:rsid w:val="00E10198"/>
    <w:rsid w:val="00E101A8"/>
    <w:rsid w:val="00E101C6"/>
    <w:rsid w:val="00E101CA"/>
    <w:rsid w:val="00E10296"/>
    <w:rsid w:val="00E102AB"/>
    <w:rsid w:val="00E102DD"/>
    <w:rsid w:val="00E1041D"/>
    <w:rsid w:val="00E10484"/>
    <w:rsid w:val="00E104BA"/>
    <w:rsid w:val="00E104E6"/>
    <w:rsid w:val="00E10509"/>
    <w:rsid w:val="00E1061C"/>
    <w:rsid w:val="00E106B3"/>
    <w:rsid w:val="00E106C7"/>
    <w:rsid w:val="00E10854"/>
    <w:rsid w:val="00E109AB"/>
    <w:rsid w:val="00E10A05"/>
    <w:rsid w:val="00E10B61"/>
    <w:rsid w:val="00E10B6C"/>
    <w:rsid w:val="00E10BEA"/>
    <w:rsid w:val="00E10C11"/>
    <w:rsid w:val="00E10C67"/>
    <w:rsid w:val="00E10CE2"/>
    <w:rsid w:val="00E10D45"/>
    <w:rsid w:val="00E10D8A"/>
    <w:rsid w:val="00E10D9A"/>
    <w:rsid w:val="00E10E07"/>
    <w:rsid w:val="00E10E2C"/>
    <w:rsid w:val="00E10EBB"/>
    <w:rsid w:val="00E10EE1"/>
    <w:rsid w:val="00E10F03"/>
    <w:rsid w:val="00E10FB9"/>
    <w:rsid w:val="00E11012"/>
    <w:rsid w:val="00E11020"/>
    <w:rsid w:val="00E1107E"/>
    <w:rsid w:val="00E110BB"/>
    <w:rsid w:val="00E11129"/>
    <w:rsid w:val="00E111D6"/>
    <w:rsid w:val="00E111F0"/>
    <w:rsid w:val="00E11269"/>
    <w:rsid w:val="00E11274"/>
    <w:rsid w:val="00E1130F"/>
    <w:rsid w:val="00E113B4"/>
    <w:rsid w:val="00E1142D"/>
    <w:rsid w:val="00E114A7"/>
    <w:rsid w:val="00E114BA"/>
    <w:rsid w:val="00E11529"/>
    <w:rsid w:val="00E11590"/>
    <w:rsid w:val="00E1162B"/>
    <w:rsid w:val="00E1169D"/>
    <w:rsid w:val="00E11712"/>
    <w:rsid w:val="00E117AD"/>
    <w:rsid w:val="00E1198E"/>
    <w:rsid w:val="00E11A1C"/>
    <w:rsid w:val="00E11A4D"/>
    <w:rsid w:val="00E11A7F"/>
    <w:rsid w:val="00E11AA7"/>
    <w:rsid w:val="00E11B58"/>
    <w:rsid w:val="00E11B7D"/>
    <w:rsid w:val="00E11C29"/>
    <w:rsid w:val="00E11CD0"/>
    <w:rsid w:val="00E11CD2"/>
    <w:rsid w:val="00E11D2D"/>
    <w:rsid w:val="00E11D4A"/>
    <w:rsid w:val="00E11DAF"/>
    <w:rsid w:val="00E11FD3"/>
    <w:rsid w:val="00E11FEE"/>
    <w:rsid w:val="00E1202D"/>
    <w:rsid w:val="00E12070"/>
    <w:rsid w:val="00E1213A"/>
    <w:rsid w:val="00E1220B"/>
    <w:rsid w:val="00E1224C"/>
    <w:rsid w:val="00E122A7"/>
    <w:rsid w:val="00E1241B"/>
    <w:rsid w:val="00E12433"/>
    <w:rsid w:val="00E12440"/>
    <w:rsid w:val="00E124A5"/>
    <w:rsid w:val="00E124B7"/>
    <w:rsid w:val="00E124DF"/>
    <w:rsid w:val="00E12554"/>
    <w:rsid w:val="00E125B8"/>
    <w:rsid w:val="00E125F1"/>
    <w:rsid w:val="00E12601"/>
    <w:rsid w:val="00E12674"/>
    <w:rsid w:val="00E126A6"/>
    <w:rsid w:val="00E126C3"/>
    <w:rsid w:val="00E1271C"/>
    <w:rsid w:val="00E12734"/>
    <w:rsid w:val="00E1273C"/>
    <w:rsid w:val="00E12763"/>
    <w:rsid w:val="00E1277B"/>
    <w:rsid w:val="00E127B1"/>
    <w:rsid w:val="00E127E0"/>
    <w:rsid w:val="00E12809"/>
    <w:rsid w:val="00E12847"/>
    <w:rsid w:val="00E128F6"/>
    <w:rsid w:val="00E129DD"/>
    <w:rsid w:val="00E12A58"/>
    <w:rsid w:val="00E12A89"/>
    <w:rsid w:val="00E12AB6"/>
    <w:rsid w:val="00E12AB8"/>
    <w:rsid w:val="00E12AC4"/>
    <w:rsid w:val="00E12AF2"/>
    <w:rsid w:val="00E12B0F"/>
    <w:rsid w:val="00E12B77"/>
    <w:rsid w:val="00E12B94"/>
    <w:rsid w:val="00E12CC0"/>
    <w:rsid w:val="00E12DC0"/>
    <w:rsid w:val="00E12E06"/>
    <w:rsid w:val="00E12E49"/>
    <w:rsid w:val="00E12E71"/>
    <w:rsid w:val="00E12ECA"/>
    <w:rsid w:val="00E12F19"/>
    <w:rsid w:val="00E13032"/>
    <w:rsid w:val="00E13110"/>
    <w:rsid w:val="00E13119"/>
    <w:rsid w:val="00E13152"/>
    <w:rsid w:val="00E13348"/>
    <w:rsid w:val="00E13456"/>
    <w:rsid w:val="00E13500"/>
    <w:rsid w:val="00E13554"/>
    <w:rsid w:val="00E1359F"/>
    <w:rsid w:val="00E135E5"/>
    <w:rsid w:val="00E13689"/>
    <w:rsid w:val="00E1369A"/>
    <w:rsid w:val="00E136C0"/>
    <w:rsid w:val="00E136F0"/>
    <w:rsid w:val="00E13701"/>
    <w:rsid w:val="00E13758"/>
    <w:rsid w:val="00E137B3"/>
    <w:rsid w:val="00E137C8"/>
    <w:rsid w:val="00E1381F"/>
    <w:rsid w:val="00E1382B"/>
    <w:rsid w:val="00E13946"/>
    <w:rsid w:val="00E139AB"/>
    <w:rsid w:val="00E139F2"/>
    <w:rsid w:val="00E13A57"/>
    <w:rsid w:val="00E13B64"/>
    <w:rsid w:val="00E13B77"/>
    <w:rsid w:val="00E13CC2"/>
    <w:rsid w:val="00E13CC4"/>
    <w:rsid w:val="00E13D11"/>
    <w:rsid w:val="00E13D25"/>
    <w:rsid w:val="00E13DC6"/>
    <w:rsid w:val="00E13DC9"/>
    <w:rsid w:val="00E13DCC"/>
    <w:rsid w:val="00E13E2B"/>
    <w:rsid w:val="00E13E35"/>
    <w:rsid w:val="00E13EF7"/>
    <w:rsid w:val="00E13F0C"/>
    <w:rsid w:val="00E13F87"/>
    <w:rsid w:val="00E13FDE"/>
    <w:rsid w:val="00E14029"/>
    <w:rsid w:val="00E14037"/>
    <w:rsid w:val="00E14081"/>
    <w:rsid w:val="00E1418A"/>
    <w:rsid w:val="00E14204"/>
    <w:rsid w:val="00E1422A"/>
    <w:rsid w:val="00E14270"/>
    <w:rsid w:val="00E1428E"/>
    <w:rsid w:val="00E14342"/>
    <w:rsid w:val="00E14386"/>
    <w:rsid w:val="00E143CF"/>
    <w:rsid w:val="00E14419"/>
    <w:rsid w:val="00E14433"/>
    <w:rsid w:val="00E1444B"/>
    <w:rsid w:val="00E1448D"/>
    <w:rsid w:val="00E144AB"/>
    <w:rsid w:val="00E1452F"/>
    <w:rsid w:val="00E145A3"/>
    <w:rsid w:val="00E145A7"/>
    <w:rsid w:val="00E145C1"/>
    <w:rsid w:val="00E1461A"/>
    <w:rsid w:val="00E1462C"/>
    <w:rsid w:val="00E146CB"/>
    <w:rsid w:val="00E146DF"/>
    <w:rsid w:val="00E14795"/>
    <w:rsid w:val="00E147A8"/>
    <w:rsid w:val="00E1485F"/>
    <w:rsid w:val="00E14877"/>
    <w:rsid w:val="00E148D1"/>
    <w:rsid w:val="00E148FC"/>
    <w:rsid w:val="00E14944"/>
    <w:rsid w:val="00E14975"/>
    <w:rsid w:val="00E149C9"/>
    <w:rsid w:val="00E14A60"/>
    <w:rsid w:val="00E14ADC"/>
    <w:rsid w:val="00E14BCA"/>
    <w:rsid w:val="00E14C4A"/>
    <w:rsid w:val="00E14D37"/>
    <w:rsid w:val="00E14DB5"/>
    <w:rsid w:val="00E14E18"/>
    <w:rsid w:val="00E14E65"/>
    <w:rsid w:val="00E14E9A"/>
    <w:rsid w:val="00E14E9E"/>
    <w:rsid w:val="00E14EE1"/>
    <w:rsid w:val="00E14F2B"/>
    <w:rsid w:val="00E14F45"/>
    <w:rsid w:val="00E14F5F"/>
    <w:rsid w:val="00E14FBC"/>
    <w:rsid w:val="00E15015"/>
    <w:rsid w:val="00E1505A"/>
    <w:rsid w:val="00E15151"/>
    <w:rsid w:val="00E1517D"/>
    <w:rsid w:val="00E151AB"/>
    <w:rsid w:val="00E151F1"/>
    <w:rsid w:val="00E1520C"/>
    <w:rsid w:val="00E1523A"/>
    <w:rsid w:val="00E15291"/>
    <w:rsid w:val="00E1530A"/>
    <w:rsid w:val="00E1531E"/>
    <w:rsid w:val="00E1533D"/>
    <w:rsid w:val="00E1534C"/>
    <w:rsid w:val="00E15410"/>
    <w:rsid w:val="00E1542E"/>
    <w:rsid w:val="00E15459"/>
    <w:rsid w:val="00E1554A"/>
    <w:rsid w:val="00E1556C"/>
    <w:rsid w:val="00E155C9"/>
    <w:rsid w:val="00E1563F"/>
    <w:rsid w:val="00E1568F"/>
    <w:rsid w:val="00E156D5"/>
    <w:rsid w:val="00E1577A"/>
    <w:rsid w:val="00E15780"/>
    <w:rsid w:val="00E15843"/>
    <w:rsid w:val="00E158A7"/>
    <w:rsid w:val="00E158E3"/>
    <w:rsid w:val="00E15A25"/>
    <w:rsid w:val="00E15A76"/>
    <w:rsid w:val="00E15A83"/>
    <w:rsid w:val="00E15A91"/>
    <w:rsid w:val="00E15ABD"/>
    <w:rsid w:val="00E15AE8"/>
    <w:rsid w:val="00E15B7F"/>
    <w:rsid w:val="00E15B82"/>
    <w:rsid w:val="00E15B9E"/>
    <w:rsid w:val="00E15BC1"/>
    <w:rsid w:val="00E15BCB"/>
    <w:rsid w:val="00E15BD6"/>
    <w:rsid w:val="00E15CC2"/>
    <w:rsid w:val="00E15CD7"/>
    <w:rsid w:val="00E15D0E"/>
    <w:rsid w:val="00E15D6B"/>
    <w:rsid w:val="00E15DBC"/>
    <w:rsid w:val="00E15F2D"/>
    <w:rsid w:val="00E15F87"/>
    <w:rsid w:val="00E15FD6"/>
    <w:rsid w:val="00E16042"/>
    <w:rsid w:val="00E16066"/>
    <w:rsid w:val="00E160A6"/>
    <w:rsid w:val="00E160BE"/>
    <w:rsid w:val="00E161A9"/>
    <w:rsid w:val="00E161B9"/>
    <w:rsid w:val="00E161E4"/>
    <w:rsid w:val="00E16237"/>
    <w:rsid w:val="00E16287"/>
    <w:rsid w:val="00E16367"/>
    <w:rsid w:val="00E163AA"/>
    <w:rsid w:val="00E16412"/>
    <w:rsid w:val="00E1651E"/>
    <w:rsid w:val="00E165EC"/>
    <w:rsid w:val="00E165FB"/>
    <w:rsid w:val="00E1664D"/>
    <w:rsid w:val="00E166D0"/>
    <w:rsid w:val="00E166E6"/>
    <w:rsid w:val="00E16724"/>
    <w:rsid w:val="00E16730"/>
    <w:rsid w:val="00E16739"/>
    <w:rsid w:val="00E16740"/>
    <w:rsid w:val="00E167EE"/>
    <w:rsid w:val="00E167FC"/>
    <w:rsid w:val="00E1681F"/>
    <w:rsid w:val="00E168AA"/>
    <w:rsid w:val="00E168D8"/>
    <w:rsid w:val="00E16908"/>
    <w:rsid w:val="00E1694F"/>
    <w:rsid w:val="00E16A57"/>
    <w:rsid w:val="00E16AB7"/>
    <w:rsid w:val="00E16ABD"/>
    <w:rsid w:val="00E16B30"/>
    <w:rsid w:val="00E16BDA"/>
    <w:rsid w:val="00E16BEA"/>
    <w:rsid w:val="00E16BF7"/>
    <w:rsid w:val="00E16C8B"/>
    <w:rsid w:val="00E16D13"/>
    <w:rsid w:val="00E16D37"/>
    <w:rsid w:val="00E16D40"/>
    <w:rsid w:val="00E16D72"/>
    <w:rsid w:val="00E16D92"/>
    <w:rsid w:val="00E16DD5"/>
    <w:rsid w:val="00E16E23"/>
    <w:rsid w:val="00E16EC2"/>
    <w:rsid w:val="00E16EF3"/>
    <w:rsid w:val="00E16F73"/>
    <w:rsid w:val="00E1700E"/>
    <w:rsid w:val="00E17055"/>
    <w:rsid w:val="00E17083"/>
    <w:rsid w:val="00E1708E"/>
    <w:rsid w:val="00E170D2"/>
    <w:rsid w:val="00E17133"/>
    <w:rsid w:val="00E1715D"/>
    <w:rsid w:val="00E1717C"/>
    <w:rsid w:val="00E171D0"/>
    <w:rsid w:val="00E171D3"/>
    <w:rsid w:val="00E171FB"/>
    <w:rsid w:val="00E17228"/>
    <w:rsid w:val="00E17236"/>
    <w:rsid w:val="00E1728E"/>
    <w:rsid w:val="00E172B2"/>
    <w:rsid w:val="00E172D3"/>
    <w:rsid w:val="00E172D4"/>
    <w:rsid w:val="00E1734E"/>
    <w:rsid w:val="00E17394"/>
    <w:rsid w:val="00E173F3"/>
    <w:rsid w:val="00E17431"/>
    <w:rsid w:val="00E17529"/>
    <w:rsid w:val="00E175CF"/>
    <w:rsid w:val="00E176C1"/>
    <w:rsid w:val="00E17781"/>
    <w:rsid w:val="00E177A6"/>
    <w:rsid w:val="00E177BA"/>
    <w:rsid w:val="00E177EA"/>
    <w:rsid w:val="00E17801"/>
    <w:rsid w:val="00E17937"/>
    <w:rsid w:val="00E17998"/>
    <w:rsid w:val="00E179D5"/>
    <w:rsid w:val="00E17AFE"/>
    <w:rsid w:val="00E17B12"/>
    <w:rsid w:val="00E17BCB"/>
    <w:rsid w:val="00E17C3E"/>
    <w:rsid w:val="00E17C43"/>
    <w:rsid w:val="00E17D6A"/>
    <w:rsid w:val="00E17D7F"/>
    <w:rsid w:val="00E17DFC"/>
    <w:rsid w:val="00E17E95"/>
    <w:rsid w:val="00E17E9C"/>
    <w:rsid w:val="00E17EC8"/>
    <w:rsid w:val="00E17EE0"/>
    <w:rsid w:val="00E17F41"/>
    <w:rsid w:val="00E17F84"/>
    <w:rsid w:val="00E17F8B"/>
    <w:rsid w:val="00E17FBB"/>
    <w:rsid w:val="00E17FD3"/>
    <w:rsid w:val="00E2012B"/>
    <w:rsid w:val="00E2012D"/>
    <w:rsid w:val="00E20181"/>
    <w:rsid w:val="00E2025B"/>
    <w:rsid w:val="00E2025D"/>
    <w:rsid w:val="00E2025F"/>
    <w:rsid w:val="00E2028F"/>
    <w:rsid w:val="00E202B6"/>
    <w:rsid w:val="00E20305"/>
    <w:rsid w:val="00E2032A"/>
    <w:rsid w:val="00E20387"/>
    <w:rsid w:val="00E20499"/>
    <w:rsid w:val="00E2052B"/>
    <w:rsid w:val="00E2054D"/>
    <w:rsid w:val="00E20573"/>
    <w:rsid w:val="00E20585"/>
    <w:rsid w:val="00E20587"/>
    <w:rsid w:val="00E20599"/>
    <w:rsid w:val="00E205A2"/>
    <w:rsid w:val="00E205EE"/>
    <w:rsid w:val="00E20648"/>
    <w:rsid w:val="00E206DF"/>
    <w:rsid w:val="00E20761"/>
    <w:rsid w:val="00E20763"/>
    <w:rsid w:val="00E207D3"/>
    <w:rsid w:val="00E2081D"/>
    <w:rsid w:val="00E20820"/>
    <w:rsid w:val="00E2084C"/>
    <w:rsid w:val="00E208A4"/>
    <w:rsid w:val="00E2096C"/>
    <w:rsid w:val="00E20979"/>
    <w:rsid w:val="00E20999"/>
    <w:rsid w:val="00E2099C"/>
    <w:rsid w:val="00E209B4"/>
    <w:rsid w:val="00E20A10"/>
    <w:rsid w:val="00E20A31"/>
    <w:rsid w:val="00E20A48"/>
    <w:rsid w:val="00E20AC7"/>
    <w:rsid w:val="00E20B21"/>
    <w:rsid w:val="00E20B27"/>
    <w:rsid w:val="00E20BEE"/>
    <w:rsid w:val="00E20BEF"/>
    <w:rsid w:val="00E20C6A"/>
    <w:rsid w:val="00E20DF4"/>
    <w:rsid w:val="00E20DFB"/>
    <w:rsid w:val="00E20EAD"/>
    <w:rsid w:val="00E20EB4"/>
    <w:rsid w:val="00E20EBA"/>
    <w:rsid w:val="00E20EFC"/>
    <w:rsid w:val="00E20F7E"/>
    <w:rsid w:val="00E20F8C"/>
    <w:rsid w:val="00E20FF1"/>
    <w:rsid w:val="00E21002"/>
    <w:rsid w:val="00E21056"/>
    <w:rsid w:val="00E210C3"/>
    <w:rsid w:val="00E21101"/>
    <w:rsid w:val="00E211BA"/>
    <w:rsid w:val="00E211BB"/>
    <w:rsid w:val="00E21203"/>
    <w:rsid w:val="00E21249"/>
    <w:rsid w:val="00E2125D"/>
    <w:rsid w:val="00E212A1"/>
    <w:rsid w:val="00E21332"/>
    <w:rsid w:val="00E213DA"/>
    <w:rsid w:val="00E213F4"/>
    <w:rsid w:val="00E2147C"/>
    <w:rsid w:val="00E214EB"/>
    <w:rsid w:val="00E21537"/>
    <w:rsid w:val="00E21653"/>
    <w:rsid w:val="00E21663"/>
    <w:rsid w:val="00E21714"/>
    <w:rsid w:val="00E2173D"/>
    <w:rsid w:val="00E2176C"/>
    <w:rsid w:val="00E217FE"/>
    <w:rsid w:val="00E218EC"/>
    <w:rsid w:val="00E218F2"/>
    <w:rsid w:val="00E21919"/>
    <w:rsid w:val="00E21970"/>
    <w:rsid w:val="00E2199A"/>
    <w:rsid w:val="00E219CC"/>
    <w:rsid w:val="00E21A08"/>
    <w:rsid w:val="00E21A44"/>
    <w:rsid w:val="00E21B66"/>
    <w:rsid w:val="00E21B79"/>
    <w:rsid w:val="00E21C00"/>
    <w:rsid w:val="00E21C13"/>
    <w:rsid w:val="00E21C3B"/>
    <w:rsid w:val="00E21E43"/>
    <w:rsid w:val="00E21E5E"/>
    <w:rsid w:val="00E21EA5"/>
    <w:rsid w:val="00E21ECE"/>
    <w:rsid w:val="00E21FC9"/>
    <w:rsid w:val="00E22077"/>
    <w:rsid w:val="00E220C2"/>
    <w:rsid w:val="00E220CC"/>
    <w:rsid w:val="00E2219C"/>
    <w:rsid w:val="00E221EB"/>
    <w:rsid w:val="00E22326"/>
    <w:rsid w:val="00E223FC"/>
    <w:rsid w:val="00E22431"/>
    <w:rsid w:val="00E22437"/>
    <w:rsid w:val="00E22467"/>
    <w:rsid w:val="00E22556"/>
    <w:rsid w:val="00E225D3"/>
    <w:rsid w:val="00E225E5"/>
    <w:rsid w:val="00E225FB"/>
    <w:rsid w:val="00E2266C"/>
    <w:rsid w:val="00E226AA"/>
    <w:rsid w:val="00E226C2"/>
    <w:rsid w:val="00E2271A"/>
    <w:rsid w:val="00E227B8"/>
    <w:rsid w:val="00E22852"/>
    <w:rsid w:val="00E22853"/>
    <w:rsid w:val="00E22873"/>
    <w:rsid w:val="00E22888"/>
    <w:rsid w:val="00E22906"/>
    <w:rsid w:val="00E2297A"/>
    <w:rsid w:val="00E229B1"/>
    <w:rsid w:val="00E229C1"/>
    <w:rsid w:val="00E22A20"/>
    <w:rsid w:val="00E22A8F"/>
    <w:rsid w:val="00E22CD0"/>
    <w:rsid w:val="00E22D51"/>
    <w:rsid w:val="00E22D6F"/>
    <w:rsid w:val="00E22D75"/>
    <w:rsid w:val="00E22DD4"/>
    <w:rsid w:val="00E22DEE"/>
    <w:rsid w:val="00E22E3B"/>
    <w:rsid w:val="00E22E47"/>
    <w:rsid w:val="00E22E8E"/>
    <w:rsid w:val="00E22F78"/>
    <w:rsid w:val="00E22F83"/>
    <w:rsid w:val="00E22FB7"/>
    <w:rsid w:val="00E23051"/>
    <w:rsid w:val="00E23059"/>
    <w:rsid w:val="00E230E8"/>
    <w:rsid w:val="00E2317F"/>
    <w:rsid w:val="00E2328F"/>
    <w:rsid w:val="00E23331"/>
    <w:rsid w:val="00E2334E"/>
    <w:rsid w:val="00E233B1"/>
    <w:rsid w:val="00E233BC"/>
    <w:rsid w:val="00E233CF"/>
    <w:rsid w:val="00E234F0"/>
    <w:rsid w:val="00E2358E"/>
    <w:rsid w:val="00E235A1"/>
    <w:rsid w:val="00E235BA"/>
    <w:rsid w:val="00E235BD"/>
    <w:rsid w:val="00E2363F"/>
    <w:rsid w:val="00E236AB"/>
    <w:rsid w:val="00E236F5"/>
    <w:rsid w:val="00E2372F"/>
    <w:rsid w:val="00E2376D"/>
    <w:rsid w:val="00E23783"/>
    <w:rsid w:val="00E23806"/>
    <w:rsid w:val="00E2384A"/>
    <w:rsid w:val="00E2385F"/>
    <w:rsid w:val="00E23894"/>
    <w:rsid w:val="00E238EE"/>
    <w:rsid w:val="00E2390B"/>
    <w:rsid w:val="00E23AAD"/>
    <w:rsid w:val="00E23BAC"/>
    <w:rsid w:val="00E23CC5"/>
    <w:rsid w:val="00E23CC8"/>
    <w:rsid w:val="00E23CCA"/>
    <w:rsid w:val="00E23CF0"/>
    <w:rsid w:val="00E23D2E"/>
    <w:rsid w:val="00E23D43"/>
    <w:rsid w:val="00E23D6F"/>
    <w:rsid w:val="00E23DAC"/>
    <w:rsid w:val="00E23E8F"/>
    <w:rsid w:val="00E23EA7"/>
    <w:rsid w:val="00E23ED6"/>
    <w:rsid w:val="00E23EDB"/>
    <w:rsid w:val="00E23F88"/>
    <w:rsid w:val="00E23FA9"/>
    <w:rsid w:val="00E23FEB"/>
    <w:rsid w:val="00E24047"/>
    <w:rsid w:val="00E240E5"/>
    <w:rsid w:val="00E240E9"/>
    <w:rsid w:val="00E240EC"/>
    <w:rsid w:val="00E240FD"/>
    <w:rsid w:val="00E24140"/>
    <w:rsid w:val="00E241B0"/>
    <w:rsid w:val="00E241B2"/>
    <w:rsid w:val="00E241D3"/>
    <w:rsid w:val="00E241EC"/>
    <w:rsid w:val="00E24287"/>
    <w:rsid w:val="00E242E9"/>
    <w:rsid w:val="00E24301"/>
    <w:rsid w:val="00E2430C"/>
    <w:rsid w:val="00E2436C"/>
    <w:rsid w:val="00E24378"/>
    <w:rsid w:val="00E243BB"/>
    <w:rsid w:val="00E243CD"/>
    <w:rsid w:val="00E24422"/>
    <w:rsid w:val="00E24426"/>
    <w:rsid w:val="00E244DD"/>
    <w:rsid w:val="00E2453A"/>
    <w:rsid w:val="00E2455D"/>
    <w:rsid w:val="00E2459D"/>
    <w:rsid w:val="00E245EB"/>
    <w:rsid w:val="00E24615"/>
    <w:rsid w:val="00E24688"/>
    <w:rsid w:val="00E2468B"/>
    <w:rsid w:val="00E24692"/>
    <w:rsid w:val="00E246D6"/>
    <w:rsid w:val="00E24773"/>
    <w:rsid w:val="00E24868"/>
    <w:rsid w:val="00E248A3"/>
    <w:rsid w:val="00E248BF"/>
    <w:rsid w:val="00E2494A"/>
    <w:rsid w:val="00E2495A"/>
    <w:rsid w:val="00E2496A"/>
    <w:rsid w:val="00E249A0"/>
    <w:rsid w:val="00E249C8"/>
    <w:rsid w:val="00E249F4"/>
    <w:rsid w:val="00E24A50"/>
    <w:rsid w:val="00E24C20"/>
    <w:rsid w:val="00E24C79"/>
    <w:rsid w:val="00E24CB4"/>
    <w:rsid w:val="00E24CBC"/>
    <w:rsid w:val="00E24CDF"/>
    <w:rsid w:val="00E24CE9"/>
    <w:rsid w:val="00E24D25"/>
    <w:rsid w:val="00E24E27"/>
    <w:rsid w:val="00E24E75"/>
    <w:rsid w:val="00E24E7B"/>
    <w:rsid w:val="00E24F0C"/>
    <w:rsid w:val="00E24F88"/>
    <w:rsid w:val="00E24FF3"/>
    <w:rsid w:val="00E25141"/>
    <w:rsid w:val="00E2514F"/>
    <w:rsid w:val="00E251DD"/>
    <w:rsid w:val="00E252F3"/>
    <w:rsid w:val="00E25358"/>
    <w:rsid w:val="00E25395"/>
    <w:rsid w:val="00E253AB"/>
    <w:rsid w:val="00E253C4"/>
    <w:rsid w:val="00E253C9"/>
    <w:rsid w:val="00E253DD"/>
    <w:rsid w:val="00E253F5"/>
    <w:rsid w:val="00E25436"/>
    <w:rsid w:val="00E25438"/>
    <w:rsid w:val="00E25455"/>
    <w:rsid w:val="00E2545B"/>
    <w:rsid w:val="00E25468"/>
    <w:rsid w:val="00E254A6"/>
    <w:rsid w:val="00E254CB"/>
    <w:rsid w:val="00E254E6"/>
    <w:rsid w:val="00E25561"/>
    <w:rsid w:val="00E25588"/>
    <w:rsid w:val="00E255CB"/>
    <w:rsid w:val="00E255F8"/>
    <w:rsid w:val="00E25654"/>
    <w:rsid w:val="00E256C3"/>
    <w:rsid w:val="00E25840"/>
    <w:rsid w:val="00E258E4"/>
    <w:rsid w:val="00E2590B"/>
    <w:rsid w:val="00E25A56"/>
    <w:rsid w:val="00E25B24"/>
    <w:rsid w:val="00E25B64"/>
    <w:rsid w:val="00E25CBC"/>
    <w:rsid w:val="00E25D0A"/>
    <w:rsid w:val="00E25D7C"/>
    <w:rsid w:val="00E25DE7"/>
    <w:rsid w:val="00E25E1E"/>
    <w:rsid w:val="00E25E4D"/>
    <w:rsid w:val="00E25E7A"/>
    <w:rsid w:val="00E25E97"/>
    <w:rsid w:val="00E25EE8"/>
    <w:rsid w:val="00E25F63"/>
    <w:rsid w:val="00E25FBE"/>
    <w:rsid w:val="00E2604A"/>
    <w:rsid w:val="00E2609C"/>
    <w:rsid w:val="00E260CB"/>
    <w:rsid w:val="00E260E6"/>
    <w:rsid w:val="00E260F8"/>
    <w:rsid w:val="00E26186"/>
    <w:rsid w:val="00E26196"/>
    <w:rsid w:val="00E26199"/>
    <w:rsid w:val="00E261DE"/>
    <w:rsid w:val="00E26234"/>
    <w:rsid w:val="00E2624E"/>
    <w:rsid w:val="00E26268"/>
    <w:rsid w:val="00E26280"/>
    <w:rsid w:val="00E262FA"/>
    <w:rsid w:val="00E262FB"/>
    <w:rsid w:val="00E26308"/>
    <w:rsid w:val="00E26324"/>
    <w:rsid w:val="00E26343"/>
    <w:rsid w:val="00E26363"/>
    <w:rsid w:val="00E26399"/>
    <w:rsid w:val="00E2639F"/>
    <w:rsid w:val="00E2647F"/>
    <w:rsid w:val="00E264B6"/>
    <w:rsid w:val="00E2657A"/>
    <w:rsid w:val="00E265B2"/>
    <w:rsid w:val="00E266B8"/>
    <w:rsid w:val="00E267CD"/>
    <w:rsid w:val="00E267FB"/>
    <w:rsid w:val="00E268E9"/>
    <w:rsid w:val="00E26A7A"/>
    <w:rsid w:val="00E26BC0"/>
    <w:rsid w:val="00E26C19"/>
    <w:rsid w:val="00E26CE1"/>
    <w:rsid w:val="00E26D6F"/>
    <w:rsid w:val="00E26DE5"/>
    <w:rsid w:val="00E26FA2"/>
    <w:rsid w:val="00E26FC0"/>
    <w:rsid w:val="00E26FE5"/>
    <w:rsid w:val="00E26FF7"/>
    <w:rsid w:val="00E2702F"/>
    <w:rsid w:val="00E27061"/>
    <w:rsid w:val="00E27088"/>
    <w:rsid w:val="00E2709C"/>
    <w:rsid w:val="00E270F9"/>
    <w:rsid w:val="00E2710F"/>
    <w:rsid w:val="00E27110"/>
    <w:rsid w:val="00E27137"/>
    <w:rsid w:val="00E2715C"/>
    <w:rsid w:val="00E271AA"/>
    <w:rsid w:val="00E271C0"/>
    <w:rsid w:val="00E2723C"/>
    <w:rsid w:val="00E27265"/>
    <w:rsid w:val="00E272CC"/>
    <w:rsid w:val="00E2734E"/>
    <w:rsid w:val="00E2736A"/>
    <w:rsid w:val="00E2737A"/>
    <w:rsid w:val="00E27383"/>
    <w:rsid w:val="00E273B2"/>
    <w:rsid w:val="00E274A9"/>
    <w:rsid w:val="00E274E2"/>
    <w:rsid w:val="00E274F6"/>
    <w:rsid w:val="00E27535"/>
    <w:rsid w:val="00E27537"/>
    <w:rsid w:val="00E27560"/>
    <w:rsid w:val="00E275AA"/>
    <w:rsid w:val="00E27630"/>
    <w:rsid w:val="00E27654"/>
    <w:rsid w:val="00E27658"/>
    <w:rsid w:val="00E276B1"/>
    <w:rsid w:val="00E27712"/>
    <w:rsid w:val="00E27741"/>
    <w:rsid w:val="00E27757"/>
    <w:rsid w:val="00E27788"/>
    <w:rsid w:val="00E27789"/>
    <w:rsid w:val="00E277A4"/>
    <w:rsid w:val="00E277FB"/>
    <w:rsid w:val="00E27819"/>
    <w:rsid w:val="00E2784D"/>
    <w:rsid w:val="00E2784E"/>
    <w:rsid w:val="00E278FD"/>
    <w:rsid w:val="00E2790D"/>
    <w:rsid w:val="00E27938"/>
    <w:rsid w:val="00E2798D"/>
    <w:rsid w:val="00E279CC"/>
    <w:rsid w:val="00E27A3B"/>
    <w:rsid w:val="00E27A69"/>
    <w:rsid w:val="00E27A7A"/>
    <w:rsid w:val="00E27AE1"/>
    <w:rsid w:val="00E27B90"/>
    <w:rsid w:val="00E27B96"/>
    <w:rsid w:val="00E27BB6"/>
    <w:rsid w:val="00E27BE4"/>
    <w:rsid w:val="00E27C15"/>
    <w:rsid w:val="00E27CEE"/>
    <w:rsid w:val="00E27D1D"/>
    <w:rsid w:val="00E27D30"/>
    <w:rsid w:val="00E27D60"/>
    <w:rsid w:val="00E27DD5"/>
    <w:rsid w:val="00E27E1D"/>
    <w:rsid w:val="00E27E57"/>
    <w:rsid w:val="00E27ECC"/>
    <w:rsid w:val="00E27F16"/>
    <w:rsid w:val="00E27F23"/>
    <w:rsid w:val="00E27F94"/>
    <w:rsid w:val="00E27FB4"/>
    <w:rsid w:val="00E27FCC"/>
    <w:rsid w:val="00E300C6"/>
    <w:rsid w:val="00E30121"/>
    <w:rsid w:val="00E30159"/>
    <w:rsid w:val="00E3016D"/>
    <w:rsid w:val="00E30178"/>
    <w:rsid w:val="00E3017F"/>
    <w:rsid w:val="00E30194"/>
    <w:rsid w:val="00E301CC"/>
    <w:rsid w:val="00E30204"/>
    <w:rsid w:val="00E30283"/>
    <w:rsid w:val="00E302E3"/>
    <w:rsid w:val="00E3032A"/>
    <w:rsid w:val="00E3032F"/>
    <w:rsid w:val="00E30363"/>
    <w:rsid w:val="00E303FC"/>
    <w:rsid w:val="00E30433"/>
    <w:rsid w:val="00E3049D"/>
    <w:rsid w:val="00E304C1"/>
    <w:rsid w:val="00E304D0"/>
    <w:rsid w:val="00E30541"/>
    <w:rsid w:val="00E30584"/>
    <w:rsid w:val="00E305C3"/>
    <w:rsid w:val="00E30623"/>
    <w:rsid w:val="00E30654"/>
    <w:rsid w:val="00E306DD"/>
    <w:rsid w:val="00E30738"/>
    <w:rsid w:val="00E3083F"/>
    <w:rsid w:val="00E30842"/>
    <w:rsid w:val="00E30899"/>
    <w:rsid w:val="00E308F3"/>
    <w:rsid w:val="00E30923"/>
    <w:rsid w:val="00E3095C"/>
    <w:rsid w:val="00E30A47"/>
    <w:rsid w:val="00E30A80"/>
    <w:rsid w:val="00E30AB6"/>
    <w:rsid w:val="00E30AE3"/>
    <w:rsid w:val="00E30B0B"/>
    <w:rsid w:val="00E30B36"/>
    <w:rsid w:val="00E30BBF"/>
    <w:rsid w:val="00E30BD5"/>
    <w:rsid w:val="00E30BF7"/>
    <w:rsid w:val="00E30C36"/>
    <w:rsid w:val="00E30C6F"/>
    <w:rsid w:val="00E30CB4"/>
    <w:rsid w:val="00E30D58"/>
    <w:rsid w:val="00E30D7D"/>
    <w:rsid w:val="00E30DB1"/>
    <w:rsid w:val="00E30E5F"/>
    <w:rsid w:val="00E30E83"/>
    <w:rsid w:val="00E30F07"/>
    <w:rsid w:val="00E30FC4"/>
    <w:rsid w:val="00E30FD8"/>
    <w:rsid w:val="00E30FE4"/>
    <w:rsid w:val="00E31053"/>
    <w:rsid w:val="00E310C9"/>
    <w:rsid w:val="00E310D9"/>
    <w:rsid w:val="00E31185"/>
    <w:rsid w:val="00E3119B"/>
    <w:rsid w:val="00E311B6"/>
    <w:rsid w:val="00E311B7"/>
    <w:rsid w:val="00E311DD"/>
    <w:rsid w:val="00E311EA"/>
    <w:rsid w:val="00E312DD"/>
    <w:rsid w:val="00E31330"/>
    <w:rsid w:val="00E31364"/>
    <w:rsid w:val="00E3138A"/>
    <w:rsid w:val="00E313D4"/>
    <w:rsid w:val="00E3142E"/>
    <w:rsid w:val="00E31457"/>
    <w:rsid w:val="00E314AA"/>
    <w:rsid w:val="00E31515"/>
    <w:rsid w:val="00E315F3"/>
    <w:rsid w:val="00E31646"/>
    <w:rsid w:val="00E316F8"/>
    <w:rsid w:val="00E31724"/>
    <w:rsid w:val="00E31760"/>
    <w:rsid w:val="00E317B5"/>
    <w:rsid w:val="00E31873"/>
    <w:rsid w:val="00E31A0E"/>
    <w:rsid w:val="00E31A24"/>
    <w:rsid w:val="00E31A6F"/>
    <w:rsid w:val="00E31A9E"/>
    <w:rsid w:val="00E31AE8"/>
    <w:rsid w:val="00E31B3F"/>
    <w:rsid w:val="00E31C0D"/>
    <w:rsid w:val="00E31C80"/>
    <w:rsid w:val="00E31D78"/>
    <w:rsid w:val="00E31D90"/>
    <w:rsid w:val="00E31D91"/>
    <w:rsid w:val="00E31DDB"/>
    <w:rsid w:val="00E31E18"/>
    <w:rsid w:val="00E31E1D"/>
    <w:rsid w:val="00E31EE8"/>
    <w:rsid w:val="00E31F01"/>
    <w:rsid w:val="00E31F58"/>
    <w:rsid w:val="00E31F69"/>
    <w:rsid w:val="00E3202A"/>
    <w:rsid w:val="00E320D3"/>
    <w:rsid w:val="00E3211D"/>
    <w:rsid w:val="00E3214A"/>
    <w:rsid w:val="00E321DE"/>
    <w:rsid w:val="00E3220B"/>
    <w:rsid w:val="00E32230"/>
    <w:rsid w:val="00E32235"/>
    <w:rsid w:val="00E322C4"/>
    <w:rsid w:val="00E32322"/>
    <w:rsid w:val="00E32343"/>
    <w:rsid w:val="00E32374"/>
    <w:rsid w:val="00E324BA"/>
    <w:rsid w:val="00E324C4"/>
    <w:rsid w:val="00E324D7"/>
    <w:rsid w:val="00E32531"/>
    <w:rsid w:val="00E3259D"/>
    <w:rsid w:val="00E32630"/>
    <w:rsid w:val="00E326B4"/>
    <w:rsid w:val="00E326B7"/>
    <w:rsid w:val="00E326C2"/>
    <w:rsid w:val="00E326DF"/>
    <w:rsid w:val="00E326FD"/>
    <w:rsid w:val="00E3272A"/>
    <w:rsid w:val="00E32753"/>
    <w:rsid w:val="00E32774"/>
    <w:rsid w:val="00E327FD"/>
    <w:rsid w:val="00E32955"/>
    <w:rsid w:val="00E329AC"/>
    <w:rsid w:val="00E32A53"/>
    <w:rsid w:val="00E32AF3"/>
    <w:rsid w:val="00E32C0D"/>
    <w:rsid w:val="00E32C28"/>
    <w:rsid w:val="00E32C32"/>
    <w:rsid w:val="00E32C57"/>
    <w:rsid w:val="00E32C83"/>
    <w:rsid w:val="00E32C94"/>
    <w:rsid w:val="00E32CD2"/>
    <w:rsid w:val="00E32E50"/>
    <w:rsid w:val="00E32E62"/>
    <w:rsid w:val="00E32E6A"/>
    <w:rsid w:val="00E32F27"/>
    <w:rsid w:val="00E32F72"/>
    <w:rsid w:val="00E33079"/>
    <w:rsid w:val="00E33160"/>
    <w:rsid w:val="00E331C3"/>
    <w:rsid w:val="00E331D5"/>
    <w:rsid w:val="00E3322F"/>
    <w:rsid w:val="00E3324C"/>
    <w:rsid w:val="00E332AA"/>
    <w:rsid w:val="00E332CA"/>
    <w:rsid w:val="00E332E4"/>
    <w:rsid w:val="00E33303"/>
    <w:rsid w:val="00E33478"/>
    <w:rsid w:val="00E33484"/>
    <w:rsid w:val="00E33572"/>
    <w:rsid w:val="00E33745"/>
    <w:rsid w:val="00E33783"/>
    <w:rsid w:val="00E33795"/>
    <w:rsid w:val="00E337B2"/>
    <w:rsid w:val="00E337BC"/>
    <w:rsid w:val="00E337F5"/>
    <w:rsid w:val="00E33853"/>
    <w:rsid w:val="00E3387E"/>
    <w:rsid w:val="00E3388E"/>
    <w:rsid w:val="00E33996"/>
    <w:rsid w:val="00E33A01"/>
    <w:rsid w:val="00E33A07"/>
    <w:rsid w:val="00E33A86"/>
    <w:rsid w:val="00E33AFE"/>
    <w:rsid w:val="00E33B1A"/>
    <w:rsid w:val="00E33BC0"/>
    <w:rsid w:val="00E33BF7"/>
    <w:rsid w:val="00E33C30"/>
    <w:rsid w:val="00E33C5B"/>
    <w:rsid w:val="00E33C63"/>
    <w:rsid w:val="00E33D22"/>
    <w:rsid w:val="00E33D32"/>
    <w:rsid w:val="00E33DBB"/>
    <w:rsid w:val="00E33E01"/>
    <w:rsid w:val="00E33E55"/>
    <w:rsid w:val="00E33EEF"/>
    <w:rsid w:val="00E33FEF"/>
    <w:rsid w:val="00E34042"/>
    <w:rsid w:val="00E34092"/>
    <w:rsid w:val="00E3417D"/>
    <w:rsid w:val="00E3421B"/>
    <w:rsid w:val="00E34226"/>
    <w:rsid w:val="00E34238"/>
    <w:rsid w:val="00E3432E"/>
    <w:rsid w:val="00E343A2"/>
    <w:rsid w:val="00E343B6"/>
    <w:rsid w:val="00E34470"/>
    <w:rsid w:val="00E344EB"/>
    <w:rsid w:val="00E34534"/>
    <w:rsid w:val="00E345C4"/>
    <w:rsid w:val="00E345FB"/>
    <w:rsid w:val="00E3462F"/>
    <w:rsid w:val="00E3463F"/>
    <w:rsid w:val="00E3469A"/>
    <w:rsid w:val="00E34765"/>
    <w:rsid w:val="00E347AB"/>
    <w:rsid w:val="00E347C1"/>
    <w:rsid w:val="00E347D7"/>
    <w:rsid w:val="00E347DC"/>
    <w:rsid w:val="00E347DD"/>
    <w:rsid w:val="00E348D3"/>
    <w:rsid w:val="00E348EF"/>
    <w:rsid w:val="00E3498F"/>
    <w:rsid w:val="00E34990"/>
    <w:rsid w:val="00E34995"/>
    <w:rsid w:val="00E349A7"/>
    <w:rsid w:val="00E349D5"/>
    <w:rsid w:val="00E34A10"/>
    <w:rsid w:val="00E34A54"/>
    <w:rsid w:val="00E34AC1"/>
    <w:rsid w:val="00E34AC8"/>
    <w:rsid w:val="00E34AD5"/>
    <w:rsid w:val="00E34BCC"/>
    <w:rsid w:val="00E34BF2"/>
    <w:rsid w:val="00E34C08"/>
    <w:rsid w:val="00E34C3D"/>
    <w:rsid w:val="00E34C71"/>
    <w:rsid w:val="00E34C98"/>
    <w:rsid w:val="00E34DCB"/>
    <w:rsid w:val="00E34DFB"/>
    <w:rsid w:val="00E34E21"/>
    <w:rsid w:val="00E35049"/>
    <w:rsid w:val="00E35051"/>
    <w:rsid w:val="00E3518A"/>
    <w:rsid w:val="00E351A0"/>
    <w:rsid w:val="00E351C4"/>
    <w:rsid w:val="00E35201"/>
    <w:rsid w:val="00E35206"/>
    <w:rsid w:val="00E35235"/>
    <w:rsid w:val="00E3526D"/>
    <w:rsid w:val="00E35279"/>
    <w:rsid w:val="00E352A9"/>
    <w:rsid w:val="00E352D6"/>
    <w:rsid w:val="00E3532F"/>
    <w:rsid w:val="00E354F9"/>
    <w:rsid w:val="00E35602"/>
    <w:rsid w:val="00E35603"/>
    <w:rsid w:val="00E3565C"/>
    <w:rsid w:val="00E356A0"/>
    <w:rsid w:val="00E35774"/>
    <w:rsid w:val="00E35860"/>
    <w:rsid w:val="00E358C0"/>
    <w:rsid w:val="00E358D5"/>
    <w:rsid w:val="00E359CF"/>
    <w:rsid w:val="00E35A61"/>
    <w:rsid w:val="00E35A7A"/>
    <w:rsid w:val="00E35AA2"/>
    <w:rsid w:val="00E35BCA"/>
    <w:rsid w:val="00E35BDE"/>
    <w:rsid w:val="00E35C0B"/>
    <w:rsid w:val="00E35C4E"/>
    <w:rsid w:val="00E35CB0"/>
    <w:rsid w:val="00E35CE4"/>
    <w:rsid w:val="00E35E0B"/>
    <w:rsid w:val="00E35E23"/>
    <w:rsid w:val="00E35E51"/>
    <w:rsid w:val="00E35F1E"/>
    <w:rsid w:val="00E35F6F"/>
    <w:rsid w:val="00E35FFD"/>
    <w:rsid w:val="00E36069"/>
    <w:rsid w:val="00E36083"/>
    <w:rsid w:val="00E3608C"/>
    <w:rsid w:val="00E36115"/>
    <w:rsid w:val="00E36152"/>
    <w:rsid w:val="00E361E6"/>
    <w:rsid w:val="00E36267"/>
    <w:rsid w:val="00E36276"/>
    <w:rsid w:val="00E362BF"/>
    <w:rsid w:val="00E362DD"/>
    <w:rsid w:val="00E362F1"/>
    <w:rsid w:val="00E36300"/>
    <w:rsid w:val="00E3630A"/>
    <w:rsid w:val="00E363DB"/>
    <w:rsid w:val="00E363E4"/>
    <w:rsid w:val="00E36416"/>
    <w:rsid w:val="00E3648F"/>
    <w:rsid w:val="00E364A8"/>
    <w:rsid w:val="00E3651F"/>
    <w:rsid w:val="00E3654A"/>
    <w:rsid w:val="00E3654D"/>
    <w:rsid w:val="00E36598"/>
    <w:rsid w:val="00E365CA"/>
    <w:rsid w:val="00E365D9"/>
    <w:rsid w:val="00E365DD"/>
    <w:rsid w:val="00E36624"/>
    <w:rsid w:val="00E36669"/>
    <w:rsid w:val="00E3666B"/>
    <w:rsid w:val="00E36777"/>
    <w:rsid w:val="00E3679D"/>
    <w:rsid w:val="00E367BF"/>
    <w:rsid w:val="00E3681D"/>
    <w:rsid w:val="00E3682A"/>
    <w:rsid w:val="00E36888"/>
    <w:rsid w:val="00E3688D"/>
    <w:rsid w:val="00E368CC"/>
    <w:rsid w:val="00E36928"/>
    <w:rsid w:val="00E3697A"/>
    <w:rsid w:val="00E36985"/>
    <w:rsid w:val="00E36A39"/>
    <w:rsid w:val="00E36BAB"/>
    <w:rsid w:val="00E36BE8"/>
    <w:rsid w:val="00E36D40"/>
    <w:rsid w:val="00E36D71"/>
    <w:rsid w:val="00E36D99"/>
    <w:rsid w:val="00E36E01"/>
    <w:rsid w:val="00E36E3C"/>
    <w:rsid w:val="00E36EF4"/>
    <w:rsid w:val="00E36F3C"/>
    <w:rsid w:val="00E36F5D"/>
    <w:rsid w:val="00E36FAF"/>
    <w:rsid w:val="00E36FDD"/>
    <w:rsid w:val="00E36FEB"/>
    <w:rsid w:val="00E3702D"/>
    <w:rsid w:val="00E37062"/>
    <w:rsid w:val="00E370E7"/>
    <w:rsid w:val="00E370FB"/>
    <w:rsid w:val="00E37115"/>
    <w:rsid w:val="00E371D3"/>
    <w:rsid w:val="00E3725B"/>
    <w:rsid w:val="00E37264"/>
    <w:rsid w:val="00E372AD"/>
    <w:rsid w:val="00E37317"/>
    <w:rsid w:val="00E37328"/>
    <w:rsid w:val="00E37361"/>
    <w:rsid w:val="00E373FD"/>
    <w:rsid w:val="00E374DD"/>
    <w:rsid w:val="00E37513"/>
    <w:rsid w:val="00E375BA"/>
    <w:rsid w:val="00E375CF"/>
    <w:rsid w:val="00E3760F"/>
    <w:rsid w:val="00E37613"/>
    <w:rsid w:val="00E37628"/>
    <w:rsid w:val="00E3765B"/>
    <w:rsid w:val="00E37731"/>
    <w:rsid w:val="00E37736"/>
    <w:rsid w:val="00E3774B"/>
    <w:rsid w:val="00E37758"/>
    <w:rsid w:val="00E37773"/>
    <w:rsid w:val="00E377B1"/>
    <w:rsid w:val="00E37875"/>
    <w:rsid w:val="00E37884"/>
    <w:rsid w:val="00E378A5"/>
    <w:rsid w:val="00E378D5"/>
    <w:rsid w:val="00E37905"/>
    <w:rsid w:val="00E3792B"/>
    <w:rsid w:val="00E37961"/>
    <w:rsid w:val="00E3796A"/>
    <w:rsid w:val="00E37A0D"/>
    <w:rsid w:val="00E37A29"/>
    <w:rsid w:val="00E37AE6"/>
    <w:rsid w:val="00E37B25"/>
    <w:rsid w:val="00E37C4B"/>
    <w:rsid w:val="00E37C8E"/>
    <w:rsid w:val="00E37CCC"/>
    <w:rsid w:val="00E37D00"/>
    <w:rsid w:val="00E37DB4"/>
    <w:rsid w:val="00E37DD1"/>
    <w:rsid w:val="00E37DF8"/>
    <w:rsid w:val="00E37E5F"/>
    <w:rsid w:val="00E37ECA"/>
    <w:rsid w:val="00E37ED8"/>
    <w:rsid w:val="00E37F68"/>
    <w:rsid w:val="00E37F93"/>
    <w:rsid w:val="00E37F9D"/>
    <w:rsid w:val="00E40072"/>
    <w:rsid w:val="00E40081"/>
    <w:rsid w:val="00E400AD"/>
    <w:rsid w:val="00E4010F"/>
    <w:rsid w:val="00E40113"/>
    <w:rsid w:val="00E4016D"/>
    <w:rsid w:val="00E401A4"/>
    <w:rsid w:val="00E40212"/>
    <w:rsid w:val="00E4023F"/>
    <w:rsid w:val="00E402BC"/>
    <w:rsid w:val="00E402D1"/>
    <w:rsid w:val="00E4033B"/>
    <w:rsid w:val="00E40381"/>
    <w:rsid w:val="00E40383"/>
    <w:rsid w:val="00E40385"/>
    <w:rsid w:val="00E403F6"/>
    <w:rsid w:val="00E404A1"/>
    <w:rsid w:val="00E404AA"/>
    <w:rsid w:val="00E40537"/>
    <w:rsid w:val="00E405CC"/>
    <w:rsid w:val="00E405DB"/>
    <w:rsid w:val="00E4061C"/>
    <w:rsid w:val="00E40644"/>
    <w:rsid w:val="00E40757"/>
    <w:rsid w:val="00E40871"/>
    <w:rsid w:val="00E408BA"/>
    <w:rsid w:val="00E408E5"/>
    <w:rsid w:val="00E4091B"/>
    <w:rsid w:val="00E4095B"/>
    <w:rsid w:val="00E409EF"/>
    <w:rsid w:val="00E40A47"/>
    <w:rsid w:val="00E40AF6"/>
    <w:rsid w:val="00E40B80"/>
    <w:rsid w:val="00E40B8D"/>
    <w:rsid w:val="00E40BB8"/>
    <w:rsid w:val="00E40BCA"/>
    <w:rsid w:val="00E40C28"/>
    <w:rsid w:val="00E40C6D"/>
    <w:rsid w:val="00E40CE0"/>
    <w:rsid w:val="00E40D00"/>
    <w:rsid w:val="00E40D0B"/>
    <w:rsid w:val="00E40D1A"/>
    <w:rsid w:val="00E40D21"/>
    <w:rsid w:val="00E40D25"/>
    <w:rsid w:val="00E40D2F"/>
    <w:rsid w:val="00E40D43"/>
    <w:rsid w:val="00E40D9C"/>
    <w:rsid w:val="00E40E58"/>
    <w:rsid w:val="00E40E87"/>
    <w:rsid w:val="00E40EFD"/>
    <w:rsid w:val="00E40F25"/>
    <w:rsid w:val="00E40F26"/>
    <w:rsid w:val="00E40F37"/>
    <w:rsid w:val="00E40F91"/>
    <w:rsid w:val="00E41055"/>
    <w:rsid w:val="00E41060"/>
    <w:rsid w:val="00E410A8"/>
    <w:rsid w:val="00E410D7"/>
    <w:rsid w:val="00E410DC"/>
    <w:rsid w:val="00E410E9"/>
    <w:rsid w:val="00E41107"/>
    <w:rsid w:val="00E41128"/>
    <w:rsid w:val="00E41271"/>
    <w:rsid w:val="00E413A7"/>
    <w:rsid w:val="00E413DA"/>
    <w:rsid w:val="00E41415"/>
    <w:rsid w:val="00E4145A"/>
    <w:rsid w:val="00E41520"/>
    <w:rsid w:val="00E415A8"/>
    <w:rsid w:val="00E41645"/>
    <w:rsid w:val="00E4165F"/>
    <w:rsid w:val="00E41668"/>
    <w:rsid w:val="00E41691"/>
    <w:rsid w:val="00E4169F"/>
    <w:rsid w:val="00E4170D"/>
    <w:rsid w:val="00E417BE"/>
    <w:rsid w:val="00E417CA"/>
    <w:rsid w:val="00E417E5"/>
    <w:rsid w:val="00E417FF"/>
    <w:rsid w:val="00E4185F"/>
    <w:rsid w:val="00E41876"/>
    <w:rsid w:val="00E41946"/>
    <w:rsid w:val="00E41A14"/>
    <w:rsid w:val="00E41A66"/>
    <w:rsid w:val="00E41A67"/>
    <w:rsid w:val="00E41AA6"/>
    <w:rsid w:val="00E41AB3"/>
    <w:rsid w:val="00E41AEB"/>
    <w:rsid w:val="00E41AEE"/>
    <w:rsid w:val="00E41B0B"/>
    <w:rsid w:val="00E41B11"/>
    <w:rsid w:val="00E41B12"/>
    <w:rsid w:val="00E41B54"/>
    <w:rsid w:val="00E41B77"/>
    <w:rsid w:val="00E41BA8"/>
    <w:rsid w:val="00E41BC3"/>
    <w:rsid w:val="00E41BEA"/>
    <w:rsid w:val="00E41C84"/>
    <w:rsid w:val="00E41CC4"/>
    <w:rsid w:val="00E41CC8"/>
    <w:rsid w:val="00E41D26"/>
    <w:rsid w:val="00E41F45"/>
    <w:rsid w:val="00E41F5F"/>
    <w:rsid w:val="00E41F77"/>
    <w:rsid w:val="00E41F7C"/>
    <w:rsid w:val="00E4203C"/>
    <w:rsid w:val="00E4204D"/>
    <w:rsid w:val="00E4208D"/>
    <w:rsid w:val="00E420D7"/>
    <w:rsid w:val="00E42173"/>
    <w:rsid w:val="00E421A6"/>
    <w:rsid w:val="00E4224E"/>
    <w:rsid w:val="00E422A8"/>
    <w:rsid w:val="00E422B9"/>
    <w:rsid w:val="00E422C5"/>
    <w:rsid w:val="00E42319"/>
    <w:rsid w:val="00E42320"/>
    <w:rsid w:val="00E42373"/>
    <w:rsid w:val="00E423DC"/>
    <w:rsid w:val="00E424CA"/>
    <w:rsid w:val="00E424F0"/>
    <w:rsid w:val="00E42545"/>
    <w:rsid w:val="00E42546"/>
    <w:rsid w:val="00E4257E"/>
    <w:rsid w:val="00E425CD"/>
    <w:rsid w:val="00E425E5"/>
    <w:rsid w:val="00E425FA"/>
    <w:rsid w:val="00E426B8"/>
    <w:rsid w:val="00E427F1"/>
    <w:rsid w:val="00E42829"/>
    <w:rsid w:val="00E42836"/>
    <w:rsid w:val="00E428A0"/>
    <w:rsid w:val="00E4290C"/>
    <w:rsid w:val="00E42920"/>
    <w:rsid w:val="00E42993"/>
    <w:rsid w:val="00E42A84"/>
    <w:rsid w:val="00E42AE4"/>
    <w:rsid w:val="00E42B07"/>
    <w:rsid w:val="00E42B7D"/>
    <w:rsid w:val="00E42BA2"/>
    <w:rsid w:val="00E42BA5"/>
    <w:rsid w:val="00E42C78"/>
    <w:rsid w:val="00E42D0B"/>
    <w:rsid w:val="00E42D4C"/>
    <w:rsid w:val="00E42D6A"/>
    <w:rsid w:val="00E42DA6"/>
    <w:rsid w:val="00E42DBE"/>
    <w:rsid w:val="00E42E17"/>
    <w:rsid w:val="00E42E94"/>
    <w:rsid w:val="00E42EF8"/>
    <w:rsid w:val="00E42F16"/>
    <w:rsid w:val="00E42F47"/>
    <w:rsid w:val="00E42F49"/>
    <w:rsid w:val="00E42F6A"/>
    <w:rsid w:val="00E42FB7"/>
    <w:rsid w:val="00E43084"/>
    <w:rsid w:val="00E4318B"/>
    <w:rsid w:val="00E43215"/>
    <w:rsid w:val="00E43288"/>
    <w:rsid w:val="00E432E3"/>
    <w:rsid w:val="00E43376"/>
    <w:rsid w:val="00E43396"/>
    <w:rsid w:val="00E434AB"/>
    <w:rsid w:val="00E434C9"/>
    <w:rsid w:val="00E434FA"/>
    <w:rsid w:val="00E43512"/>
    <w:rsid w:val="00E43516"/>
    <w:rsid w:val="00E435D9"/>
    <w:rsid w:val="00E4361D"/>
    <w:rsid w:val="00E4361E"/>
    <w:rsid w:val="00E436EE"/>
    <w:rsid w:val="00E43803"/>
    <w:rsid w:val="00E43875"/>
    <w:rsid w:val="00E4387B"/>
    <w:rsid w:val="00E438FA"/>
    <w:rsid w:val="00E4397D"/>
    <w:rsid w:val="00E439B5"/>
    <w:rsid w:val="00E43A06"/>
    <w:rsid w:val="00E43A30"/>
    <w:rsid w:val="00E43A34"/>
    <w:rsid w:val="00E43C6C"/>
    <w:rsid w:val="00E43CC6"/>
    <w:rsid w:val="00E43D18"/>
    <w:rsid w:val="00E43D61"/>
    <w:rsid w:val="00E43DA7"/>
    <w:rsid w:val="00E43E28"/>
    <w:rsid w:val="00E43E54"/>
    <w:rsid w:val="00E43E5B"/>
    <w:rsid w:val="00E43EB4"/>
    <w:rsid w:val="00E43EC2"/>
    <w:rsid w:val="00E43F81"/>
    <w:rsid w:val="00E43FAB"/>
    <w:rsid w:val="00E43FFB"/>
    <w:rsid w:val="00E43FFF"/>
    <w:rsid w:val="00E44039"/>
    <w:rsid w:val="00E440AB"/>
    <w:rsid w:val="00E440DB"/>
    <w:rsid w:val="00E4412D"/>
    <w:rsid w:val="00E44176"/>
    <w:rsid w:val="00E442B9"/>
    <w:rsid w:val="00E442BB"/>
    <w:rsid w:val="00E443D3"/>
    <w:rsid w:val="00E443E6"/>
    <w:rsid w:val="00E443E8"/>
    <w:rsid w:val="00E44405"/>
    <w:rsid w:val="00E444A3"/>
    <w:rsid w:val="00E44510"/>
    <w:rsid w:val="00E44517"/>
    <w:rsid w:val="00E44634"/>
    <w:rsid w:val="00E44699"/>
    <w:rsid w:val="00E446E7"/>
    <w:rsid w:val="00E4476D"/>
    <w:rsid w:val="00E4482C"/>
    <w:rsid w:val="00E448B3"/>
    <w:rsid w:val="00E44930"/>
    <w:rsid w:val="00E44981"/>
    <w:rsid w:val="00E449E7"/>
    <w:rsid w:val="00E44A11"/>
    <w:rsid w:val="00E44A87"/>
    <w:rsid w:val="00E44A8D"/>
    <w:rsid w:val="00E44B11"/>
    <w:rsid w:val="00E44BF9"/>
    <w:rsid w:val="00E44C53"/>
    <w:rsid w:val="00E44CD3"/>
    <w:rsid w:val="00E44D81"/>
    <w:rsid w:val="00E44E92"/>
    <w:rsid w:val="00E44EA4"/>
    <w:rsid w:val="00E44EC2"/>
    <w:rsid w:val="00E44EFE"/>
    <w:rsid w:val="00E44F43"/>
    <w:rsid w:val="00E44F53"/>
    <w:rsid w:val="00E44F8E"/>
    <w:rsid w:val="00E44F9F"/>
    <w:rsid w:val="00E45015"/>
    <w:rsid w:val="00E45041"/>
    <w:rsid w:val="00E4506B"/>
    <w:rsid w:val="00E450C5"/>
    <w:rsid w:val="00E45110"/>
    <w:rsid w:val="00E45347"/>
    <w:rsid w:val="00E453C1"/>
    <w:rsid w:val="00E453C4"/>
    <w:rsid w:val="00E45413"/>
    <w:rsid w:val="00E454A1"/>
    <w:rsid w:val="00E454E1"/>
    <w:rsid w:val="00E45513"/>
    <w:rsid w:val="00E45520"/>
    <w:rsid w:val="00E45589"/>
    <w:rsid w:val="00E456AD"/>
    <w:rsid w:val="00E456DA"/>
    <w:rsid w:val="00E456DE"/>
    <w:rsid w:val="00E45749"/>
    <w:rsid w:val="00E45775"/>
    <w:rsid w:val="00E457A9"/>
    <w:rsid w:val="00E457BE"/>
    <w:rsid w:val="00E457F1"/>
    <w:rsid w:val="00E4584C"/>
    <w:rsid w:val="00E4586C"/>
    <w:rsid w:val="00E4594E"/>
    <w:rsid w:val="00E45BBE"/>
    <w:rsid w:val="00E45BDE"/>
    <w:rsid w:val="00E45BEB"/>
    <w:rsid w:val="00E45C22"/>
    <w:rsid w:val="00E45D6A"/>
    <w:rsid w:val="00E45DFE"/>
    <w:rsid w:val="00E45E96"/>
    <w:rsid w:val="00E45E9D"/>
    <w:rsid w:val="00E45EA7"/>
    <w:rsid w:val="00E45ED1"/>
    <w:rsid w:val="00E45EE5"/>
    <w:rsid w:val="00E45EEC"/>
    <w:rsid w:val="00E45F4E"/>
    <w:rsid w:val="00E46057"/>
    <w:rsid w:val="00E46136"/>
    <w:rsid w:val="00E463EF"/>
    <w:rsid w:val="00E46433"/>
    <w:rsid w:val="00E4647F"/>
    <w:rsid w:val="00E4659F"/>
    <w:rsid w:val="00E46645"/>
    <w:rsid w:val="00E46652"/>
    <w:rsid w:val="00E46653"/>
    <w:rsid w:val="00E4666D"/>
    <w:rsid w:val="00E466BB"/>
    <w:rsid w:val="00E466E5"/>
    <w:rsid w:val="00E46709"/>
    <w:rsid w:val="00E4673C"/>
    <w:rsid w:val="00E467B5"/>
    <w:rsid w:val="00E467C4"/>
    <w:rsid w:val="00E467C6"/>
    <w:rsid w:val="00E4680E"/>
    <w:rsid w:val="00E46874"/>
    <w:rsid w:val="00E468A1"/>
    <w:rsid w:val="00E46964"/>
    <w:rsid w:val="00E46976"/>
    <w:rsid w:val="00E46979"/>
    <w:rsid w:val="00E4699B"/>
    <w:rsid w:val="00E46A17"/>
    <w:rsid w:val="00E46A46"/>
    <w:rsid w:val="00E46A99"/>
    <w:rsid w:val="00E46B41"/>
    <w:rsid w:val="00E46BCF"/>
    <w:rsid w:val="00E46C10"/>
    <w:rsid w:val="00E46C11"/>
    <w:rsid w:val="00E46C97"/>
    <w:rsid w:val="00E46D36"/>
    <w:rsid w:val="00E46D51"/>
    <w:rsid w:val="00E46DB9"/>
    <w:rsid w:val="00E46DE8"/>
    <w:rsid w:val="00E46E79"/>
    <w:rsid w:val="00E46F3C"/>
    <w:rsid w:val="00E46FBC"/>
    <w:rsid w:val="00E4701D"/>
    <w:rsid w:val="00E4705F"/>
    <w:rsid w:val="00E470F9"/>
    <w:rsid w:val="00E47105"/>
    <w:rsid w:val="00E47132"/>
    <w:rsid w:val="00E47133"/>
    <w:rsid w:val="00E471A7"/>
    <w:rsid w:val="00E471F1"/>
    <w:rsid w:val="00E47212"/>
    <w:rsid w:val="00E47266"/>
    <w:rsid w:val="00E472C8"/>
    <w:rsid w:val="00E47317"/>
    <w:rsid w:val="00E473B7"/>
    <w:rsid w:val="00E473DE"/>
    <w:rsid w:val="00E4740F"/>
    <w:rsid w:val="00E47487"/>
    <w:rsid w:val="00E47494"/>
    <w:rsid w:val="00E474F4"/>
    <w:rsid w:val="00E47511"/>
    <w:rsid w:val="00E4752A"/>
    <w:rsid w:val="00E47636"/>
    <w:rsid w:val="00E4766D"/>
    <w:rsid w:val="00E47789"/>
    <w:rsid w:val="00E4784A"/>
    <w:rsid w:val="00E4784C"/>
    <w:rsid w:val="00E4798B"/>
    <w:rsid w:val="00E479C9"/>
    <w:rsid w:val="00E47A6B"/>
    <w:rsid w:val="00E47A6D"/>
    <w:rsid w:val="00E47B11"/>
    <w:rsid w:val="00E47BA7"/>
    <w:rsid w:val="00E47BF1"/>
    <w:rsid w:val="00E47D89"/>
    <w:rsid w:val="00E47DCA"/>
    <w:rsid w:val="00E47E00"/>
    <w:rsid w:val="00E47F2E"/>
    <w:rsid w:val="00E47F51"/>
    <w:rsid w:val="00E47FBA"/>
    <w:rsid w:val="00E50135"/>
    <w:rsid w:val="00E50167"/>
    <w:rsid w:val="00E501F1"/>
    <w:rsid w:val="00E5022F"/>
    <w:rsid w:val="00E50285"/>
    <w:rsid w:val="00E5033C"/>
    <w:rsid w:val="00E503B4"/>
    <w:rsid w:val="00E503E6"/>
    <w:rsid w:val="00E503E7"/>
    <w:rsid w:val="00E50439"/>
    <w:rsid w:val="00E50488"/>
    <w:rsid w:val="00E504B7"/>
    <w:rsid w:val="00E505C0"/>
    <w:rsid w:val="00E5061E"/>
    <w:rsid w:val="00E50622"/>
    <w:rsid w:val="00E50670"/>
    <w:rsid w:val="00E506AA"/>
    <w:rsid w:val="00E506B9"/>
    <w:rsid w:val="00E506D8"/>
    <w:rsid w:val="00E506E6"/>
    <w:rsid w:val="00E50723"/>
    <w:rsid w:val="00E5078E"/>
    <w:rsid w:val="00E5079D"/>
    <w:rsid w:val="00E507C1"/>
    <w:rsid w:val="00E50844"/>
    <w:rsid w:val="00E50848"/>
    <w:rsid w:val="00E50934"/>
    <w:rsid w:val="00E509A1"/>
    <w:rsid w:val="00E509DF"/>
    <w:rsid w:val="00E50A04"/>
    <w:rsid w:val="00E50A6A"/>
    <w:rsid w:val="00E50AB9"/>
    <w:rsid w:val="00E50ABF"/>
    <w:rsid w:val="00E50AD1"/>
    <w:rsid w:val="00E50AEB"/>
    <w:rsid w:val="00E50C15"/>
    <w:rsid w:val="00E50C55"/>
    <w:rsid w:val="00E50CBA"/>
    <w:rsid w:val="00E50CC0"/>
    <w:rsid w:val="00E50CC3"/>
    <w:rsid w:val="00E50D00"/>
    <w:rsid w:val="00E50D25"/>
    <w:rsid w:val="00E50D2F"/>
    <w:rsid w:val="00E50D81"/>
    <w:rsid w:val="00E50DAC"/>
    <w:rsid w:val="00E50DBC"/>
    <w:rsid w:val="00E50DEB"/>
    <w:rsid w:val="00E50E7C"/>
    <w:rsid w:val="00E50F2F"/>
    <w:rsid w:val="00E50F4A"/>
    <w:rsid w:val="00E50F53"/>
    <w:rsid w:val="00E50F90"/>
    <w:rsid w:val="00E50F9F"/>
    <w:rsid w:val="00E50FDB"/>
    <w:rsid w:val="00E51072"/>
    <w:rsid w:val="00E51104"/>
    <w:rsid w:val="00E5114B"/>
    <w:rsid w:val="00E51191"/>
    <w:rsid w:val="00E51195"/>
    <w:rsid w:val="00E511A9"/>
    <w:rsid w:val="00E51234"/>
    <w:rsid w:val="00E51265"/>
    <w:rsid w:val="00E512B2"/>
    <w:rsid w:val="00E512FC"/>
    <w:rsid w:val="00E51345"/>
    <w:rsid w:val="00E51346"/>
    <w:rsid w:val="00E5137D"/>
    <w:rsid w:val="00E513A6"/>
    <w:rsid w:val="00E513EF"/>
    <w:rsid w:val="00E51409"/>
    <w:rsid w:val="00E514E9"/>
    <w:rsid w:val="00E514FB"/>
    <w:rsid w:val="00E51523"/>
    <w:rsid w:val="00E51545"/>
    <w:rsid w:val="00E5158B"/>
    <w:rsid w:val="00E5159D"/>
    <w:rsid w:val="00E51617"/>
    <w:rsid w:val="00E51625"/>
    <w:rsid w:val="00E5168C"/>
    <w:rsid w:val="00E516DB"/>
    <w:rsid w:val="00E5172A"/>
    <w:rsid w:val="00E51797"/>
    <w:rsid w:val="00E51828"/>
    <w:rsid w:val="00E51847"/>
    <w:rsid w:val="00E51965"/>
    <w:rsid w:val="00E519E8"/>
    <w:rsid w:val="00E519ED"/>
    <w:rsid w:val="00E51A40"/>
    <w:rsid w:val="00E51A5D"/>
    <w:rsid w:val="00E51B47"/>
    <w:rsid w:val="00E51BFE"/>
    <w:rsid w:val="00E51C25"/>
    <w:rsid w:val="00E51C3D"/>
    <w:rsid w:val="00E51D3C"/>
    <w:rsid w:val="00E51D93"/>
    <w:rsid w:val="00E51D9E"/>
    <w:rsid w:val="00E51E09"/>
    <w:rsid w:val="00E51E12"/>
    <w:rsid w:val="00E51E92"/>
    <w:rsid w:val="00E51E99"/>
    <w:rsid w:val="00E51F14"/>
    <w:rsid w:val="00E51F4C"/>
    <w:rsid w:val="00E51FAD"/>
    <w:rsid w:val="00E5216A"/>
    <w:rsid w:val="00E52206"/>
    <w:rsid w:val="00E5222A"/>
    <w:rsid w:val="00E52256"/>
    <w:rsid w:val="00E52263"/>
    <w:rsid w:val="00E5226A"/>
    <w:rsid w:val="00E52271"/>
    <w:rsid w:val="00E522C6"/>
    <w:rsid w:val="00E52372"/>
    <w:rsid w:val="00E52373"/>
    <w:rsid w:val="00E523CD"/>
    <w:rsid w:val="00E523DB"/>
    <w:rsid w:val="00E5244A"/>
    <w:rsid w:val="00E52511"/>
    <w:rsid w:val="00E5255A"/>
    <w:rsid w:val="00E5256C"/>
    <w:rsid w:val="00E5256D"/>
    <w:rsid w:val="00E525BC"/>
    <w:rsid w:val="00E525C0"/>
    <w:rsid w:val="00E5260B"/>
    <w:rsid w:val="00E5260E"/>
    <w:rsid w:val="00E52627"/>
    <w:rsid w:val="00E52660"/>
    <w:rsid w:val="00E52723"/>
    <w:rsid w:val="00E527D7"/>
    <w:rsid w:val="00E527E5"/>
    <w:rsid w:val="00E52834"/>
    <w:rsid w:val="00E5285C"/>
    <w:rsid w:val="00E52861"/>
    <w:rsid w:val="00E5287D"/>
    <w:rsid w:val="00E5290A"/>
    <w:rsid w:val="00E52996"/>
    <w:rsid w:val="00E5299B"/>
    <w:rsid w:val="00E52A1D"/>
    <w:rsid w:val="00E52A23"/>
    <w:rsid w:val="00E52A4D"/>
    <w:rsid w:val="00E52A6E"/>
    <w:rsid w:val="00E52B84"/>
    <w:rsid w:val="00E52B94"/>
    <w:rsid w:val="00E52BE7"/>
    <w:rsid w:val="00E52C49"/>
    <w:rsid w:val="00E52C7A"/>
    <w:rsid w:val="00E52CF0"/>
    <w:rsid w:val="00E52EF5"/>
    <w:rsid w:val="00E52F1B"/>
    <w:rsid w:val="00E52F4E"/>
    <w:rsid w:val="00E52F72"/>
    <w:rsid w:val="00E52FAC"/>
    <w:rsid w:val="00E5307E"/>
    <w:rsid w:val="00E53095"/>
    <w:rsid w:val="00E530B9"/>
    <w:rsid w:val="00E5310F"/>
    <w:rsid w:val="00E53138"/>
    <w:rsid w:val="00E5323D"/>
    <w:rsid w:val="00E53307"/>
    <w:rsid w:val="00E53374"/>
    <w:rsid w:val="00E53394"/>
    <w:rsid w:val="00E533D4"/>
    <w:rsid w:val="00E5343A"/>
    <w:rsid w:val="00E5343C"/>
    <w:rsid w:val="00E53446"/>
    <w:rsid w:val="00E53545"/>
    <w:rsid w:val="00E535E7"/>
    <w:rsid w:val="00E535F4"/>
    <w:rsid w:val="00E536A0"/>
    <w:rsid w:val="00E536CA"/>
    <w:rsid w:val="00E53716"/>
    <w:rsid w:val="00E5375D"/>
    <w:rsid w:val="00E537D1"/>
    <w:rsid w:val="00E537F1"/>
    <w:rsid w:val="00E53805"/>
    <w:rsid w:val="00E53869"/>
    <w:rsid w:val="00E538C8"/>
    <w:rsid w:val="00E539D6"/>
    <w:rsid w:val="00E539FD"/>
    <w:rsid w:val="00E53A20"/>
    <w:rsid w:val="00E53A23"/>
    <w:rsid w:val="00E53A26"/>
    <w:rsid w:val="00E53A3C"/>
    <w:rsid w:val="00E53B2F"/>
    <w:rsid w:val="00E53BB9"/>
    <w:rsid w:val="00E53BC9"/>
    <w:rsid w:val="00E53BDB"/>
    <w:rsid w:val="00E53C06"/>
    <w:rsid w:val="00E53C32"/>
    <w:rsid w:val="00E53C83"/>
    <w:rsid w:val="00E53CB1"/>
    <w:rsid w:val="00E53D04"/>
    <w:rsid w:val="00E53D44"/>
    <w:rsid w:val="00E53D4C"/>
    <w:rsid w:val="00E53D59"/>
    <w:rsid w:val="00E53DD2"/>
    <w:rsid w:val="00E53E5B"/>
    <w:rsid w:val="00E53E75"/>
    <w:rsid w:val="00E53F36"/>
    <w:rsid w:val="00E53F3B"/>
    <w:rsid w:val="00E53FB7"/>
    <w:rsid w:val="00E54019"/>
    <w:rsid w:val="00E54119"/>
    <w:rsid w:val="00E5414E"/>
    <w:rsid w:val="00E541C4"/>
    <w:rsid w:val="00E54205"/>
    <w:rsid w:val="00E54214"/>
    <w:rsid w:val="00E5433A"/>
    <w:rsid w:val="00E54387"/>
    <w:rsid w:val="00E543B1"/>
    <w:rsid w:val="00E543BB"/>
    <w:rsid w:val="00E54461"/>
    <w:rsid w:val="00E5449B"/>
    <w:rsid w:val="00E544E1"/>
    <w:rsid w:val="00E544F1"/>
    <w:rsid w:val="00E54648"/>
    <w:rsid w:val="00E54654"/>
    <w:rsid w:val="00E5465A"/>
    <w:rsid w:val="00E5468D"/>
    <w:rsid w:val="00E54697"/>
    <w:rsid w:val="00E5470A"/>
    <w:rsid w:val="00E547F9"/>
    <w:rsid w:val="00E54846"/>
    <w:rsid w:val="00E54848"/>
    <w:rsid w:val="00E54882"/>
    <w:rsid w:val="00E54893"/>
    <w:rsid w:val="00E548A0"/>
    <w:rsid w:val="00E54A2B"/>
    <w:rsid w:val="00E54A89"/>
    <w:rsid w:val="00E54ACE"/>
    <w:rsid w:val="00E54AF1"/>
    <w:rsid w:val="00E54B25"/>
    <w:rsid w:val="00E54B81"/>
    <w:rsid w:val="00E54BF6"/>
    <w:rsid w:val="00E54C07"/>
    <w:rsid w:val="00E54C7E"/>
    <w:rsid w:val="00E54D62"/>
    <w:rsid w:val="00E54DD3"/>
    <w:rsid w:val="00E54E0C"/>
    <w:rsid w:val="00E54E7F"/>
    <w:rsid w:val="00E54E9C"/>
    <w:rsid w:val="00E54EB7"/>
    <w:rsid w:val="00E54EEE"/>
    <w:rsid w:val="00E54F73"/>
    <w:rsid w:val="00E54F97"/>
    <w:rsid w:val="00E55100"/>
    <w:rsid w:val="00E551AC"/>
    <w:rsid w:val="00E551F1"/>
    <w:rsid w:val="00E55236"/>
    <w:rsid w:val="00E5528C"/>
    <w:rsid w:val="00E5528E"/>
    <w:rsid w:val="00E552B8"/>
    <w:rsid w:val="00E553EF"/>
    <w:rsid w:val="00E553F1"/>
    <w:rsid w:val="00E55419"/>
    <w:rsid w:val="00E55440"/>
    <w:rsid w:val="00E5546E"/>
    <w:rsid w:val="00E554BD"/>
    <w:rsid w:val="00E554FF"/>
    <w:rsid w:val="00E55510"/>
    <w:rsid w:val="00E555C7"/>
    <w:rsid w:val="00E555CB"/>
    <w:rsid w:val="00E555CC"/>
    <w:rsid w:val="00E555CD"/>
    <w:rsid w:val="00E555EB"/>
    <w:rsid w:val="00E55639"/>
    <w:rsid w:val="00E55656"/>
    <w:rsid w:val="00E5568C"/>
    <w:rsid w:val="00E556E8"/>
    <w:rsid w:val="00E55706"/>
    <w:rsid w:val="00E5570D"/>
    <w:rsid w:val="00E5578A"/>
    <w:rsid w:val="00E557C7"/>
    <w:rsid w:val="00E557E8"/>
    <w:rsid w:val="00E5582C"/>
    <w:rsid w:val="00E55903"/>
    <w:rsid w:val="00E5594C"/>
    <w:rsid w:val="00E559C8"/>
    <w:rsid w:val="00E559EE"/>
    <w:rsid w:val="00E55A1B"/>
    <w:rsid w:val="00E55A6D"/>
    <w:rsid w:val="00E55B6C"/>
    <w:rsid w:val="00E55BB9"/>
    <w:rsid w:val="00E55BE3"/>
    <w:rsid w:val="00E55C45"/>
    <w:rsid w:val="00E55CD2"/>
    <w:rsid w:val="00E55D53"/>
    <w:rsid w:val="00E55DE4"/>
    <w:rsid w:val="00E55DFA"/>
    <w:rsid w:val="00E55E91"/>
    <w:rsid w:val="00E55EC8"/>
    <w:rsid w:val="00E55F03"/>
    <w:rsid w:val="00E55F62"/>
    <w:rsid w:val="00E55F91"/>
    <w:rsid w:val="00E55FB5"/>
    <w:rsid w:val="00E55FDB"/>
    <w:rsid w:val="00E5617F"/>
    <w:rsid w:val="00E56227"/>
    <w:rsid w:val="00E56229"/>
    <w:rsid w:val="00E5625A"/>
    <w:rsid w:val="00E56362"/>
    <w:rsid w:val="00E5638C"/>
    <w:rsid w:val="00E56393"/>
    <w:rsid w:val="00E56444"/>
    <w:rsid w:val="00E5649A"/>
    <w:rsid w:val="00E564B0"/>
    <w:rsid w:val="00E564BE"/>
    <w:rsid w:val="00E564C3"/>
    <w:rsid w:val="00E5654D"/>
    <w:rsid w:val="00E565F0"/>
    <w:rsid w:val="00E5666D"/>
    <w:rsid w:val="00E566C6"/>
    <w:rsid w:val="00E56768"/>
    <w:rsid w:val="00E56779"/>
    <w:rsid w:val="00E567A1"/>
    <w:rsid w:val="00E567D4"/>
    <w:rsid w:val="00E567D5"/>
    <w:rsid w:val="00E567E6"/>
    <w:rsid w:val="00E567E8"/>
    <w:rsid w:val="00E56920"/>
    <w:rsid w:val="00E56971"/>
    <w:rsid w:val="00E569F1"/>
    <w:rsid w:val="00E569FE"/>
    <w:rsid w:val="00E56A08"/>
    <w:rsid w:val="00E56A69"/>
    <w:rsid w:val="00E56AC0"/>
    <w:rsid w:val="00E56BCF"/>
    <w:rsid w:val="00E56BE0"/>
    <w:rsid w:val="00E56C3E"/>
    <w:rsid w:val="00E56C4A"/>
    <w:rsid w:val="00E56C91"/>
    <w:rsid w:val="00E56CE1"/>
    <w:rsid w:val="00E56DB0"/>
    <w:rsid w:val="00E56DD5"/>
    <w:rsid w:val="00E56E07"/>
    <w:rsid w:val="00E56E83"/>
    <w:rsid w:val="00E56E9C"/>
    <w:rsid w:val="00E56FA1"/>
    <w:rsid w:val="00E570BD"/>
    <w:rsid w:val="00E570E5"/>
    <w:rsid w:val="00E570E7"/>
    <w:rsid w:val="00E571AB"/>
    <w:rsid w:val="00E571B9"/>
    <w:rsid w:val="00E571C5"/>
    <w:rsid w:val="00E571C6"/>
    <w:rsid w:val="00E5727B"/>
    <w:rsid w:val="00E572D0"/>
    <w:rsid w:val="00E5733F"/>
    <w:rsid w:val="00E573B6"/>
    <w:rsid w:val="00E5748B"/>
    <w:rsid w:val="00E5748F"/>
    <w:rsid w:val="00E574F2"/>
    <w:rsid w:val="00E57697"/>
    <w:rsid w:val="00E5769F"/>
    <w:rsid w:val="00E576AE"/>
    <w:rsid w:val="00E576FF"/>
    <w:rsid w:val="00E57732"/>
    <w:rsid w:val="00E5776B"/>
    <w:rsid w:val="00E5776F"/>
    <w:rsid w:val="00E57780"/>
    <w:rsid w:val="00E578B0"/>
    <w:rsid w:val="00E5792E"/>
    <w:rsid w:val="00E57984"/>
    <w:rsid w:val="00E579BC"/>
    <w:rsid w:val="00E579CE"/>
    <w:rsid w:val="00E579EB"/>
    <w:rsid w:val="00E57A46"/>
    <w:rsid w:val="00E57A8B"/>
    <w:rsid w:val="00E57BEC"/>
    <w:rsid w:val="00E57C9A"/>
    <w:rsid w:val="00E57D75"/>
    <w:rsid w:val="00E57DC2"/>
    <w:rsid w:val="00E57DFA"/>
    <w:rsid w:val="00E57E37"/>
    <w:rsid w:val="00E57E6B"/>
    <w:rsid w:val="00E57EA9"/>
    <w:rsid w:val="00E57EAE"/>
    <w:rsid w:val="00E57F1C"/>
    <w:rsid w:val="00E57F38"/>
    <w:rsid w:val="00E57F4E"/>
    <w:rsid w:val="00E60019"/>
    <w:rsid w:val="00E6001A"/>
    <w:rsid w:val="00E60080"/>
    <w:rsid w:val="00E600DD"/>
    <w:rsid w:val="00E60109"/>
    <w:rsid w:val="00E60184"/>
    <w:rsid w:val="00E60188"/>
    <w:rsid w:val="00E60257"/>
    <w:rsid w:val="00E60295"/>
    <w:rsid w:val="00E6029B"/>
    <w:rsid w:val="00E602B2"/>
    <w:rsid w:val="00E602BD"/>
    <w:rsid w:val="00E60325"/>
    <w:rsid w:val="00E604CF"/>
    <w:rsid w:val="00E60502"/>
    <w:rsid w:val="00E60573"/>
    <w:rsid w:val="00E6058C"/>
    <w:rsid w:val="00E6058E"/>
    <w:rsid w:val="00E605AA"/>
    <w:rsid w:val="00E605AD"/>
    <w:rsid w:val="00E605D6"/>
    <w:rsid w:val="00E60607"/>
    <w:rsid w:val="00E6060D"/>
    <w:rsid w:val="00E606AF"/>
    <w:rsid w:val="00E6070C"/>
    <w:rsid w:val="00E60792"/>
    <w:rsid w:val="00E607A0"/>
    <w:rsid w:val="00E607AD"/>
    <w:rsid w:val="00E6080D"/>
    <w:rsid w:val="00E60883"/>
    <w:rsid w:val="00E608B9"/>
    <w:rsid w:val="00E60A00"/>
    <w:rsid w:val="00E60A58"/>
    <w:rsid w:val="00E60A89"/>
    <w:rsid w:val="00E60ABA"/>
    <w:rsid w:val="00E60CDA"/>
    <w:rsid w:val="00E60CE4"/>
    <w:rsid w:val="00E60D35"/>
    <w:rsid w:val="00E60E3B"/>
    <w:rsid w:val="00E60EB1"/>
    <w:rsid w:val="00E60EE3"/>
    <w:rsid w:val="00E60EE6"/>
    <w:rsid w:val="00E60EF9"/>
    <w:rsid w:val="00E60F16"/>
    <w:rsid w:val="00E60F41"/>
    <w:rsid w:val="00E60FAB"/>
    <w:rsid w:val="00E60FD5"/>
    <w:rsid w:val="00E61043"/>
    <w:rsid w:val="00E61083"/>
    <w:rsid w:val="00E610B1"/>
    <w:rsid w:val="00E6112A"/>
    <w:rsid w:val="00E6115A"/>
    <w:rsid w:val="00E6115F"/>
    <w:rsid w:val="00E611E4"/>
    <w:rsid w:val="00E611E6"/>
    <w:rsid w:val="00E61262"/>
    <w:rsid w:val="00E612E6"/>
    <w:rsid w:val="00E612ED"/>
    <w:rsid w:val="00E61336"/>
    <w:rsid w:val="00E6138E"/>
    <w:rsid w:val="00E613A8"/>
    <w:rsid w:val="00E613D4"/>
    <w:rsid w:val="00E61414"/>
    <w:rsid w:val="00E61484"/>
    <w:rsid w:val="00E61572"/>
    <w:rsid w:val="00E615C4"/>
    <w:rsid w:val="00E6160F"/>
    <w:rsid w:val="00E6166D"/>
    <w:rsid w:val="00E61752"/>
    <w:rsid w:val="00E6175A"/>
    <w:rsid w:val="00E61771"/>
    <w:rsid w:val="00E61827"/>
    <w:rsid w:val="00E61846"/>
    <w:rsid w:val="00E61879"/>
    <w:rsid w:val="00E618D1"/>
    <w:rsid w:val="00E618E8"/>
    <w:rsid w:val="00E61942"/>
    <w:rsid w:val="00E61989"/>
    <w:rsid w:val="00E61997"/>
    <w:rsid w:val="00E619D4"/>
    <w:rsid w:val="00E619E3"/>
    <w:rsid w:val="00E61A50"/>
    <w:rsid w:val="00E61A87"/>
    <w:rsid w:val="00E61AB5"/>
    <w:rsid w:val="00E61B07"/>
    <w:rsid w:val="00E61B22"/>
    <w:rsid w:val="00E61B80"/>
    <w:rsid w:val="00E61C0B"/>
    <w:rsid w:val="00E61C3C"/>
    <w:rsid w:val="00E61C89"/>
    <w:rsid w:val="00E61DA6"/>
    <w:rsid w:val="00E61DC4"/>
    <w:rsid w:val="00E61E94"/>
    <w:rsid w:val="00E6208A"/>
    <w:rsid w:val="00E620C2"/>
    <w:rsid w:val="00E620C4"/>
    <w:rsid w:val="00E62106"/>
    <w:rsid w:val="00E6212D"/>
    <w:rsid w:val="00E62132"/>
    <w:rsid w:val="00E62157"/>
    <w:rsid w:val="00E6220A"/>
    <w:rsid w:val="00E62266"/>
    <w:rsid w:val="00E62285"/>
    <w:rsid w:val="00E62356"/>
    <w:rsid w:val="00E62375"/>
    <w:rsid w:val="00E623E5"/>
    <w:rsid w:val="00E6252D"/>
    <w:rsid w:val="00E62546"/>
    <w:rsid w:val="00E626A3"/>
    <w:rsid w:val="00E626BC"/>
    <w:rsid w:val="00E626D7"/>
    <w:rsid w:val="00E626E7"/>
    <w:rsid w:val="00E62731"/>
    <w:rsid w:val="00E6276B"/>
    <w:rsid w:val="00E627B2"/>
    <w:rsid w:val="00E62805"/>
    <w:rsid w:val="00E62897"/>
    <w:rsid w:val="00E62912"/>
    <w:rsid w:val="00E6294D"/>
    <w:rsid w:val="00E62969"/>
    <w:rsid w:val="00E629A2"/>
    <w:rsid w:val="00E629AB"/>
    <w:rsid w:val="00E629FC"/>
    <w:rsid w:val="00E62A62"/>
    <w:rsid w:val="00E62B87"/>
    <w:rsid w:val="00E62B8A"/>
    <w:rsid w:val="00E62B9F"/>
    <w:rsid w:val="00E62BF8"/>
    <w:rsid w:val="00E62C76"/>
    <w:rsid w:val="00E62C8E"/>
    <w:rsid w:val="00E62CA6"/>
    <w:rsid w:val="00E62CDB"/>
    <w:rsid w:val="00E62D06"/>
    <w:rsid w:val="00E62D10"/>
    <w:rsid w:val="00E62D19"/>
    <w:rsid w:val="00E62DA5"/>
    <w:rsid w:val="00E62DEF"/>
    <w:rsid w:val="00E62E72"/>
    <w:rsid w:val="00E62F7E"/>
    <w:rsid w:val="00E62F8E"/>
    <w:rsid w:val="00E6303E"/>
    <w:rsid w:val="00E63097"/>
    <w:rsid w:val="00E630C8"/>
    <w:rsid w:val="00E63193"/>
    <w:rsid w:val="00E631C9"/>
    <w:rsid w:val="00E631ED"/>
    <w:rsid w:val="00E63219"/>
    <w:rsid w:val="00E63260"/>
    <w:rsid w:val="00E632A9"/>
    <w:rsid w:val="00E6334C"/>
    <w:rsid w:val="00E63380"/>
    <w:rsid w:val="00E633AD"/>
    <w:rsid w:val="00E633B4"/>
    <w:rsid w:val="00E63417"/>
    <w:rsid w:val="00E634F8"/>
    <w:rsid w:val="00E6353C"/>
    <w:rsid w:val="00E63561"/>
    <w:rsid w:val="00E635B7"/>
    <w:rsid w:val="00E635D6"/>
    <w:rsid w:val="00E63634"/>
    <w:rsid w:val="00E63662"/>
    <w:rsid w:val="00E636D5"/>
    <w:rsid w:val="00E63721"/>
    <w:rsid w:val="00E6375F"/>
    <w:rsid w:val="00E637D1"/>
    <w:rsid w:val="00E637EA"/>
    <w:rsid w:val="00E637F9"/>
    <w:rsid w:val="00E63823"/>
    <w:rsid w:val="00E63847"/>
    <w:rsid w:val="00E63864"/>
    <w:rsid w:val="00E638A1"/>
    <w:rsid w:val="00E638B5"/>
    <w:rsid w:val="00E63962"/>
    <w:rsid w:val="00E63A08"/>
    <w:rsid w:val="00E63A21"/>
    <w:rsid w:val="00E63B02"/>
    <w:rsid w:val="00E63B05"/>
    <w:rsid w:val="00E63B0C"/>
    <w:rsid w:val="00E63B42"/>
    <w:rsid w:val="00E63B77"/>
    <w:rsid w:val="00E63C0E"/>
    <w:rsid w:val="00E63D2D"/>
    <w:rsid w:val="00E63D37"/>
    <w:rsid w:val="00E63D8E"/>
    <w:rsid w:val="00E63E39"/>
    <w:rsid w:val="00E63ED2"/>
    <w:rsid w:val="00E63FBE"/>
    <w:rsid w:val="00E64009"/>
    <w:rsid w:val="00E64074"/>
    <w:rsid w:val="00E640A1"/>
    <w:rsid w:val="00E640C5"/>
    <w:rsid w:val="00E640C6"/>
    <w:rsid w:val="00E64242"/>
    <w:rsid w:val="00E6424C"/>
    <w:rsid w:val="00E64257"/>
    <w:rsid w:val="00E6425C"/>
    <w:rsid w:val="00E6431E"/>
    <w:rsid w:val="00E64396"/>
    <w:rsid w:val="00E643EF"/>
    <w:rsid w:val="00E64409"/>
    <w:rsid w:val="00E6447B"/>
    <w:rsid w:val="00E644B6"/>
    <w:rsid w:val="00E644BE"/>
    <w:rsid w:val="00E64505"/>
    <w:rsid w:val="00E64591"/>
    <w:rsid w:val="00E645B1"/>
    <w:rsid w:val="00E645FB"/>
    <w:rsid w:val="00E6467B"/>
    <w:rsid w:val="00E6469A"/>
    <w:rsid w:val="00E64757"/>
    <w:rsid w:val="00E6478B"/>
    <w:rsid w:val="00E647DB"/>
    <w:rsid w:val="00E647DE"/>
    <w:rsid w:val="00E647FD"/>
    <w:rsid w:val="00E64824"/>
    <w:rsid w:val="00E64838"/>
    <w:rsid w:val="00E64844"/>
    <w:rsid w:val="00E64918"/>
    <w:rsid w:val="00E649F1"/>
    <w:rsid w:val="00E64AE6"/>
    <w:rsid w:val="00E64AEB"/>
    <w:rsid w:val="00E64B06"/>
    <w:rsid w:val="00E64BA2"/>
    <w:rsid w:val="00E64BEF"/>
    <w:rsid w:val="00E64C80"/>
    <w:rsid w:val="00E64C83"/>
    <w:rsid w:val="00E64CD3"/>
    <w:rsid w:val="00E64D34"/>
    <w:rsid w:val="00E64D76"/>
    <w:rsid w:val="00E64DB3"/>
    <w:rsid w:val="00E64FC6"/>
    <w:rsid w:val="00E6502E"/>
    <w:rsid w:val="00E65041"/>
    <w:rsid w:val="00E65057"/>
    <w:rsid w:val="00E650D5"/>
    <w:rsid w:val="00E6510D"/>
    <w:rsid w:val="00E65191"/>
    <w:rsid w:val="00E651E5"/>
    <w:rsid w:val="00E6523A"/>
    <w:rsid w:val="00E65277"/>
    <w:rsid w:val="00E652A5"/>
    <w:rsid w:val="00E6535F"/>
    <w:rsid w:val="00E654A1"/>
    <w:rsid w:val="00E654CF"/>
    <w:rsid w:val="00E654F0"/>
    <w:rsid w:val="00E655E6"/>
    <w:rsid w:val="00E65651"/>
    <w:rsid w:val="00E65667"/>
    <w:rsid w:val="00E65793"/>
    <w:rsid w:val="00E657CE"/>
    <w:rsid w:val="00E65843"/>
    <w:rsid w:val="00E65A1A"/>
    <w:rsid w:val="00E65A8B"/>
    <w:rsid w:val="00E65B0D"/>
    <w:rsid w:val="00E65B2D"/>
    <w:rsid w:val="00E65B60"/>
    <w:rsid w:val="00E65B7C"/>
    <w:rsid w:val="00E65BB9"/>
    <w:rsid w:val="00E65BD2"/>
    <w:rsid w:val="00E65C2D"/>
    <w:rsid w:val="00E65C31"/>
    <w:rsid w:val="00E65C3D"/>
    <w:rsid w:val="00E65CB1"/>
    <w:rsid w:val="00E65D4C"/>
    <w:rsid w:val="00E65DA2"/>
    <w:rsid w:val="00E65DAB"/>
    <w:rsid w:val="00E65E8B"/>
    <w:rsid w:val="00E65E95"/>
    <w:rsid w:val="00E65EAF"/>
    <w:rsid w:val="00E66048"/>
    <w:rsid w:val="00E6609B"/>
    <w:rsid w:val="00E660B4"/>
    <w:rsid w:val="00E66138"/>
    <w:rsid w:val="00E66167"/>
    <w:rsid w:val="00E661F9"/>
    <w:rsid w:val="00E66201"/>
    <w:rsid w:val="00E66223"/>
    <w:rsid w:val="00E6622B"/>
    <w:rsid w:val="00E66240"/>
    <w:rsid w:val="00E662B3"/>
    <w:rsid w:val="00E6632E"/>
    <w:rsid w:val="00E6633B"/>
    <w:rsid w:val="00E66383"/>
    <w:rsid w:val="00E6638E"/>
    <w:rsid w:val="00E663D2"/>
    <w:rsid w:val="00E663D6"/>
    <w:rsid w:val="00E66410"/>
    <w:rsid w:val="00E66416"/>
    <w:rsid w:val="00E66473"/>
    <w:rsid w:val="00E664C6"/>
    <w:rsid w:val="00E664D5"/>
    <w:rsid w:val="00E66502"/>
    <w:rsid w:val="00E665C4"/>
    <w:rsid w:val="00E66683"/>
    <w:rsid w:val="00E6678A"/>
    <w:rsid w:val="00E66791"/>
    <w:rsid w:val="00E667B6"/>
    <w:rsid w:val="00E667C6"/>
    <w:rsid w:val="00E667DA"/>
    <w:rsid w:val="00E66853"/>
    <w:rsid w:val="00E6687A"/>
    <w:rsid w:val="00E668C8"/>
    <w:rsid w:val="00E668C9"/>
    <w:rsid w:val="00E668CC"/>
    <w:rsid w:val="00E668D7"/>
    <w:rsid w:val="00E668F7"/>
    <w:rsid w:val="00E6693B"/>
    <w:rsid w:val="00E66974"/>
    <w:rsid w:val="00E66989"/>
    <w:rsid w:val="00E669D4"/>
    <w:rsid w:val="00E66A20"/>
    <w:rsid w:val="00E66A51"/>
    <w:rsid w:val="00E66A58"/>
    <w:rsid w:val="00E66AD7"/>
    <w:rsid w:val="00E66B2B"/>
    <w:rsid w:val="00E66B4A"/>
    <w:rsid w:val="00E66B60"/>
    <w:rsid w:val="00E66B7F"/>
    <w:rsid w:val="00E66BF3"/>
    <w:rsid w:val="00E66C27"/>
    <w:rsid w:val="00E66C54"/>
    <w:rsid w:val="00E66CC5"/>
    <w:rsid w:val="00E66D11"/>
    <w:rsid w:val="00E66D5C"/>
    <w:rsid w:val="00E66DC4"/>
    <w:rsid w:val="00E66DE6"/>
    <w:rsid w:val="00E66DEE"/>
    <w:rsid w:val="00E66E3D"/>
    <w:rsid w:val="00E66E70"/>
    <w:rsid w:val="00E66E8D"/>
    <w:rsid w:val="00E66E8E"/>
    <w:rsid w:val="00E66EA1"/>
    <w:rsid w:val="00E66EA8"/>
    <w:rsid w:val="00E66ECB"/>
    <w:rsid w:val="00E670B2"/>
    <w:rsid w:val="00E670B8"/>
    <w:rsid w:val="00E670E9"/>
    <w:rsid w:val="00E670F5"/>
    <w:rsid w:val="00E6713C"/>
    <w:rsid w:val="00E6713F"/>
    <w:rsid w:val="00E67187"/>
    <w:rsid w:val="00E6726F"/>
    <w:rsid w:val="00E6727A"/>
    <w:rsid w:val="00E672BE"/>
    <w:rsid w:val="00E6735B"/>
    <w:rsid w:val="00E67398"/>
    <w:rsid w:val="00E673E5"/>
    <w:rsid w:val="00E67457"/>
    <w:rsid w:val="00E67465"/>
    <w:rsid w:val="00E674F8"/>
    <w:rsid w:val="00E67500"/>
    <w:rsid w:val="00E67513"/>
    <w:rsid w:val="00E67516"/>
    <w:rsid w:val="00E67557"/>
    <w:rsid w:val="00E675BC"/>
    <w:rsid w:val="00E675FD"/>
    <w:rsid w:val="00E6761D"/>
    <w:rsid w:val="00E676AB"/>
    <w:rsid w:val="00E67706"/>
    <w:rsid w:val="00E67719"/>
    <w:rsid w:val="00E67721"/>
    <w:rsid w:val="00E6774A"/>
    <w:rsid w:val="00E67756"/>
    <w:rsid w:val="00E67802"/>
    <w:rsid w:val="00E6788E"/>
    <w:rsid w:val="00E679D0"/>
    <w:rsid w:val="00E67A44"/>
    <w:rsid w:val="00E67A6A"/>
    <w:rsid w:val="00E67AA6"/>
    <w:rsid w:val="00E67ABB"/>
    <w:rsid w:val="00E67B5E"/>
    <w:rsid w:val="00E67B6C"/>
    <w:rsid w:val="00E67B82"/>
    <w:rsid w:val="00E67B9D"/>
    <w:rsid w:val="00E67BEB"/>
    <w:rsid w:val="00E67C84"/>
    <w:rsid w:val="00E67D01"/>
    <w:rsid w:val="00E67D06"/>
    <w:rsid w:val="00E67D41"/>
    <w:rsid w:val="00E67D58"/>
    <w:rsid w:val="00E67D89"/>
    <w:rsid w:val="00E67DD9"/>
    <w:rsid w:val="00E67DF1"/>
    <w:rsid w:val="00E67E6A"/>
    <w:rsid w:val="00E67E6B"/>
    <w:rsid w:val="00E67EA3"/>
    <w:rsid w:val="00E67EAD"/>
    <w:rsid w:val="00E67EFC"/>
    <w:rsid w:val="00E67F0B"/>
    <w:rsid w:val="00E67F36"/>
    <w:rsid w:val="00E67F7B"/>
    <w:rsid w:val="00E70079"/>
    <w:rsid w:val="00E700CB"/>
    <w:rsid w:val="00E7011C"/>
    <w:rsid w:val="00E70138"/>
    <w:rsid w:val="00E7015A"/>
    <w:rsid w:val="00E7017C"/>
    <w:rsid w:val="00E7022C"/>
    <w:rsid w:val="00E7027D"/>
    <w:rsid w:val="00E702CE"/>
    <w:rsid w:val="00E702D4"/>
    <w:rsid w:val="00E70319"/>
    <w:rsid w:val="00E703AC"/>
    <w:rsid w:val="00E704B2"/>
    <w:rsid w:val="00E704F9"/>
    <w:rsid w:val="00E7054B"/>
    <w:rsid w:val="00E7055E"/>
    <w:rsid w:val="00E70596"/>
    <w:rsid w:val="00E705B4"/>
    <w:rsid w:val="00E706EC"/>
    <w:rsid w:val="00E707A4"/>
    <w:rsid w:val="00E707C0"/>
    <w:rsid w:val="00E708F1"/>
    <w:rsid w:val="00E708FF"/>
    <w:rsid w:val="00E70922"/>
    <w:rsid w:val="00E70A81"/>
    <w:rsid w:val="00E70AB5"/>
    <w:rsid w:val="00E70B5E"/>
    <w:rsid w:val="00E70B79"/>
    <w:rsid w:val="00E70BAC"/>
    <w:rsid w:val="00E70C06"/>
    <w:rsid w:val="00E70C40"/>
    <w:rsid w:val="00E70C58"/>
    <w:rsid w:val="00E70C87"/>
    <w:rsid w:val="00E70D24"/>
    <w:rsid w:val="00E70DF2"/>
    <w:rsid w:val="00E70E64"/>
    <w:rsid w:val="00E70EBA"/>
    <w:rsid w:val="00E70EDE"/>
    <w:rsid w:val="00E70F54"/>
    <w:rsid w:val="00E70FE6"/>
    <w:rsid w:val="00E71084"/>
    <w:rsid w:val="00E71130"/>
    <w:rsid w:val="00E711D7"/>
    <w:rsid w:val="00E711D9"/>
    <w:rsid w:val="00E711E1"/>
    <w:rsid w:val="00E711FA"/>
    <w:rsid w:val="00E7121F"/>
    <w:rsid w:val="00E71239"/>
    <w:rsid w:val="00E7123E"/>
    <w:rsid w:val="00E712A6"/>
    <w:rsid w:val="00E7132D"/>
    <w:rsid w:val="00E713C9"/>
    <w:rsid w:val="00E71514"/>
    <w:rsid w:val="00E71517"/>
    <w:rsid w:val="00E71584"/>
    <w:rsid w:val="00E7159B"/>
    <w:rsid w:val="00E71660"/>
    <w:rsid w:val="00E716C4"/>
    <w:rsid w:val="00E716CA"/>
    <w:rsid w:val="00E716FE"/>
    <w:rsid w:val="00E71767"/>
    <w:rsid w:val="00E7178E"/>
    <w:rsid w:val="00E717E0"/>
    <w:rsid w:val="00E71858"/>
    <w:rsid w:val="00E71971"/>
    <w:rsid w:val="00E71987"/>
    <w:rsid w:val="00E7198F"/>
    <w:rsid w:val="00E71A22"/>
    <w:rsid w:val="00E71A62"/>
    <w:rsid w:val="00E71C0A"/>
    <w:rsid w:val="00E71C63"/>
    <w:rsid w:val="00E71C9C"/>
    <w:rsid w:val="00E71D26"/>
    <w:rsid w:val="00E71DCA"/>
    <w:rsid w:val="00E71E2A"/>
    <w:rsid w:val="00E71EFF"/>
    <w:rsid w:val="00E71F3E"/>
    <w:rsid w:val="00E71F3F"/>
    <w:rsid w:val="00E71F56"/>
    <w:rsid w:val="00E72061"/>
    <w:rsid w:val="00E720BC"/>
    <w:rsid w:val="00E72116"/>
    <w:rsid w:val="00E72145"/>
    <w:rsid w:val="00E72193"/>
    <w:rsid w:val="00E721AB"/>
    <w:rsid w:val="00E721BA"/>
    <w:rsid w:val="00E72248"/>
    <w:rsid w:val="00E7224D"/>
    <w:rsid w:val="00E72275"/>
    <w:rsid w:val="00E722A3"/>
    <w:rsid w:val="00E7234F"/>
    <w:rsid w:val="00E72360"/>
    <w:rsid w:val="00E72476"/>
    <w:rsid w:val="00E724E7"/>
    <w:rsid w:val="00E72605"/>
    <w:rsid w:val="00E72650"/>
    <w:rsid w:val="00E7267D"/>
    <w:rsid w:val="00E726A3"/>
    <w:rsid w:val="00E726B2"/>
    <w:rsid w:val="00E726B4"/>
    <w:rsid w:val="00E727E9"/>
    <w:rsid w:val="00E72804"/>
    <w:rsid w:val="00E72805"/>
    <w:rsid w:val="00E72829"/>
    <w:rsid w:val="00E72840"/>
    <w:rsid w:val="00E7285D"/>
    <w:rsid w:val="00E7287F"/>
    <w:rsid w:val="00E729F9"/>
    <w:rsid w:val="00E72AF1"/>
    <w:rsid w:val="00E72BD4"/>
    <w:rsid w:val="00E72BDF"/>
    <w:rsid w:val="00E72BE3"/>
    <w:rsid w:val="00E72BED"/>
    <w:rsid w:val="00E72BF9"/>
    <w:rsid w:val="00E72C06"/>
    <w:rsid w:val="00E72C2E"/>
    <w:rsid w:val="00E72CA8"/>
    <w:rsid w:val="00E72CEF"/>
    <w:rsid w:val="00E72DFB"/>
    <w:rsid w:val="00E72E96"/>
    <w:rsid w:val="00E72E9E"/>
    <w:rsid w:val="00E72EB6"/>
    <w:rsid w:val="00E72EEA"/>
    <w:rsid w:val="00E72FAC"/>
    <w:rsid w:val="00E72FB7"/>
    <w:rsid w:val="00E73098"/>
    <w:rsid w:val="00E730BB"/>
    <w:rsid w:val="00E730C9"/>
    <w:rsid w:val="00E730CC"/>
    <w:rsid w:val="00E730F5"/>
    <w:rsid w:val="00E73101"/>
    <w:rsid w:val="00E73122"/>
    <w:rsid w:val="00E73180"/>
    <w:rsid w:val="00E731EB"/>
    <w:rsid w:val="00E7321B"/>
    <w:rsid w:val="00E732C3"/>
    <w:rsid w:val="00E732E4"/>
    <w:rsid w:val="00E73311"/>
    <w:rsid w:val="00E7336F"/>
    <w:rsid w:val="00E733B2"/>
    <w:rsid w:val="00E733C1"/>
    <w:rsid w:val="00E73406"/>
    <w:rsid w:val="00E7340E"/>
    <w:rsid w:val="00E73551"/>
    <w:rsid w:val="00E735CA"/>
    <w:rsid w:val="00E73621"/>
    <w:rsid w:val="00E73662"/>
    <w:rsid w:val="00E736A0"/>
    <w:rsid w:val="00E736B3"/>
    <w:rsid w:val="00E73723"/>
    <w:rsid w:val="00E737C6"/>
    <w:rsid w:val="00E7382B"/>
    <w:rsid w:val="00E73848"/>
    <w:rsid w:val="00E73894"/>
    <w:rsid w:val="00E738D8"/>
    <w:rsid w:val="00E7391F"/>
    <w:rsid w:val="00E739BC"/>
    <w:rsid w:val="00E73A8B"/>
    <w:rsid w:val="00E73A9A"/>
    <w:rsid w:val="00E73BA4"/>
    <w:rsid w:val="00E73C70"/>
    <w:rsid w:val="00E73CE9"/>
    <w:rsid w:val="00E73CF3"/>
    <w:rsid w:val="00E73D43"/>
    <w:rsid w:val="00E73D9B"/>
    <w:rsid w:val="00E73DA0"/>
    <w:rsid w:val="00E73DA7"/>
    <w:rsid w:val="00E73DB9"/>
    <w:rsid w:val="00E73E6A"/>
    <w:rsid w:val="00E73F91"/>
    <w:rsid w:val="00E73F95"/>
    <w:rsid w:val="00E73FA6"/>
    <w:rsid w:val="00E73FB5"/>
    <w:rsid w:val="00E73FD4"/>
    <w:rsid w:val="00E74006"/>
    <w:rsid w:val="00E74034"/>
    <w:rsid w:val="00E7414B"/>
    <w:rsid w:val="00E74196"/>
    <w:rsid w:val="00E742A9"/>
    <w:rsid w:val="00E742D9"/>
    <w:rsid w:val="00E7433D"/>
    <w:rsid w:val="00E7434C"/>
    <w:rsid w:val="00E7437A"/>
    <w:rsid w:val="00E74464"/>
    <w:rsid w:val="00E744C2"/>
    <w:rsid w:val="00E744CC"/>
    <w:rsid w:val="00E74517"/>
    <w:rsid w:val="00E745B8"/>
    <w:rsid w:val="00E745D2"/>
    <w:rsid w:val="00E745E5"/>
    <w:rsid w:val="00E74601"/>
    <w:rsid w:val="00E7462C"/>
    <w:rsid w:val="00E746A0"/>
    <w:rsid w:val="00E7472F"/>
    <w:rsid w:val="00E747C8"/>
    <w:rsid w:val="00E74819"/>
    <w:rsid w:val="00E74870"/>
    <w:rsid w:val="00E748EF"/>
    <w:rsid w:val="00E74938"/>
    <w:rsid w:val="00E7497C"/>
    <w:rsid w:val="00E74A1A"/>
    <w:rsid w:val="00E74A2D"/>
    <w:rsid w:val="00E74A4E"/>
    <w:rsid w:val="00E74B0B"/>
    <w:rsid w:val="00E74B94"/>
    <w:rsid w:val="00E74B9A"/>
    <w:rsid w:val="00E74BB2"/>
    <w:rsid w:val="00E74BC1"/>
    <w:rsid w:val="00E74C43"/>
    <w:rsid w:val="00E74C76"/>
    <w:rsid w:val="00E74D05"/>
    <w:rsid w:val="00E74D09"/>
    <w:rsid w:val="00E74D20"/>
    <w:rsid w:val="00E74D50"/>
    <w:rsid w:val="00E74DF7"/>
    <w:rsid w:val="00E74E46"/>
    <w:rsid w:val="00E74ECB"/>
    <w:rsid w:val="00E74F26"/>
    <w:rsid w:val="00E74F2F"/>
    <w:rsid w:val="00E74F54"/>
    <w:rsid w:val="00E74F77"/>
    <w:rsid w:val="00E74FA5"/>
    <w:rsid w:val="00E74FD5"/>
    <w:rsid w:val="00E74FEC"/>
    <w:rsid w:val="00E75003"/>
    <w:rsid w:val="00E75029"/>
    <w:rsid w:val="00E75079"/>
    <w:rsid w:val="00E7515C"/>
    <w:rsid w:val="00E7517D"/>
    <w:rsid w:val="00E75223"/>
    <w:rsid w:val="00E75274"/>
    <w:rsid w:val="00E752BD"/>
    <w:rsid w:val="00E752E1"/>
    <w:rsid w:val="00E75355"/>
    <w:rsid w:val="00E753D5"/>
    <w:rsid w:val="00E75440"/>
    <w:rsid w:val="00E75488"/>
    <w:rsid w:val="00E75498"/>
    <w:rsid w:val="00E754A9"/>
    <w:rsid w:val="00E75513"/>
    <w:rsid w:val="00E7554B"/>
    <w:rsid w:val="00E7559E"/>
    <w:rsid w:val="00E755A0"/>
    <w:rsid w:val="00E75638"/>
    <w:rsid w:val="00E7563C"/>
    <w:rsid w:val="00E756B2"/>
    <w:rsid w:val="00E7570D"/>
    <w:rsid w:val="00E75712"/>
    <w:rsid w:val="00E75719"/>
    <w:rsid w:val="00E75765"/>
    <w:rsid w:val="00E757A3"/>
    <w:rsid w:val="00E757A6"/>
    <w:rsid w:val="00E7585A"/>
    <w:rsid w:val="00E7585F"/>
    <w:rsid w:val="00E758A2"/>
    <w:rsid w:val="00E7593A"/>
    <w:rsid w:val="00E759C4"/>
    <w:rsid w:val="00E759E8"/>
    <w:rsid w:val="00E75A21"/>
    <w:rsid w:val="00E75ACA"/>
    <w:rsid w:val="00E75AD3"/>
    <w:rsid w:val="00E75B7E"/>
    <w:rsid w:val="00E75B81"/>
    <w:rsid w:val="00E75B84"/>
    <w:rsid w:val="00E75BA8"/>
    <w:rsid w:val="00E75BC1"/>
    <w:rsid w:val="00E75C58"/>
    <w:rsid w:val="00E75C6C"/>
    <w:rsid w:val="00E75C93"/>
    <w:rsid w:val="00E75D75"/>
    <w:rsid w:val="00E75D82"/>
    <w:rsid w:val="00E75D88"/>
    <w:rsid w:val="00E75DD2"/>
    <w:rsid w:val="00E75E05"/>
    <w:rsid w:val="00E75E84"/>
    <w:rsid w:val="00E75EAF"/>
    <w:rsid w:val="00E75EC9"/>
    <w:rsid w:val="00E75F6F"/>
    <w:rsid w:val="00E75FD3"/>
    <w:rsid w:val="00E760A6"/>
    <w:rsid w:val="00E76174"/>
    <w:rsid w:val="00E76228"/>
    <w:rsid w:val="00E7627C"/>
    <w:rsid w:val="00E762BD"/>
    <w:rsid w:val="00E76328"/>
    <w:rsid w:val="00E763A8"/>
    <w:rsid w:val="00E763C0"/>
    <w:rsid w:val="00E76429"/>
    <w:rsid w:val="00E7647F"/>
    <w:rsid w:val="00E76523"/>
    <w:rsid w:val="00E7655B"/>
    <w:rsid w:val="00E76575"/>
    <w:rsid w:val="00E76671"/>
    <w:rsid w:val="00E7667B"/>
    <w:rsid w:val="00E7667E"/>
    <w:rsid w:val="00E76685"/>
    <w:rsid w:val="00E766D8"/>
    <w:rsid w:val="00E766F7"/>
    <w:rsid w:val="00E76723"/>
    <w:rsid w:val="00E76784"/>
    <w:rsid w:val="00E768A4"/>
    <w:rsid w:val="00E76940"/>
    <w:rsid w:val="00E7696E"/>
    <w:rsid w:val="00E769A2"/>
    <w:rsid w:val="00E76AA6"/>
    <w:rsid w:val="00E76B17"/>
    <w:rsid w:val="00E76B7B"/>
    <w:rsid w:val="00E76BDE"/>
    <w:rsid w:val="00E76C3F"/>
    <w:rsid w:val="00E76C6E"/>
    <w:rsid w:val="00E76CC4"/>
    <w:rsid w:val="00E76CD5"/>
    <w:rsid w:val="00E76CFC"/>
    <w:rsid w:val="00E76DE3"/>
    <w:rsid w:val="00E76E04"/>
    <w:rsid w:val="00E76E0D"/>
    <w:rsid w:val="00E76E0E"/>
    <w:rsid w:val="00E76E18"/>
    <w:rsid w:val="00E76EB1"/>
    <w:rsid w:val="00E76F85"/>
    <w:rsid w:val="00E76FF1"/>
    <w:rsid w:val="00E77057"/>
    <w:rsid w:val="00E7711A"/>
    <w:rsid w:val="00E77156"/>
    <w:rsid w:val="00E77169"/>
    <w:rsid w:val="00E7719D"/>
    <w:rsid w:val="00E771F7"/>
    <w:rsid w:val="00E772AB"/>
    <w:rsid w:val="00E77336"/>
    <w:rsid w:val="00E77341"/>
    <w:rsid w:val="00E77397"/>
    <w:rsid w:val="00E773D5"/>
    <w:rsid w:val="00E773F8"/>
    <w:rsid w:val="00E77405"/>
    <w:rsid w:val="00E7742F"/>
    <w:rsid w:val="00E774F9"/>
    <w:rsid w:val="00E77508"/>
    <w:rsid w:val="00E7756F"/>
    <w:rsid w:val="00E775EC"/>
    <w:rsid w:val="00E77637"/>
    <w:rsid w:val="00E7767B"/>
    <w:rsid w:val="00E77697"/>
    <w:rsid w:val="00E77740"/>
    <w:rsid w:val="00E77749"/>
    <w:rsid w:val="00E77863"/>
    <w:rsid w:val="00E77963"/>
    <w:rsid w:val="00E779ED"/>
    <w:rsid w:val="00E77A46"/>
    <w:rsid w:val="00E77A49"/>
    <w:rsid w:val="00E77B14"/>
    <w:rsid w:val="00E77B88"/>
    <w:rsid w:val="00E77BC3"/>
    <w:rsid w:val="00E77BCD"/>
    <w:rsid w:val="00E77C20"/>
    <w:rsid w:val="00E77D13"/>
    <w:rsid w:val="00E77E21"/>
    <w:rsid w:val="00E77E54"/>
    <w:rsid w:val="00E77E9D"/>
    <w:rsid w:val="00E77EE1"/>
    <w:rsid w:val="00E77EF7"/>
    <w:rsid w:val="00E77F3B"/>
    <w:rsid w:val="00E77F7C"/>
    <w:rsid w:val="00E800C8"/>
    <w:rsid w:val="00E80108"/>
    <w:rsid w:val="00E80111"/>
    <w:rsid w:val="00E80199"/>
    <w:rsid w:val="00E801E7"/>
    <w:rsid w:val="00E80205"/>
    <w:rsid w:val="00E802B0"/>
    <w:rsid w:val="00E802DE"/>
    <w:rsid w:val="00E802E0"/>
    <w:rsid w:val="00E803BE"/>
    <w:rsid w:val="00E803E9"/>
    <w:rsid w:val="00E8043C"/>
    <w:rsid w:val="00E80445"/>
    <w:rsid w:val="00E80472"/>
    <w:rsid w:val="00E80496"/>
    <w:rsid w:val="00E804BA"/>
    <w:rsid w:val="00E804CA"/>
    <w:rsid w:val="00E80545"/>
    <w:rsid w:val="00E80550"/>
    <w:rsid w:val="00E80562"/>
    <w:rsid w:val="00E805E8"/>
    <w:rsid w:val="00E80606"/>
    <w:rsid w:val="00E806AE"/>
    <w:rsid w:val="00E806FD"/>
    <w:rsid w:val="00E80734"/>
    <w:rsid w:val="00E80774"/>
    <w:rsid w:val="00E8078A"/>
    <w:rsid w:val="00E807EF"/>
    <w:rsid w:val="00E807FD"/>
    <w:rsid w:val="00E809B5"/>
    <w:rsid w:val="00E80A6C"/>
    <w:rsid w:val="00E80B30"/>
    <w:rsid w:val="00E80B3B"/>
    <w:rsid w:val="00E80B5D"/>
    <w:rsid w:val="00E80B73"/>
    <w:rsid w:val="00E80B8F"/>
    <w:rsid w:val="00E80BCD"/>
    <w:rsid w:val="00E80C31"/>
    <w:rsid w:val="00E80CA5"/>
    <w:rsid w:val="00E80CFC"/>
    <w:rsid w:val="00E80D90"/>
    <w:rsid w:val="00E80DCD"/>
    <w:rsid w:val="00E80F35"/>
    <w:rsid w:val="00E80F87"/>
    <w:rsid w:val="00E80FA6"/>
    <w:rsid w:val="00E80FA9"/>
    <w:rsid w:val="00E80FB7"/>
    <w:rsid w:val="00E80FC7"/>
    <w:rsid w:val="00E80FCE"/>
    <w:rsid w:val="00E80FE9"/>
    <w:rsid w:val="00E8100C"/>
    <w:rsid w:val="00E81076"/>
    <w:rsid w:val="00E810BB"/>
    <w:rsid w:val="00E81162"/>
    <w:rsid w:val="00E8116F"/>
    <w:rsid w:val="00E8125A"/>
    <w:rsid w:val="00E81290"/>
    <w:rsid w:val="00E81365"/>
    <w:rsid w:val="00E8137D"/>
    <w:rsid w:val="00E81384"/>
    <w:rsid w:val="00E8139A"/>
    <w:rsid w:val="00E813A6"/>
    <w:rsid w:val="00E813D9"/>
    <w:rsid w:val="00E813F7"/>
    <w:rsid w:val="00E81568"/>
    <w:rsid w:val="00E81593"/>
    <w:rsid w:val="00E815E1"/>
    <w:rsid w:val="00E8164B"/>
    <w:rsid w:val="00E8166E"/>
    <w:rsid w:val="00E8167B"/>
    <w:rsid w:val="00E816F1"/>
    <w:rsid w:val="00E8175D"/>
    <w:rsid w:val="00E81785"/>
    <w:rsid w:val="00E818A3"/>
    <w:rsid w:val="00E81945"/>
    <w:rsid w:val="00E8198E"/>
    <w:rsid w:val="00E819BD"/>
    <w:rsid w:val="00E81A4C"/>
    <w:rsid w:val="00E81A4D"/>
    <w:rsid w:val="00E81A83"/>
    <w:rsid w:val="00E81A95"/>
    <w:rsid w:val="00E81A9D"/>
    <w:rsid w:val="00E81AD1"/>
    <w:rsid w:val="00E81B3D"/>
    <w:rsid w:val="00E81B5B"/>
    <w:rsid w:val="00E81B60"/>
    <w:rsid w:val="00E81B76"/>
    <w:rsid w:val="00E81CBA"/>
    <w:rsid w:val="00E81CEA"/>
    <w:rsid w:val="00E81CF0"/>
    <w:rsid w:val="00E81DF7"/>
    <w:rsid w:val="00E81E65"/>
    <w:rsid w:val="00E81EFF"/>
    <w:rsid w:val="00E82080"/>
    <w:rsid w:val="00E82185"/>
    <w:rsid w:val="00E821A9"/>
    <w:rsid w:val="00E821B5"/>
    <w:rsid w:val="00E82216"/>
    <w:rsid w:val="00E82285"/>
    <w:rsid w:val="00E82298"/>
    <w:rsid w:val="00E822A8"/>
    <w:rsid w:val="00E82310"/>
    <w:rsid w:val="00E82380"/>
    <w:rsid w:val="00E823FC"/>
    <w:rsid w:val="00E82467"/>
    <w:rsid w:val="00E8247F"/>
    <w:rsid w:val="00E82545"/>
    <w:rsid w:val="00E82598"/>
    <w:rsid w:val="00E8259E"/>
    <w:rsid w:val="00E825B6"/>
    <w:rsid w:val="00E82658"/>
    <w:rsid w:val="00E826E0"/>
    <w:rsid w:val="00E82777"/>
    <w:rsid w:val="00E827BA"/>
    <w:rsid w:val="00E82816"/>
    <w:rsid w:val="00E828FE"/>
    <w:rsid w:val="00E82928"/>
    <w:rsid w:val="00E82961"/>
    <w:rsid w:val="00E8298C"/>
    <w:rsid w:val="00E829A4"/>
    <w:rsid w:val="00E829B3"/>
    <w:rsid w:val="00E829B6"/>
    <w:rsid w:val="00E829CD"/>
    <w:rsid w:val="00E82A66"/>
    <w:rsid w:val="00E82AC3"/>
    <w:rsid w:val="00E82AF7"/>
    <w:rsid w:val="00E82B36"/>
    <w:rsid w:val="00E82B3F"/>
    <w:rsid w:val="00E82B4A"/>
    <w:rsid w:val="00E82B51"/>
    <w:rsid w:val="00E82BB6"/>
    <w:rsid w:val="00E82CD2"/>
    <w:rsid w:val="00E82D39"/>
    <w:rsid w:val="00E82DE7"/>
    <w:rsid w:val="00E82E04"/>
    <w:rsid w:val="00E82E43"/>
    <w:rsid w:val="00E82E66"/>
    <w:rsid w:val="00E82E7E"/>
    <w:rsid w:val="00E82EBF"/>
    <w:rsid w:val="00E82F20"/>
    <w:rsid w:val="00E82F79"/>
    <w:rsid w:val="00E82FC4"/>
    <w:rsid w:val="00E83035"/>
    <w:rsid w:val="00E8304A"/>
    <w:rsid w:val="00E83092"/>
    <w:rsid w:val="00E830F4"/>
    <w:rsid w:val="00E8325A"/>
    <w:rsid w:val="00E832C7"/>
    <w:rsid w:val="00E832D4"/>
    <w:rsid w:val="00E832F4"/>
    <w:rsid w:val="00E8331A"/>
    <w:rsid w:val="00E8332E"/>
    <w:rsid w:val="00E83386"/>
    <w:rsid w:val="00E833D9"/>
    <w:rsid w:val="00E8342D"/>
    <w:rsid w:val="00E83485"/>
    <w:rsid w:val="00E834A3"/>
    <w:rsid w:val="00E83508"/>
    <w:rsid w:val="00E83556"/>
    <w:rsid w:val="00E835B5"/>
    <w:rsid w:val="00E835CA"/>
    <w:rsid w:val="00E835E4"/>
    <w:rsid w:val="00E8363A"/>
    <w:rsid w:val="00E8370C"/>
    <w:rsid w:val="00E83710"/>
    <w:rsid w:val="00E83782"/>
    <w:rsid w:val="00E837A1"/>
    <w:rsid w:val="00E837BC"/>
    <w:rsid w:val="00E8380F"/>
    <w:rsid w:val="00E83877"/>
    <w:rsid w:val="00E83909"/>
    <w:rsid w:val="00E839BD"/>
    <w:rsid w:val="00E83A29"/>
    <w:rsid w:val="00E83AA7"/>
    <w:rsid w:val="00E83ACB"/>
    <w:rsid w:val="00E83AD9"/>
    <w:rsid w:val="00E83AE2"/>
    <w:rsid w:val="00E83B25"/>
    <w:rsid w:val="00E83B27"/>
    <w:rsid w:val="00E83B38"/>
    <w:rsid w:val="00E83B60"/>
    <w:rsid w:val="00E83BBD"/>
    <w:rsid w:val="00E83D10"/>
    <w:rsid w:val="00E83D65"/>
    <w:rsid w:val="00E83D90"/>
    <w:rsid w:val="00E83DEB"/>
    <w:rsid w:val="00E83DED"/>
    <w:rsid w:val="00E83DF8"/>
    <w:rsid w:val="00E83EFF"/>
    <w:rsid w:val="00E83F0B"/>
    <w:rsid w:val="00E83F76"/>
    <w:rsid w:val="00E83F7C"/>
    <w:rsid w:val="00E840C5"/>
    <w:rsid w:val="00E840DF"/>
    <w:rsid w:val="00E8415C"/>
    <w:rsid w:val="00E84163"/>
    <w:rsid w:val="00E8419B"/>
    <w:rsid w:val="00E841C6"/>
    <w:rsid w:val="00E84293"/>
    <w:rsid w:val="00E842AE"/>
    <w:rsid w:val="00E842C7"/>
    <w:rsid w:val="00E842D3"/>
    <w:rsid w:val="00E84332"/>
    <w:rsid w:val="00E8434B"/>
    <w:rsid w:val="00E844BC"/>
    <w:rsid w:val="00E84505"/>
    <w:rsid w:val="00E84552"/>
    <w:rsid w:val="00E8462B"/>
    <w:rsid w:val="00E84640"/>
    <w:rsid w:val="00E846F8"/>
    <w:rsid w:val="00E84741"/>
    <w:rsid w:val="00E84742"/>
    <w:rsid w:val="00E84760"/>
    <w:rsid w:val="00E84800"/>
    <w:rsid w:val="00E849D6"/>
    <w:rsid w:val="00E84A32"/>
    <w:rsid w:val="00E84A58"/>
    <w:rsid w:val="00E84A7F"/>
    <w:rsid w:val="00E84ABE"/>
    <w:rsid w:val="00E84AF5"/>
    <w:rsid w:val="00E84B30"/>
    <w:rsid w:val="00E84BB3"/>
    <w:rsid w:val="00E84C50"/>
    <w:rsid w:val="00E84CB3"/>
    <w:rsid w:val="00E84D10"/>
    <w:rsid w:val="00E84D1D"/>
    <w:rsid w:val="00E84D71"/>
    <w:rsid w:val="00E84D9E"/>
    <w:rsid w:val="00E84E1C"/>
    <w:rsid w:val="00E84E21"/>
    <w:rsid w:val="00E84E6C"/>
    <w:rsid w:val="00E84ED0"/>
    <w:rsid w:val="00E84EEE"/>
    <w:rsid w:val="00E84F10"/>
    <w:rsid w:val="00E84F9C"/>
    <w:rsid w:val="00E85004"/>
    <w:rsid w:val="00E8501D"/>
    <w:rsid w:val="00E8502A"/>
    <w:rsid w:val="00E85056"/>
    <w:rsid w:val="00E8506F"/>
    <w:rsid w:val="00E8510C"/>
    <w:rsid w:val="00E85156"/>
    <w:rsid w:val="00E85191"/>
    <w:rsid w:val="00E8521B"/>
    <w:rsid w:val="00E8522F"/>
    <w:rsid w:val="00E85252"/>
    <w:rsid w:val="00E8525E"/>
    <w:rsid w:val="00E8527D"/>
    <w:rsid w:val="00E852B8"/>
    <w:rsid w:val="00E8531F"/>
    <w:rsid w:val="00E853AB"/>
    <w:rsid w:val="00E853B8"/>
    <w:rsid w:val="00E853E6"/>
    <w:rsid w:val="00E85436"/>
    <w:rsid w:val="00E8546D"/>
    <w:rsid w:val="00E854A1"/>
    <w:rsid w:val="00E854E6"/>
    <w:rsid w:val="00E8559B"/>
    <w:rsid w:val="00E8561A"/>
    <w:rsid w:val="00E85621"/>
    <w:rsid w:val="00E85683"/>
    <w:rsid w:val="00E856D7"/>
    <w:rsid w:val="00E8576A"/>
    <w:rsid w:val="00E857F8"/>
    <w:rsid w:val="00E858F8"/>
    <w:rsid w:val="00E85916"/>
    <w:rsid w:val="00E85946"/>
    <w:rsid w:val="00E859C1"/>
    <w:rsid w:val="00E859C4"/>
    <w:rsid w:val="00E859F0"/>
    <w:rsid w:val="00E85A1A"/>
    <w:rsid w:val="00E85A92"/>
    <w:rsid w:val="00E85AE5"/>
    <w:rsid w:val="00E85AF3"/>
    <w:rsid w:val="00E85B13"/>
    <w:rsid w:val="00E85B18"/>
    <w:rsid w:val="00E85B31"/>
    <w:rsid w:val="00E85B55"/>
    <w:rsid w:val="00E85B63"/>
    <w:rsid w:val="00E85B88"/>
    <w:rsid w:val="00E85BAD"/>
    <w:rsid w:val="00E85BF6"/>
    <w:rsid w:val="00E85C23"/>
    <w:rsid w:val="00E85C55"/>
    <w:rsid w:val="00E85D2B"/>
    <w:rsid w:val="00E85D76"/>
    <w:rsid w:val="00E85D7B"/>
    <w:rsid w:val="00E85D84"/>
    <w:rsid w:val="00E85E38"/>
    <w:rsid w:val="00E85E82"/>
    <w:rsid w:val="00E85EA5"/>
    <w:rsid w:val="00E85F8E"/>
    <w:rsid w:val="00E86010"/>
    <w:rsid w:val="00E860B6"/>
    <w:rsid w:val="00E860BA"/>
    <w:rsid w:val="00E860C4"/>
    <w:rsid w:val="00E860D5"/>
    <w:rsid w:val="00E86168"/>
    <w:rsid w:val="00E8616F"/>
    <w:rsid w:val="00E86170"/>
    <w:rsid w:val="00E861AE"/>
    <w:rsid w:val="00E861E3"/>
    <w:rsid w:val="00E8624A"/>
    <w:rsid w:val="00E862AA"/>
    <w:rsid w:val="00E862B4"/>
    <w:rsid w:val="00E862B6"/>
    <w:rsid w:val="00E862D3"/>
    <w:rsid w:val="00E86332"/>
    <w:rsid w:val="00E863D0"/>
    <w:rsid w:val="00E86461"/>
    <w:rsid w:val="00E864C6"/>
    <w:rsid w:val="00E864D6"/>
    <w:rsid w:val="00E8652B"/>
    <w:rsid w:val="00E8656F"/>
    <w:rsid w:val="00E8659C"/>
    <w:rsid w:val="00E8660B"/>
    <w:rsid w:val="00E8660D"/>
    <w:rsid w:val="00E86629"/>
    <w:rsid w:val="00E866F4"/>
    <w:rsid w:val="00E86728"/>
    <w:rsid w:val="00E867E0"/>
    <w:rsid w:val="00E8682C"/>
    <w:rsid w:val="00E86852"/>
    <w:rsid w:val="00E86890"/>
    <w:rsid w:val="00E868E0"/>
    <w:rsid w:val="00E86934"/>
    <w:rsid w:val="00E86989"/>
    <w:rsid w:val="00E86BD8"/>
    <w:rsid w:val="00E86C0F"/>
    <w:rsid w:val="00E86C22"/>
    <w:rsid w:val="00E86C4A"/>
    <w:rsid w:val="00E86D04"/>
    <w:rsid w:val="00E86D28"/>
    <w:rsid w:val="00E86D92"/>
    <w:rsid w:val="00E86DAF"/>
    <w:rsid w:val="00E86EAA"/>
    <w:rsid w:val="00E86ED6"/>
    <w:rsid w:val="00E86EFB"/>
    <w:rsid w:val="00E86F33"/>
    <w:rsid w:val="00E86F46"/>
    <w:rsid w:val="00E86FBE"/>
    <w:rsid w:val="00E86FC1"/>
    <w:rsid w:val="00E87043"/>
    <w:rsid w:val="00E87175"/>
    <w:rsid w:val="00E87182"/>
    <w:rsid w:val="00E87187"/>
    <w:rsid w:val="00E871EC"/>
    <w:rsid w:val="00E87377"/>
    <w:rsid w:val="00E87391"/>
    <w:rsid w:val="00E873EC"/>
    <w:rsid w:val="00E874E9"/>
    <w:rsid w:val="00E87556"/>
    <w:rsid w:val="00E8756D"/>
    <w:rsid w:val="00E875C6"/>
    <w:rsid w:val="00E87662"/>
    <w:rsid w:val="00E876B7"/>
    <w:rsid w:val="00E87706"/>
    <w:rsid w:val="00E87761"/>
    <w:rsid w:val="00E8776A"/>
    <w:rsid w:val="00E8782B"/>
    <w:rsid w:val="00E8793B"/>
    <w:rsid w:val="00E87976"/>
    <w:rsid w:val="00E879C6"/>
    <w:rsid w:val="00E879C7"/>
    <w:rsid w:val="00E879E9"/>
    <w:rsid w:val="00E87ACF"/>
    <w:rsid w:val="00E87B5E"/>
    <w:rsid w:val="00E87C19"/>
    <w:rsid w:val="00E87D27"/>
    <w:rsid w:val="00E87EC8"/>
    <w:rsid w:val="00E87FA9"/>
    <w:rsid w:val="00E9002F"/>
    <w:rsid w:val="00E90031"/>
    <w:rsid w:val="00E90044"/>
    <w:rsid w:val="00E900FE"/>
    <w:rsid w:val="00E9013B"/>
    <w:rsid w:val="00E901A0"/>
    <w:rsid w:val="00E901F3"/>
    <w:rsid w:val="00E90200"/>
    <w:rsid w:val="00E90278"/>
    <w:rsid w:val="00E902B0"/>
    <w:rsid w:val="00E902C5"/>
    <w:rsid w:val="00E902E8"/>
    <w:rsid w:val="00E902F7"/>
    <w:rsid w:val="00E90339"/>
    <w:rsid w:val="00E903CA"/>
    <w:rsid w:val="00E903EE"/>
    <w:rsid w:val="00E904EF"/>
    <w:rsid w:val="00E904F9"/>
    <w:rsid w:val="00E9053C"/>
    <w:rsid w:val="00E90543"/>
    <w:rsid w:val="00E905F0"/>
    <w:rsid w:val="00E90622"/>
    <w:rsid w:val="00E90668"/>
    <w:rsid w:val="00E90716"/>
    <w:rsid w:val="00E9074D"/>
    <w:rsid w:val="00E9075E"/>
    <w:rsid w:val="00E90761"/>
    <w:rsid w:val="00E907CD"/>
    <w:rsid w:val="00E907E1"/>
    <w:rsid w:val="00E90833"/>
    <w:rsid w:val="00E90841"/>
    <w:rsid w:val="00E90845"/>
    <w:rsid w:val="00E90860"/>
    <w:rsid w:val="00E909A2"/>
    <w:rsid w:val="00E909D1"/>
    <w:rsid w:val="00E90A29"/>
    <w:rsid w:val="00E90A5F"/>
    <w:rsid w:val="00E90A94"/>
    <w:rsid w:val="00E90B02"/>
    <w:rsid w:val="00E90B19"/>
    <w:rsid w:val="00E90B36"/>
    <w:rsid w:val="00E90B4B"/>
    <w:rsid w:val="00E90C20"/>
    <w:rsid w:val="00E90C55"/>
    <w:rsid w:val="00E90C66"/>
    <w:rsid w:val="00E90D4E"/>
    <w:rsid w:val="00E90DB2"/>
    <w:rsid w:val="00E90E0F"/>
    <w:rsid w:val="00E90E1C"/>
    <w:rsid w:val="00E90E34"/>
    <w:rsid w:val="00E90E5C"/>
    <w:rsid w:val="00E90F27"/>
    <w:rsid w:val="00E90FE6"/>
    <w:rsid w:val="00E90FFC"/>
    <w:rsid w:val="00E9108F"/>
    <w:rsid w:val="00E911D8"/>
    <w:rsid w:val="00E911E5"/>
    <w:rsid w:val="00E912BC"/>
    <w:rsid w:val="00E912F6"/>
    <w:rsid w:val="00E9130D"/>
    <w:rsid w:val="00E9132D"/>
    <w:rsid w:val="00E91381"/>
    <w:rsid w:val="00E913A7"/>
    <w:rsid w:val="00E913F2"/>
    <w:rsid w:val="00E9143F"/>
    <w:rsid w:val="00E91514"/>
    <w:rsid w:val="00E9152B"/>
    <w:rsid w:val="00E91543"/>
    <w:rsid w:val="00E9154E"/>
    <w:rsid w:val="00E91551"/>
    <w:rsid w:val="00E915ED"/>
    <w:rsid w:val="00E9162C"/>
    <w:rsid w:val="00E91677"/>
    <w:rsid w:val="00E9169B"/>
    <w:rsid w:val="00E9172D"/>
    <w:rsid w:val="00E91730"/>
    <w:rsid w:val="00E91763"/>
    <w:rsid w:val="00E9177A"/>
    <w:rsid w:val="00E91804"/>
    <w:rsid w:val="00E919C2"/>
    <w:rsid w:val="00E91A4C"/>
    <w:rsid w:val="00E91A5C"/>
    <w:rsid w:val="00E91AAA"/>
    <w:rsid w:val="00E91AC1"/>
    <w:rsid w:val="00E91AF0"/>
    <w:rsid w:val="00E91B1E"/>
    <w:rsid w:val="00E91B30"/>
    <w:rsid w:val="00E91B98"/>
    <w:rsid w:val="00E91BDC"/>
    <w:rsid w:val="00E91C7D"/>
    <w:rsid w:val="00E91CF4"/>
    <w:rsid w:val="00E91D0D"/>
    <w:rsid w:val="00E91D1E"/>
    <w:rsid w:val="00E91D6A"/>
    <w:rsid w:val="00E91DAF"/>
    <w:rsid w:val="00E91E6A"/>
    <w:rsid w:val="00E91EE0"/>
    <w:rsid w:val="00E91F53"/>
    <w:rsid w:val="00E91FAF"/>
    <w:rsid w:val="00E91FDC"/>
    <w:rsid w:val="00E92022"/>
    <w:rsid w:val="00E92049"/>
    <w:rsid w:val="00E920CB"/>
    <w:rsid w:val="00E92144"/>
    <w:rsid w:val="00E92185"/>
    <w:rsid w:val="00E92192"/>
    <w:rsid w:val="00E921E5"/>
    <w:rsid w:val="00E92210"/>
    <w:rsid w:val="00E92327"/>
    <w:rsid w:val="00E923AE"/>
    <w:rsid w:val="00E92471"/>
    <w:rsid w:val="00E924BE"/>
    <w:rsid w:val="00E92563"/>
    <w:rsid w:val="00E92579"/>
    <w:rsid w:val="00E92580"/>
    <w:rsid w:val="00E9258C"/>
    <w:rsid w:val="00E925B1"/>
    <w:rsid w:val="00E9266B"/>
    <w:rsid w:val="00E9269D"/>
    <w:rsid w:val="00E9269F"/>
    <w:rsid w:val="00E92736"/>
    <w:rsid w:val="00E9276C"/>
    <w:rsid w:val="00E92963"/>
    <w:rsid w:val="00E9296B"/>
    <w:rsid w:val="00E929CE"/>
    <w:rsid w:val="00E929E2"/>
    <w:rsid w:val="00E92A45"/>
    <w:rsid w:val="00E92A8F"/>
    <w:rsid w:val="00E92B3D"/>
    <w:rsid w:val="00E92BD8"/>
    <w:rsid w:val="00E92C12"/>
    <w:rsid w:val="00E92C66"/>
    <w:rsid w:val="00E92CB7"/>
    <w:rsid w:val="00E92E7D"/>
    <w:rsid w:val="00E92E8E"/>
    <w:rsid w:val="00E92F7D"/>
    <w:rsid w:val="00E9305D"/>
    <w:rsid w:val="00E930B7"/>
    <w:rsid w:val="00E931F6"/>
    <w:rsid w:val="00E9323E"/>
    <w:rsid w:val="00E933A6"/>
    <w:rsid w:val="00E934B8"/>
    <w:rsid w:val="00E934E5"/>
    <w:rsid w:val="00E93619"/>
    <w:rsid w:val="00E9362B"/>
    <w:rsid w:val="00E936AB"/>
    <w:rsid w:val="00E9376D"/>
    <w:rsid w:val="00E93777"/>
    <w:rsid w:val="00E93812"/>
    <w:rsid w:val="00E93843"/>
    <w:rsid w:val="00E93851"/>
    <w:rsid w:val="00E9387E"/>
    <w:rsid w:val="00E9390C"/>
    <w:rsid w:val="00E93926"/>
    <w:rsid w:val="00E93927"/>
    <w:rsid w:val="00E9394F"/>
    <w:rsid w:val="00E939C8"/>
    <w:rsid w:val="00E93A5D"/>
    <w:rsid w:val="00E93C6E"/>
    <w:rsid w:val="00E93CA7"/>
    <w:rsid w:val="00E93CDF"/>
    <w:rsid w:val="00E93DA4"/>
    <w:rsid w:val="00E93DF4"/>
    <w:rsid w:val="00E93F17"/>
    <w:rsid w:val="00E93F3F"/>
    <w:rsid w:val="00E94014"/>
    <w:rsid w:val="00E9403E"/>
    <w:rsid w:val="00E940BC"/>
    <w:rsid w:val="00E94108"/>
    <w:rsid w:val="00E9411B"/>
    <w:rsid w:val="00E94186"/>
    <w:rsid w:val="00E941F3"/>
    <w:rsid w:val="00E94225"/>
    <w:rsid w:val="00E94226"/>
    <w:rsid w:val="00E9427C"/>
    <w:rsid w:val="00E94284"/>
    <w:rsid w:val="00E942F7"/>
    <w:rsid w:val="00E943A3"/>
    <w:rsid w:val="00E943C9"/>
    <w:rsid w:val="00E94431"/>
    <w:rsid w:val="00E9445A"/>
    <w:rsid w:val="00E94484"/>
    <w:rsid w:val="00E944F4"/>
    <w:rsid w:val="00E945A3"/>
    <w:rsid w:val="00E945BB"/>
    <w:rsid w:val="00E945BD"/>
    <w:rsid w:val="00E94625"/>
    <w:rsid w:val="00E9469B"/>
    <w:rsid w:val="00E9471F"/>
    <w:rsid w:val="00E94748"/>
    <w:rsid w:val="00E9482C"/>
    <w:rsid w:val="00E948AE"/>
    <w:rsid w:val="00E948F3"/>
    <w:rsid w:val="00E948FF"/>
    <w:rsid w:val="00E9491F"/>
    <w:rsid w:val="00E9495F"/>
    <w:rsid w:val="00E94981"/>
    <w:rsid w:val="00E94BC4"/>
    <w:rsid w:val="00E94BCA"/>
    <w:rsid w:val="00E94C5F"/>
    <w:rsid w:val="00E94C79"/>
    <w:rsid w:val="00E94D12"/>
    <w:rsid w:val="00E94D39"/>
    <w:rsid w:val="00E94DF5"/>
    <w:rsid w:val="00E94E3A"/>
    <w:rsid w:val="00E94E3E"/>
    <w:rsid w:val="00E94E4A"/>
    <w:rsid w:val="00E94EB9"/>
    <w:rsid w:val="00E94F44"/>
    <w:rsid w:val="00E94F89"/>
    <w:rsid w:val="00E94FA4"/>
    <w:rsid w:val="00E94FBF"/>
    <w:rsid w:val="00E9504D"/>
    <w:rsid w:val="00E9509A"/>
    <w:rsid w:val="00E950E1"/>
    <w:rsid w:val="00E9516A"/>
    <w:rsid w:val="00E951CE"/>
    <w:rsid w:val="00E95255"/>
    <w:rsid w:val="00E95363"/>
    <w:rsid w:val="00E953E4"/>
    <w:rsid w:val="00E953FA"/>
    <w:rsid w:val="00E9545C"/>
    <w:rsid w:val="00E95483"/>
    <w:rsid w:val="00E954BC"/>
    <w:rsid w:val="00E954CA"/>
    <w:rsid w:val="00E954D9"/>
    <w:rsid w:val="00E9555C"/>
    <w:rsid w:val="00E9559C"/>
    <w:rsid w:val="00E95664"/>
    <w:rsid w:val="00E9566B"/>
    <w:rsid w:val="00E956AF"/>
    <w:rsid w:val="00E9579A"/>
    <w:rsid w:val="00E957A9"/>
    <w:rsid w:val="00E957D1"/>
    <w:rsid w:val="00E957D9"/>
    <w:rsid w:val="00E957F7"/>
    <w:rsid w:val="00E9588A"/>
    <w:rsid w:val="00E95910"/>
    <w:rsid w:val="00E95916"/>
    <w:rsid w:val="00E9591E"/>
    <w:rsid w:val="00E95951"/>
    <w:rsid w:val="00E959C5"/>
    <w:rsid w:val="00E959CF"/>
    <w:rsid w:val="00E959DC"/>
    <w:rsid w:val="00E95A3B"/>
    <w:rsid w:val="00E95AF4"/>
    <w:rsid w:val="00E95B43"/>
    <w:rsid w:val="00E95C01"/>
    <w:rsid w:val="00E95CEE"/>
    <w:rsid w:val="00E95CFC"/>
    <w:rsid w:val="00E95D32"/>
    <w:rsid w:val="00E95D9B"/>
    <w:rsid w:val="00E95DC1"/>
    <w:rsid w:val="00E95DD6"/>
    <w:rsid w:val="00E95E27"/>
    <w:rsid w:val="00E95E3D"/>
    <w:rsid w:val="00E95F01"/>
    <w:rsid w:val="00E95F33"/>
    <w:rsid w:val="00E95F80"/>
    <w:rsid w:val="00E95FA1"/>
    <w:rsid w:val="00E960C2"/>
    <w:rsid w:val="00E960F4"/>
    <w:rsid w:val="00E960F7"/>
    <w:rsid w:val="00E96121"/>
    <w:rsid w:val="00E96144"/>
    <w:rsid w:val="00E96177"/>
    <w:rsid w:val="00E96290"/>
    <w:rsid w:val="00E96294"/>
    <w:rsid w:val="00E962C9"/>
    <w:rsid w:val="00E962FB"/>
    <w:rsid w:val="00E9632B"/>
    <w:rsid w:val="00E96438"/>
    <w:rsid w:val="00E964FD"/>
    <w:rsid w:val="00E96504"/>
    <w:rsid w:val="00E96510"/>
    <w:rsid w:val="00E96639"/>
    <w:rsid w:val="00E96682"/>
    <w:rsid w:val="00E96759"/>
    <w:rsid w:val="00E967B9"/>
    <w:rsid w:val="00E9681B"/>
    <w:rsid w:val="00E96970"/>
    <w:rsid w:val="00E969EA"/>
    <w:rsid w:val="00E969FC"/>
    <w:rsid w:val="00E96AAE"/>
    <w:rsid w:val="00E96ABB"/>
    <w:rsid w:val="00E96AC8"/>
    <w:rsid w:val="00E96ADF"/>
    <w:rsid w:val="00E96AE7"/>
    <w:rsid w:val="00E96B39"/>
    <w:rsid w:val="00E96BE6"/>
    <w:rsid w:val="00E96C86"/>
    <w:rsid w:val="00E96D2A"/>
    <w:rsid w:val="00E96D6A"/>
    <w:rsid w:val="00E96DA0"/>
    <w:rsid w:val="00E96E17"/>
    <w:rsid w:val="00E96ED4"/>
    <w:rsid w:val="00E96FA2"/>
    <w:rsid w:val="00E96FB4"/>
    <w:rsid w:val="00E9709F"/>
    <w:rsid w:val="00E970E1"/>
    <w:rsid w:val="00E97102"/>
    <w:rsid w:val="00E97115"/>
    <w:rsid w:val="00E97129"/>
    <w:rsid w:val="00E97176"/>
    <w:rsid w:val="00E971BB"/>
    <w:rsid w:val="00E971ED"/>
    <w:rsid w:val="00E97256"/>
    <w:rsid w:val="00E972CD"/>
    <w:rsid w:val="00E972E1"/>
    <w:rsid w:val="00E9731A"/>
    <w:rsid w:val="00E9732D"/>
    <w:rsid w:val="00E97367"/>
    <w:rsid w:val="00E97372"/>
    <w:rsid w:val="00E97389"/>
    <w:rsid w:val="00E973F4"/>
    <w:rsid w:val="00E973F5"/>
    <w:rsid w:val="00E9741F"/>
    <w:rsid w:val="00E97488"/>
    <w:rsid w:val="00E974B9"/>
    <w:rsid w:val="00E9751B"/>
    <w:rsid w:val="00E97537"/>
    <w:rsid w:val="00E97570"/>
    <w:rsid w:val="00E975C6"/>
    <w:rsid w:val="00E976B2"/>
    <w:rsid w:val="00E97739"/>
    <w:rsid w:val="00E9773E"/>
    <w:rsid w:val="00E977FD"/>
    <w:rsid w:val="00E97861"/>
    <w:rsid w:val="00E97888"/>
    <w:rsid w:val="00E97892"/>
    <w:rsid w:val="00E9799C"/>
    <w:rsid w:val="00E979C0"/>
    <w:rsid w:val="00E97A08"/>
    <w:rsid w:val="00E97A20"/>
    <w:rsid w:val="00E97A23"/>
    <w:rsid w:val="00E97A6F"/>
    <w:rsid w:val="00E97B05"/>
    <w:rsid w:val="00E97B1A"/>
    <w:rsid w:val="00E97B43"/>
    <w:rsid w:val="00E97BE3"/>
    <w:rsid w:val="00E97C19"/>
    <w:rsid w:val="00E97C76"/>
    <w:rsid w:val="00E97D89"/>
    <w:rsid w:val="00E97DB3"/>
    <w:rsid w:val="00E97E1F"/>
    <w:rsid w:val="00E97E8D"/>
    <w:rsid w:val="00E97EA1"/>
    <w:rsid w:val="00E97EA5"/>
    <w:rsid w:val="00E97F23"/>
    <w:rsid w:val="00E97FFC"/>
    <w:rsid w:val="00EA0067"/>
    <w:rsid w:val="00EA00CA"/>
    <w:rsid w:val="00EA00CC"/>
    <w:rsid w:val="00EA0119"/>
    <w:rsid w:val="00EA011B"/>
    <w:rsid w:val="00EA01A6"/>
    <w:rsid w:val="00EA01DA"/>
    <w:rsid w:val="00EA0203"/>
    <w:rsid w:val="00EA02B4"/>
    <w:rsid w:val="00EA0348"/>
    <w:rsid w:val="00EA03D1"/>
    <w:rsid w:val="00EA0411"/>
    <w:rsid w:val="00EA0446"/>
    <w:rsid w:val="00EA0476"/>
    <w:rsid w:val="00EA05BD"/>
    <w:rsid w:val="00EA05EE"/>
    <w:rsid w:val="00EA069B"/>
    <w:rsid w:val="00EA06B0"/>
    <w:rsid w:val="00EA06F7"/>
    <w:rsid w:val="00EA0797"/>
    <w:rsid w:val="00EA07BC"/>
    <w:rsid w:val="00EA0824"/>
    <w:rsid w:val="00EA0860"/>
    <w:rsid w:val="00EA08CD"/>
    <w:rsid w:val="00EA092D"/>
    <w:rsid w:val="00EA099A"/>
    <w:rsid w:val="00EA09BF"/>
    <w:rsid w:val="00EA09DD"/>
    <w:rsid w:val="00EA09DE"/>
    <w:rsid w:val="00EA09F3"/>
    <w:rsid w:val="00EA0B0B"/>
    <w:rsid w:val="00EA0B1C"/>
    <w:rsid w:val="00EA0B68"/>
    <w:rsid w:val="00EA0BC2"/>
    <w:rsid w:val="00EA0BCC"/>
    <w:rsid w:val="00EA0C1F"/>
    <w:rsid w:val="00EA0C3E"/>
    <w:rsid w:val="00EA0C8F"/>
    <w:rsid w:val="00EA0CBE"/>
    <w:rsid w:val="00EA0CE6"/>
    <w:rsid w:val="00EA0D30"/>
    <w:rsid w:val="00EA0D38"/>
    <w:rsid w:val="00EA0D51"/>
    <w:rsid w:val="00EA0DB3"/>
    <w:rsid w:val="00EA0DC8"/>
    <w:rsid w:val="00EA0DCE"/>
    <w:rsid w:val="00EA0E5B"/>
    <w:rsid w:val="00EA0EDB"/>
    <w:rsid w:val="00EA0FC3"/>
    <w:rsid w:val="00EA101C"/>
    <w:rsid w:val="00EA10D3"/>
    <w:rsid w:val="00EA119B"/>
    <w:rsid w:val="00EA1217"/>
    <w:rsid w:val="00EA122A"/>
    <w:rsid w:val="00EA1251"/>
    <w:rsid w:val="00EA1290"/>
    <w:rsid w:val="00EA12A0"/>
    <w:rsid w:val="00EA12F2"/>
    <w:rsid w:val="00EA1303"/>
    <w:rsid w:val="00EA13B7"/>
    <w:rsid w:val="00EA13E3"/>
    <w:rsid w:val="00EA1411"/>
    <w:rsid w:val="00EA1419"/>
    <w:rsid w:val="00EA152D"/>
    <w:rsid w:val="00EA1563"/>
    <w:rsid w:val="00EA16C9"/>
    <w:rsid w:val="00EA16CD"/>
    <w:rsid w:val="00EA1780"/>
    <w:rsid w:val="00EA17AB"/>
    <w:rsid w:val="00EA17B0"/>
    <w:rsid w:val="00EA17E8"/>
    <w:rsid w:val="00EA17FF"/>
    <w:rsid w:val="00EA18F1"/>
    <w:rsid w:val="00EA1950"/>
    <w:rsid w:val="00EA19C0"/>
    <w:rsid w:val="00EA1A1F"/>
    <w:rsid w:val="00EA1A6C"/>
    <w:rsid w:val="00EA1AA3"/>
    <w:rsid w:val="00EA1AB3"/>
    <w:rsid w:val="00EA1B71"/>
    <w:rsid w:val="00EA1BDF"/>
    <w:rsid w:val="00EA1C33"/>
    <w:rsid w:val="00EA1C4D"/>
    <w:rsid w:val="00EA1D0A"/>
    <w:rsid w:val="00EA1D29"/>
    <w:rsid w:val="00EA1DA3"/>
    <w:rsid w:val="00EA1DC7"/>
    <w:rsid w:val="00EA1DF7"/>
    <w:rsid w:val="00EA1E24"/>
    <w:rsid w:val="00EA1E44"/>
    <w:rsid w:val="00EA1EC7"/>
    <w:rsid w:val="00EA1ED0"/>
    <w:rsid w:val="00EA1F31"/>
    <w:rsid w:val="00EA1F4F"/>
    <w:rsid w:val="00EA1F60"/>
    <w:rsid w:val="00EA1F72"/>
    <w:rsid w:val="00EA2069"/>
    <w:rsid w:val="00EA2086"/>
    <w:rsid w:val="00EA209C"/>
    <w:rsid w:val="00EA20EF"/>
    <w:rsid w:val="00EA2103"/>
    <w:rsid w:val="00EA21DE"/>
    <w:rsid w:val="00EA2217"/>
    <w:rsid w:val="00EA222E"/>
    <w:rsid w:val="00EA2279"/>
    <w:rsid w:val="00EA2292"/>
    <w:rsid w:val="00EA22CD"/>
    <w:rsid w:val="00EA22E4"/>
    <w:rsid w:val="00EA22E7"/>
    <w:rsid w:val="00EA2317"/>
    <w:rsid w:val="00EA2319"/>
    <w:rsid w:val="00EA2364"/>
    <w:rsid w:val="00EA2389"/>
    <w:rsid w:val="00EA23AC"/>
    <w:rsid w:val="00EA23EA"/>
    <w:rsid w:val="00EA2427"/>
    <w:rsid w:val="00EA24BE"/>
    <w:rsid w:val="00EA2515"/>
    <w:rsid w:val="00EA252E"/>
    <w:rsid w:val="00EA2539"/>
    <w:rsid w:val="00EA2591"/>
    <w:rsid w:val="00EA25CA"/>
    <w:rsid w:val="00EA265A"/>
    <w:rsid w:val="00EA267A"/>
    <w:rsid w:val="00EA26C3"/>
    <w:rsid w:val="00EA26CD"/>
    <w:rsid w:val="00EA2712"/>
    <w:rsid w:val="00EA2740"/>
    <w:rsid w:val="00EA2771"/>
    <w:rsid w:val="00EA27B1"/>
    <w:rsid w:val="00EA27CD"/>
    <w:rsid w:val="00EA27EE"/>
    <w:rsid w:val="00EA289B"/>
    <w:rsid w:val="00EA28B4"/>
    <w:rsid w:val="00EA2935"/>
    <w:rsid w:val="00EA2940"/>
    <w:rsid w:val="00EA299E"/>
    <w:rsid w:val="00EA29D1"/>
    <w:rsid w:val="00EA2A09"/>
    <w:rsid w:val="00EA2A1D"/>
    <w:rsid w:val="00EA2A2C"/>
    <w:rsid w:val="00EA2ADE"/>
    <w:rsid w:val="00EA2B00"/>
    <w:rsid w:val="00EA2B52"/>
    <w:rsid w:val="00EA2B83"/>
    <w:rsid w:val="00EA2B9E"/>
    <w:rsid w:val="00EA2C3D"/>
    <w:rsid w:val="00EA2C5C"/>
    <w:rsid w:val="00EA2DC3"/>
    <w:rsid w:val="00EA2E72"/>
    <w:rsid w:val="00EA2EA1"/>
    <w:rsid w:val="00EA2EC6"/>
    <w:rsid w:val="00EA2ECD"/>
    <w:rsid w:val="00EA2EF7"/>
    <w:rsid w:val="00EA2F43"/>
    <w:rsid w:val="00EA2F60"/>
    <w:rsid w:val="00EA2F77"/>
    <w:rsid w:val="00EA2F97"/>
    <w:rsid w:val="00EA2FC9"/>
    <w:rsid w:val="00EA3012"/>
    <w:rsid w:val="00EA3024"/>
    <w:rsid w:val="00EA302F"/>
    <w:rsid w:val="00EA3110"/>
    <w:rsid w:val="00EA3112"/>
    <w:rsid w:val="00EA3128"/>
    <w:rsid w:val="00EA32AD"/>
    <w:rsid w:val="00EA32D1"/>
    <w:rsid w:val="00EA32DD"/>
    <w:rsid w:val="00EA331A"/>
    <w:rsid w:val="00EA3323"/>
    <w:rsid w:val="00EA3338"/>
    <w:rsid w:val="00EA3378"/>
    <w:rsid w:val="00EA338A"/>
    <w:rsid w:val="00EA33D0"/>
    <w:rsid w:val="00EA3477"/>
    <w:rsid w:val="00EA34D5"/>
    <w:rsid w:val="00EA3548"/>
    <w:rsid w:val="00EA3594"/>
    <w:rsid w:val="00EA3596"/>
    <w:rsid w:val="00EA35BC"/>
    <w:rsid w:val="00EA35EB"/>
    <w:rsid w:val="00EA361A"/>
    <w:rsid w:val="00EA3630"/>
    <w:rsid w:val="00EA363B"/>
    <w:rsid w:val="00EA3651"/>
    <w:rsid w:val="00EA3677"/>
    <w:rsid w:val="00EA368D"/>
    <w:rsid w:val="00EA370A"/>
    <w:rsid w:val="00EA378E"/>
    <w:rsid w:val="00EA3812"/>
    <w:rsid w:val="00EA3861"/>
    <w:rsid w:val="00EA38A1"/>
    <w:rsid w:val="00EA38FB"/>
    <w:rsid w:val="00EA398F"/>
    <w:rsid w:val="00EA3999"/>
    <w:rsid w:val="00EA3A6A"/>
    <w:rsid w:val="00EA3AA9"/>
    <w:rsid w:val="00EA3B4A"/>
    <w:rsid w:val="00EA3BA0"/>
    <w:rsid w:val="00EA3BCB"/>
    <w:rsid w:val="00EA3CA4"/>
    <w:rsid w:val="00EA3CFB"/>
    <w:rsid w:val="00EA3EDF"/>
    <w:rsid w:val="00EA3F1B"/>
    <w:rsid w:val="00EA3F29"/>
    <w:rsid w:val="00EA407A"/>
    <w:rsid w:val="00EA410D"/>
    <w:rsid w:val="00EA417F"/>
    <w:rsid w:val="00EA419F"/>
    <w:rsid w:val="00EA41BC"/>
    <w:rsid w:val="00EA41CA"/>
    <w:rsid w:val="00EA4295"/>
    <w:rsid w:val="00EA42E2"/>
    <w:rsid w:val="00EA42F4"/>
    <w:rsid w:val="00EA4380"/>
    <w:rsid w:val="00EA4381"/>
    <w:rsid w:val="00EA43C6"/>
    <w:rsid w:val="00EA440D"/>
    <w:rsid w:val="00EA44E9"/>
    <w:rsid w:val="00EA452A"/>
    <w:rsid w:val="00EA4534"/>
    <w:rsid w:val="00EA455C"/>
    <w:rsid w:val="00EA45A5"/>
    <w:rsid w:val="00EA45C8"/>
    <w:rsid w:val="00EA45CF"/>
    <w:rsid w:val="00EA4632"/>
    <w:rsid w:val="00EA480B"/>
    <w:rsid w:val="00EA48E9"/>
    <w:rsid w:val="00EA499A"/>
    <w:rsid w:val="00EA49A8"/>
    <w:rsid w:val="00EA4A11"/>
    <w:rsid w:val="00EA4A40"/>
    <w:rsid w:val="00EA4A45"/>
    <w:rsid w:val="00EA4A53"/>
    <w:rsid w:val="00EA4B1B"/>
    <w:rsid w:val="00EA4C6C"/>
    <w:rsid w:val="00EA4C82"/>
    <w:rsid w:val="00EA4CC5"/>
    <w:rsid w:val="00EA4D3F"/>
    <w:rsid w:val="00EA4D68"/>
    <w:rsid w:val="00EA4D85"/>
    <w:rsid w:val="00EA4D91"/>
    <w:rsid w:val="00EA4D9A"/>
    <w:rsid w:val="00EA4DB8"/>
    <w:rsid w:val="00EA4DED"/>
    <w:rsid w:val="00EA4E2C"/>
    <w:rsid w:val="00EA4E32"/>
    <w:rsid w:val="00EA4E91"/>
    <w:rsid w:val="00EA4F33"/>
    <w:rsid w:val="00EA4F5C"/>
    <w:rsid w:val="00EA5134"/>
    <w:rsid w:val="00EA5219"/>
    <w:rsid w:val="00EA5279"/>
    <w:rsid w:val="00EA52C7"/>
    <w:rsid w:val="00EA52F3"/>
    <w:rsid w:val="00EA5328"/>
    <w:rsid w:val="00EA5371"/>
    <w:rsid w:val="00EA5649"/>
    <w:rsid w:val="00EA5672"/>
    <w:rsid w:val="00EA56A1"/>
    <w:rsid w:val="00EA5779"/>
    <w:rsid w:val="00EA589B"/>
    <w:rsid w:val="00EA58C0"/>
    <w:rsid w:val="00EA58D9"/>
    <w:rsid w:val="00EA58F6"/>
    <w:rsid w:val="00EA5A50"/>
    <w:rsid w:val="00EA5B37"/>
    <w:rsid w:val="00EA5B73"/>
    <w:rsid w:val="00EA5BAD"/>
    <w:rsid w:val="00EA5C26"/>
    <w:rsid w:val="00EA5CB0"/>
    <w:rsid w:val="00EA5CF8"/>
    <w:rsid w:val="00EA5D89"/>
    <w:rsid w:val="00EA5E33"/>
    <w:rsid w:val="00EA5E73"/>
    <w:rsid w:val="00EA5F0F"/>
    <w:rsid w:val="00EA5FBB"/>
    <w:rsid w:val="00EA5FC6"/>
    <w:rsid w:val="00EA6020"/>
    <w:rsid w:val="00EA60D5"/>
    <w:rsid w:val="00EA6161"/>
    <w:rsid w:val="00EA616F"/>
    <w:rsid w:val="00EA61A2"/>
    <w:rsid w:val="00EA61B4"/>
    <w:rsid w:val="00EA6282"/>
    <w:rsid w:val="00EA62B0"/>
    <w:rsid w:val="00EA6358"/>
    <w:rsid w:val="00EA64F9"/>
    <w:rsid w:val="00EA6510"/>
    <w:rsid w:val="00EA6588"/>
    <w:rsid w:val="00EA659E"/>
    <w:rsid w:val="00EA65A3"/>
    <w:rsid w:val="00EA65BF"/>
    <w:rsid w:val="00EA65DA"/>
    <w:rsid w:val="00EA6658"/>
    <w:rsid w:val="00EA66BD"/>
    <w:rsid w:val="00EA6702"/>
    <w:rsid w:val="00EA672D"/>
    <w:rsid w:val="00EA678E"/>
    <w:rsid w:val="00EA68FF"/>
    <w:rsid w:val="00EA6901"/>
    <w:rsid w:val="00EA695A"/>
    <w:rsid w:val="00EA698C"/>
    <w:rsid w:val="00EA6A3F"/>
    <w:rsid w:val="00EA6AB5"/>
    <w:rsid w:val="00EA6AC4"/>
    <w:rsid w:val="00EA6BB3"/>
    <w:rsid w:val="00EA6C06"/>
    <w:rsid w:val="00EA6C79"/>
    <w:rsid w:val="00EA6C90"/>
    <w:rsid w:val="00EA6CA7"/>
    <w:rsid w:val="00EA6CE9"/>
    <w:rsid w:val="00EA6D46"/>
    <w:rsid w:val="00EA6EBB"/>
    <w:rsid w:val="00EA6FBE"/>
    <w:rsid w:val="00EA7047"/>
    <w:rsid w:val="00EA7070"/>
    <w:rsid w:val="00EA70BF"/>
    <w:rsid w:val="00EA7123"/>
    <w:rsid w:val="00EA714F"/>
    <w:rsid w:val="00EA7165"/>
    <w:rsid w:val="00EA719D"/>
    <w:rsid w:val="00EA71B9"/>
    <w:rsid w:val="00EA71CA"/>
    <w:rsid w:val="00EA729E"/>
    <w:rsid w:val="00EA72F0"/>
    <w:rsid w:val="00EA7388"/>
    <w:rsid w:val="00EA739F"/>
    <w:rsid w:val="00EA73A6"/>
    <w:rsid w:val="00EA73AF"/>
    <w:rsid w:val="00EA73C3"/>
    <w:rsid w:val="00EA7415"/>
    <w:rsid w:val="00EA7421"/>
    <w:rsid w:val="00EA7434"/>
    <w:rsid w:val="00EA74C2"/>
    <w:rsid w:val="00EA7505"/>
    <w:rsid w:val="00EA7528"/>
    <w:rsid w:val="00EA766C"/>
    <w:rsid w:val="00EA7673"/>
    <w:rsid w:val="00EA76F5"/>
    <w:rsid w:val="00EA76F9"/>
    <w:rsid w:val="00EA77ED"/>
    <w:rsid w:val="00EA786F"/>
    <w:rsid w:val="00EA7902"/>
    <w:rsid w:val="00EA797E"/>
    <w:rsid w:val="00EA7991"/>
    <w:rsid w:val="00EA799E"/>
    <w:rsid w:val="00EA7A5B"/>
    <w:rsid w:val="00EA7ABF"/>
    <w:rsid w:val="00EA7B49"/>
    <w:rsid w:val="00EA7B5E"/>
    <w:rsid w:val="00EA7C3D"/>
    <w:rsid w:val="00EA7CAB"/>
    <w:rsid w:val="00EA7CD6"/>
    <w:rsid w:val="00EA7CDA"/>
    <w:rsid w:val="00EA7D09"/>
    <w:rsid w:val="00EA7D21"/>
    <w:rsid w:val="00EA7D54"/>
    <w:rsid w:val="00EA7D9E"/>
    <w:rsid w:val="00EA7DE5"/>
    <w:rsid w:val="00EA7E1B"/>
    <w:rsid w:val="00EA7E77"/>
    <w:rsid w:val="00EA7E89"/>
    <w:rsid w:val="00EA7FE7"/>
    <w:rsid w:val="00EB0051"/>
    <w:rsid w:val="00EB005E"/>
    <w:rsid w:val="00EB006A"/>
    <w:rsid w:val="00EB0081"/>
    <w:rsid w:val="00EB00AF"/>
    <w:rsid w:val="00EB00F1"/>
    <w:rsid w:val="00EB0134"/>
    <w:rsid w:val="00EB0185"/>
    <w:rsid w:val="00EB01CC"/>
    <w:rsid w:val="00EB0253"/>
    <w:rsid w:val="00EB02F2"/>
    <w:rsid w:val="00EB02F7"/>
    <w:rsid w:val="00EB031F"/>
    <w:rsid w:val="00EB035D"/>
    <w:rsid w:val="00EB03A8"/>
    <w:rsid w:val="00EB0458"/>
    <w:rsid w:val="00EB056D"/>
    <w:rsid w:val="00EB0591"/>
    <w:rsid w:val="00EB05B3"/>
    <w:rsid w:val="00EB05C6"/>
    <w:rsid w:val="00EB06AE"/>
    <w:rsid w:val="00EB0722"/>
    <w:rsid w:val="00EB077C"/>
    <w:rsid w:val="00EB077E"/>
    <w:rsid w:val="00EB0780"/>
    <w:rsid w:val="00EB07AC"/>
    <w:rsid w:val="00EB0825"/>
    <w:rsid w:val="00EB092A"/>
    <w:rsid w:val="00EB0952"/>
    <w:rsid w:val="00EB09A0"/>
    <w:rsid w:val="00EB0A2B"/>
    <w:rsid w:val="00EB0A78"/>
    <w:rsid w:val="00EB0AD6"/>
    <w:rsid w:val="00EB0AF1"/>
    <w:rsid w:val="00EB0B1D"/>
    <w:rsid w:val="00EB0B62"/>
    <w:rsid w:val="00EB0C01"/>
    <w:rsid w:val="00EB0C3F"/>
    <w:rsid w:val="00EB0C8D"/>
    <w:rsid w:val="00EB0CD1"/>
    <w:rsid w:val="00EB0DC9"/>
    <w:rsid w:val="00EB0E52"/>
    <w:rsid w:val="00EB0EDB"/>
    <w:rsid w:val="00EB0F04"/>
    <w:rsid w:val="00EB0F10"/>
    <w:rsid w:val="00EB0F1A"/>
    <w:rsid w:val="00EB0F62"/>
    <w:rsid w:val="00EB0FE3"/>
    <w:rsid w:val="00EB1123"/>
    <w:rsid w:val="00EB1155"/>
    <w:rsid w:val="00EB1180"/>
    <w:rsid w:val="00EB1186"/>
    <w:rsid w:val="00EB11B0"/>
    <w:rsid w:val="00EB12B7"/>
    <w:rsid w:val="00EB12E6"/>
    <w:rsid w:val="00EB12F2"/>
    <w:rsid w:val="00EB1313"/>
    <w:rsid w:val="00EB144D"/>
    <w:rsid w:val="00EB1472"/>
    <w:rsid w:val="00EB148C"/>
    <w:rsid w:val="00EB15D5"/>
    <w:rsid w:val="00EB160E"/>
    <w:rsid w:val="00EB1631"/>
    <w:rsid w:val="00EB1638"/>
    <w:rsid w:val="00EB1691"/>
    <w:rsid w:val="00EB1698"/>
    <w:rsid w:val="00EB174F"/>
    <w:rsid w:val="00EB17F4"/>
    <w:rsid w:val="00EB17FA"/>
    <w:rsid w:val="00EB183F"/>
    <w:rsid w:val="00EB185D"/>
    <w:rsid w:val="00EB188A"/>
    <w:rsid w:val="00EB18B9"/>
    <w:rsid w:val="00EB1A3B"/>
    <w:rsid w:val="00EB1AF9"/>
    <w:rsid w:val="00EB1B92"/>
    <w:rsid w:val="00EB1C1A"/>
    <w:rsid w:val="00EB1CF6"/>
    <w:rsid w:val="00EB1CFB"/>
    <w:rsid w:val="00EB1E98"/>
    <w:rsid w:val="00EB1EA7"/>
    <w:rsid w:val="00EB1EF8"/>
    <w:rsid w:val="00EB1F91"/>
    <w:rsid w:val="00EB217A"/>
    <w:rsid w:val="00EB218A"/>
    <w:rsid w:val="00EB2201"/>
    <w:rsid w:val="00EB2354"/>
    <w:rsid w:val="00EB2403"/>
    <w:rsid w:val="00EB2434"/>
    <w:rsid w:val="00EB244B"/>
    <w:rsid w:val="00EB2494"/>
    <w:rsid w:val="00EB24A4"/>
    <w:rsid w:val="00EB24D2"/>
    <w:rsid w:val="00EB24F7"/>
    <w:rsid w:val="00EB25AB"/>
    <w:rsid w:val="00EB25BA"/>
    <w:rsid w:val="00EB2622"/>
    <w:rsid w:val="00EB2632"/>
    <w:rsid w:val="00EB264D"/>
    <w:rsid w:val="00EB26AB"/>
    <w:rsid w:val="00EB26CF"/>
    <w:rsid w:val="00EB2724"/>
    <w:rsid w:val="00EB2736"/>
    <w:rsid w:val="00EB273B"/>
    <w:rsid w:val="00EB2746"/>
    <w:rsid w:val="00EB280B"/>
    <w:rsid w:val="00EB285A"/>
    <w:rsid w:val="00EB288B"/>
    <w:rsid w:val="00EB28A3"/>
    <w:rsid w:val="00EB2904"/>
    <w:rsid w:val="00EB2975"/>
    <w:rsid w:val="00EB2980"/>
    <w:rsid w:val="00EB29A3"/>
    <w:rsid w:val="00EB29E8"/>
    <w:rsid w:val="00EB2A00"/>
    <w:rsid w:val="00EB2A5B"/>
    <w:rsid w:val="00EB2AB4"/>
    <w:rsid w:val="00EB2B4A"/>
    <w:rsid w:val="00EB2B7D"/>
    <w:rsid w:val="00EB2C01"/>
    <w:rsid w:val="00EB2C1E"/>
    <w:rsid w:val="00EB2C74"/>
    <w:rsid w:val="00EB2C8A"/>
    <w:rsid w:val="00EB2CFF"/>
    <w:rsid w:val="00EB2DDA"/>
    <w:rsid w:val="00EB2E27"/>
    <w:rsid w:val="00EB2EBB"/>
    <w:rsid w:val="00EB2F21"/>
    <w:rsid w:val="00EB2FC4"/>
    <w:rsid w:val="00EB2FCB"/>
    <w:rsid w:val="00EB3002"/>
    <w:rsid w:val="00EB3029"/>
    <w:rsid w:val="00EB3056"/>
    <w:rsid w:val="00EB3086"/>
    <w:rsid w:val="00EB30E4"/>
    <w:rsid w:val="00EB3135"/>
    <w:rsid w:val="00EB31A1"/>
    <w:rsid w:val="00EB31A3"/>
    <w:rsid w:val="00EB31AB"/>
    <w:rsid w:val="00EB31B6"/>
    <w:rsid w:val="00EB3200"/>
    <w:rsid w:val="00EB3204"/>
    <w:rsid w:val="00EB328B"/>
    <w:rsid w:val="00EB3295"/>
    <w:rsid w:val="00EB329B"/>
    <w:rsid w:val="00EB331A"/>
    <w:rsid w:val="00EB33CE"/>
    <w:rsid w:val="00EB3445"/>
    <w:rsid w:val="00EB34D1"/>
    <w:rsid w:val="00EB34F1"/>
    <w:rsid w:val="00EB3516"/>
    <w:rsid w:val="00EB357C"/>
    <w:rsid w:val="00EB359F"/>
    <w:rsid w:val="00EB35C2"/>
    <w:rsid w:val="00EB35D6"/>
    <w:rsid w:val="00EB361A"/>
    <w:rsid w:val="00EB366B"/>
    <w:rsid w:val="00EB37A4"/>
    <w:rsid w:val="00EB37F2"/>
    <w:rsid w:val="00EB38A4"/>
    <w:rsid w:val="00EB3906"/>
    <w:rsid w:val="00EB3930"/>
    <w:rsid w:val="00EB3983"/>
    <w:rsid w:val="00EB399D"/>
    <w:rsid w:val="00EB3ACD"/>
    <w:rsid w:val="00EB3ADE"/>
    <w:rsid w:val="00EB3AF5"/>
    <w:rsid w:val="00EB3C04"/>
    <w:rsid w:val="00EB3C75"/>
    <w:rsid w:val="00EB3C7A"/>
    <w:rsid w:val="00EB3CA4"/>
    <w:rsid w:val="00EB3D08"/>
    <w:rsid w:val="00EB3D3D"/>
    <w:rsid w:val="00EB3D3E"/>
    <w:rsid w:val="00EB3D40"/>
    <w:rsid w:val="00EB3DC6"/>
    <w:rsid w:val="00EB3E3A"/>
    <w:rsid w:val="00EB3E91"/>
    <w:rsid w:val="00EB3E97"/>
    <w:rsid w:val="00EB3EF4"/>
    <w:rsid w:val="00EB3F02"/>
    <w:rsid w:val="00EB3F36"/>
    <w:rsid w:val="00EB3F4D"/>
    <w:rsid w:val="00EB3FD5"/>
    <w:rsid w:val="00EB403B"/>
    <w:rsid w:val="00EB4058"/>
    <w:rsid w:val="00EB408F"/>
    <w:rsid w:val="00EB40B2"/>
    <w:rsid w:val="00EB40CE"/>
    <w:rsid w:val="00EB413D"/>
    <w:rsid w:val="00EB4193"/>
    <w:rsid w:val="00EB41BC"/>
    <w:rsid w:val="00EB422F"/>
    <w:rsid w:val="00EB426E"/>
    <w:rsid w:val="00EB42C8"/>
    <w:rsid w:val="00EB4311"/>
    <w:rsid w:val="00EB4357"/>
    <w:rsid w:val="00EB437B"/>
    <w:rsid w:val="00EB43A4"/>
    <w:rsid w:val="00EB43D5"/>
    <w:rsid w:val="00EB4424"/>
    <w:rsid w:val="00EB4473"/>
    <w:rsid w:val="00EB4556"/>
    <w:rsid w:val="00EB456F"/>
    <w:rsid w:val="00EB461D"/>
    <w:rsid w:val="00EB46AF"/>
    <w:rsid w:val="00EB476C"/>
    <w:rsid w:val="00EB47AD"/>
    <w:rsid w:val="00EB48BB"/>
    <w:rsid w:val="00EB490A"/>
    <w:rsid w:val="00EB491D"/>
    <w:rsid w:val="00EB4A47"/>
    <w:rsid w:val="00EB4A88"/>
    <w:rsid w:val="00EB4A8B"/>
    <w:rsid w:val="00EB4AA7"/>
    <w:rsid w:val="00EB4AD1"/>
    <w:rsid w:val="00EB4B0B"/>
    <w:rsid w:val="00EB4B59"/>
    <w:rsid w:val="00EB4BA6"/>
    <w:rsid w:val="00EB4C25"/>
    <w:rsid w:val="00EB4C65"/>
    <w:rsid w:val="00EB4C7A"/>
    <w:rsid w:val="00EB4CC4"/>
    <w:rsid w:val="00EB4CEE"/>
    <w:rsid w:val="00EB4D08"/>
    <w:rsid w:val="00EB4D5A"/>
    <w:rsid w:val="00EB4D70"/>
    <w:rsid w:val="00EB4D7F"/>
    <w:rsid w:val="00EB4E1F"/>
    <w:rsid w:val="00EB4EF1"/>
    <w:rsid w:val="00EB4F22"/>
    <w:rsid w:val="00EB5023"/>
    <w:rsid w:val="00EB5043"/>
    <w:rsid w:val="00EB5131"/>
    <w:rsid w:val="00EB514B"/>
    <w:rsid w:val="00EB518A"/>
    <w:rsid w:val="00EB51B9"/>
    <w:rsid w:val="00EB51D1"/>
    <w:rsid w:val="00EB51E9"/>
    <w:rsid w:val="00EB52B7"/>
    <w:rsid w:val="00EB52D7"/>
    <w:rsid w:val="00EB52EA"/>
    <w:rsid w:val="00EB5366"/>
    <w:rsid w:val="00EB539C"/>
    <w:rsid w:val="00EB53B2"/>
    <w:rsid w:val="00EB540E"/>
    <w:rsid w:val="00EB542F"/>
    <w:rsid w:val="00EB5507"/>
    <w:rsid w:val="00EB552E"/>
    <w:rsid w:val="00EB5538"/>
    <w:rsid w:val="00EB558D"/>
    <w:rsid w:val="00EB55D3"/>
    <w:rsid w:val="00EB567F"/>
    <w:rsid w:val="00EB56C6"/>
    <w:rsid w:val="00EB5720"/>
    <w:rsid w:val="00EB5760"/>
    <w:rsid w:val="00EB57A8"/>
    <w:rsid w:val="00EB57E5"/>
    <w:rsid w:val="00EB58AA"/>
    <w:rsid w:val="00EB5919"/>
    <w:rsid w:val="00EB5968"/>
    <w:rsid w:val="00EB59F0"/>
    <w:rsid w:val="00EB5A00"/>
    <w:rsid w:val="00EB5A2B"/>
    <w:rsid w:val="00EB5A45"/>
    <w:rsid w:val="00EB5A71"/>
    <w:rsid w:val="00EB5AB9"/>
    <w:rsid w:val="00EB5B0A"/>
    <w:rsid w:val="00EB5B31"/>
    <w:rsid w:val="00EB5B35"/>
    <w:rsid w:val="00EB5BC7"/>
    <w:rsid w:val="00EB5BD6"/>
    <w:rsid w:val="00EB5BF7"/>
    <w:rsid w:val="00EB5C38"/>
    <w:rsid w:val="00EB5CE3"/>
    <w:rsid w:val="00EB5CE9"/>
    <w:rsid w:val="00EB5D87"/>
    <w:rsid w:val="00EB5E61"/>
    <w:rsid w:val="00EB5E69"/>
    <w:rsid w:val="00EB5E98"/>
    <w:rsid w:val="00EB5EA6"/>
    <w:rsid w:val="00EB5ED8"/>
    <w:rsid w:val="00EB5F68"/>
    <w:rsid w:val="00EB5F7B"/>
    <w:rsid w:val="00EB5FB8"/>
    <w:rsid w:val="00EB5FD7"/>
    <w:rsid w:val="00EB6008"/>
    <w:rsid w:val="00EB600F"/>
    <w:rsid w:val="00EB608D"/>
    <w:rsid w:val="00EB60B9"/>
    <w:rsid w:val="00EB60F6"/>
    <w:rsid w:val="00EB612B"/>
    <w:rsid w:val="00EB6182"/>
    <w:rsid w:val="00EB61AB"/>
    <w:rsid w:val="00EB622D"/>
    <w:rsid w:val="00EB626F"/>
    <w:rsid w:val="00EB62A7"/>
    <w:rsid w:val="00EB62AB"/>
    <w:rsid w:val="00EB6385"/>
    <w:rsid w:val="00EB640F"/>
    <w:rsid w:val="00EB6443"/>
    <w:rsid w:val="00EB646B"/>
    <w:rsid w:val="00EB64B2"/>
    <w:rsid w:val="00EB64FD"/>
    <w:rsid w:val="00EB6553"/>
    <w:rsid w:val="00EB6599"/>
    <w:rsid w:val="00EB65A6"/>
    <w:rsid w:val="00EB65AC"/>
    <w:rsid w:val="00EB6643"/>
    <w:rsid w:val="00EB66A2"/>
    <w:rsid w:val="00EB66A3"/>
    <w:rsid w:val="00EB670A"/>
    <w:rsid w:val="00EB6724"/>
    <w:rsid w:val="00EB67AB"/>
    <w:rsid w:val="00EB67BA"/>
    <w:rsid w:val="00EB686C"/>
    <w:rsid w:val="00EB6878"/>
    <w:rsid w:val="00EB68C4"/>
    <w:rsid w:val="00EB6926"/>
    <w:rsid w:val="00EB69F4"/>
    <w:rsid w:val="00EB6A51"/>
    <w:rsid w:val="00EB6A9C"/>
    <w:rsid w:val="00EB6A9F"/>
    <w:rsid w:val="00EB6AEC"/>
    <w:rsid w:val="00EB6AF1"/>
    <w:rsid w:val="00EB6B2F"/>
    <w:rsid w:val="00EB6B81"/>
    <w:rsid w:val="00EB6C22"/>
    <w:rsid w:val="00EB6CD1"/>
    <w:rsid w:val="00EB6D18"/>
    <w:rsid w:val="00EB6D2E"/>
    <w:rsid w:val="00EB6D53"/>
    <w:rsid w:val="00EB6DDC"/>
    <w:rsid w:val="00EB701B"/>
    <w:rsid w:val="00EB7066"/>
    <w:rsid w:val="00EB7078"/>
    <w:rsid w:val="00EB70B0"/>
    <w:rsid w:val="00EB70BD"/>
    <w:rsid w:val="00EB70D5"/>
    <w:rsid w:val="00EB70D7"/>
    <w:rsid w:val="00EB7101"/>
    <w:rsid w:val="00EB711E"/>
    <w:rsid w:val="00EB7134"/>
    <w:rsid w:val="00EB725E"/>
    <w:rsid w:val="00EB72A0"/>
    <w:rsid w:val="00EB72B8"/>
    <w:rsid w:val="00EB7354"/>
    <w:rsid w:val="00EB743D"/>
    <w:rsid w:val="00EB74D9"/>
    <w:rsid w:val="00EB74E8"/>
    <w:rsid w:val="00EB756E"/>
    <w:rsid w:val="00EB7657"/>
    <w:rsid w:val="00EB765F"/>
    <w:rsid w:val="00EB76D0"/>
    <w:rsid w:val="00EB76E4"/>
    <w:rsid w:val="00EB773C"/>
    <w:rsid w:val="00EB7742"/>
    <w:rsid w:val="00EB7770"/>
    <w:rsid w:val="00EB784F"/>
    <w:rsid w:val="00EB7893"/>
    <w:rsid w:val="00EB793E"/>
    <w:rsid w:val="00EB7940"/>
    <w:rsid w:val="00EB7942"/>
    <w:rsid w:val="00EB795A"/>
    <w:rsid w:val="00EB795D"/>
    <w:rsid w:val="00EB7A02"/>
    <w:rsid w:val="00EB7A78"/>
    <w:rsid w:val="00EB7ABF"/>
    <w:rsid w:val="00EB7AE6"/>
    <w:rsid w:val="00EB7AF2"/>
    <w:rsid w:val="00EB7C0E"/>
    <w:rsid w:val="00EB7C3A"/>
    <w:rsid w:val="00EB7C3D"/>
    <w:rsid w:val="00EB7C4F"/>
    <w:rsid w:val="00EB7CC4"/>
    <w:rsid w:val="00EB7CEB"/>
    <w:rsid w:val="00EB7D06"/>
    <w:rsid w:val="00EB7D26"/>
    <w:rsid w:val="00EB7E14"/>
    <w:rsid w:val="00EB7E1C"/>
    <w:rsid w:val="00EB7F70"/>
    <w:rsid w:val="00EB7FBC"/>
    <w:rsid w:val="00EC0004"/>
    <w:rsid w:val="00EC005E"/>
    <w:rsid w:val="00EC006B"/>
    <w:rsid w:val="00EC00A1"/>
    <w:rsid w:val="00EC01E1"/>
    <w:rsid w:val="00EC021D"/>
    <w:rsid w:val="00EC02AB"/>
    <w:rsid w:val="00EC03BB"/>
    <w:rsid w:val="00EC03BF"/>
    <w:rsid w:val="00EC03C9"/>
    <w:rsid w:val="00EC0491"/>
    <w:rsid w:val="00EC04F0"/>
    <w:rsid w:val="00EC0527"/>
    <w:rsid w:val="00EC05DE"/>
    <w:rsid w:val="00EC05FE"/>
    <w:rsid w:val="00EC0647"/>
    <w:rsid w:val="00EC06BA"/>
    <w:rsid w:val="00EC06D5"/>
    <w:rsid w:val="00EC079B"/>
    <w:rsid w:val="00EC0875"/>
    <w:rsid w:val="00EC08ED"/>
    <w:rsid w:val="00EC096A"/>
    <w:rsid w:val="00EC09B7"/>
    <w:rsid w:val="00EC0A20"/>
    <w:rsid w:val="00EC0A3C"/>
    <w:rsid w:val="00EC0ABD"/>
    <w:rsid w:val="00EC0B55"/>
    <w:rsid w:val="00EC0BCD"/>
    <w:rsid w:val="00EC0C3E"/>
    <w:rsid w:val="00EC0C47"/>
    <w:rsid w:val="00EC0CAE"/>
    <w:rsid w:val="00EC0D42"/>
    <w:rsid w:val="00EC0D72"/>
    <w:rsid w:val="00EC0D9B"/>
    <w:rsid w:val="00EC0DA0"/>
    <w:rsid w:val="00EC0DA7"/>
    <w:rsid w:val="00EC0DC6"/>
    <w:rsid w:val="00EC0DDF"/>
    <w:rsid w:val="00EC0E32"/>
    <w:rsid w:val="00EC0E64"/>
    <w:rsid w:val="00EC0F79"/>
    <w:rsid w:val="00EC0FA6"/>
    <w:rsid w:val="00EC0FFE"/>
    <w:rsid w:val="00EC114A"/>
    <w:rsid w:val="00EC121F"/>
    <w:rsid w:val="00EC1241"/>
    <w:rsid w:val="00EC1289"/>
    <w:rsid w:val="00EC12B0"/>
    <w:rsid w:val="00EC12B3"/>
    <w:rsid w:val="00EC12F1"/>
    <w:rsid w:val="00EC1337"/>
    <w:rsid w:val="00EC13B2"/>
    <w:rsid w:val="00EC141B"/>
    <w:rsid w:val="00EC1462"/>
    <w:rsid w:val="00EC14B3"/>
    <w:rsid w:val="00EC154E"/>
    <w:rsid w:val="00EC1586"/>
    <w:rsid w:val="00EC1671"/>
    <w:rsid w:val="00EC1686"/>
    <w:rsid w:val="00EC16D9"/>
    <w:rsid w:val="00EC170A"/>
    <w:rsid w:val="00EC1733"/>
    <w:rsid w:val="00EC1793"/>
    <w:rsid w:val="00EC17AA"/>
    <w:rsid w:val="00EC17AC"/>
    <w:rsid w:val="00EC17CE"/>
    <w:rsid w:val="00EC17FA"/>
    <w:rsid w:val="00EC18A2"/>
    <w:rsid w:val="00EC18CD"/>
    <w:rsid w:val="00EC1919"/>
    <w:rsid w:val="00EC191A"/>
    <w:rsid w:val="00EC1A34"/>
    <w:rsid w:val="00EC1A93"/>
    <w:rsid w:val="00EC1B28"/>
    <w:rsid w:val="00EC1B62"/>
    <w:rsid w:val="00EC1BE9"/>
    <w:rsid w:val="00EC1BFB"/>
    <w:rsid w:val="00EC1C14"/>
    <w:rsid w:val="00EC1C3A"/>
    <w:rsid w:val="00EC1C9C"/>
    <w:rsid w:val="00EC1CDA"/>
    <w:rsid w:val="00EC1D50"/>
    <w:rsid w:val="00EC1D5F"/>
    <w:rsid w:val="00EC1D68"/>
    <w:rsid w:val="00EC1D76"/>
    <w:rsid w:val="00EC1E0E"/>
    <w:rsid w:val="00EC1E4E"/>
    <w:rsid w:val="00EC1F23"/>
    <w:rsid w:val="00EC1F9F"/>
    <w:rsid w:val="00EC1FE7"/>
    <w:rsid w:val="00EC1FE9"/>
    <w:rsid w:val="00EC2034"/>
    <w:rsid w:val="00EC2052"/>
    <w:rsid w:val="00EC211B"/>
    <w:rsid w:val="00EC2155"/>
    <w:rsid w:val="00EC21B9"/>
    <w:rsid w:val="00EC21C9"/>
    <w:rsid w:val="00EC2230"/>
    <w:rsid w:val="00EC236D"/>
    <w:rsid w:val="00EC236E"/>
    <w:rsid w:val="00EC2373"/>
    <w:rsid w:val="00EC23AC"/>
    <w:rsid w:val="00EC23B5"/>
    <w:rsid w:val="00EC23BD"/>
    <w:rsid w:val="00EC23D2"/>
    <w:rsid w:val="00EC2495"/>
    <w:rsid w:val="00EC24BE"/>
    <w:rsid w:val="00EC24ED"/>
    <w:rsid w:val="00EC2500"/>
    <w:rsid w:val="00EC2558"/>
    <w:rsid w:val="00EC2585"/>
    <w:rsid w:val="00EC2639"/>
    <w:rsid w:val="00EC2672"/>
    <w:rsid w:val="00EC267F"/>
    <w:rsid w:val="00EC2728"/>
    <w:rsid w:val="00EC2757"/>
    <w:rsid w:val="00EC2783"/>
    <w:rsid w:val="00EC278C"/>
    <w:rsid w:val="00EC279B"/>
    <w:rsid w:val="00EC27A2"/>
    <w:rsid w:val="00EC27CB"/>
    <w:rsid w:val="00EC2826"/>
    <w:rsid w:val="00EC283C"/>
    <w:rsid w:val="00EC288F"/>
    <w:rsid w:val="00EC289F"/>
    <w:rsid w:val="00EC2A7B"/>
    <w:rsid w:val="00EC2A88"/>
    <w:rsid w:val="00EC2A99"/>
    <w:rsid w:val="00EC2AA7"/>
    <w:rsid w:val="00EC2AB9"/>
    <w:rsid w:val="00EC2ACD"/>
    <w:rsid w:val="00EC2ACF"/>
    <w:rsid w:val="00EC2B60"/>
    <w:rsid w:val="00EC2B64"/>
    <w:rsid w:val="00EC2B93"/>
    <w:rsid w:val="00EC2B96"/>
    <w:rsid w:val="00EC2BA6"/>
    <w:rsid w:val="00EC2BFB"/>
    <w:rsid w:val="00EC2C1B"/>
    <w:rsid w:val="00EC2CDC"/>
    <w:rsid w:val="00EC2D8E"/>
    <w:rsid w:val="00EC2D94"/>
    <w:rsid w:val="00EC2DEF"/>
    <w:rsid w:val="00EC2EA1"/>
    <w:rsid w:val="00EC2EFF"/>
    <w:rsid w:val="00EC2F07"/>
    <w:rsid w:val="00EC2F0B"/>
    <w:rsid w:val="00EC2F21"/>
    <w:rsid w:val="00EC301C"/>
    <w:rsid w:val="00EC303D"/>
    <w:rsid w:val="00EC30A5"/>
    <w:rsid w:val="00EC30BD"/>
    <w:rsid w:val="00EC317B"/>
    <w:rsid w:val="00EC3182"/>
    <w:rsid w:val="00EC31CF"/>
    <w:rsid w:val="00EC3279"/>
    <w:rsid w:val="00EC32C0"/>
    <w:rsid w:val="00EC32CC"/>
    <w:rsid w:val="00EC3322"/>
    <w:rsid w:val="00EC3351"/>
    <w:rsid w:val="00EC335F"/>
    <w:rsid w:val="00EC3481"/>
    <w:rsid w:val="00EC3537"/>
    <w:rsid w:val="00EC35A3"/>
    <w:rsid w:val="00EC35DC"/>
    <w:rsid w:val="00EC3658"/>
    <w:rsid w:val="00EC3665"/>
    <w:rsid w:val="00EC3707"/>
    <w:rsid w:val="00EC38F7"/>
    <w:rsid w:val="00EC3987"/>
    <w:rsid w:val="00EC398A"/>
    <w:rsid w:val="00EC3991"/>
    <w:rsid w:val="00EC3A2C"/>
    <w:rsid w:val="00EC3A64"/>
    <w:rsid w:val="00EC3A9B"/>
    <w:rsid w:val="00EC3A9F"/>
    <w:rsid w:val="00EC3B3D"/>
    <w:rsid w:val="00EC3C06"/>
    <w:rsid w:val="00EC3C14"/>
    <w:rsid w:val="00EC3CC9"/>
    <w:rsid w:val="00EC3CE0"/>
    <w:rsid w:val="00EC3D08"/>
    <w:rsid w:val="00EC3D0E"/>
    <w:rsid w:val="00EC3D4B"/>
    <w:rsid w:val="00EC3D71"/>
    <w:rsid w:val="00EC3DCA"/>
    <w:rsid w:val="00EC3E86"/>
    <w:rsid w:val="00EC3EC7"/>
    <w:rsid w:val="00EC3EFC"/>
    <w:rsid w:val="00EC3F28"/>
    <w:rsid w:val="00EC402D"/>
    <w:rsid w:val="00EC40C9"/>
    <w:rsid w:val="00EC4145"/>
    <w:rsid w:val="00EC4215"/>
    <w:rsid w:val="00EC426C"/>
    <w:rsid w:val="00EC42AD"/>
    <w:rsid w:val="00EC42E2"/>
    <w:rsid w:val="00EC432E"/>
    <w:rsid w:val="00EC43A1"/>
    <w:rsid w:val="00EC43F8"/>
    <w:rsid w:val="00EC4449"/>
    <w:rsid w:val="00EC4468"/>
    <w:rsid w:val="00EC44AD"/>
    <w:rsid w:val="00EC44E4"/>
    <w:rsid w:val="00EC4511"/>
    <w:rsid w:val="00EC459D"/>
    <w:rsid w:val="00EC45E3"/>
    <w:rsid w:val="00EC46CB"/>
    <w:rsid w:val="00EC46DC"/>
    <w:rsid w:val="00EC47A6"/>
    <w:rsid w:val="00EC494B"/>
    <w:rsid w:val="00EC49F0"/>
    <w:rsid w:val="00EC4A18"/>
    <w:rsid w:val="00EC4AD6"/>
    <w:rsid w:val="00EC4B89"/>
    <w:rsid w:val="00EC4CFC"/>
    <w:rsid w:val="00EC4D09"/>
    <w:rsid w:val="00EC4D12"/>
    <w:rsid w:val="00EC4DA4"/>
    <w:rsid w:val="00EC4E70"/>
    <w:rsid w:val="00EC4ED4"/>
    <w:rsid w:val="00EC4ED7"/>
    <w:rsid w:val="00EC4EE1"/>
    <w:rsid w:val="00EC4EEF"/>
    <w:rsid w:val="00EC4EF1"/>
    <w:rsid w:val="00EC4FA7"/>
    <w:rsid w:val="00EC4FEF"/>
    <w:rsid w:val="00EC501D"/>
    <w:rsid w:val="00EC5071"/>
    <w:rsid w:val="00EC5081"/>
    <w:rsid w:val="00EC512F"/>
    <w:rsid w:val="00EC5165"/>
    <w:rsid w:val="00EC524E"/>
    <w:rsid w:val="00EC5274"/>
    <w:rsid w:val="00EC532B"/>
    <w:rsid w:val="00EC5381"/>
    <w:rsid w:val="00EC5382"/>
    <w:rsid w:val="00EC5395"/>
    <w:rsid w:val="00EC53A0"/>
    <w:rsid w:val="00EC53EB"/>
    <w:rsid w:val="00EC53ED"/>
    <w:rsid w:val="00EC542C"/>
    <w:rsid w:val="00EC5448"/>
    <w:rsid w:val="00EC54C2"/>
    <w:rsid w:val="00EC5530"/>
    <w:rsid w:val="00EC558D"/>
    <w:rsid w:val="00EC55AC"/>
    <w:rsid w:val="00EC55EE"/>
    <w:rsid w:val="00EC5601"/>
    <w:rsid w:val="00EC566E"/>
    <w:rsid w:val="00EC5761"/>
    <w:rsid w:val="00EC5787"/>
    <w:rsid w:val="00EC578B"/>
    <w:rsid w:val="00EC57B5"/>
    <w:rsid w:val="00EC5810"/>
    <w:rsid w:val="00EC589C"/>
    <w:rsid w:val="00EC592C"/>
    <w:rsid w:val="00EC5931"/>
    <w:rsid w:val="00EC59E8"/>
    <w:rsid w:val="00EC5A4F"/>
    <w:rsid w:val="00EC5AA4"/>
    <w:rsid w:val="00EC5AF0"/>
    <w:rsid w:val="00EC5B06"/>
    <w:rsid w:val="00EC5B30"/>
    <w:rsid w:val="00EC5BB3"/>
    <w:rsid w:val="00EC5C33"/>
    <w:rsid w:val="00EC5E27"/>
    <w:rsid w:val="00EC5E7A"/>
    <w:rsid w:val="00EC5EFD"/>
    <w:rsid w:val="00EC5F8E"/>
    <w:rsid w:val="00EC5FEA"/>
    <w:rsid w:val="00EC5FFE"/>
    <w:rsid w:val="00EC60E3"/>
    <w:rsid w:val="00EC6152"/>
    <w:rsid w:val="00EC61CA"/>
    <w:rsid w:val="00EC621F"/>
    <w:rsid w:val="00EC62D3"/>
    <w:rsid w:val="00EC62DC"/>
    <w:rsid w:val="00EC6387"/>
    <w:rsid w:val="00EC63AB"/>
    <w:rsid w:val="00EC6507"/>
    <w:rsid w:val="00EC65B1"/>
    <w:rsid w:val="00EC65E1"/>
    <w:rsid w:val="00EC6686"/>
    <w:rsid w:val="00EC6760"/>
    <w:rsid w:val="00EC6785"/>
    <w:rsid w:val="00EC6788"/>
    <w:rsid w:val="00EC67BA"/>
    <w:rsid w:val="00EC67DC"/>
    <w:rsid w:val="00EC6857"/>
    <w:rsid w:val="00EC69F3"/>
    <w:rsid w:val="00EC69FC"/>
    <w:rsid w:val="00EC6A4B"/>
    <w:rsid w:val="00EC6A5D"/>
    <w:rsid w:val="00EC6AE1"/>
    <w:rsid w:val="00EC6B0A"/>
    <w:rsid w:val="00EC6B16"/>
    <w:rsid w:val="00EC6B23"/>
    <w:rsid w:val="00EC6B50"/>
    <w:rsid w:val="00EC6B88"/>
    <w:rsid w:val="00EC6C22"/>
    <w:rsid w:val="00EC6C7E"/>
    <w:rsid w:val="00EC6CBF"/>
    <w:rsid w:val="00EC6D7A"/>
    <w:rsid w:val="00EC6DDA"/>
    <w:rsid w:val="00EC6ED1"/>
    <w:rsid w:val="00EC6F6F"/>
    <w:rsid w:val="00EC7016"/>
    <w:rsid w:val="00EC70E2"/>
    <w:rsid w:val="00EC7100"/>
    <w:rsid w:val="00EC7156"/>
    <w:rsid w:val="00EC717C"/>
    <w:rsid w:val="00EC7196"/>
    <w:rsid w:val="00EC71E6"/>
    <w:rsid w:val="00EC72B3"/>
    <w:rsid w:val="00EC72B5"/>
    <w:rsid w:val="00EC72DE"/>
    <w:rsid w:val="00EC72FB"/>
    <w:rsid w:val="00EC740B"/>
    <w:rsid w:val="00EC741B"/>
    <w:rsid w:val="00EC7493"/>
    <w:rsid w:val="00EC74C6"/>
    <w:rsid w:val="00EC7525"/>
    <w:rsid w:val="00EC75B0"/>
    <w:rsid w:val="00EC75C3"/>
    <w:rsid w:val="00EC75C6"/>
    <w:rsid w:val="00EC75D6"/>
    <w:rsid w:val="00EC7658"/>
    <w:rsid w:val="00EC77A0"/>
    <w:rsid w:val="00EC783F"/>
    <w:rsid w:val="00EC7903"/>
    <w:rsid w:val="00EC7A58"/>
    <w:rsid w:val="00EC7AB9"/>
    <w:rsid w:val="00EC7AEC"/>
    <w:rsid w:val="00EC7B01"/>
    <w:rsid w:val="00EC7B1A"/>
    <w:rsid w:val="00EC7B5F"/>
    <w:rsid w:val="00EC7BB1"/>
    <w:rsid w:val="00EC7D0D"/>
    <w:rsid w:val="00EC7D4F"/>
    <w:rsid w:val="00EC7E00"/>
    <w:rsid w:val="00EC7E12"/>
    <w:rsid w:val="00EC7E66"/>
    <w:rsid w:val="00EC7EEC"/>
    <w:rsid w:val="00EC7EF3"/>
    <w:rsid w:val="00EC7FBE"/>
    <w:rsid w:val="00ED0035"/>
    <w:rsid w:val="00ED00BB"/>
    <w:rsid w:val="00ED0116"/>
    <w:rsid w:val="00ED015F"/>
    <w:rsid w:val="00ED0194"/>
    <w:rsid w:val="00ED0219"/>
    <w:rsid w:val="00ED0326"/>
    <w:rsid w:val="00ED03D8"/>
    <w:rsid w:val="00ED03FE"/>
    <w:rsid w:val="00ED0408"/>
    <w:rsid w:val="00ED0450"/>
    <w:rsid w:val="00ED04B7"/>
    <w:rsid w:val="00ED0517"/>
    <w:rsid w:val="00ED053A"/>
    <w:rsid w:val="00ED0558"/>
    <w:rsid w:val="00ED0588"/>
    <w:rsid w:val="00ED059D"/>
    <w:rsid w:val="00ED05D6"/>
    <w:rsid w:val="00ED0623"/>
    <w:rsid w:val="00ED06E8"/>
    <w:rsid w:val="00ED0705"/>
    <w:rsid w:val="00ED071F"/>
    <w:rsid w:val="00ED0726"/>
    <w:rsid w:val="00ED07CF"/>
    <w:rsid w:val="00ED07D6"/>
    <w:rsid w:val="00ED07E8"/>
    <w:rsid w:val="00ED08AE"/>
    <w:rsid w:val="00ED0936"/>
    <w:rsid w:val="00ED09A9"/>
    <w:rsid w:val="00ED0A20"/>
    <w:rsid w:val="00ED0A56"/>
    <w:rsid w:val="00ED0AD0"/>
    <w:rsid w:val="00ED0B91"/>
    <w:rsid w:val="00ED0BF7"/>
    <w:rsid w:val="00ED0D04"/>
    <w:rsid w:val="00ED0D38"/>
    <w:rsid w:val="00ED0DB6"/>
    <w:rsid w:val="00ED0E28"/>
    <w:rsid w:val="00ED0E47"/>
    <w:rsid w:val="00ED0EC0"/>
    <w:rsid w:val="00ED0F4E"/>
    <w:rsid w:val="00ED0FB5"/>
    <w:rsid w:val="00ED0FC4"/>
    <w:rsid w:val="00ED0FDE"/>
    <w:rsid w:val="00ED0FF1"/>
    <w:rsid w:val="00ED105F"/>
    <w:rsid w:val="00ED1083"/>
    <w:rsid w:val="00ED10CD"/>
    <w:rsid w:val="00ED1142"/>
    <w:rsid w:val="00ED115B"/>
    <w:rsid w:val="00ED1185"/>
    <w:rsid w:val="00ED1188"/>
    <w:rsid w:val="00ED119B"/>
    <w:rsid w:val="00ED11A1"/>
    <w:rsid w:val="00ED11D7"/>
    <w:rsid w:val="00ED11DD"/>
    <w:rsid w:val="00ED11E4"/>
    <w:rsid w:val="00ED122D"/>
    <w:rsid w:val="00ED125C"/>
    <w:rsid w:val="00ED126E"/>
    <w:rsid w:val="00ED128B"/>
    <w:rsid w:val="00ED1383"/>
    <w:rsid w:val="00ED1397"/>
    <w:rsid w:val="00ED149D"/>
    <w:rsid w:val="00ED14F6"/>
    <w:rsid w:val="00ED1544"/>
    <w:rsid w:val="00ED15B5"/>
    <w:rsid w:val="00ED1607"/>
    <w:rsid w:val="00ED161F"/>
    <w:rsid w:val="00ED162F"/>
    <w:rsid w:val="00ED1700"/>
    <w:rsid w:val="00ED170C"/>
    <w:rsid w:val="00ED1730"/>
    <w:rsid w:val="00ED17B8"/>
    <w:rsid w:val="00ED17E8"/>
    <w:rsid w:val="00ED185F"/>
    <w:rsid w:val="00ED18CB"/>
    <w:rsid w:val="00ED1996"/>
    <w:rsid w:val="00ED19B7"/>
    <w:rsid w:val="00ED19CA"/>
    <w:rsid w:val="00ED1A3F"/>
    <w:rsid w:val="00ED1A51"/>
    <w:rsid w:val="00ED1B2D"/>
    <w:rsid w:val="00ED1B3D"/>
    <w:rsid w:val="00ED1BAF"/>
    <w:rsid w:val="00ED1C4A"/>
    <w:rsid w:val="00ED1C5E"/>
    <w:rsid w:val="00ED1C75"/>
    <w:rsid w:val="00ED1CC1"/>
    <w:rsid w:val="00ED1D89"/>
    <w:rsid w:val="00ED1DB7"/>
    <w:rsid w:val="00ED1DF6"/>
    <w:rsid w:val="00ED1E32"/>
    <w:rsid w:val="00ED1ED2"/>
    <w:rsid w:val="00ED2084"/>
    <w:rsid w:val="00ED208A"/>
    <w:rsid w:val="00ED208D"/>
    <w:rsid w:val="00ED20AA"/>
    <w:rsid w:val="00ED2118"/>
    <w:rsid w:val="00ED2135"/>
    <w:rsid w:val="00ED21FF"/>
    <w:rsid w:val="00ED227A"/>
    <w:rsid w:val="00ED2286"/>
    <w:rsid w:val="00ED2288"/>
    <w:rsid w:val="00ED22F3"/>
    <w:rsid w:val="00ED2362"/>
    <w:rsid w:val="00ED238F"/>
    <w:rsid w:val="00ED23E5"/>
    <w:rsid w:val="00ED23ED"/>
    <w:rsid w:val="00ED240B"/>
    <w:rsid w:val="00ED2462"/>
    <w:rsid w:val="00ED2580"/>
    <w:rsid w:val="00ED259C"/>
    <w:rsid w:val="00ED25BC"/>
    <w:rsid w:val="00ED25C1"/>
    <w:rsid w:val="00ED25C7"/>
    <w:rsid w:val="00ED2674"/>
    <w:rsid w:val="00ED2771"/>
    <w:rsid w:val="00ED2825"/>
    <w:rsid w:val="00ED2860"/>
    <w:rsid w:val="00ED2884"/>
    <w:rsid w:val="00ED28B9"/>
    <w:rsid w:val="00ED2931"/>
    <w:rsid w:val="00ED295E"/>
    <w:rsid w:val="00ED2A38"/>
    <w:rsid w:val="00ED2A42"/>
    <w:rsid w:val="00ED2A63"/>
    <w:rsid w:val="00ED2B66"/>
    <w:rsid w:val="00ED2BB6"/>
    <w:rsid w:val="00ED2C0C"/>
    <w:rsid w:val="00ED2C50"/>
    <w:rsid w:val="00ED2C86"/>
    <w:rsid w:val="00ED2CA8"/>
    <w:rsid w:val="00ED2CB2"/>
    <w:rsid w:val="00ED2CE5"/>
    <w:rsid w:val="00ED2CE6"/>
    <w:rsid w:val="00ED2CEB"/>
    <w:rsid w:val="00ED2D30"/>
    <w:rsid w:val="00ED2D64"/>
    <w:rsid w:val="00ED2DF6"/>
    <w:rsid w:val="00ED2F7E"/>
    <w:rsid w:val="00ED3016"/>
    <w:rsid w:val="00ED3042"/>
    <w:rsid w:val="00ED3133"/>
    <w:rsid w:val="00ED314E"/>
    <w:rsid w:val="00ED3155"/>
    <w:rsid w:val="00ED316C"/>
    <w:rsid w:val="00ED31BA"/>
    <w:rsid w:val="00ED31C2"/>
    <w:rsid w:val="00ED3234"/>
    <w:rsid w:val="00ED3256"/>
    <w:rsid w:val="00ED3290"/>
    <w:rsid w:val="00ED32CA"/>
    <w:rsid w:val="00ED32DE"/>
    <w:rsid w:val="00ED33B8"/>
    <w:rsid w:val="00ED3493"/>
    <w:rsid w:val="00ED34C4"/>
    <w:rsid w:val="00ED3526"/>
    <w:rsid w:val="00ED35D6"/>
    <w:rsid w:val="00ED3623"/>
    <w:rsid w:val="00ED36A5"/>
    <w:rsid w:val="00ED36ED"/>
    <w:rsid w:val="00ED376F"/>
    <w:rsid w:val="00ED3824"/>
    <w:rsid w:val="00ED3886"/>
    <w:rsid w:val="00ED38B9"/>
    <w:rsid w:val="00ED38E0"/>
    <w:rsid w:val="00ED38F4"/>
    <w:rsid w:val="00ED38F6"/>
    <w:rsid w:val="00ED3906"/>
    <w:rsid w:val="00ED3A6C"/>
    <w:rsid w:val="00ED3AB9"/>
    <w:rsid w:val="00ED3B1E"/>
    <w:rsid w:val="00ED3B4C"/>
    <w:rsid w:val="00ED3BCA"/>
    <w:rsid w:val="00ED3BF9"/>
    <w:rsid w:val="00ED3BFD"/>
    <w:rsid w:val="00ED3C03"/>
    <w:rsid w:val="00ED3C3E"/>
    <w:rsid w:val="00ED3C4C"/>
    <w:rsid w:val="00ED3CCC"/>
    <w:rsid w:val="00ED3CF5"/>
    <w:rsid w:val="00ED3D3D"/>
    <w:rsid w:val="00ED3D46"/>
    <w:rsid w:val="00ED3D9C"/>
    <w:rsid w:val="00ED3DE7"/>
    <w:rsid w:val="00ED3E48"/>
    <w:rsid w:val="00ED3E6E"/>
    <w:rsid w:val="00ED3EBA"/>
    <w:rsid w:val="00ED3EE3"/>
    <w:rsid w:val="00ED3F17"/>
    <w:rsid w:val="00ED3F2E"/>
    <w:rsid w:val="00ED3F37"/>
    <w:rsid w:val="00ED3F90"/>
    <w:rsid w:val="00ED3FB0"/>
    <w:rsid w:val="00ED412F"/>
    <w:rsid w:val="00ED419F"/>
    <w:rsid w:val="00ED42B6"/>
    <w:rsid w:val="00ED4426"/>
    <w:rsid w:val="00ED456B"/>
    <w:rsid w:val="00ED46C4"/>
    <w:rsid w:val="00ED46E7"/>
    <w:rsid w:val="00ED4739"/>
    <w:rsid w:val="00ED4818"/>
    <w:rsid w:val="00ED4840"/>
    <w:rsid w:val="00ED4844"/>
    <w:rsid w:val="00ED48F8"/>
    <w:rsid w:val="00ED4993"/>
    <w:rsid w:val="00ED49EB"/>
    <w:rsid w:val="00ED49EF"/>
    <w:rsid w:val="00ED4A24"/>
    <w:rsid w:val="00ED4A62"/>
    <w:rsid w:val="00ED4A84"/>
    <w:rsid w:val="00ED4ABB"/>
    <w:rsid w:val="00ED4B33"/>
    <w:rsid w:val="00ED4C2A"/>
    <w:rsid w:val="00ED4C3A"/>
    <w:rsid w:val="00ED4C96"/>
    <w:rsid w:val="00ED4CF5"/>
    <w:rsid w:val="00ED4D0C"/>
    <w:rsid w:val="00ED4D5B"/>
    <w:rsid w:val="00ED4D8A"/>
    <w:rsid w:val="00ED4D95"/>
    <w:rsid w:val="00ED4DE5"/>
    <w:rsid w:val="00ED4EA4"/>
    <w:rsid w:val="00ED4ECA"/>
    <w:rsid w:val="00ED4EDB"/>
    <w:rsid w:val="00ED4EE5"/>
    <w:rsid w:val="00ED4EE6"/>
    <w:rsid w:val="00ED4F0C"/>
    <w:rsid w:val="00ED4FAB"/>
    <w:rsid w:val="00ED5057"/>
    <w:rsid w:val="00ED50CA"/>
    <w:rsid w:val="00ED50EA"/>
    <w:rsid w:val="00ED50F1"/>
    <w:rsid w:val="00ED515F"/>
    <w:rsid w:val="00ED519C"/>
    <w:rsid w:val="00ED51EB"/>
    <w:rsid w:val="00ED5209"/>
    <w:rsid w:val="00ED5257"/>
    <w:rsid w:val="00ED5267"/>
    <w:rsid w:val="00ED52EC"/>
    <w:rsid w:val="00ED532D"/>
    <w:rsid w:val="00ED53D3"/>
    <w:rsid w:val="00ED543B"/>
    <w:rsid w:val="00ED5457"/>
    <w:rsid w:val="00ED54DE"/>
    <w:rsid w:val="00ED54EB"/>
    <w:rsid w:val="00ED5526"/>
    <w:rsid w:val="00ED561C"/>
    <w:rsid w:val="00ED5629"/>
    <w:rsid w:val="00ED5651"/>
    <w:rsid w:val="00ED5660"/>
    <w:rsid w:val="00ED5667"/>
    <w:rsid w:val="00ED5693"/>
    <w:rsid w:val="00ED571A"/>
    <w:rsid w:val="00ED5764"/>
    <w:rsid w:val="00ED57B1"/>
    <w:rsid w:val="00ED57C4"/>
    <w:rsid w:val="00ED57F0"/>
    <w:rsid w:val="00ED582F"/>
    <w:rsid w:val="00ED5936"/>
    <w:rsid w:val="00ED593D"/>
    <w:rsid w:val="00ED5944"/>
    <w:rsid w:val="00ED596E"/>
    <w:rsid w:val="00ED5988"/>
    <w:rsid w:val="00ED59F5"/>
    <w:rsid w:val="00ED5A20"/>
    <w:rsid w:val="00ED5ABC"/>
    <w:rsid w:val="00ED5AFE"/>
    <w:rsid w:val="00ED5C0B"/>
    <w:rsid w:val="00ED5C66"/>
    <w:rsid w:val="00ED5CC1"/>
    <w:rsid w:val="00ED5CF8"/>
    <w:rsid w:val="00ED5D0A"/>
    <w:rsid w:val="00ED5D1E"/>
    <w:rsid w:val="00ED5D3D"/>
    <w:rsid w:val="00ED5D74"/>
    <w:rsid w:val="00ED5E8C"/>
    <w:rsid w:val="00ED5EAC"/>
    <w:rsid w:val="00ED5FCB"/>
    <w:rsid w:val="00ED5FEF"/>
    <w:rsid w:val="00ED5FFC"/>
    <w:rsid w:val="00ED6024"/>
    <w:rsid w:val="00ED6041"/>
    <w:rsid w:val="00ED60CB"/>
    <w:rsid w:val="00ED6145"/>
    <w:rsid w:val="00ED6182"/>
    <w:rsid w:val="00ED61F2"/>
    <w:rsid w:val="00ED61FE"/>
    <w:rsid w:val="00ED620A"/>
    <w:rsid w:val="00ED6259"/>
    <w:rsid w:val="00ED6261"/>
    <w:rsid w:val="00ED627F"/>
    <w:rsid w:val="00ED629A"/>
    <w:rsid w:val="00ED6333"/>
    <w:rsid w:val="00ED644E"/>
    <w:rsid w:val="00ED6485"/>
    <w:rsid w:val="00ED654C"/>
    <w:rsid w:val="00ED6581"/>
    <w:rsid w:val="00ED6654"/>
    <w:rsid w:val="00ED66CD"/>
    <w:rsid w:val="00ED6751"/>
    <w:rsid w:val="00ED683D"/>
    <w:rsid w:val="00ED68F9"/>
    <w:rsid w:val="00ED6908"/>
    <w:rsid w:val="00ED694F"/>
    <w:rsid w:val="00ED695D"/>
    <w:rsid w:val="00ED6980"/>
    <w:rsid w:val="00ED6AD3"/>
    <w:rsid w:val="00ED6B76"/>
    <w:rsid w:val="00ED6B88"/>
    <w:rsid w:val="00ED6BF3"/>
    <w:rsid w:val="00ED6C31"/>
    <w:rsid w:val="00ED6CB0"/>
    <w:rsid w:val="00ED6D04"/>
    <w:rsid w:val="00ED6D60"/>
    <w:rsid w:val="00ED6D7D"/>
    <w:rsid w:val="00ED6E0D"/>
    <w:rsid w:val="00ED6E18"/>
    <w:rsid w:val="00ED6EBC"/>
    <w:rsid w:val="00ED6F3F"/>
    <w:rsid w:val="00ED6FA1"/>
    <w:rsid w:val="00ED707F"/>
    <w:rsid w:val="00ED70A2"/>
    <w:rsid w:val="00ED70EA"/>
    <w:rsid w:val="00ED7290"/>
    <w:rsid w:val="00ED7293"/>
    <w:rsid w:val="00ED7315"/>
    <w:rsid w:val="00ED7337"/>
    <w:rsid w:val="00ED733A"/>
    <w:rsid w:val="00ED7343"/>
    <w:rsid w:val="00ED7385"/>
    <w:rsid w:val="00ED73B3"/>
    <w:rsid w:val="00ED73C4"/>
    <w:rsid w:val="00ED741E"/>
    <w:rsid w:val="00ED74A9"/>
    <w:rsid w:val="00ED74E5"/>
    <w:rsid w:val="00ED75F2"/>
    <w:rsid w:val="00ED7603"/>
    <w:rsid w:val="00ED761E"/>
    <w:rsid w:val="00ED7630"/>
    <w:rsid w:val="00ED7676"/>
    <w:rsid w:val="00ED7692"/>
    <w:rsid w:val="00ED7734"/>
    <w:rsid w:val="00ED7818"/>
    <w:rsid w:val="00ED7834"/>
    <w:rsid w:val="00ED7858"/>
    <w:rsid w:val="00ED785F"/>
    <w:rsid w:val="00ED7882"/>
    <w:rsid w:val="00ED78AD"/>
    <w:rsid w:val="00ED796C"/>
    <w:rsid w:val="00ED79B2"/>
    <w:rsid w:val="00ED79E6"/>
    <w:rsid w:val="00ED7A12"/>
    <w:rsid w:val="00ED7A7D"/>
    <w:rsid w:val="00ED7A9D"/>
    <w:rsid w:val="00ED7ACB"/>
    <w:rsid w:val="00ED7ACD"/>
    <w:rsid w:val="00ED7AE6"/>
    <w:rsid w:val="00ED7AF0"/>
    <w:rsid w:val="00ED7B32"/>
    <w:rsid w:val="00ED7BAF"/>
    <w:rsid w:val="00ED7BD6"/>
    <w:rsid w:val="00ED7C3B"/>
    <w:rsid w:val="00ED7D6F"/>
    <w:rsid w:val="00ED7D9B"/>
    <w:rsid w:val="00ED7DBA"/>
    <w:rsid w:val="00ED7DE2"/>
    <w:rsid w:val="00ED7E44"/>
    <w:rsid w:val="00ED7E6A"/>
    <w:rsid w:val="00ED7E91"/>
    <w:rsid w:val="00ED7EEA"/>
    <w:rsid w:val="00ED7F3E"/>
    <w:rsid w:val="00ED7F67"/>
    <w:rsid w:val="00EE0024"/>
    <w:rsid w:val="00EE0084"/>
    <w:rsid w:val="00EE00C9"/>
    <w:rsid w:val="00EE00FF"/>
    <w:rsid w:val="00EE010A"/>
    <w:rsid w:val="00EE013D"/>
    <w:rsid w:val="00EE0161"/>
    <w:rsid w:val="00EE021C"/>
    <w:rsid w:val="00EE0228"/>
    <w:rsid w:val="00EE02B1"/>
    <w:rsid w:val="00EE0382"/>
    <w:rsid w:val="00EE03A7"/>
    <w:rsid w:val="00EE03F6"/>
    <w:rsid w:val="00EE040F"/>
    <w:rsid w:val="00EE0485"/>
    <w:rsid w:val="00EE0493"/>
    <w:rsid w:val="00EE04C6"/>
    <w:rsid w:val="00EE057F"/>
    <w:rsid w:val="00EE05B2"/>
    <w:rsid w:val="00EE05C7"/>
    <w:rsid w:val="00EE0655"/>
    <w:rsid w:val="00EE0665"/>
    <w:rsid w:val="00EE06C8"/>
    <w:rsid w:val="00EE06D6"/>
    <w:rsid w:val="00EE06F5"/>
    <w:rsid w:val="00EE0725"/>
    <w:rsid w:val="00EE074B"/>
    <w:rsid w:val="00EE07C4"/>
    <w:rsid w:val="00EE07D3"/>
    <w:rsid w:val="00EE0978"/>
    <w:rsid w:val="00EE0A3E"/>
    <w:rsid w:val="00EE0A4A"/>
    <w:rsid w:val="00EE0AAE"/>
    <w:rsid w:val="00EE0B6E"/>
    <w:rsid w:val="00EE0B85"/>
    <w:rsid w:val="00EE0BCE"/>
    <w:rsid w:val="00EE0BDA"/>
    <w:rsid w:val="00EE0C28"/>
    <w:rsid w:val="00EE0C67"/>
    <w:rsid w:val="00EE0D1A"/>
    <w:rsid w:val="00EE0D3A"/>
    <w:rsid w:val="00EE0D42"/>
    <w:rsid w:val="00EE0D52"/>
    <w:rsid w:val="00EE0DB8"/>
    <w:rsid w:val="00EE0DBD"/>
    <w:rsid w:val="00EE0DC2"/>
    <w:rsid w:val="00EE0E8F"/>
    <w:rsid w:val="00EE0EEF"/>
    <w:rsid w:val="00EE0FD2"/>
    <w:rsid w:val="00EE0FE3"/>
    <w:rsid w:val="00EE1009"/>
    <w:rsid w:val="00EE104F"/>
    <w:rsid w:val="00EE1050"/>
    <w:rsid w:val="00EE107C"/>
    <w:rsid w:val="00EE110B"/>
    <w:rsid w:val="00EE110C"/>
    <w:rsid w:val="00EE1177"/>
    <w:rsid w:val="00EE128D"/>
    <w:rsid w:val="00EE1447"/>
    <w:rsid w:val="00EE152F"/>
    <w:rsid w:val="00EE1575"/>
    <w:rsid w:val="00EE15B1"/>
    <w:rsid w:val="00EE15F1"/>
    <w:rsid w:val="00EE1621"/>
    <w:rsid w:val="00EE16C4"/>
    <w:rsid w:val="00EE170B"/>
    <w:rsid w:val="00EE174A"/>
    <w:rsid w:val="00EE1769"/>
    <w:rsid w:val="00EE1798"/>
    <w:rsid w:val="00EE17E3"/>
    <w:rsid w:val="00EE1809"/>
    <w:rsid w:val="00EE1828"/>
    <w:rsid w:val="00EE1887"/>
    <w:rsid w:val="00EE18CF"/>
    <w:rsid w:val="00EE18E4"/>
    <w:rsid w:val="00EE18EB"/>
    <w:rsid w:val="00EE18F6"/>
    <w:rsid w:val="00EE1952"/>
    <w:rsid w:val="00EE1A1C"/>
    <w:rsid w:val="00EE1A9B"/>
    <w:rsid w:val="00EE1A9D"/>
    <w:rsid w:val="00EE1B24"/>
    <w:rsid w:val="00EE1B69"/>
    <w:rsid w:val="00EE1B89"/>
    <w:rsid w:val="00EE1BC6"/>
    <w:rsid w:val="00EE1BE6"/>
    <w:rsid w:val="00EE1BF1"/>
    <w:rsid w:val="00EE1C52"/>
    <w:rsid w:val="00EE1CE0"/>
    <w:rsid w:val="00EE1CFF"/>
    <w:rsid w:val="00EE1D73"/>
    <w:rsid w:val="00EE1D95"/>
    <w:rsid w:val="00EE1DA7"/>
    <w:rsid w:val="00EE1E13"/>
    <w:rsid w:val="00EE1F5B"/>
    <w:rsid w:val="00EE1FAF"/>
    <w:rsid w:val="00EE2009"/>
    <w:rsid w:val="00EE2048"/>
    <w:rsid w:val="00EE204C"/>
    <w:rsid w:val="00EE2054"/>
    <w:rsid w:val="00EE217D"/>
    <w:rsid w:val="00EE2257"/>
    <w:rsid w:val="00EE226F"/>
    <w:rsid w:val="00EE22FA"/>
    <w:rsid w:val="00EE2338"/>
    <w:rsid w:val="00EE2340"/>
    <w:rsid w:val="00EE2366"/>
    <w:rsid w:val="00EE23AA"/>
    <w:rsid w:val="00EE23ED"/>
    <w:rsid w:val="00EE24D7"/>
    <w:rsid w:val="00EE25E1"/>
    <w:rsid w:val="00EE2620"/>
    <w:rsid w:val="00EE2682"/>
    <w:rsid w:val="00EE27E9"/>
    <w:rsid w:val="00EE280D"/>
    <w:rsid w:val="00EE284D"/>
    <w:rsid w:val="00EE28B6"/>
    <w:rsid w:val="00EE28E5"/>
    <w:rsid w:val="00EE294D"/>
    <w:rsid w:val="00EE2965"/>
    <w:rsid w:val="00EE29E8"/>
    <w:rsid w:val="00EE2A33"/>
    <w:rsid w:val="00EE2A98"/>
    <w:rsid w:val="00EE2B88"/>
    <w:rsid w:val="00EE2C23"/>
    <w:rsid w:val="00EE2C7A"/>
    <w:rsid w:val="00EE2C92"/>
    <w:rsid w:val="00EE2CA5"/>
    <w:rsid w:val="00EE2D04"/>
    <w:rsid w:val="00EE2D21"/>
    <w:rsid w:val="00EE2D3F"/>
    <w:rsid w:val="00EE2DA1"/>
    <w:rsid w:val="00EE2DC0"/>
    <w:rsid w:val="00EE2DDD"/>
    <w:rsid w:val="00EE2E0D"/>
    <w:rsid w:val="00EE2E2A"/>
    <w:rsid w:val="00EE2E90"/>
    <w:rsid w:val="00EE2F33"/>
    <w:rsid w:val="00EE2FC1"/>
    <w:rsid w:val="00EE2FDB"/>
    <w:rsid w:val="00EE3027"/>
    <w:rsid w:val="00EE30CD"/>
    <w:rsid w:val="00EE319D"/>
    <w:rsid w:val="00EE321E"/>
    <w:rsid w:val="00EE328D"/>
    <w:rsid w:val="00EE32E9"/>
    <w:rsid w:val="00EE32FA"/>
    <w:rsid w:val="00EE3309"/>
    <w:rsid w:val="00EE340D"/>
    <w:rsid w:val="00EE3422"/>
    <w:rsid w:val="00EE35C9"/>
    <w:rsid w:val="00EE35FD"/>
    <w:rsid w:val="00EE36A9"/>
    <w:rsid w:val="00EE36D7"/>
    <w:rsid w:val="00EE37E2"/>
    <w:rsid w:val="00EE37F3"/>
    <w:rsid w:val="00EE381C"/>
    <w:rsid w:val="00EE3830"/>
    <w:rsid w:val="00EE3854"/>
    <w:rsid w:val="00EE3868"/>
    <w:rsid w:val="00EE3936"/>
    <w:rsid w:val="00EE3952"/>
    <w:rsid w:val="00EE3970"/>
    <w:rsid w:val="00EE3A4C"/>
    <w:rsid w:val="00EE3B0B"/>
    <w:rsid w:val="00EE3B4C"/>
    <w:rsid w:val="00EE3B53"/>
    <w:rsid w:val="00EE3B95"/>
    <w:rsid w:val="00EE3BF7"/>
    <w:rsid w:val="00EE3C0F"/>
    <w:rsid w:val="00EE3C47"/>
    <w:rsid w:val="00EE3CA7"/>
    <w:rsid w:val="00EE3D38"/>
    <w:rsid w:val="00EE3D56"/>
    <w:rsid w:val="00EE3DD2"/>
    <w:rsid w:val="00EE3EAB"/>
    <w:rsid w:val="00EE3F0B"/>
    <w:rsid w:val="00EE3F62"/>
    <w:rsid w:val="00EE4010"/>
    <w:rsid w:val="00EE401F"/>
    <w:rsid w:val="00EE4038"/>
    <w:rsid w:val="00EE429E"/>
    <w:rsid w:val="00EE42E5"/>
    <w:rsid w:val="00EE42F1"/>
    <w:rsid w:val="00EE4367"/>
    <w:rsid w:val="00EE4466"/>
    <w:rsid w:val="00EE4478"/>
    <w:rsid w:val="00EE44B5"/>
    <w:rsid w:val="00EE4547"/>
    <w:rsid w:val="00EE4549"/>
    <w:rsid w:val="00EE45CD"/>
    <w:rsid w:val="00EE4664"/>
    <w:rsid w:val="00EE467F"/>
    <w:rsid w:val="00EE473C"/>
    <w:rsid w:val="00EE4783"/>
    <w:rsid w:val="00EE478A"/>
    <w:rsid w:val="00EE4790"/>
    <w:rsid w:val="00EE4864"/>
    <w:rsid w:val="00EE48F8"/>
    <w:rsid w:val="00EE493B"/>
    <w:rsid w:val="00EE49A1"/>
    <w:rsid w:val="00EE49DB"/>
    <w:rsid w:val="00EE49E1"/>
    <w:rsid w:val="00EE4A16"/>
    <w:rsid w:val="00EE4A36"/>
    <w:rsid w:val="00EE4A3C"/>
    <w:rsid w:val="00EE4AB2"/>
    <w:rsid w:val="00EE4B8C"/>
    <w:rsid w:val="00EE4BBC"/>
    <w:rsid w:val="00EE4C8C"/>
    <w:rsid w:val="00EE4CC5"/>
    <w:rsid w:val="00EE4D2F"/>
    <w:rsid w:val="00EE4D4A"/>
    <w:rsid w:val="00EE4E5B"/>
    <w:rsid w:val="00EE4E94"/>
    <w:rsid w:val="00EE4EC3"/>
    <w:rsid w:val="00EE4EC6"/>
    <w:rsid w:val="00EE4F55"/>
    <w:rsid w:val="00EE4FB4"/>
    <w:rsid w:val="00EE501D"/>
    <w:rsid w:val="00EE509F"/>
    <w:rsid w:val="00EE50A9"/>
    <w:rsid w:val="00EE50F1"/>
    <w:rsid w:val="00EE514C"/>
    <w:rsid w:val="00EE5162"/>
    <w:rsid w:val="00EE5273"/>
    <w:rsid w:val="00EE5421"/>
    <w:rsid w:val="00EE5441"/>
    <w:rsid w:val="00EE54D7"/>
    <w:rsid w:val="00EE54DE"/>
    <w:rsid w:val="00EE5506"/>
    <w:rsid w:val="00EE5593"/>
    <w:rsid w:val="00EE55E8"/>
    <w:rsid w:val="00EE56DD"/>
    <w:rsid w:val="00EE56EF"/>
    <w:rsid w:val="00EE570C"/>
    <w:rsid w:val="00EE571B"/>
    <w:rsid w:val="00EE57B1"/>
    <w:rsid w:val="00EE57E0"/>
    <w:rsid w:val="00EE5840"/>
    <w:rsid w:val="00EE5889"/>
    <w:rsid w:val="00EE589B"/>
    <w:rsid w:val="00EE5913"/>
    <w:rsid w:val="00EE5972"/>
    <w:rsid w:val="00EE59E4"/>
    <w:rsid w:val="00EE5A5C"/>
    <w:rsid w:val="00EE5B4B"/>
    <w:rsid w:val="00EE5BB5"/>
    <w:rsid w:val="00EE5C2F"/>
    <w:rsid w:val="00EE5CAF"/>
    <w:rsid w:val="00EE5D59"/>
    <w:rsid w:val="00EE5D5E"/>
    <w:rsid w:val="00EE5D71"/>
    <w:rsid w:val="00EE5EEE"/>
    <w:rsid w:val="00EE5EF5"/>
    <w:rsid w:val="00EE5F01"/>
    <w:rsid w:val="00EE6029"/>
    <w:rsid w:val="00EE6066"/>
    <w:rsid w:val="00EE606F"/>
    <w:rsid w:val="00EE60B2"/>
    <w:rsid w:val="00EE6275"/>
    <w:rsid w:val="00EE648C"/>
    <w:rsid w:val="00EE64C8"/>
    <w:rsid w:val="00EE64CC"/>
    <w:rsid w:val="00EE64DB"/>
    <w:rsid w:val="00EE650E"/>
    <w:rsid w:val="00EE6586"/>
    <w:rsid w:val="00EE65CB"/>
    <w:rsid w:val="00EE664E"/>
    <w:rsid w:val="00EE671E"/>
    <w:rsid w:val="00EE6762"/>
    <w:rsid w:val="00EE6763"/>
    <w:rsid w:val="00EE67D0"/>
    <w:rsid w:val="00EE67DD"/>
    <w:rsid w:val="00EE681B"/>
    <w:rsid w:val="00EE68E0"/>
    <w:rsid w:val="00EE690D"/>
    <w:rsid w:val="00EE69C9"/>
    <w:rsid w:val="00EE69F5"/>
    <w:rsid w:val="00EE6A37"/>
    <w:rsid w:val="00EE6A6D"/>
    <w:rsid w:val="00EE6AA4"/>
    <w:rsid w:val="00EE6BD2"/>
    <w:rsid w:val="00EE6BFD"/>
    <w:rsid w:val="00EE6C01"/>
    <w:rsid w:val="00EE6C37"/>
    <w:rsid w:val="00EE6CB7"/>
    <w:rsid w:val="00EE6DFA"/>
    <w:rsid w:val="00EE6E07"/>
    <w:rsid w:val="00EE6E45"/>
    <w:rsid w:val="00EE6E60"/>
    <w:rsid w:val="00EE6EB8"/>
    <w:rsid w:val="00EE6FFA"/>
    <w:rsid w:val="00EE70BE"/>
    <w:rsid w:val="00EE70C9"/>
    <w:rsid w:val="00EE7101"/>
    <w:rsid w:val="00EE7128"/>
    <w:rsid w:val="00EE713C"/>
    <w:rsid w:val="00EE71B7"/>
    <w:rsid w:val="00EE71EC"/>
    <w:rsid w:val="00EE71F2"/>
    <w:rsid w:val="00EE7225"/>
    <w:rsid w:val="00EE7301"/>
    <w:rsid w:val="00EE7366"/>
    <w:rsid w:val="00EE7376"/>
    <w:rsid w:val="00EE73FE"/>
    <w:rsid w:val="00EE7410"/>
    <w:rsid w:val="00EE741F"/>
    <w:rsid w:val="00EE7437"/>
    <w:rsid w:val="00EE7478"/>
    <w:rsid w:val="00EE74AF"/>
    <w:rsid w:val="00EE75A4"/>
    <w:rsid w:val="00EE75D3"/>
    <w:rsid w:val="00EE770F"/>
    <w:rsid w:val="00EE773C"/>
    <w:rsid w:val="00EE7744"/>
    <w:rsid w:val="00EE77D7"/>
    <w:rsid w:val="00EE7806"/>
    <w:rsid w:val="00EE7817"/>
    <w:rsid w:val="00EE7926"/>
    <w:rsid w:val="00EE79AE"/>
    <w:rsid w:val="00EE7A59"/>
    <w:rsid w:val="00EE7A6B"/>
    <w:rsid w:val="00EE7BBB"/>
    <w:rsid w:val="00EE7BDE"/>
    <w:rsid w:val="00EE7C1D"/>
    <w:rsid w:val="00EE7CA5"/>
    <w:rsid w:val="00EE7E3E"/>
    <w:rsid w:val="00EE7E98"/>
    <w:rsid w:val="00EE7EA9"/>
    <w:rsid w:val="00EE7EE9"/>
    <w:rsid w:val="00EE7EEA"/>
    <w:rsid w:val="00EE7FA6"/>
    <w:rsid w:val="00EE7FA7"/>
    <w:rsid w:val="00EF00D8"/>
    <w:rsid w:val="00EF00DD"/>
    <w:rsid w:val="00EF013F"/>
    <w:rsid w:val="00EF0145"/>
    <w:rsid w:val="00EF016C"/>
    <w:rsid w:val="00EF01E0"/>
    <w:rsid w:val="00EF03E1"/>
    <w:rsid w:val="00EF040E"/>
    <w:rsid w:val="00EF0424"/>
    <w:rsid w:val="00EF0443"/>
    <w:rsid w:val="00EF04B2"/>
    <w:rsid w:val="00EF0595"/>
    <w:rsid w:val="00EF05D9"/>
    <w:rsid w:val="00EF0621"/>
    <w:rsid w:val="00EF06F2"/>
    <w:rsid w:val="00EF075D"/>
    <w:rsid w:val="00EF0785"/>
    <w:rsid w:val="00EF0787"/>
    <w:rsid w:val="00EF07F6"/>
    <w:rsid w:val="00EF0890"/>
    <w:rsid w:val="00EF08B3"/>
    <w:rsid w:val="00EF08C2"/>
    <w:rsid w:val="00EF08FA"/>
    <w:rsid w:val="00EF0923"/>
    <w:rsid w:val="00EF0A12"/>
    <w:rsid w:val="00EF0A26"/>
    <w:rsid w:val="00EF0A8E"/>
    <w:rsid w:val="00EF0A96"/>
    <w:rsid w:val="00EF0ADF"/>
    <w:rsid w:val="00EF0AF4"/>
    <w:rsid w:val="00EF0B12"/>
    <w:rsid w:val="00EF0BEE"/>
    <w:rsid w:val="00EF0C98"/>
    <w:rsid w:val="00EF0CCE"/>
    <w:rsid w:val="00EF0CF4"/>
    <w:rsid w:val="00EF0DA8"/>
    <w:rsid w:val="00EF0DD1"/>
    <w:rsid w:val="00EF0F24"/>
    <w:rsid w:val="00EF1097"/>
    <w:rsid w:val="00EF10C8"/>
    <w:rsid w:val="00EF10D7"/>
    <w:rsid w:val="00EF10FF"/>
    <w:rsid w:val="00EF117E"/>
    <w:rsid w:val="00EF11F1"/>
    <w:rsid w:val="00EF1202"/>
    <w:rsid w:val="00EF123E"/>
    <w:rsid w:val="00EF1289"/>
    <w:rsid w:val="00EF128A"/>
    <w:rsid w:val="00EF12EF"/>
    <w:rsid w:val="00EF12F7"/>
    <w:rsid w:val="00EF137F"/>
    <w:rsid w:val="00EF138B"/>
    <w:rsid w:val="00EF13ED"/>
    <w:rsid w:val="00EF141F"/>
    <w:rsid w:val="00EF142B"/>
    <w:rsid w:val="00EF145E"/>
    <w:rsid w:val="00EF14C0"/>
    <w:rsid w:val="00EF14D0"/>
    <w:rsid w:val="00EF14F5"/>
    <w:rsid w:val="00EF14F8"/>
    <w:rsid w:val="00EF1506"/>
    <w:rsid w:val="00EF1513"/>
    <w:rsid w:val="00EF1529"/>
    <w:rsid w:val="00EF156E"/>
    <w:rsid w:val="00EF157A"/>
    <w:rsid w:val="00EF157F"/>
    <w:rsid w:val="00EF1595"/>
    <w:rsid w:val="00EF161D"/>
    <w:rsid w:val="00EF1665"/>
    <w:rsid w:val="00EF1676"/>
    <w:rsid w:val="00EF16C2"/>
    <w:rsid w:val="00EF1757"/>
    <w:rsid w:val="00EF178E"/>
    <w:rsid w:val="00EF17AD"/>
    <w:rsid w:val="00EF182D"/>
    <w:rsid w:val="00EF18BC"/>
    <w:rsid w:val="00EF1941"/>
    <w:rsid w:val="00EF194D"/>
    <w:rsid w:val="00EF196F"/>
    <w:rsid w:val="00EF1989"/>
    <w:rsid w:val="00EF19EE"/>
    <w:rsid w:val="00EF1A0F"/>
    <w:rsid w:val="00EF1A79"/>
    <w:rsid w:val="00EF1B4B"/>
    <w:rsid w:val="00EF1B99"/>
    <w:rsid w:val="00EF1BB1"/>
    <w:rsid w:val="00EF1BC0"/>
    <w:rsid w:val="00EF1BE7"/>
    <w:rsid w:val="00EF1BF0"/>
    <w:rsid w:val="00EF1BF6"/>
    <w:rsid w:val="00EF1C94"/>
    <w:rsid w:val="00EF1D21"/>
    <w:rsid w:val="00EF1D8C"/>
    <w:rsid w:val="00EF1D96"/>
    <w:rsid w:val="00EF1E40"/>
    <w:rsid w:val="00EF1E7C"/>
    <w:rsid w:val="00EF1E9F"/>
    <w:rsid w:val="00EF2036"/>
    <w:rsid w:val="00EF2110"/>
    <w:rsid w:val="00EF2142"/>
    <w:rsid w:val="00EF2148"/>
    <w:rsid w:val="00EF21C4"/>
    <w:rsid w:val="00EF2275"/>
    <w:rsid w:val="00EF2289"/>
    <w:rsid w:val="00EF2348"/>
    <w:rsid w:val="00EF239B"/>
    <w:rsid w:val="00EF23C9"/>
    <w:rsid w:val="00EF23DB"/>
    <w:rsid w:val="00EF243B"/>
    <w:rsid w:val="00EF2450"/>
    <w:rsid w:val="00EF2462"/>
    <w:rsid w:val="00EF2504"/>
    <w:rsid w:val="00EF2507"/>
    <w:rsid w:val="00EF256B"/>
    <w:rsid w:val="00EF25AB"/>
    <w:rsid w:val="00EF25C8"/>
    <w:rsid w:val="00EF2620"/>
    <w:rsid w:val="00EF2630"/>
    <w:rsid w:val="00EF2641"/>
    <w:rsid w:val="00EF2651"/>
    <w:rsid w:val="00EF26DB"/>
    <w:rsid w:val="00EF26E1"/>
    <w:rsid w:val="00EF2715"/>
    <w:rsid w:val="00EF272B"/>
    <w:rsid w:val="00EF2736"/>
    <w:rsid w:val="00EF27A8"/>
    <w:rsid w:val="00EF27D0"/>
    <w:rsid w:val="00EF27DE"/>
    <w:rsid w:val="00EF27F5"/>
    <w:rsid w:val="00EF284F"/>
    <w:rsid w:val="00EF2860"/>
    <w:rsid w:val="00EF28A9"/>
    <w:rsid w:val="00EF28F5"/>
    <w:rsid w:val="00EF2990"/>
    <w:rsid w:val="00EF29AC"/>
    <w:rsid w:val="00EF29BC"/>
    <w:rsid w:val="00EF2A20"/>
    <w:rsid w:val="00EF2AE6"/>
    <w:rsid w:val="00EF2B7D"/>
    <w:rsid w:val="00EF2BAF"/>
    <w:rsid w:val="00EF2BB7"/>
    <w:rsid w:val="00EF2BBB"/>
    <w:rsid w:val="00EF2C15"/>
    <w:rsid w:val="00EF2CD8"/>
    <w:rsid w:val="00EF2D03"/>
    <w:rsid w:val="00EF2D11"/>
    <w:rsid w:val="00EF2D51"/>
    <w:rsid w:val="00EF2DF0"/>
    <w:rsid w:val="00EF2E79"/>
    <w:rsid w:val="00EF2EF4"/>
    <w:rsid w:val="00EF2F46"/>
    <w:rsid w:val="00EF2F5B"/>
    <w:rsid w:val="00EF2F81"/>
    <w:rsid w:val="00EF2FFC"/>
    <w:rsid w:val="00EF301C"/>
    <w:rsid w:val="00EF30FD"/>
    <w:rsid w:val="00EF30FF"/>
    <w:rsid w:val="00EF3108"/>
    <w:rsid w:val="00EF312D"/>
    <w:rsid w:val="00EF315B"/>
    <w:rsid w:val="00EF31A2"/>
    <w:rsid w:val="00EF31F1"/>
    <w:rsid w:val="00EF328F"/>
    <w:rsid w:val="00EF32A9"/>
    <w:rsid w:val="00EF32CE"/>
    <w:rsid w:val="00EF33A6"/>
    <w:rsid w:val="00EF344B"/>
    <w:rsid w:val="00EF3469"/>
    <w:rsid w:val="00EF34C9"/>
    <w:rsid w:val="00EF352A"/>
    <w:rsid w:val="00EF3561"/>
    <w:rsid w:val="00EF3571"/>
    <w:rsid w:val="00EF3581"/>
    <w:rsid w:val="00EF36A2"/>
    <w:rsid w:val="00EF36D4"/>
    <w:rsid w:val="00EF3769"/>
    <w:rsid w:val="00EF37FC"/>
    <w:rsid w:val="00EF38C4"/>
    <w:rsid w:val="00EF38E4"/>
    <w:rsid w:val="00EF39AB"/>
    <w:rsid w:val="00EF39BC"/>
    <w:rsid w:val="00EF39D9"/>
    <w:rsid w:val="00EF3A38"/>
    <w:rsid w:val="00EF3AB2"/>
    <w:rsid w:val="00EF3ADE"/>
    <w:rsid w:val="00EF3AE7"/>
    <w:rsid w:val="00EF3AEF"/>
    <w:rsid w:val="00EF3B4D"/>
    <w:rsid w:val="00EF3B94"/>
    <w:rsid w:val="00EF3BB8"/>
    <w:rsid w:val="00EF3BC0"/>
    <w:rsid w:val="00EF3BEB"/>
    <w:rsid w:val="00EF3C33"/>
    <w:rsid w:val="00EF3C51"/>
    <w:rsid w:val="00EF3CEF"/>
    <w:rsid w:val="00EF3D02"/>
    <w:rsid w:val="00EF3D2C"/>
    <w:rsid w:val="00EF3D75"/>
    <w:rsid w:val="00EF3E3F"/>
    <w:rsid w:val="00EF3E58"/>
    <w:rsid w:val="00EF3E77"/>
    <w:rsid w:val="00EF3E89"/>
    <w:rsid w:val="00EF3E8B"/>
    <w:rsid w:val="00EF3EB1"/>
    <w:rsid w:val="00EF3EB2"/>
    <w:rsid w:val="00EF3EC8"/>
    <w:rsid w:val="00EF3EEA"/>
    <w:rsid w:val="00EF3F4E"/>
    <w:rsid w:val="00EF3FB6"/>
    <w:rsid w:val="00EF404A"/>
    <w:rsid w:val="00EF409A"/>
    <w:rsid w:val="00EF40F5"/>
    <w:rsid w:val="00EF41D7"/>
    <w:rsid w:val="00EF4252"/>
    <w:rsid w:val="00EF427A"/>
    <w:rsid w:val="00EF4287"/>
    <w:rsid w:val="00EF42F3"/>
    <w:rsid w:val="00EF42FD"/>
    <w:rsid w:val="00EF4328"/>
    <w:rsid w:val="00EF4357"/>
    <w:rsid w:val="00EF4364"/>
    <w:rsid w:val="00EF436E"/>
    <w:rsid w:val="00EF4554"/>
    <w:rsid w:val="00EF45ED"/>
    <w:rsid w:val="00EF471A"/>
    <w:rsid w:val="00EF4744"/>
    <w:rsid w:val="00EF4751"/>
    <w:rsid w:val="00EF47AC"/>
    <w:rsid w:val="00EF485C"/>
    <w:rsid w:val="00EF48F4"/>
    <w:rsid w:val="00EF490E"/>
    <w:rsid w:val="00EF49E8"/>
    <w:rsid w:val="00EF49F7"/>
    <w:rsid w:val="00EF4AAE"/>
    <w:rsid w:val="00EF4B88"/>
    <w:rsid w:val="00EF4B97"/>
    <w:rsid w:val="00EF4BBB"/>
    <w:rsid w:val="00EF4BCE"/>
    <w:rsid w:val="00EF4C95"/>
    <w:rsid w:val="00EF4DFD"/>
    <w:rsid w:val="00EF4E01"/>
    <w:rsid w:val="00EF4EA0"/>
    <w:rsid w:val="00EF4EBD"/>
    <w:rsid w:val="00EF4F04"/>
    <w:rsid w:val="00EF4F57"/>
    <w:rsid w:val="00EF4F64"/>
    <w:rsid w:val="00EF4FDD"/>
    <w:rsid w:val="00EF502C"/>
    <w:rsid w:val="00EF504F"/>
    <w:rsid w:val="00EF5050"/>
    <w:rsid w:val="00EF5074"/>
    <w:rsid w:val="00EF5095"/>
    <w:rsid w:val="00EF50F4"/>
    <w:rsid w:val="00EF5111"/>
    <w:rsid w:val="00EF5114"/>
    <w:rsid w:val="00EF515A"/>
    <w:rsid w:val="00EF5181"/>
    <w:rsid w:val="00EF51B8"/>
    <w:rsid w:val="00EF51E5"/>
    <w:rsid w:val="00EF5208"/>
    <w:rsid w:val="00EF5239"/>
    <w:rsid w:val="00EF527F"/>
    <w:rsid w:val="00EF5317"/>
    <w:rsid w:val="00EF5397"/>
    <w:rsid w:val="00EF53B8"/>
    <w:rsid w:val="00EF53BE"/>
    <w:rsid w:val="00EF5450"/>
    <w:rsid w:val="00EF5454"/>
    <w:rsid w:val="00EF54A6"/>
    <w:rsid w:val="00EF54D6"/>
    <w:rsid w:val="00EF54D7"/>
    <w:rsid w:val="00EF55E7"/>
    <w:rsid w:val="00EF5649"/>
    <w:rsid w:val="00EF564B"/>
    <w:rsid w:val="00EF5673"/>
    <w:rsid w:val="00EF5807"/>
    <w:rsid w:val="00EF585D"/>
    <w:rsid w:val="00EF5873"/>
    <w:rsid w:val="00EF58E5"/>
    <w:rsid w:val="00EF593A"/>
    <w:rsid w:val="00EF595F"/>
    <w:rsid w:val="00EF5988"/>
    <w:rsid w:val="00EF59C5"/>
    <w:rsid w:val="00EF59E6"/>
    <w:rsid w:val="00EF5A33"/>
    <w:rsid w:val="00EF5A71"/>
    <w:rsid w:val="00EF5A80"/>
    <w:rsid w:val="00EF5AA9"/>
    <w:rsid w:val="00EF5AFB"/>
    <w:rsid w:val="00EF5B2A"/>
    <w:rsid w:val="00EF5BB3"/>
    <w:rsid w:val="00EF5C8E"/>
    <w:rsid w:val="00EF5CA1"/>
    <w:rsid w:val="00EF5CC9"/>
    <w:rsid w:val="00EF5D02"/>
    <w:rsid w:val="00EF5D78"/>
    <w:rsid w:val="00EF5DCB"/>
    <w:rsid w:val="00EF5E1F"/>
    <w:rsid w:val="00EF5E78"/>
    <w:rsid w:val="00EF5E81"/>
    <w:rsid w:val="00EF5E98"/>
    <w:rsid w:val="00EF5F1B"/>
    <w:rsid w:val="00EF5F8D"/>
    <w:rsid w:val="00EF5FF6"/>
    <w:rsid w:val="00EF6066"/>
    <w:rsid w:val="00EF606B"/>
    <w:rsid w:val="00EF6078"/>
    <w:rsid w:val="00EF6079"/>
    <w:rsid w:val="00EF60CC"/>
    <w:rsid w:val="00EF614C"/>
    <w:rsid w:val="00EF6207"/>
    <w:rsid w:val="00EF620E"/>
    <w:rsid w:val="00EF62B4"/>
    <w:rsid w:val="00EF62C6"/>
    <w:rsid w:val="00EF62FE"/>
    <w:rsid w:val="00EF6365"/>
    <w:rsid w:val="00EF639F"/>
    <w:rsid w:val="00EF648D"/>
    <w:rsid w:val="00EF64B7"/>
    <w:rsid w:val="00EF64C7"/>
    <w:rsid w:val="00EF64E3"/>
    <w:rsid w:val="00EF670A"/>
    <w:rsid w:val="00EF6845"/>
    <w:rsid w:val="00EF68A0"/>
    <w:rsid w:val="00EF68D4"/>
    <w:rsid w:val="00EF68F8"/>
    <w:rsid w:val="00EF68F9"/>
    <w:rsid w:val="00EF6914"/>
    <w:rsid w:val="00EF6923"/>
    <w:rsid w:val="00EF69A1"/>
    <w:rsid w:val="00EF6A55"/>
    <w:rsid w:val="00EF6AC8"/>
    <w:rsid w:val="00EF6B45"/>
    <w:rsid w:val="00EF6BEE"/>
    <w:rsid w:val="00EF6C45"/>
    <w:rsid w:val="00EF6C4C"/>
    <w:rsid w:val="00EF6C72"/>
    <w:rsid w:val="00EF6E4E"/>
    <w:rsid w:val="00EF6EB2"/>
    <w:rsid w:val="00EF6EB5"/>
    <w:rsid w:val="00EF6F20"/>
    <w:rsid w:val="00EF6F7D"/>
    <w:rsid w:val="00EF6FCF"/>
    <w:rsid w:val="00EF7035"/>
    <w:rsid w:val="00EF7058"/>
    <w:rsid w:val="00EF705F"/>
    <w:rsid w:val="00EF712F"/>
    <w:rsid w:val="00EF7163"/>
    <w:rsid w:val="00EF71A3"/>
    <w:rsid w:val="00EF71B5"/>
    <w:rsid w:val="00EF71CC"/>
    <w:rsid w:val="00EF721D"/>
    <w:rsid w:val="00EF7291"/>
    <w:rsid w:val="00EF7353"/>
    <w:rsid w:val="00EF7354"/>
    <w:rsid w:val="00EF73A3"/>
    <w:rsid w:val="00EF7479"/>
    <w:rsid w:val="00EF74D8"/>
    <w:rsid w:val="00EF74FF"/>
    <w:rsid w:val="00EF750C"/>
    <w:rsid w:val="00EF7570"/>
    <w:rsid w:val="00EF75B9"/>
    <w:rsid w:val="00EF75DE"/>
    <w:rsid w:val="00EF761E"/>
    <w:rsid w:val="00EF7699"/>
    <w:rsid w:val="00EF769F"/>
    <w:rsid w:val="00EF7742"/>
    <w:rsid w:val="00EF785D"/>
    <w:rsid w:val="00EF7945"/>
    <w:rsid w:val="00EF79E6"/>
    <w:rsid w:val="00EF7A7C"/>
    <w:rsid w:val="00EF7AC9"/>
    <w:rsid w:val="00EF7B3F"/>
    <w:rsid w:val="00EF7B80"/>
    <w:rsid w:val="00EF7BA8"/>
    <w:rsid w:val="00EF7BCE"/>
    <w:rsid w:val="00EF7C4B"/>
    <w:rsid w:val="00EF7C55"/>
    <w:rsid w:val="00EF7C5E"/>
    <w:rsid w:val="00EF7CE0"/>
    <w:rsid w:val="00EF7D83"/>
    <w:rsid w:val="00EF7E17"/>
    <w:rsid w:val="00EF7E19"/>
    <w:rsid w:val="00EF7F1D"/>
    <w:rsid w:val="00EF7F3B"/>
    <w:rsid w:val="00EF7F99"/>
    <w:rsid w:val="00F0003B"/>
    <w:rsid w:val="00F00148"/>
    <w:rsid w:val="00F001CD"/>
    <w:rsid w:val="00F00296"/>
    <w:rsid w:val="00F002B1"/>
    <w:rsid w:val="00F002BF"/>
    <w:rsid w:val="00F002D3"/>
    <w:rsid w:val="00F002D6"/>
    <w:rsid w:val="00F002DC"/>
    <w:rsid w:val="00F0035E"/>
    <w:rsid w:val="00F00398"/>
    <w:rsid w:val="00F003A5"/>
    <w:rsid w:val="00F003B1"/>
    <w:rsid w:val="00F0046F"/>
    <w:rsid w:val="00F0047B"/>
    <w:rsid w:val="00F0049C"/>
    <w:rsid w:val="00F004D9"/>
    <w:rsid w:val="00F00524"/>
    <w:rsid w:val="00F0053F"/>
    <w:rsid w:val="00F0057A"/>
    <w:rsid w:val="00F005B7"/>
    <w:rsid w:val="00F005E1"/>
    <w:rsid w:val="00F00695"/>
    <w:rsid w:val="00F0071F"/>
    <w:rsid w:val="00F00730"/>
    <w:rsid w:val="00F007E3"/>
    <w:rsid w:val="00F00819"/>
    <w:rsid w:val="00F0082D"/>
    <w:rsid w:val="00F00896"/>
    <w:rsid w:val="00F00933"/>
    <w:rsid w:val="00F00A08"/>
    <w:rsid w:val="00F00A11"/>
    <w:rsid w:val="00F00A52"/>
    <w:rsid w:val="00F00A5D"/>
    <w:rsid w:val="00F00A87"/>
    <w:rsid w:val="00F00B52"/>
    <w:rsid w:val="00F00C51"/>
    <w:rsid w:val="00F00C94"/>
    <w:rsid w:val="00F00D32"/>
    <w:rsid w:val="00F00D58"/>
    <w:rsid w:val="00F00DB7"/>
    <w:rsid w:val="00F00E11"/>
    <w:rsid w:val="00F00EDB"/>
    <w:rsid w:val="00F00F4A"/>
    <w:rsid w:val="00F00F75"/>
    <w:rsid w:val="00F0103D"/>
    <w:rsid w:val="00F010DE"/>
    <w:rsid w:val="00F01103"/>
    <w:rsid w:val="00F0117D"/>
    <w:rsid w:val="00F01198"/>
    <w:rsid w:val="00F01199"/>
    <w:rsid w:val="00F011A5"/>
    <w:rsid w:val="00F01208"/>
    <w:rsid w:val="00F0122C"/>
    <w:rsid w:val="00F0123F"/>
    <w:rsid w:val="00F01246"/>
    <w:rsid w:val="00F01316"/>
    <w:rsid w:val="00F0145F"/>
    <w:rsid w:val="00F014F1"/>
    <w:rsid w:val="00F0150F"/>
    <w:rsid w:val="00F015AB"/>
    <w:rsid w:val="00F016D2"/>
    <w:rsid w:val="00F016DA"/>
    <w:rsid w:val="00F01738"/>
    <w:rsid w:val="00F017A4"/>
    <w:rsid w:val="00F01885"/>
    <w:rsid w:val="00F018F6"/>
    <w:rsid w:val="00F01919"/>
    <w:rsid w:val="00F01939"/>
    <w:rsid w:val="00F0199C"/>
    <w:rsid w:val="00F019CA"/>
    <w:rsid w:val="00F019DF"/>
    <w:rsid w:val="00F019F3"/>
    <w:rsid w:val="00F01A87"/>
    <w:rsid w:val="00F01AC2"/>
    <w:rsid w:val="00F01B04"/>
    <w:rsid w:val="00F01B0A"/>
    <w:rsid w:val="00F01B1A"/>
    <w:rsid w:val="00F01BFC"/>
    <w:rsid w:val="00F01D4A"/>
    <w:rsid w:val="00F01E2F"/>
    <w:rsid w:val="00F01E61"/>
    <w:rsid w:val="00F01E9F"/>
    <w:rsid w:val="00F01EEA"/>
    <w:rsid w:val="00F01EF3"/>
    <w:rsid w:val="00F01F1D"/>
    <w:rsid w:val="00F01F9E"/>
    <w:rsid w:val="00F01FC6"/>
    <w:rsid w:val="00F01FFE"/>
    <w:rsid w:val="00F0208A"/>
    <w:rsid w:val="00F02099"/>
    <w:rsid w:val="00F020AA"/>
    <w:rsid w:val="00F020AC"/>
    <w:rsid w:val="00F02184"/>
    <w:rsid w:val="00F02284"/>
    <w:rsid w:val="00F022F2"/>
    <w:rsid w:val="00F023BD"/>
    <w:rsid w:val="00F023FE"/>
    <w:rsid w:val="00F0240A"/>
    <w:rsid w:val="00F02428"/>
    <w:rsid w:val="00F02458"/>
    <w:rsid w:val="00F02468"/>
    <w:rsid w:val="00F0247E"/>
    <w:rsid w:val="00F0248E"/>
    <w:rsid w:val="00F024AD"/>
    <w:rsid w:val="00F02566"/>
    <w:rsid w:val="00F025D5"/>
    <w:rsid w:val="00F02601"/>
    <w:rsid w:val="00F02622"/>
    <w:rsid w:val="00F02646"/>
    <w:rsid w:val="00F026A9"/>
    <w:rsid w:val="00F0278F"/>
    <w:rsid w:val="00F027AC"/>
    <w:rsid w:val="00F027F3"/>
    <w:rsid w:val="00F02805"/>
    <w:rsid w:val="00F02835"/>
    <w:rsid w:val="00F0286A"/>
    <w:rsid w:val="00F028D3"/>
    <w:rsid w:val="00F0296F"/>
    <w:rsid w:val="00F02A02"/>
    <w:rsid w:val="00F02A34"/>
    <w:rsid w:val="00F02A54"/>
    <w:rsid w:val="00F02A56"/>
    <w:rsid w:val="00F02A6A"/>
    <w:rsid w:val="00F02ADF"/>
    <w:rsid w:val="00F02B3B"/>
    <w:rsid w:val="00F02B78"/>
    <w:rsid w:val="00F02B99"/>
    <w:rsid w:val="00F02BB0"/>
    <w:rsid w:val="00F02C6F"/>
    <w:rsid w:val="00F02CA6"/>
    <w:rsid w:val="00F02CFE"/>
    <w:rsid w:val="00F02DD1"/>
    <w:rsid w:val="00F02E4E"/>
    <w:rsid w:val="00F02E79"/>
    <w:rsid w:val="00F02F55"/>
    <w:rsid w:val="00F02F96"/>
    <w:rsid w:val="00F02FA5"/>
    <w:rsid w:val="00F02FFB"/>
    <w:rsid w:val="00F0309D"/>
    <w:rsid w:val="00F031A8"/>
    <w:rsid w:val="00F03241"/>
    <w:rsid w:val="00F03367"/>
    <w:rsid w:val="00F0340C"/>
    <w:rsid w:val="00F0341A"/>
    <w:rsid w:val="00F03422"/>
    <w:rsid w:val="00F03431"/>
    <w:rsid w:val="00F0343B"/>
    <w:rsid w:val="00F03441"/>
    <w:rsid w:val="00F03462"/>
    <w:rsid w:val="00F03480"/>
    <w:rsid w:val="00F034B7"/>
    <w:rsid w:val="00F034D4"/>
    <w:rsid w:val="00F0350A"/>
    <w:rsid w:val="00F0353E"/>
    <w:rsid w:val="00F035A4"/>
    <w:rsid w:val="00F03629"/>
    <w:rsid w:val="00F03654"/>
    <w:rsid w:val="00F03672"/>
    <w:rsid w:val="00F03691"/>
    <w:rsid w:val="00F036A2"/>
    <w:rsid w:val="00F036ED"/>
    <w:rsid w:val="00F03738"/>
    <w:rsid w:val="00F0376F"/>
    <w:rsid w:val="00F0379D"/>
    <w:rsid w:val="00F037ED"/>
    <w:rsid w:val="00F037F1"/>
    <w:rsid w:val="00F0390F"/>
    <w:rsid w:val="00F0392F"/>
    <w:rsid w:val="00F0393F"/>
    <w:rsid w:val="00F039C8"/>
    <w:rsid w:val="00F039FD"/>
    <w:rsid w:val="00F03A76"/>
    <w:rsid w:val="00F03ADA"/>
    <w:rsid w:val="00F03B4D"/>
    <w:rsid w:val="00F03C40"/>
    <w:rsid w:val="00F03C5F"/>
    <w:rsid w:val="00F03C74"/>
    <w:rsid w:val="00F03CB4"/>
    <w:rsid w:val="00F03D89"/>
    <w:rsid w:val="00F03E6A"/>
    <w:rsid w:val="00F03E93"/>
    <w:rsid w:val="00F03F1F"/>
    <w:rsid w:val="00F03F4A"/>
    <w:rsid w:val="00F03FD2"/>
    <w:rsid w:val="00F04010"/>
    <w:rsid w:val="00F04062"/>
    <w:rsid w:val="00F04063"/>
    <w:rsid w:val="00F040F4"/>
    <w:rsid w:val="00F0411F"/>
    <w:rsid w:val="00F04197"/>
    <w:rsid w:val="00F041F7"/>
    <w:rsid w:val="00F0423E"/>
    <w:rsid w:val="00F0431F"/>
    <w:rsid w:val="00F0433A"/>
    <w:rsid w:val="00F04370"/>
    <w:rsid w:val="00F043B2"/>
    <w:rsid w:val="00F043F1"/>
    <w:rsid w:val="00F04551"/>
    <w:rsid w:val="00F0456F"/>
    <w:rsid w:val="00F045C8"/>
    <w:rsid w:val="00F045E0"/>
    <w:rsid w:val="00F04677"/>
    <w:rsid w:val="00F046C5"/>
    <w:rsid w:val="00F046D2"/>
    <w:rsid w:val="00F046DE"/>
    <w:rsid w:val="00F046EF"/>
    <w:rsid w:val="00F04711"/>
    <w:rsid w:val="00F0479A"/>
    <w:rsid w:val="00F04805"/>
    <w:rsid w:val="00F048CE"/>
    <w:rsid w:val="00F04969"/>
    <w:rsid w:val="00F04A00"/>
    <w:rsid w:val="00F04A15"/>
    <w:rsid w:val="00F04A22"/>
    <w:rsid w:val="00F04AA0"/>
    <w:rsid w:val="00F04AF7"/>
    <w:rsid w:val="00F04B12"/>
    <w:rsid w:val="00F04B28"/>
    <w:rsid w:val="00F04BB8"/>
    <w:rsid w:val="00F04BD5"/>
    <w:rsid w:val="00F04BE9"/>
    <w:rsid w:val="00F04BF4"/>
    <w:rsid w:val="00F04C0E"/>
    <w:rsid w:val="00F04CB8"/>
    <w:rsid w:val="00F04D10"/>
    <w:rsid w:val="00F04D48"/>
    <w:rsid w:val="00F04D67"/>
    <w:rsid w:val="00F04D69"/>
    <w:rsid w:val="00F04DBA"/>
    <w:rsid w:val="00F04EA4"/>
    <w:rsid w:val="00F04F1F"/>
    <w:rsid w:val="00F04F27"/>
    <w:rsid w:val="00F04F79"/>
    <w:rsid w:val="00F05004"/>
    <w:rsid w:val="00F05076"/>
    <w:rsid w:val="00F05079"/>
    <w:rsid w:val="00F050FA"/>
    <w:rsid w:val="00F0517C"/>
    <w:rsid w:val="00F0517F"/>
    <w:rsid w:val="00F051CC"/>
    <w:rsid w:val="00F051D4"/>
    <w:rsid w:val="00F051ED"/>
    <w:rsid w:val="00F051F0"/>
    <w:rsid w:val="00F05203"/>
    <w:rsid w:val="00F05310"/>
    <w:rsid w:val="00F05382"/>
    <w:rsid w:val="00F05383"/>
    <w:rsid w:val="00F05513"/>
    <w:rsid w:val="00F0552F"/>
    <w:rsid w:val="00F05553"/>
    <w:rsid w:val="00F0557E"/>
    <w:rsid w:val="00F0559A"/>
    <w:rsid w:val="00F05614"/>
    <w:rsid w:val="00F0567C"/>
    <w:rsid w:val="00F056F0"/>
    <w:rsid w:val="00F05749"/>
    <w:rsid w:val="00F05775"/>
    <w:rsid w:val="00F05777"/>
    <w:rsid w:val="00F05778"/>
    <w:rsid w:val="00F0581A"/>
    <w:rsid w:val="00F05920"/>
    <w:rsid w:val="00F05965"/>
    <w:rsid w:val="00F059ED"/>
    <w:rsid w:val="00F05A1A"/>
    <w:rsid w:val="00F05A4F"/>
    <w:rsid w:val="00F05A69"/>
    <w:rsid w:val="00F05ACC"/>
    <w:rsid w:val="00F05AFB"/>
    <w:rsid w:val="00F05B8A"/>
    <w:rsid w:val="00F05C7C"/>
    <w:rsid w:val="00F05CE9"/>
    <w:rsid w:val="00F05D0B"/>
    <w:rsid w:val="00F05D12"/>
    <w:rsid w:val="00F05D48"/>
    <w:rsid w:val="00F05D68"/>
    <w:rsid w:val="00F05D76"/>
    <w:rsid w:val="00F05DD3"/>
    <w:rsid w:val="00F05E6A"/>
    <w:rsid w:val="00F05E84"/>
    <w:rsid w:val="00F05EF6"/>
    <w:rsid w:val="00F05F41"/>
    <w:rsid w:val="00F05FB7"/>
    <w:rsid w:val="00F060AF"/>
    <w:rsid w:val="00F060C0"/>
    <w:rsid w:val="00F0612C"/>
    <w:rsid w:val="00F0612D"/>
    <w:rsid w:val="00F0617C"/>
    <w:rsid w:val="00F061DF"/>
    <w:rsid w:val="00F061E2"/>
    <w:rsid w:val="00F06226"/>
    <w:rsid w:val="00F0622E"/>
    <w:rsid w:val="00F06280"/>
    <w:rsid w:val="00F0632F"/>
    <w:rsid w:val="00F063AE"/>
    <w:rsid w:val="00F06405"/>
    <w:rsid w:val="00F06597"/>
    <w:rsid w:val="00F065D9"/>
    <w:rsid w:val="00F06640"/>
    <w:rsid w:val="00F06706"/>
    <w:rsid w:val="00F0670D"/>
    <w:rsid w:val="00F06828"/>
    <w:rsid w:val="00F06830"/>
    <w:rsid w:val="00F06849"/>
    <w:rsid w:val="00F06854"/>
    <w:rsid w:val="00F068DB"/>
    <w:rsid w:val="00F0690F"/>
    <w:rsid w:val="00F06993"/>
    <w:rsid w:val="00F069E6"/>
    <w:rsid w:val="00F069EF"/>
    <w:rsid w:val="00F06A7D"/>
    <w:rsid w:val="00F06AE4"/>
    <w:rsid w:val="00F06BA8"/>
    <w:rsid w:val="00F06C2D"/>
    <w:rsid w:val="00F06C45"/>
    <w:rsid w:val="00F06C4F"/>
    <w:rsid w:val="00F06CBC"/>
    <w:rsid w:val="00F06CE1"/>
    <w:rsid w:val="00F06CFF"/>
    <w:rsid w:val="00F06D4E"/>
    <w:rsid w:val="00F06D7D"/>
    <w:rsid w:val="00F06DA0"/>
    <w:rsid w:val="00F06DD0"/>
    <w:rsid w:val="00F06E00"/>
    <w:rsid w:val="00F06E0F"/>
    <w:rsid w:val="00F06E69"/>
    <w:rsid w:val="00F06EB8"/>
    <w:rsid w:val="00F06F29"/>
    <w:rsid w:val="00F06F85"/>
    <w:rsid w:val="00F06FE6"/>
    <w:rsid w:val="00F06FED"/>
    <w:rsid w:val="00F06FF4"/>
    <w:rsid w:val="00F07015"/>
    <w:rsid w:val="00F070B6"/>
    <w:rsid w:val="00F07130"/>
    <w:rsid w:val="00F0716B"/>
    <w:rsid w:val="00F07181"/>
    <w:rsid w:val="00F07186"/>
    <w:rsid w:val="00F07194"/>
    <w:rsid w:val="00F071E5"/>
    <w:rsid w:val="00F071F4"/>
    <w:rsid w:val="00F07282"/>
    <w:rsid w:val="00F072BD"/>
    <w:rsid w:val="00F072C8"/>
    <w:rsid w:val="00F0731D"/>
    <w:rsid w:val="00F07320"/>
    <w:rsid w:val="00F07359"/>
    <w:rsid w:val="00F0739F"/>
    <w:rsid w:val="00F073AE"/>
    <w:rsid w:val="00F074C3"/>
    <w:rsid w:val="00F07504"/>
    <w:rsid w:val="00F07530"/>
    <w:rsid w:val="00F07531"/>
    <w:rsid w:val="00F0756B"/>
    <w:rsid w:val="00F07627"/>
    <w:rsid w:val="00F0764A"/>
    <w:rsid w:val="00F0767D"/>
    <w:rsid w:val="00F076C5"/>
    <w:rsid w:val="00F07717"/>
    <w:rsid w:val="00F07725"/>
    <w:rsid w:val="00F0774A"/>
    <w:rsid w:val="00F0777D"/>
    <w:rsid w:val="00F0783C"/>
    <w:rsid w:val="00F0784A"/>
    <w:rsid w:val="00F078F4"/>
    <w:rsid w:val="00F079E9"/>
    <w:rsid w:val="00F07A8C"/>
    <w:rsid w:val="00F07ACA"/>
    <w:rsid w:val="00F07B71"/>
    <w:rsid w:val="00F07C5D"/>
    <w:rsid w:val="00F07C90"/>
    <w:rsid w:val="00F07CA9"/>
    <w:rsid w:val="00F07CBD"/>
    <w:rsid w:val="00F07CE9"/>
    <w:rsid w:val="00F07D12"/>
    <w:rsid w:val="00F07D25"/>
    <w:rsid w:val="00F07D61"/>
    <w:rsid w:val="00F07D90"/>
    <w:rsid w:val="00F07DF7"/>
    <w:rsid w:val="00F07E14"/>
    <w:rsid w:val="00F07EAA"/>
    <w:rsid w:val="00F07EB0"/>
    <w:rsid w:val="00F07F31"/>
    <w:rsid w:val="00F07F3A"/>
    <w:rsid w:val="00F1001D"/>
    <w:rsid w:val="00F1014E"/>
    <w:rsid w:val="00F10187"/>
    <w:rsid w:val="00F101C0"/>
    <w:rsid w:val="00F1025A"/>
    <w:rsid w:val="00F1025C"/>
    <w:rsid w:val="00F102A8"/>
    <w:rsid w:val="00F1033A"/>
    <w:rsid w:val="00F10343"/>
    <w:rsid w:val="00F10356"/>
    <w:rsid w:val="00F103D5"/>
    <w:rsid w:val="00F103E7"/>
    <w:rsid w:val="00F1041B"/>
    <w:rsid w:val="00F104C0"/>
    <w:rsid w:val="00F104FF"/>
    <w:rsid w:val="00F10524"/>
    <w:rsid w:val="00F1052F"/>
    <w:rsid w:val="00F105EF"/>
    <w:rsid w:val="00F105FE"/>
    <w:rsid w:val="00F10656"/>
    <w:rsid w:val="00F10719"/>
    <w:rsid w:val="00F10726"/>
    <w:rsid w:val="00F10786"/>
    <w:rsid w:val="00F107AA"/>
    <w:rsid w:val="00F107C5"/>
    <w:rsid w:val="00F10862"/>
    <w:rsid w:val="00F108B5"/>
    <w:rsid w:val="00F108CD"/>
    <w:rsid w:val="00F108D8"/>
    <w:rsid w:val="00F10910"/>
    <w:rsid w:val="00F1091C"/>
    <w:rsid w:val="00F10963"/>
    <w:rsid w:val="00F10982"/>
    <w:rsid w:val="00F109B4"/>
    <w:rsid w:val="00F10A0A"/>
    <w:rsid w:val="00F10A27"/>
    <w:rsid w:val="00F10A5E"/>
    <w:rsid w:val="00F10AA3"/>
    <w:rsid w:val="00F10AC3"/>
    <w:rsid w:val="00F10B52"/>
    <w:rsid w:val="00F10B80"/>
    <w:rsid w:val="00F10BF3"/>
    <w:rsid w:val="00F10BF8"/>
    <w:rsid w:val="00F10C6B"/>
    <w:rsid w:val="00F10C91"/>
    <w:rsid w:val="00F10C99"/>
    <w:rsid w:val="00F10C9E"/>
    <w:rsid w:val="00F10D9D"/>
    <w:rsid w:val="00F10EAA"/>
    <w:rsid w:val="00F10EB3"/>
    <w:rsid w:val="00F10F36"/>
    <w:rsid w:val="00F10F4E"/>
    <w:rsid w:val="00F10F92"/>
    <w:rsid w:val="00F10FDF"/>
    <w:rsid w:val="00F11012"/>
    <w:rsid w:val="00F11063"/>
    <w:rsid w:val="00F110F2"/>
    <w:rsid w:val="00F1112F"/>
    <w:rsid w:val="00F11139"/>
    <w:rsid w:val="00F11199"/>
    <w:rsid w:val="00F111AB"/>
    <w:rsid w:val="00F111DF"/>
    <w:rsid w:val="00F112BD"/>
    <w:rsid w:val="00F112C7"/>
    <w:rsid w:val="00F1130E"/>
    <w:rsid w:val="00F1132B"/>
    <w:rsid w:val="00F113CA"/>
    <w:rsid w:val="00F1141E"/>
    <w:rsid w:val="00F1146C"/>
    <w:rsid w:val="00F11498"/>
    <w:rsid w:val="00F115D3"/>
    <w:rsid w:val="00F115D8"/>
    <w:rsid w:val="00F11607"/>
    <w:rsid w:val="00F1166C"/>
    <w:rsid w:val="00F116A1"/>
    <w:rsid w:val="00F11746"/>
    <w:rsid w:val="00F11754"/>
    <w:rsid w:val="00F117DF"/>
    <w:rsid w:val="00F1182A"/>
    <w:rsid w:val="00F11865"/>
    <w:rsid w:val="00F1189A"/>
    <w:rsid w:val="00F11902"/>
    <w:rsid w:val="00F1193E"/>
    <w:rsid w:val="00F1195E"/>
    <w:rsid w:val="00F11970"/>
    <w:rsid w:val="00F11997"/>
    <w:rsid w:val="00F11A42"/>
    <w:rsid w:val="00F11AA0"/>
    <w:rsid w:val="00F11ACE"/>
    <w:rsid w:val="00F11B11"/>
    <w:rsid w:val="00F11BDE"/>
    <w:rsid w:val="00F11D26"/>
    <w:rsid w:val="00F11D7F"/>
    <w:rsid w:val="00F11D83"/>
    <w:rsid w:val="00F11D85"/>
    <w:rsid w:val="00F11DD6"/>
    <w:rsid w:val="00F11E3C"/>
    <w:rsid w:val="00F11E83"/>
    <w:rsid w:val="00F11EC1"/>
    <w:rsid w:val="00F11EF0"/>
    <w:rsid w:val="00F11F8B"/>
    <w:rsid w:val="00F12027"/>
    <w:rsid w:val="00F120D8"/>
    <w:rsid w:val="00F1210F"/>
    <w:rsid w:val="00F1212A"/>
    <w:rsid w:val="00F1224A"/>
    <w:rsid w:val="00F122B5"/>
    <w:rsid w:val="00F1237E"/>
    <w:rsid w:val="00F12405"/>
    <w:rsid w:val="00F1241E"/>
    <w:rsid w:val="00F1244B"/>
    <w:rsid w:val="00F124C5"/>
    <w:rsid w:val="00F12506"/>
    <w:rsid w:val="00F12522"/>
    <w:rsid w:val="00F1266A"/>
    <w:rsid w:val="00F12729"/>
    <w:rsid w:val="00F1272E"/>
    <w:rsid w:val="00F12794"/>
    <w:rsid w:val="00F127C5"/>
    <w:rsid w:val="00F1284F"/>
    <w:rsid w:val="00F128CE"/>
    <w:rsid w:val="00F128E2"/>
    <w:rsid w:val="00F12997"/>
    <w:rsid w:val="00F12A09"/>
    <w:rsid w:val="00F12ABF"/>
    <w:rsid w:val="00F12B97"/>
    <w:rsid w:val="00F12BF9"/>
    <w:rsid w:val="00F12C02"/>
    <w:rsid w:val="00F12C1B"/>
    <w:rsid w:val="00F12C62"/>
    <w:rsid w:val="00F12CCE"/>
    <w:rsid w:val="00F12D2A"/>
    <w:rsid w:val="00F12D7D"/>
    <w:rsid w:val="00F12DA2"/>
    <w:rsid w:val="00F12E4A"/>
    <w:rsid w:val="00F12E63"/>
    <w:rsid w:val="00F12E77"/>
    <w:rsid w:val="00F12E87"/>
    <w:rsid w:val="00F12ED0"/>
    <w:rsid w:val="00F12F1A"/>
    <w:rsid w:val="00F13035"/>
    <w:rsid w:val="00F1306F"/>
    <w:rsid w:val="00F130BB"/>
    <w:rsid w:val="00F130C8"/>
    <w:rsid w:val="00F130DD"/>
    <w:rsid w:val="00F13102"/>
    <w:rsid w:val="00F131A9"/>
    <w:rsid w:val="00F131BB"/>
    <w:rsid w:val="00F131F1"/>
    <w:rsid w:val="00F13206"/>
    <w:rsid w:val="00F132B7"/>
    <w:rsid w:val="00F1335E"/>
    <w:rsid w:val="00F133AC"/>
    <w:rsid w:val="00F1340F"/>
    <w:rsid w:val="00F13414"/>
    <w:rsid w:val="00F13478"/>
    <w:rsid w:val="00F135D7"/>
    <w:rsid w:val="00F13643"/>
    <w:rsid w:val="00F136E9"/>
    <w:rsid w:val="00F13706"/>
    <w:rsid w:val="00F13795"/>
    <w:rsid w:val="00F137E2"/>
    <w:rsid w:val="00F13833"/>
    <w:rsid w:val="00F139AC"/>
    <w:rsid w:val="00F13B00"/>
    <w:rsid w:val="00F13B54"/>
    <w:rsid w:val="00F13BDE"/>
    <w:rsid w:val="00F13C83"/>
    <w:rsid w:val="00F13CC2"/>
    <w:rsid w:val="00F13CC8"/>
    <w:rsid w:val="00F13D11"/>
    <w:rsid w:val="00F13D28"/>
    <w:rsid w:val="00F13D4A"/>
    <w:rsid w:val="00F13D57"/>
    <w:rsid w:val="00F13D8F"/>
    <w:rsid w:val="00F13DB3"/>
    <w:rsid w:val="00F13DF3"/>
    <w:rsid w:val="00F13E5C"/>
    <w:rsid w:val="00F13E74"/>
    <w:rsid w:val="00F13E78"/>
    <w:rsid w:val="00F13E9C"/>
    <w:rsid w:val="00F13EBE"/>
    <w:rsid w:val="00F13EC3"/>
    <w:rsid w:val="00F13F15"/>
    <w:rsid w:val="00F13F2E"/>
    <w:rsid w:val="00F13F5B"/>
    <w:rsid w:val="00F14012"/>
    <w:rsid w:val="00F14062"/>
    <w:rsid w:val="00F14167"/>
    <w:rsid w:val="00F141CB"/>
    <w:rsid w:val="00F1425A"/>
    <w:rsid w:val="00F142DD"/>
    <w:rsid w:val="00F1432E"/>
    <w:rsid w:val="00F14346"/>
    <w:rsid w:val="00F1441A"/>
    <w:rsid w:val="00F14458"/>
    <w:rsid w:val="00F144E1"/>
    <w:rsid w:val="00F144FE"/>
    <w:rsid w:val="00F14570"/>
    <w:rsid w:val="00F14616"/>
    <w:rsid w:val="00F1464D"/>
    <w:rsid w:val="00F14665"/>
    <w:rsid w:val="00F146DA"/>
    <w:rsid w:val="00F1470E"/>
    <w:rsid w:val="00F14757"/>
    <w:rsid w:val="00F1477D"/>
    <w:rsid w:val="00F147BB"/>
    <w:rsid w:val="00F14822"/>
    <w:rsid w:val="00F1483B"/>
    <w:rsid w:val="00F1489E"/>
    <w:rsid w:val="00F1491C"/>
    <w:rsid w:val="00F149AA"/>
    <w:rsid w:val="00F149E8"/>
    <w:rsid w:val="00F14B59"/>
    <w:rsid w:val="00F14BC3"/>
    <w:rsid w:val="00F14BCF"/>
    <w:rsid w:val="00F14C2E"/>
    <w:rsid w:val="00F14C68"/>
    <w:rsid w:val="00F14C9D"/>
    <w:rsid w:val="00F14CA6"/>
    <w:rsid w:val="00F14CE6"/>
    <w:rsid w:val="00F14D4B"/>
    <w:rsid w:val="00F14E33"/>
    <w:rsid w:val="00F14E54"/>
    <w:rsid w:val="00F14ECE"/>
    <w:rsid w:val="00F14EEA"/>
    <w:rsid w:val="00F14F2A"/>
    <w:rsid w:val="00F14F41"/>
    <w:rsid w:val="00F15016"/>
    <w:rsid w:val="00F150CF"/>
    <w:rsid w:val="00F15137"/>
    <w:rsid w:val="00F15206"/>
    <w:rsid w:val="00F1520D"/>
    <w:rsid w:val="00F1521C"/>
    <w:rsid w:val="00F15227"/>
    <w:rsid w:val="00F1525A"/>
    <w:rsid w:val="00F152BA"/>
    <w:rsid w:val="00F152ED"/>
    <w:rsid w:val="00F153E8"/>
    <w:rsid w:val="00F15467"/>
    <w:rsid w:val="00F15477"/>
    <w:rsid w:val="00F155B9"/>
    <w:rsid w:val="00F155EA"/>
    <w:rsid w:val="00F15622"/>
    <w:rsid w:val="00F15628"/>
    <w:rsid w:val="00F15676"/>
    <w:rsid w:val="00F15707"/>
    <w:rsid w:val="00F15752"/>
    <w:rsid w:val="00F15772"/>
    <w:rsid w:val="00F1587A"/>
    <w:rsid w:val="00F158FF"/>
    <w:rsid w:val="00F1593F"/>
    <w:rsid w:val="00F15998"/>
    <w:rsid w:val="00F159BA"/>
    <w:rsid w:val="00F159C6"/>
    <w:rsid w:val="00F15A19"/>
    <w:rsid w:val="00F15A99"/>
    <w:rsid w:val="00F15AA1"/>
    <w:rsid w:val="00F15B5F"/>
    <w:rsid w:val="00F15B65"/>
    <w:rsid w:val="00F15BB2"/>
    <w:rsid w:val="00F15BCC"/>
    <w:rsid w:val="00F15C15"/>
    <w:rsid w:val="00F15D43"/>
    <w:rsid w:val="00F15D5A"/>
    <w:rsid w:val="00F15E86"/>
    <w:rsid w:val="00F15EAA"/>
    <w:rsid w:val="00F15EB9"/>
    <w:rsid w:val="00F15F3A"/>
    <w:rsid w:val="00F15F50"/>
    <w:rsid w:val="00F15F5E"/>
    <w:rsid w:val="00F15F8E"/>
    <w:rsid w:val="00F15F9C"/>
    <w:rsid w:val="00F15FA5"/>
    <w:rsid w:val="00F1609B"/>
    <w:rsid w:val="00F1618C"/>
    <w:rsid w:val="00F161B5"/>
    <w:rsid w:val="00F162F3"/>
    <w:rsid w:val="00F16302"/>
    <w:rsid w:val="00F16311"/>
    <w:rsid w:val="00F1634D"/>
    <w:rsid w:val="00F16449"/>
    <w:rsid w:val="00F16481"/>
    <w:rsid w:val="00F164E0"/>
    <w:rsid w:val="00F164EC"/>
    <w:rsid w:val="00F16507"/>
    <w:rsid w:val="00F16516"/>
    <w:rsid w:val="00F16569"/>
    <w:rsid w:val="00F16591"/>
    <w:rsid w:val="00F166E5"/>
    <w:rsid w:val="00F1670F"/>
    <w:rsid w:val="00F16745"/>
    <w:rsid w:val="00F1678E"/>
    <w:rsid w:val="00F167D1"/>
    <w:rsid w:val="00F167F9"/>
    <w:rsid w:val="00F16811"/>
    <w:rsid w:val="00F1681B"/>
    <w:rsid w:val="00F16852"/>
    <w:rsid w:val="00F168FF"/>
    <w:rsid w:val="00F16905"/>
    <w:rsid w:val="00F1697F"/>
    <w:rsid w:val="00F169AE"/>
    <w:rsid w:val="00F169EE"/>
    <w:rsid w:val="00F16A36"/>
    <w:rsid w:val="00F16A72"/>
    <w:rsid w:val="00F16B08"/>
    <w:rsid w:val="00F16B79"/>
    <w:rsid w:val="00F16BDC"/>
    <w:rsid w:val="00F16BDF"/>
    <w:rsid w:val="00F16C25"/>
    <w:rsid w:val="00F16CBA"/>
    <w:rsid w:val="00F16CCE"/>
    <w:rsid w:val="00F16D13"/>
    <w:rsid w:val="00F16D5F"/>
    <w:rsid w:val="00F16D90"/>
    <w:rsid w:val="00F16E09"/>
    <w:rsid w:val="00F16E30"/>
    <w:rsid w:val="00F16E38"/>
    <w:rsid w:val="00F16ED9"/>
    <w:rsid w:val="00F16EE0"/>
    <w:rsid w:val="00F16FA8"/>
    <w:rsid w:val="00F16FA9"/>
    <w:rsid w:val="00F16FFB"/>
    <w:rsid w:val="00F17043"/>
    <w:rsid w:val="00F17119"/>
    <w:rsid w:val="00F17149"/>
    <w:rsid w:val="00F17156"/>
    <w:rsid w:val="00F1717B"/>
    <w:rsid w:val="00F1720F"/>
    <w:rsid w:val="00F17227"/>
    <w:rsid w:val="00F1722A"/>
    <w:rsid w:val="00F1724B"/>
    <w:rsid w:val="00F17299"/>
    <w:rsid w:val="00F1738D"/>
    <w:rsid w:val="00F173BE"/>
    <w:rsid w:val="00F17493"/>
    <w:rsid w:val="00F174B7"/>
    <w:rsid w:val="00F174F4"/>
    <w:rsid w:val="00F175AA"/>
    <w:rsid w:val="00F175CA"/>
    <w:rsid w:val="00F17600"/>
    <w:rsid w:val="00F17663"/>
    <w:rsid w:val="00F176C7"/>
    <w:rsid w:val="00F17707"/>
    <w:rsid w:val="00F17725"/>
    <w:rsid w:val="00F177EE"/>
    <w:rsid w:val="00F17842"/>
    <w:rsid w:val="00F17887"/>
    <w:rsid w:val="00F178BA"/>
    <w:rsid w:val="00F17963"/>
    <w:rsid w:val="00F17972"/>
    <w:rsid w:val="00F17A3E"/>
    <w:rsid w:val="00F17A76"/>
    <w:rsid w:val="00F17B7D"/>
    <w:rsid w:val="00F17C5C"/>
    <w:rsid w:val="00F17C6C"/>
    <w:rsid w:val="00F17C6D"/>
    <w:rsid w:val="00F17CCC"/>
    <w:rsid w:val="00F17CCF"/>
    <w:rsid w:val="00F17D1F"/>
    <w:rsid w:val="00F17D94"/>
    <w:rsid w:val="00F17F0D"/>
    <w:rsid w:val="00F17F51"/>
    <w:rsid w:val="00F17F54"/>
    <w:rsid w:val="00F17F64"/>
    <w:rsid w:val="00F17FCF"/>
    <w:rsid w:val="00F20045"/>
    <w:rsid w:val="00F200FB"/>
    <w:rsid w:val="00F20128"/>
    <w:rsid w:val="00F20134"/>
    <w:rsid w:val="00F20151"/>
    <w:rsid w:val="00F2015C"/>
    <w:rsid w:val="00F201A7"/>
    <w:rsid w:val="00F201D7"/>
    <w:rsid w:val="00F2024D"/>
    <w:rsid w:val="00F2027A"/>
    <w:rsid w:val="00F203A5"/>
    <w:rsid w:val="00F203F6"/>
    <w:rsid w:val="00F20563"/>
    <w:rsid w:val="00F20569"/>
    <w:rsid w:val="00F20600"/>
    <w:rsid w:val="00F2068B"/>
    <w:rsid w:val="00F206ED"/>
    <w:rsid w:val="00F206F9"/>
    <w:rsid w:val="00F2071B"/>
    <w:rsid w:val="00F2076D"/>
    <w:rsid w:val="00F20790"/>
    <w:rsid w:val="00F2080E"/>
    <w:rsid w:val="00F2084C"/>
    <w:rsid w:val="00F20861"/>
    <w:rsid w:val="00F20867"/>
    <w:rsid w:val="00F20905"/>
    <w:rsid w:val="00F209DB"/>
    <w:rsid w:val="00F20A2B"/>
    <w:rsid w:val="00F20A8A"/>
    <w:rsid w:val="00F20AAA"/>
    <w:rsid w:val="00F20AE5"/>
    <w:rsid w:val="00F20BBE"/>
    <w:rsid w:val="00F20CBA"/>
    <w:rsid w:val="00F20D27"/>
    <w:rsid w:val="00F20E00"/>
    <w:rsid w:val="00F20E08"/>
    <w:rsid w:val="00F20E21"/>
    <w:rsid w:val="00F20EBC"/>
    <w:rsid w:val="00F20ED3"/>
    <w:rsid w:val="00F20F4B"/>
    <w:rsid w:val="00F20F8A"/>
    <w:rsid w:val="00F210B7"/>
    <w:rsid w:val="00F21118"/>
    <w:rsid w:val="00F21144"/>
    <w:rsid w:val="00F21165"/>
    <w:rsid w:val="00F211E7"/>
    <w:rsid w:val="00F21279"/>
    <w:rsid w:val="00F212A7"/>
    <w:rsid w:val="00F21333"/>
    <w:rsid w:val="00F2135C"/>
    <w:rsid w:val="00F2141B"/>
    <w:rsid w:val="00F21423"/>
    <w:rsid w:val="00F21482"/>
    <w:rsid w:val="00F214BE"/>
    <w:rsid w:val="00F21544"/>
    <w:rsid w:val="00F215CD"/>
    <w:rsid w:val="00F215DD"/>
    <w:rsid w:val="00F216D8"/>
    <w:rsid w:val="00F2178D"/>
    <w:rsid w:val="00F2179F"/>
    <w:rsid w:val="00F217AE"/>
    <w:rsid w:val="00F2180E"/>
    <w:rsid w:val="00F2189C"/>
    <w:rsid w:val="00F218E1"/>
    <w:rsid w:val="00F21910"/>
    <w:rsid w:val="00F21923"/>
    <w:rsid w:val="00F21B2E"/>
    <w:rsid w:val="00F21B87"/>
    <w:rsid w:val="00F21B92"/>
    <w:rsid w:val="00F21C33"/>
    <w:rsid w:val="00F21C70"/>
    <w:rsid w:val="00F21C74"/>
    <w:rsid w:val="00F21C78"/>
    <w:rsid w:val="00F21D18"/>
    <w:rsid w:val="00F21DCF"/>
    <w:rsid w:val="00F21DFC"/>
    <w:rsid w:val="00F21E5E"/>
    <w:rsid w:val="00F21E7C"/>
    <w:rsid w:val="00F21E7E"/>
    <w:rsid w:val="00F21EB0"/>
    <w:rsid w:val="00F21EE5"/>
    <w:rsid w:val="00F22027"/>
    <w:rsid w:val="00F22032"/>
    <w:rsid w:val="00F22087"/>
    <w:rsid w:val="00F220DF"/>
    <w:rsid w:val="00F22112"/>
    <w:rsid w:val="00F22118"/>
    <w:rsid w:val="00F2217A"/>
    <w:rsid w:val="00F221D3"/>
    <w:rsid w:val="00F2220F"/>
    <w:rsid w:val="00F222BA"/>
    <w:rsid w:val="00F22315"/>
    <w:rsid w:val="00F22338"/>
    <w:rsid w:val="00F22396"/>
    <w:rsid w:val="00F223D9"/>
    <w:rsid w:val="00F22435"/>
    <w:rsid w:val="00F2245D"/>
    <w:rsid w:val="00F22488"/>
    <w:rsid w:val="00F224D0"/>
    <w:rsid w:val="00F2259D"/>
    <w:rsid w:val="00F2259F"/>
    <w:rsid w:val="00F225C1"/>
    <w:rsid w:val="00F22633"/>
    <w:rsid w:val="00F22641"/>
    <w:rsid w:val="00F226A4"/>
    <w:rsid w:val="00F226F6"/>
    <w:rsid w:val="00F2273D"/>
    <w:rsid w:val="00F227B8"/>
    <w:rsid w:val="00F22831"/>
    <w:rsid w:val="00F2283C"/>
    <w:rsid w:val="00F22852"/>
    <w:rsid w:val="00F228F2"/>
    <w:rsid w:val="00F228FD"/>
    <w:rsid w:val="00F2295A"/>
    <w:rsid w:val="00F2298C"/>
    <w:rsid w:val="00F229F5"/>
    <w:rsid w:val="00F22A2F"/>
    <w:rsid w:val="00F22A44"/>
    <w:rsid w:val="00F22A4B"/>
    <w:rsid w:val="00F22A79"/>
    <w:rsid w:val="00F22B38"/>
    <w:rsid w:val="00F22B49"/>
    <w:rsid w:val="00F22B53"/>
    <w:rsid w:val="00F22BC6"/>
    <w:rsid w:val="00F22C2A"/>
    <w:rsid w:val="00F22C55"/>
    <w:rsid w:val="00F22D22"/>
    <w:rsid w:val="00F22DEE"/>
    <w:rsid w:val="00F22E34"/>
    <w:rsid w:val="00F22E38"/>
    <w:rsid w:val="00F22EB9"/>
    <w:rsid w:val="00F22EBA"/>
    <w:rsid w:val="00F22FE8"/>
    <w:rsid w:val="00F2308D"/>
    <w:rsid w:val="00F230DA"/>
    <w:rsid w:val="00F230DF"/>
    <w:rsid w:val="00F23171"/>
    <w:rsid w:val="00F2326C"/>
    <w:rsid w:val="00F232D4"/>
    <w:rsid w:val="00F233F9"/>
    <w:rsid w:val="00F2347B"/>
    <w:rsid w:val="00F235A9"/>
    <w:rsid w:val="00F235B3"/>
    <w:rsid w:val="00F235F7"/>
    <w:rsid w:val="00F23643"/>
    <w:rsid w:val="00F23680"/>
    <w:rsid w:val="00F236BF"/>
    <w:rsid w:val="00F236D0"/>
    <w:rsid w:val="00F23703"/>
    <w:rsid w:val="00F23735"/>
    <w:rsid w:val="00F237AC"/>
    <w:rsid w:val="00F2380A"/>
    <w:rsid w:val="00F2383B"/>
    <w:rsid w:val="00F23867"/>
    <w:rsid w:val="00F238A4"/>
    <w:rsid w:val="00F239AE"/>
    <w:rsid w:val="00F239DF"/>
    <w:rsid w:val="00F239F1"/>
    <w:rsid w:val="00F23A4B"/>
    <w:rsid w:val="00F23A74"/>
    <w:rsid w:val="00F23B23"/>
    <w:rsid w:val="00F23BC9"/>
    <w:rsid w:val="00F23CA4"/>
    <w:rsid w:val="00F23CE2"/>
    <w:rsid w:val="00F23E4F"/>
    <w:rsid w:val="00F23E72"/>
    <w:rsid w:val="00F23EFE"/>
    <w:rsid w:val="00F23F5A"/>
    <w:rsid w:val="00F23FB1"/>
    <w:rsid w:val="00F24013"/>
    <w:rsid w:val="00F2408F"/>
    <w:rsid w:val="00F240A5"/>
    <w:rsid w:val="00F240D4"/>
    <w:rsid w:val="00F24148"/>
    <w:rsid w:val="00F241BC"/>
    <w:rsid w:val="00F24235"/>
    <w:rsid w:val="00F2429A"/>
    <w:rsid w:val="00F242BF"/>
    <w:rsid w:val="00F242EE"/>
    <w:rsid w:val="00F242F6"/>
    <w:rsid w:val="00F24301"/>
    <w:rsid w:val="00F24335"/>
    <w:rsid w:val="00F2433F"/>
    <w:rsid w:val="00F243DF"/>
    <w:rsid w:val="00F24479"/>
    <w:rsid w:val="00F24487"/>
    <w:rsid w:val="00F244EB"/>
    <w:rsid w:val="00F24520"/>
    <w:rsid w:val="00F24543"/>
    <w:rsid w:val="00F245DD"/>
    <w:rsid w:val="00F245F3"/>
    <w:rsid w:val="00F245F7"/>
    <w:rsid w:val="00F24616"/>
    <w:rsid w:val="00F2462C"/>
    <w:rsid w:val="00F246BE"/>
    <w:rsid w:val="00F24702"/>
    <w:rsid w:val="00F24714"/>
    <w:rsid w:val="00F24760"/>
    <w:rsid w:val="00F247AA"/>
    <w:rsid w:val="00F248C1"/>
    <w:rsid w:val="00F248ED"/>
    <w:rsid w:val="00F24908"/>
    <w:rsid w:val="00F249A5"/>
    <w:rsid w:val="00F249E0"/>
    <w:rsid w:val="00F249F6"/>
    <w:rsid w:val="00F24A17"/>
    <w:rsid w:val="00F24A5F"/>
    <w:rsid w:val="00F24A77"/>
    <w:rsid w:val="00F24AE1"/>
    <w:rsid w:val="00F24AEE"/>
    <w:rsid w:val="00F24AFB"/>
    <w:rsid w:val="00F24B9F"/>
    <w:rsid w:val="00F24BAC"/>
    <w:rsid w:val="00F24C05"/>
    <w:rsid w:val="00F24C57"/>
    <w:rsid w:val="00F24C6E"/>
    <w:rsid w:val="00F24CD6"/>
    <w:rsid w:val="00F24E38"/>
    <w:rsid w:val="00F24E6A"/>
    <w:rsid w:val="00F24E7C"/>
    <w:rsid w:val="00F24ECE"/>
    <w:rsid w:val="00F24F55"/>
    <w:rsid w:val="00F24FF4"/>
    <w:rsid w:val="00F2500C"/>
    <w:rsid w:val="00F25017"/>
    <w:rsid w:val="00F250B9"/>
    <w:rsid w:val="00F25109"/>
    <w:rsid w:val="00F2510A"/>
    <w:rsid w:val="00F2510F"/>
    <w:rsid w:val="00F25120"/>
    <w:rsid w:val="00F251C3"/>
    <w:rsid w:val="00F251D6"/>
    <w:rsid w:val="00F251F2"/>
    <w:rsid w:val="00F2526E"/>
    <w:rsid w:val="00F252CB"/>
    <w:rsid w:val="00F25370"/>
    <w:rsid w:val="00F25400"/>
    <w:rsid w:val="00F25423"/>
    <w:rsid w:val="00F25497"/>
    <w:rsid w:val="00F254AE"/>
    <w:rsid w:val="00F254E4"/>
    <w:rsid w:val="00F255B6"/>
    <w:rsid w:val="00F255C2"/>
    <w:rsid w:val="00F256E6"/>
    <w:rsid w:val="00F256E9"/>
    <w:rsid w:val="00F25700"/>
    <w:rsid w:val="00F2578C"/>
    <w:rsid w:val="00F257AE"/>
    <w:rsid w:val="00F257C2"/>
    <w:rsid w:val="00F25800"/>
    <w:rsid w:val="00F25811"/>
    <w:rsid w:val="00F258A6"/>
    <w:rsid w:val="00F258F1"/>
    <w:rsid w:val="00F2593D"/>
    <w:rsid w:val="00F2599D"/>
    <w:rsid w:val="00F25A45"/>
    <w:rsid w:val="00F25AAE"/>
    <w:rsid w:val="00F25B41"/>
    <w:rsid w:val="00F25C48"/>
    <w:rsid w:val="00F25CAA"/>
    <w:rsid w:val="00F25CCA"/>
    <w:rsid w:val="00F25D23"/>
    <w:rsid w:val="00F25D3A"/>
    <w:rsid w:val="00F25D72"/>
    <w:rsid w:val="00F25E75"/>
    <w:rsid w:val="00F25E76"/>
    <w:rsid w:val="00F26004"/>
    <w:rsid w:val="00F2608A"/>
    <w:rsid w:val="00F260E4"/>
    <w:rsid w:val="00F26112"/>
    <w:rsid w:val="00F26129"/>
    <w:rsid w:val="00F2614A"/>
    <w:rsid w:val="00F2616C"/>
    <w:rsid w:val="00F261EF"/>
    <w:rsid w:val="00F26209"/>
    <w:rsid w:val="00F2627B"/>
    <w:rsid w:val="00F262B0"/>
    <w:rsid w:val="00F262E2"/>
    <w:rsid w:val="00F26313"/>
    <w:rsid w:val="00F26319"/>
    <w:rsid w:val="00F2632D"/>
    <w:rsid w:val="00F26394"/>
    <w:rsid w:val="00F263A2"/>
    <w:rsid w:val="00F263A6"/>
    <w:rsid w:val="00F263D0"/>
    <w:rsid w:val="00F263DC"/>
    <w:rsid w:val="00F2657A"/>
    <w:rsid w:val="00F266EF"/>
    <w:rsid w:val="00F267D0"/>
    <w:rsid w:val="00F268F9"/>
    <w:rsid w:val="00F26ABB"/>
    <w:rsid w:val="00F26B29"/>
    <w:rsid w:val="00F26B45"/>
    <w:rsid w:val="00F26B73"/>
    <w:rsid w:val="00F26BE3"/>
    <w:rsid w:val="00F26C49"/>
    <w:rsid w:val="00F26CA8"/>
    <w:rsid w:val="00F26D20"/>
    <w:rsid w:val="00F26D7C"/>
    <w:rsid w:val="00F26E5E"/>
    <w:rsid w:val="00F26E5F"/>
    <w:rsid w:val="00F26EB3"/>
    <w:rsid w:val="00F26F57"/>
    <w:rsid w:val="00F26FDE"/>
    <w:rsid w:val="00F26FE7"/>
    <w:rsid w:val="00F27022"/>
    <w:rsid w:val="00F27039"/>
    <w:rsid w:val="00F27043"/>
    <w:rsid w:val="00F27158"/>
    <w:rsid w:val="00F27216"/>
    <w:rsid w:val="00F272BF"/>
    <w:rsid w:val="00F272D1"/>
    <w:rsid w:val="00F272E3"/>
    <w:rsid w:val="00F2731E"/>
    <w:rsid w:val="00F2734F"/>
    <w:rsid w:val="00F2742F"/>
    <w:rsid w:val="00F2743E"/>
    <w:rsid w:val="00F27448"/>
    <w:rsid w:val="00F2745D"/>
    <w:rsid w:val="00F27471"/>
    <w:rsid w:val="00F274FC"/>
    <w:rsid w:val="00F27502"/>
    <w:rsid w:val="00F27541"/>
    <w:rsid w:val="00F2764D"/>
    <w:rsid w:val="00F2767A"/>
    <w:rsid w:val="00F276A3"/>
    <w:rsid w:val="00F276D5"/>
    <w:rsid w:val="00F27705"/>
    <w:rsid w:val="00F27738"/>
    <w:rsid w:val="00F277A6"/>
    <w:rsid w:val="00F277F1"/>
    <w:rsid w:val="00F277F8"/>
    <w:rsid w:val="00F27841"/>
    <w:rsid w:val="00F2784C"/>
    <w:rsid w:val="00F27953"/>
    <w:rsid w:val="00F2797C"/>
    <w:rsid w:val="00F27987"/>
    <w:rsid w:val="00F279E7"/>
    <w:rsid w:val="00F279EF"/>
    <w:rsid w:val="00F27A58"/>
    <w:rsid w:val="00F27B31"/>
    <w:rsid w:val="00F27BAC"/>
    <w:rsid w:val="00F27BBA"/>
    <w:rsid w:val="00F27BED"/>
    <w:rsid w:val="00F27C42"/>
    <w:rsid w:val="00F27C60"/>
    <w:rsid w:val="00F27D33"/>
    <w:rsid w:val="00F27DBA"/>
    <w:rsid w:val="00F27DBD"/>
    <w:rsid w:val="00F27F5E"/>
    <w:rsid w:val="00F27F67"/>
    <w:rsid w:val="00F27FC3"/>
    <w:rsid w:val="00F27FD6"/>
    <w:rsid w:val="00F30135"/>
    <w:rsid w:val="00F3015A"/>
    <w:rsid w:val="00F3017D"/>
    <w:rsid w:val="00F30244"/>
    <w:rsid w:val="00F30353"/>
    <w:rsid w:val="00F3041E"/>
    <w:rsid w:val="00F3049E"/>
    <w:rsid w:val="00F304A4"/>
    <w:rsid w:val="00F304AE"/>
    <w:rsid w:val="00F304F7"/>
    <w:rsid w:val="00F305D3"/>
    <w:rsid w:val="00F3061F"/>
    <w:rsid w:val="00F3062B"/>
    <w:rsid w:val="00F306B2"/>
    <w:rsid w:val="00F306E3"/>
    <w:rsid w:val="00F3075E"/>
    <w:rsid w:val="00F30773"/>
    <w:rsid w:val="00F3095C"/>
    <w:rsid w:val="00F3098C"/>
    <w:rsid w:val="00F309D5"/>
    <w:rsid w:val="00F309EB"/>
    <w:rsid w:val="00F30A30"/>
    <w:rsid w:val="00F30A57"/>
    <w:rsid w:val="00F30A8C"/>
    <w:rsid w:val="00F30A94"/>
    <w:rsid w:val="00F30A9F"/>
    <w:rsid w:val="00F30ABC"/>
    <w:rsid w:val="00F30B13"/>
    <w:rsid w:val="00F30BC8"/>
    <w:rsid w:val="00F30C30"/>
    <w:rsid w:val="00F30C96"/>
    <w:rsid w:val="00F30CFA"/>
    <w:rsid w:val="00F30D59"/>
    <w:rsid w:val="00F30E04"/>
    <w:rsid w:val="00F30E24"/>
    <w:rsid w:val="00F30E5E"/>
    <w:rsid w:val="00F30EC8"/>
    <w:rsid w:val="00F30F4E"/>
    <w:rsid w:val="00F30FA0"/>
    <w:rsid w:val="00F30FCA"/>
    <w:rsid w:val="00F3104E"/>
    <w:rsid w:val="00F310EF"/>
    <w:rsid w:val="00F3110C"/>
    <w:rsid w:val="00F31177"/>
    <w:rsid w:val="00F31187"/>
    <w:rsid w:val="00F311A6"/>
    <w:rsid w:val="00F3125B"/>
    <w:rsid w:val="00F31291"/>
    <w:rsid w:val="00F312DD"/>
    <w:rsid w:val="00F312DE"/>
    <w:rsid w:val="00F313B3"/>
    <w:rsid w:val="00F313E1"/>
    <w:rsid w:val="00F3143D"/>
    <w:rsid w:val="00F3147C"/>
    <w:rsid w:val="00F31493"/>
    <w:rsid w:val="00F315B1"/>
    <w:rsid w:val="00F315E5"/>
    <w:rsid w:val="00F315FE"/>
    <w:rsid w:val="00F3160B"/>
    <w:rsid w:val="00F3165A"/>
    <w:rsid w:val="00F3167B"/>
    <w:rsid w:val="00F31688"/>
    <w:rsid w:val="00F316FF"/>
    <w:rsid w:val="00F31738"/>
    <w:rsid w:val="00F31966"/>
    <w:rsid w:val="00F31994"/>
    <w:rsid w:val="00F3199A"/>
    <w:rsid w:val="00F319D3"/>
    <w:rsid w:val="00F31A08"/>
    <w:rsid w:val="00F31A1F"/>
    <w:rsid w:val="00F31A20"/>
    <w:rsid w:val="00F31A85"/>
    <w:rsid w:val="00F31BBB"/>
    <w:rsid w:val="00F31D17"/>
    <w:rsid w:val="00F31D19"/>
    <w:rsid w:val="00F31D65"/>
    <w:rsid w:val="00F31D6A"/>
    <w:rsid w:val="00F31DD0"/>
    <w:rsid w:val="00F31E81"/>
    <w:rsid w:val="00F31EB5"/>
    <w:rsid w:val="00F31F2F"/>
    <w:rsid w:val="00F31F87"/>
    <w:rsid w:val="00F31FF0"/>
    <w:rsid w:val="00F32032"/>
    <w:rsid w:val="00F320B1"/>
    <w:rsid w:val="00F320BB"/>
    <w:rsid w:val="00F320DC"/>
    <w:rsid w:val="00F321B4"/>
    <w:rsid w:val="00F321FC"/>
    <w:rsid w:val="00F3223D"/>
    <w:rsid w:val="00F32285"/>
    <w:rsid w:val="00F322A6"/>
    <w:rsid w:val="00F32371"/>
    <w:rsid w:val="00F32433"/>
    <w:rsid w:val="00F32438"/>
    <w:rsid w:val="00F32459"/>
    <w:rsid w:val="00F32575"/>
    <w:rsid w:val="00F325CF"/>
    <w:rsid w:val="00F3265A"/>
    <w:rsid w:val="00F32740"/>
    <w:rsid w:val="00F3276C"/>
    <w:rsid w:val="00F327D7"/>
    <w:rsid w:val="00F32834"/>
    <w:rsid w:val="00F32880"/>
    <w:rsid w:val="00F328BE"/>
    <w:rsid w:val="00F32905"/>
    <w:rsid w:val="00F32926"/>
    <w:rsid w:val="00F3293C"/>
    <w:rsid w:val="00F32956"/>
    <w:rsid w:val="00F32989"/>
    <w:rsid w:val="00F329AA"/>
    <w:rsid w:val="00F32A88"/>
    <w:rsid w:val="00F32A8E"/>
    <w:rsid w:val="00F32AC5"/>
    <w:rsid w:val="00F32B06"/>
    <w:rsid w:val="00F32B4C"/>
    <w:rsid w:val="00F32B53"/>
    <w:rsid w:val="00F32B72"/>
    <w:rsid w:val="00F32B7D"/>
    <w:rsid w:val="00F32C68"/>
    <w:rsid w:val="00F32C86"/>
    <w:rsid w:val="00F32CE7"/>
    <w:rsid w:val="00F330C7"/>
    <w:rsid w:val="00F3313B"/>
    <w:rsid w:val="00F33235"/>
    <w:rsid w:val="00F332E9"/>
    <w:rsid w:val="00F332F6"/>
    <w:rsid w:val="00F33352"/>
    <w:rsid w:val="00F333C6"/>
    <w:rsid w:val="00F334D0"/>
    <w:rsid w:val="00F334E6"/>
    <w:rsid w:val="00F3353C"/>
    <w:rsid w:val="00F3356D"/>
    <w:rsid w:val="00F3358C"/>
    <w:rsid w:val="00F3359C"/>
    <w:rsid w:val="00F335DA"/>
    <w:rsid w:val="00F33645"/>
    <w:rsid w:val="00F33682"/>
    <w:rsid w:val="00F336AD"/>
    <w:rsid w:val="00F33709"/>
    <w:rsid w:val="00F3372F"/>
    <w:rsid w:val="00F3378C"/>
    <w:rsid w:val="00F337D2"/>
    <w:rsid w:val="00F337E9"/>
    <w:rsid w:val="00F338B6"/>
    <w:rsid w:val="00F338C2"/>
    <w:rsid w:val="00F33971"/>
    <w:rsid w:val="00F33A3C"/>
    <w:rsid w:val="00F33A3F"/>
    <w:rsid w:val="00F33A8D"/>
    <w:rsid w:val="00F33ABA"/>
    <w:rsid w:val="00F33C00"/>
    <w:rsid w:val="00F33C0D"/>
    <w:rsid w:val="00F33CB3"/>
    <w:rsid w:val="00F33CFC"/>
    <w:rsid w:val="00F33D11"/>
    <w:rsid w:val="00F33D72"/>
    <w:rsid w:val="00F33D79"/>
    <w:rsid w:val="00F33DB8"/>
    <w:rsid w:val="00F33DE9"/>
    <w:rsid w:val="00F33E42"/>
    <w:rsid w:val="00F33E58"/>
    <w:rsid w:val="00F33E81"/>
    <w:rsid w:val="00F33ED2"/>
    <w:rsid w:val="00F33EF0"/>
    <w:rsid w:val="00F33F2F"/>
    <w:rsid w:val="00F33F35"/>
    <w:rsid w:val="00F33F7F"/>
    <w:rsid w:val="00F33F8E"/>
    <w:rsid w:val="00F33FAE"/>
    <w:rsid w:val="00F34029"/>
    <w:rsid w:val="00F34124"/>
    <w:rsid w:val="00F341E4"/>
    <w:rsid w:val="00F34285"/>
    <w:rsid w:val="00F3429A"/>
    <w:rsid w:val="00F3429C"/>
    <w:rsid w:val="00F3430A"/>
    <w:rsid w:val="00F34425"/>
    <w:rsid w:val="00F3442E"/>
    <w:rsid w:val="00F34465"/>
    <w:rsid w:val="00F3448D"/>
    <w:rsid w:val="00F344E1"/>
    <w:rsid w:val="00F3455D"/>
    <w:rsid w:val="00F3456C"/>
    <w:rsid w:val="00F345D2"/>
    <w:rsid w:val="00F34674"/>
    <w:rsid w:val="00F3469C"/>
    <w:rsid w:val="00F3486B"/>
    <w:rsid w:val="00F348CA"/>
    <w:rsid w:val="00F348EF"/>
    <w:rsid w:val="00F34A16"/>
    <w:rsid w:val="00F34A56"/>
    <w:rsid w:val="00F34A93"/>
    <w:rsid w:val="00F34AE5"/>
    <w:rsid w:val="00F34B7E"/>
    <w:rsid w:val="00F34C17"/>
    <w:rsid w:val="00F34C26"/>
    <w:rsid w:val="00F34D79"/>
    <w:rsid w:val="00F34D8E"/>
    <w:rsid w:val="00F34DF4"/>
    <w:rsid w:val="00F34DF6"/>
    <w:rsid w:val="00F34E9D"/>
    <w:rsid w:val="00F34FDD"/>
    <w:rsid w:val="00F35092"/>
    <w:rsid w:val="00F350A1"/>
    <w:rsid w:val="00F350B9"/>
    <w:rsid w:val="00F3514C"/>
    <w:rsid w:val="00F3517F"/>
    <w:rsid w:val="00F35186"/>
    <w:rsid w:val="00F351F5"/>
    <w:rsid w:val="00F35201"/>
    <w:rsid w:val="00F35212"/>
    <w:rsid w:val="00F3529D"/>
    <w:rsid w:val="00F35305"/>
    <w:rsid w:val="00F3532D"/>
    <w:rsid w:val="00F35452"/>
    <w:rsid w:val="00F3547D"/>
    <w:rsid w:val="00F35503"/>
    <w:rsid w:val="00F35551"/>
    <w:rsid w:val="00F355A5"/>
    <w:rsid w:val="00F355B2"/>
    <w:rsid w:val="00F355DF"/>
    <w:rsid w:val="00F35630"/>
    <w:rsid w:val="00F3566A"/>
    <w:rsid w:val="00F356B8"/>
    <w:rsid w:val="00F35720"/>
    <w:rsid w:val="00F3575A"/>
    <w:rsid w:val="00F357A7"/>
    <w:rsid w:val="00F357CB"/>
    <w:rsid w:val="00F35810"/>
    <w:rsid w:val="00F35862"/>
    <w:rsid w:val="00F3586C"/>
    <w:rsid w:val="00F3589B"/>
    <w:rsid w:val="00F358EE"/>
    <w:rsid w:val="00F3592A"/>
    <w:rsid w:val="00F35952"/>
    <w:rsid w:val="00F359D7"/>
    <w:rsid w:val="00F35A59"/>
    <w:rsid w:val="00F35A5D"/>
    <w:rsid w:val="00F35A9F"/>
    <w:rsid w:val="00F35AC9"/>
    <w:rsid w:val="00F35B1C"/>
    <w:rsid w:val="00F35B6A"/>
    <w:rsid w:val="00F35BC8"/>
    <w:rsid w:val="00F35C49"/>
    <w:rsid w:val="00F35C4B"/>
    <w:rsid w:val="00F35CBF"/>
    <w:rsid w:val="00F35D64"/>
    <w:rsid w:val="00F35D90"/>
    <w:rsid w:val="00F35DD6"/>
    <w:rsid w:val="00F35DF8"/>
    <w:rsid w:val="00F35E42"/>
    <w:rsid w:val="00F35E52"/>
    <w:rsid w:val="00F35E5E"/>
    <w:rsid w:val="00F35F22"/>
    <w:rsid w:val="00F35F54"/>
    <w:rsid w:val="00F35FA1"/>
    <w:rsid w:val="00F36151"/>
    <w:rsid w:val="00F3618A"/>
    <w:rsid w:val="00F3622A"/>
    <w:rsid w:val="00F36237"/>
    <w:rsid w:val="00F3630D"/>
    <w:rsid w:val="00F36317"/>
    <w:rsid w:val="00F36331"/>
    <w:rsid w:val="00F363BC"/>
    <w:rsid w:val="00F363C4"/>
    <w:rsid w:val="00F3641E"/>
    <w:rsid w:val="00F364E8"/>
    <w:rsid w:val="00F364F2"/>
    <w:rsid w:val="00F365A7"/>
    <w:rsid w:val="00F365AD"/>
    <w:rsid w:val="00F365E6"/>
    <w:rsid w:val="00F36628"/>
    <w:rsid w:val="00F36636"/>
    <w:rsid w:val="00F36644"/>
    <w:rsid w:val="00F36668"/>
    <w:rsid w:val="00F366A0"/>
    <w:rsid w:val="00F366C4"/>
    <w:rsid w:val="00F366E5"/>
    <w:rsid w:val="00F366EC"/>
    <w:rsid w:val="00F366FC"/>
    <w:rsid w:val="00F3675E"/>
    <w:rsid w:val="00F36760"/>
    <w:rsid w:val="00F3687D"/>
    <w:rsid w:val="00F36884"/>
    <w:rsid w:val="00F36938"/>
    <w:rsid w:val="00F36985"/>
    <w:rsid w:val="00F369F4"/>
    <w:rsid w:val="00F36A09"/>
    <w:rsid w:val="00F36AD9"/>
    <w:rsid w:val="00F36B21"/>
    <w:rsid w:val="00F36BAE"/>
    <w:rsid w:val="00F36BC9"/>
    <w:rsid w:val="00F36BD9"/>
    <w:rsid w:val="00F36BE2"/>
    <w:rsid w:val="00F36C0A"/>
    <w:rsid w:val="00F36C44"/>
    <w:rsid w:val="00F36C7D"/>
    <w:rsid w:val="00F36C88"/>
    <w:rsid w:val="00F36D44"/>
    <w:rsid w:val="00F36D46"/>
    <w:rsid w:val="00F36D8D"/>
    <w:rsid w:val="00F36DBE"/>
    <w:rsid w:val="00F36DDE"/>
    <w:rsid w:val="00F36DFA"/>
    <w:rsid w:val="00F36E2E"/>
    <w:rsid w:val="00F36E83"/>
    <w:rsid w:val="00F36F5B"/>
    <w:rsid w:val="00F36F66"/>
    <w:rsid w:val="00F37054"/>
    <w:rsid w:val="00F3706D"/>
    <w:rsid w:val="00F3708F"/>
    <w:rsid w:val="00F37180"/>
    <w:rsid w:val="00F37195"/>
    <w:rsid w:val="00F371B8"/>
    <w:rsid w:val="00F3729F"/>
    <w:rsid w:val="00F372C0"/>
    <w:rsid w:val="00F37358"/>
    <w:rsid w:val="00F3735C"/>
    <w:rsid w:val="00F3736D"/>
    <w:rsid w:val="00F37420"/>
    <w:rsid w:val="00F37432"/>
    <w:rsid w:val="00F37446"/>
    <w:rsid w:val="00F37488"/>
    <w:rsid w:val="00F374D9"/>
    <w:rsid w:val="00F37531"/>
    <w:rsid w:val="00F377A3"/>
    <w:rsid w:val="00F3782A"/>
    <w:rsid w:val="00F37865"/>
    <w:rsid w:val="00F3789A"/>
    <w:rsid w:val="00F3789E"/>
    <w:rsid w:val="00F378AC"/>
    <w:rsid w:val="00F378B5"/>
    <w:rsid w:val="00F378D2"/>
    <w:rsid w:val="00F3798B"/>
    <w:rsid w:val="00F379DA"/>
    <w:rsid w:val="00F379DD"/>
    <w:rsid w:val="00F379E9"/>
    <w:rsid w:val="00F37ACC"/>
    <w:rsid w:val="00F37B4A"/>
    <w:rsid w:val="00F37B75"/>
    <w:rsid w:val="00F37C03"/>
    <w:rsid w:val="00F37CB4"/>
    <w:rsid w:val="00F37D84"/>
    <w:rsid w:val="00F37DF3"/>
    <w:rsid w:val="00F37DFB"/>
    <w:rsid w:val="00F37E12"/>
    <w:rsid w:val="00F37EB5"/>
    <w:rsid w:val="00F37EEE"/>
    <w:rsid w:val="00F37FCF"/>
    <w:rsid w:val="00F4000F"/>
    <w:rsid w:val="00F4009E"/>
    <w:rsid w:val="00F400BE"/>
    <w:rsid w:val="00F400D0"/>
    <w:rsid w:val="00F40111"/>
    <w:rsid w:val="00F401F1"/>
    <w:rsid w:val="00F4026D"/>
    <w:rsid w:val="00F402B5"/>
    <w:rsid w:val="00F402C7"/>
    <w:rsid w:val="00F404CB"/>
    <w:rsid w:val="00F405A4"/>
    <w:rsid w:val="00F40614"/>
    <w:rsid w:val="00F40688"/>
    <w:rsid w:val="00F406B2"/>
    <w:rsid w:val="00F40724"/>
    <w:rsid w:val="00F40725"/>
    <w:rsid w:val="00F4075F"/>
    <w:rsid w:val="00F407AA"/>
    <w:rsid w:val="00F407AD"/>
    <w:rsid w:val="00F407C0"/>
    <w:rsid w:val="00F40814"/>
    <w:rsid w:val="00F4082C"/>
    <w:rsid w:val="00F40860"/>
    <w:rsid w:val="00F40865"/>
    <w:rsid w:val="00F4089C"/>
    <w:rsid w:val="00F408C5"/>
    <w:rsid w:val="00F408C9"/>
    <w:rsid w:val="00F4095A"/>
    <w:rsid w:val="00F4099C"/>
    <w:rsid w:val="00F409DD"/>
    <w:rsid w:val="00F40A1C"/>
    <w:rsid w:val="00F40A3C"/>
    <w:rsid w:val="00F40A73"/>
    <w:rsid w:val="00F40AEA"/>
    <w:rsid w:val="00F40B35"/>
    <w:rsid w:val="00F40B3B"/>
    <w:rsid w:val="00F40B67"/>
    <w:rsid w:val="00F40C65"/>
    <w:rsid w:val="00F40C78"/>
    <w:rsid w:val="00F40CF0"/>
    <w:rsid w:val="00F40D7F"/>
    <w:rsid w:val="00F40D87"/>
    <w:rsid w:val="00F40D9C"/>
    <w:rsid w:val="00F40DB8"/>
    <w:rsid w:val="00F40E35"/>
    <w:rsid w:val="00F40E8A"/>
    <w:rsid w:val="00F40EA5"/>
    <w:rsid w:val="00F40ED3"/>
    <w:rsid w:val="00F40F38"/>
    <w:rsid w:val="00F40F51"/>
    <w:rsid w:val="00F40FB2"/>
    <w:rsid w:val="00F40FB9"/>
    <w:rsid w:val="00F41082"/>
    <w:rsid w:val="00F410A2"/>
    <w:rsid w:val="00F410F1"/>
    <w:rsid w:val="00F411DB"/>
    <w:rsid w:val="00F4122C"/>
    <w:rsid w:val="00F4135F"/>
    <w:rsid w:val="00F4136C"/>
    <w:rsid w:val="00F4140A"/>
    <w:rsid w:val="00F4140C"/>
    <w:rsid w:val="00F41448"/>
    <w:rsid w:val="00F41471"/>
    <w:rsid w:val="00F41493"/>
    <w:rsid w:val="00F414B7"/>
    <w:rsid w:val="00F414F2"/>
    <w:rsid w:val="00F4151D"/>
    <w:rsid w:val="00F4157B"/>
    <w:rsid w:val="00F415A5"/>
    <w:rsid w:val="00F41619"/>
    <w:rsid w:val="00F41667"/>
    <w:rsid w:val="00F416A2"/>
    <w:rsid w:val="00F41815"/>
    <w:rsid w:val="00F4181B"/>
    <w:rsid w:val="00F41869"/>
    <w:rsid w:val="00F418B3"/>
    <w:rsid w:val="00F4195A"/>
    <w:rsid w:val="00F41B23"/>
    <w:rsid w:val="00F41C3C"/>
    <w:rsid w:val="00F41C4C"/>
    <w:rsid w:val="00F41C68"/>
    <w:rsid w:val="00F41CB9"/>
    <w:rsid w:val="00F41DA2"/>
    <w:rsid w:val="00F41DC5"/>
    <w:rsid w:val="00F41ECF"/>
    <w:rsid w:val="00F41F3E"/>
    <w:rsid w:val="00F41FB8"/>
    <w:rsid w:val="00F4200F"/>
    <w:rsid w:val="00F42030"/>
    <w:rsid w:val="00F420CC"/>
    <w:rsid w:val="00F42102"/>
    <w:rsid w:val="00F421CD"/>
    <w:rsid w:val="00F4220A"/>
    <w:rsid w:val="00F4223D"/>
    <w:rsid w:val="00F42259"/>
    <w:rsid w:val="00F4225A"/>
    <w:rsid w:val="00F42327"/>
    <w:rsid w:val="00F4236C"/>
    <w:rsid w:val="00F42375"/>
    <w:rsid w:val="00F4239F"/>
    <w:rsid w:val="00F423CF"/>
    <w:rsid w:val="00F4242C"/>
    <w:rsid w:val="00F424FF"/>
    <w:rsid w:val="00F42514"/>
    <w:rsid w:val="00F42554"/>
    <w:rsid w:val="00F425B7"/>
    <w:rsid w:val="00F42665"/>
    <w:rsid w:val="00F426C4"/>
    <w:rsid w:val="00F427A6"/>
    <w:rsid w:val="00F42830"/>
    <w:rsid w:val="00F4283C"/>
    <w:rsid w:val="00F4288E"/>
    <w:rsid w:val="00F42925"/>
    <w:rsid w:val="00F42941"/>
    <w:rsid w:val="00F429D9"/>
    <w:rsid w:val="00F42A7D"/>
    <w:rsid w:val="00F42B05"/>
    <w:rsid w:val="00F42B0C"/>
    <w:rsid w:val="00F42B2A"/>
    <w:rsid w:val="00F42BE4"/>
    <w:rsid w:val="00F42C45"/>
    <w:rsid w:val="00F42C4E"/>
    <w:rsid w:val="00F42CAB"/>
    <w:rsid w:val="00F42CD9"/>
    <w:rsid w:val="00F42D20"/>
    <w:rsid w:val="00F42D9C"/>
    <w:rsid w:val="00F42DAE"/>
    <w:rsid w:val="00F42DF8"/>
    <w:rsid w:val="00F42E20"/>
    <w:rsid w:val="00F42E28"/>
    <w:rsid w:val="00F42E2F"/>
    <w:rsid w:val="00F42E37"/>
    <w:rsid w:val="00F42E72"/>
    <w:rsid w:val="00F42F1A"/>
    <w:rsid w:val="00F42F33"/>
    <w:rsid w:val="00F42F62"/>
    <w:rsid w:val="00F42F6B"/>
    <w:rsid w:val="00F42FA6"/>
    <w:rsid w:val="00F4308D"/>
    <w:rsid w:val="00F430E9"/>
    <w:rsid w:val="00F43104"/>
    <w:rsid w:val="00F4316F"/>
    <w:rsid w:val="00F4327C"/>
    <w:rsid w:val="00F43314"/>
    <w:rsid w:val="00F43377"/>
    <w:rsid w:val="00F43394"/>
    <w:rsid w:val="00F433E7"/>
    <w:rsid w:val="00F43468"/>
    <w:rsid w:val="00F4347E"/>
    <w:rsid w:val="00F4349A"/>
    <w:rsid w:val="00F434FA"/>
    <w:rsid w:val="00F43515"/>
    <w:rsid w:val="00F43516"/>
    <w:rsid w:val="00F4352A"/>
    <w:rsid w:val="00F4352D"/>
    <w:rsid w:val="00F43539"/>
    <w:rsid w:val="00F43609"/>
    <w:rsid w:val="00F43638"/>
    <w:rsid w:val="00F43691"/>
    <w:rsid w:val="00F436A9"/>
    <w:rsid w:val="00F43768"/>
    <w:rsid w:val="00F437A7"/>
    <w:rsid w:val="00F437D1"/>
    <w:rsid w:val="00F43969"/>
    <w:rsid w:val="00F4398C"/>
    <w:rsid w:val="00F439AB"/>
    <w:rsid w:val="00F43A69"/>
    <w:rsid w:val="00F43AE5"/>
    <w:rsid w:val="00F43BCF"/>
    <w:rsid w:val="00F43BD8"/>
    <w:rsid w:val="00F43C40"/>
    <w:rsid w:val="00F43CB3"/>
    <w:rsid w:val="00F43D28"/>
    <w:rsid w:val="00F43D97"/>
    <w:rsid w:val="00F43E36"/>
    <w:rsid w:val="00F43F00"/>
    <w:rsid w:val="00F43FF5"/>
    <w:rsid w:val="00F44012"/>
    <w:rsid w:val="00F44052"/>
    <w:rsid w:val="00F44056"/>
    <w:rsid w:val="00F4406C"/>
    <w:rsid w:val="00F4407A"/>
    <w:rsid w:val="00F4424E"/>
    <w:rsid w:val="00F44273"/>
    <w:rsid w:val="00F44290"/>
    <w:rsid w:val="00F44347"/>
    <w:rsid w:val="00F445D7"/>
    <w:rsid w:val="00F4468C"/>
    <w:rsid w:val="00F446AF"/>
    <w:rsid w:val="00F446B9"/>
    <w:rsid w:val="00F446EA"/>
    <w:rsid w:val="00F4472A"/>
    <w:rsid w:val="00F44759"/>
    <w:rsid w:val="00F447A5"/>
    <w:rsid w:val="00F4483F"/>
    <w:rsid w:val="00F44847"/>
    <w:rsid w:val="00F44862"/>
    <w:rsid w:val="00F448A3"/>
    <w:rsid w:val="00F448D6"/>
    <w:rsid w:val="00F44925"/>
    <w:rsid w:val="00F44A27"/>
    <w:rsid w:val="00F44A88"/>
    <w:rsid w:val="00F44A8A"/>
    <w:rsid w:val="00F44AB5"/>
    <w:rsid w:val="00F44AEA"/>
    <w:rsid w:val="00F44AF2"/>
    <w:rsid w:val="00F44B37"/>
    <w:rsid w:val="00F44BEE"/>
    <w:rsid w:val="00F44CC5"/>
    <w:rsid w:val="00F44E12"/>
    <w:rsid w:val="00F44E1F"/>
    <w:rsid w:val="00F44F20"/>
    <w:rsid w:val="00F45017"/>
    <w:rsid w:val="00F45031"/>
    <w:rsid w:val="00F4503E"/>
    <w:rsid w:val="00F4504F"/>
    <w:rsid w:val="00F450EC"/>
    <w:rsid w:val="00F45137"/>
    <w:rsid w:val="00F45165"/>
    <w:rsid w:val="00F4517C"/>
    <w:rsid w:val="00F451A4"/>
    <w:rsid w:val="00F451E9"/>
    <w:rsid w:val="00F4520B"/>
    <w:rsid w:val="00F4521D"/>
    <w:rsid w:val="00F4525B"/>
    <w:rsid w:val="00F452A4"/>
    <w:rsid w:val="00F45316"/>
    <w:rsid w:val="00F4532C"/>
    <w:rsid w:val="00F45357"/>
    <w:rsid w:val="00F45392"/>
    <w:rsid w:val="00F453B3"/>
    <w:rsid w:val="00F4545C"/>
    <w:rsid w:val="00F4546A"/>
    <w:rsid w:val="00F455A5"/>
    <w:rsid w:val="00F455D9"/>
    <w:rsid w:val="00F455DC"/>
    <w:rsid w:val="00F455E9"/>
    <w:rsid w:val="00F45797"/>
    <w:rsid w:val="00F457E5"/>
    <w:rsid w:val="00F45805"/>
    <w:rsid w:val="00F459CA"/>
    <w:rsid w:val="00F45A40"/>
    <w:rsid w:val="00F45A5A"/>
    <w:rsid w:val="00F45A6D"/>
    <w:rsid w:val="00F45AA1"/>
    <w:rsid w:val="00F45AA7"/>
    <w:rsid w:val="00F45ADE"/>
    <w:rsid w:val="00F45B47"/>
    <w:rsid w:val="00F45BA6"/>
    <w:rsid w:val="00F45BE8"/>
    <w:rsid w:val="00F45C0D"/>
    <w:rsid w:val="00F45C24"/>
    <w:rsid w:val="00F45C4F"/>
    <w:rsid w:val="00F45C9F"/>
    <w:rsid w:val="00F45CA0"/>
    <w:rsid w:val="00F45CDB"/>
    <w:rsid w:val="00F45CEB"/>
    <w:rsid w:val="00F45D20"/>
    <w:rsid w:val="00F45D2C"/>
    <w:rsid w:val="00F45D89"/>
    <w:rsid w:val="00F45DF1"/>
    <w:rsid w:val="00F45E18"/>
    <w:rsid w:val="00F45E4A"/>
    <w:rsid w:val="00F45E57"/>
    <w:rsid w:val="00F45F68"/>
    <w:rsid w:val="00F46011"/>
    <w:rsid w:val="00F46083"/>
    <w:rsid w:val="00F460B6"/>
    <w:rsid w:val="00F46150"/>
    <w:rsid w:val="00F46195"/>
    <w:rsid w:val="00F461EE"/>
    <w:rsid w:val="00F46272"/>
    <w:rsid w:val="00F46283"/>
    <w:rsid w:val="00F46303"/>
    <w:rsid w:val="00F46312"/>
    <w:rsid w:val="00F46342"/>
    <w:rsid w:val="00F463D2"/>
    <w:rsid w:val="00F46421"/>
    <w:rsid w:val="00F46524"/>
    <w:rsid w:val="00F4657B"/>
    <w:rsid w:val="00F46588"/>
    <w:rsid w:val="00F465AF"/>
    <w:rsid w:val="00F465B3"/>
    <w:rsid w:val="00F46626"/>
    <w:rsid w:val="00F46629"/>
    <w:rsid w:val="00F4665C"/>
    <w:rsid w:val="00F466BB"/>
    <w:rsid w:val="00F466BC"/>
    <w:rsid w:val="00F466DA"/>
    <w:rsid w:val="00F4674D"/>
    <w:rsid w:val="00F4675B"/>
    <w:rsid w:val="00F467ED"/>
    <w:rsid w:val="00F4683C"/>
    <w:rsid w:val="00F46906"/>
    <w:rsid w:val="00F46938"/>
    <w:rsid w:val="00F46996"/>
    <w:rsid w:val="00F469F3"/>
    <w:rsid w:val="00F46A03"/>
    <w:rsid w:val="00F46A18"/>
    <w:rsid w:val="00F46A92"/>
    <w:rsid w:val="00F46AA6"/>
    <w:rsid w:val="00F46AA9"/>
    <w:rsid w:val="00F46B30"/>
    <w:rsid w:val="00F46B5D"/>
    <w:rsid w:val="00F46BB9"/>
    <w:rsid w:val="00F46BBF"/>
    <w:rsid w:val="00F46C4D"/>
    <w:rsid w:val="00F46D0F"/>
    <w:rsid w:val="00F46D40"/>
    <w:rsid w:val="00F46D96"/>
    <w:rsid w:val="00F46E0B"/>
    <w:rsid w:val="00F46EAB"/>
    <w:rsid w:val="00F46EFF"/>
    <w:rsid w:val="00F46FE1"/>
    <w:rsid w:val="00F47006"/>
    <w:rsid w:val="00F4701D"/>
    <w:rsid w:val="00F47088"/>
    <w:rsid w:val="00F4709D"/>
    <w:rsid w:val="00F470B1"/>
    <w:rsid w:val="00F470C6"/>
    <w:rsid w:val="00F470F3"/>
    <w:rsid w:val="00F47148"/>
    <w:rsid w:val="00F472C9"/>
    <w:rsid w:val="00F472DD"/>
    <w:rsid w:val="00F47344"/>
    <w:rsid w:val="00F47373"/>
    <w:rsid w:val="00F473AD"/>
    <w:rsid w:val="00F47480"/>
    <w:rsid w:val="00F474D7"/>
    <w:rsid w:val="00F47537"/>
    <w:rsid w:val="00F47597"/>
    <w:rsid w:val="00F475BE"/>
    <w:rsid w:val="00F475C5"/>
    <w:rsid w:val="00F475FC"/>
    <w:rsid w:val="00F47653"/>
    <w:rsid w:val="00F4769E"/>
    <w:rsid w:val="00F47752"/>
    <w:rsid w:val="00F477E9"/>
    <w:rsid w:val="00F47803"/>
    <w:rsid w:val="00F4780D"/>
    <w:rsid w:val="00F47810"/>
    <w:rsid w:val="00F47842"/>
    <w:rsid w:val="00F47925"/>
    <w:rsid w:val="00F47A0B"/>
    <w:rsid w:val="00F47A2A"/>
    <w:rsid w:val="00F47AA1"/>
    <w:rsid w:val="00F47ABE"/>
    <w:rsid w:val="00F47B34"/>
    <w:rsid w:val="00F47B41"/>
    <w:rsid w:val="00F47B5C"/>
    <w:rsid w:val="00F47B6C"/>
    <w:rsid w:val="00F47B96"/>
    <w:rsid w:val="00F47BE3"/>
    <w:rsid w:val="00F47C05"/>
    <w:rsid w:val="00F47C6C"/>
    <w:rsid w:val="00F47CF7"/>
    <w:rsid w:val="00F47D43"/>
    <w:rsid w:val="00F47DA9"/>
    <w:rsid w:val="00F47DD4"/>
    <w:rsid w:val="00F47DE3"/>
    <w:rsid w:val="00F47E14"/>
    <w:rsid w:val="00F47E80"/>
    <w:rsid w:val="00F47EBE"/>
    <w:rsid w:val="00F47F06"/>
    <w:rsid w:val="00F47F65"/>
    <w:rsid w:val="00F47F86"/>
    <w:rsid w:val="00F47F9F"/>
    <w:rsid w:val="00F5000A"/>
    <w:rsid w:val="00F50073"/>
    <w:rsid w:val="00F5011D"/>
    <w:rsid w:val="00F50166"/>
    <w:rsid w:val="00F5016A"/>
    <w:rsid w:val="00F50170"/>
    <w:rsid w:val="00F50180"/>
    <w:rsid w:val="00F501BC"/>
    <w:rsid w:val="00F501BD"/>
    <w:rsid w:val="00F50244"/>
    <w:rsid w:val="00F50256"/>
    <w:rsid w:val="00F502BD"/>
    <w:rsid w:val="00F50376"/>
    <w:rsid w:val="00F5038C"/>
    <w:rsid w:val="00F50396"/>
    <w:rsid w:val="00F503BF"/>
    <w:rsid w:val="00F503ED"/>
    <w:rsid w:val="00F5044F"/>
    <w:rsid w:val="00F50498"/>
    <w:rsid w:val="00F5050F"/>
    <w:rsid w:val="00F50655"/>
    <w:rsid w:val="00F506A3"/>
    <w:rsid w:val="00F50722"/>
    <w:rsid w:val="00F50724"/>
    <w:rsid w:val="00F50728"/>
    <w:rsid w:val="00F507CB"/>
    <w:rsid w:val="00F50849"/>
    <w:rsid w:val="00F508AC"/>
    <w:rsid w:val="00F508C9"/>
    <w:rsid w:val="00F508DA"/>
    <w:rsid w:val="00F50A04"/>
    <w:rsid w:val="00F50A20"/>
    <w:rsid w:val="00F50A56"/>
    <w:rsid w:val="00F50B19"/>
    <w:rsid w:val="00F50B2B"/>
    <w:rsid w:val="00F50BA9"/>
    <w:rsid w:val="00F50BFE"/>
    <w:rsid w:val="00F50CCA"/>
    <w:rsid w:val="00F50DE8"/>
    <w:rsid w:val="00F50E41"/>
    <w:rsid w:val="00F50F5E"/>
    <w:rsid w:val="00F50FDC"/>
    <w:rsid w:val="00F5102E"/>
    <w:rsid w:val="00F5108A"/>
    <w:rsid w:val="00F5108F"/>
    <w:rsid w:val="00F510DC"/>
    <w:rsid w:val="00F51119"/>
    <w:rsid w:val="00F5113C"/>
    <w:rsid w:val="00F5115D"/>
    <w:rsid w:val="00F511A8"/>
    <w:rsid w:val="00F51205"/>
    <w:rsid w:val="00F51273"/>
    <w:rsid w:val="00F5128E"/>
    <w:rsid w:val="00F512C7"/>
    <w:rsid w:val="00F513E7"/>
    <w:rsid w:val="00F51438"/>
    <w:rsid w:val="00F515C2"/>
    <w:rsid w:val="00F5165E"/>
    <w:rsid w:val="00F516A3"/>
    <w:rsid w:val="00F516DD"/>
    <w:rsid w:val="00F516F4"/>
    <w:rsid w:val="00F51731"/>
    <w:rsid w:val="00F51971"/>
    <w:rsid w:val="00F51994"/>
    <w:rsid w:val="00F519F8"/>
    <w:rsid w:val="00F51AEF"/>
    <w:rsid w:val="00F51B37"/>
    <w:rsid w:val="00F51C75"/>
    <w:rsid w:val="00F51CA3"/>
    <w:rsid w:val="00F51CC3"/>
    <w:rsid w:val="00F51CC7"/>
    <w:rsid w:val="00F51CD9"/>
    <w:rsid w:val="00F51CF6"/>
    <w:rsid w:val="00F51D45"/>
    <w:rsid w:val="00F51D7F"/>
    <w:rsid w:val="00F51E18"/>
    <w:rsid w:val="00F51E56"/>
    <w:rsid w:val="00F51E74"/>
    <w:rsid w:val="00F51E7A"/>
    <w:rsid w:val="00F51EB3"/>
    <w:rsid w:val="00F51EC3"/>
    <w:rsid w:val="00F51F0C"/>
    <w:rsid w:val="00F51F22"/>
    <w:rsid w:val="00F51F99"/>
    <w:rsid w:val="00F51FA8"/>
    <w:rsid w:val="00F51FC4"/>
    <w:rsid w:val="00F51FF8"/>
    <w:rsid w:val="00F52005"/>
    <w:rsid w:val="00F52017"/>
    <w:rsid w:val="00F5203A"/>
    <w:rsid w:val="00F52047"/>
    <w:rsid w:val="00F520A9"/>
    <w:rsid w:val="00F520BA"/>
    <w:rsid w:val="00F52127"/>
    <w:rsid w:val="00F52139"/>
    <w:rsid w:val="00F5219B"/>
    <w:rsid w:val="00F521C9"/>
    <w:rsid w:val="00F5233E"/>
    <w:rsid w:val="00F5239B"/>
    <w:rsid w:val="00F523DC"/>
    <w:rsid w:val="00F52414"/>
    <w:rsid w:val="00F52461"/>
    <w:rsid w:val="00F5248F"/>
    <w:rsid w:val="00F525E1"/>
    <w:rsid w:val="00F525F8"/>
    <w:rsid w:val="00F52602"/>
    <w:rsid w:val="00F5262E"/>
    <w:rsid w:val="00F527B1"/>
    <w:rsid w:val="00F527BD"/>
    <w:rsid w:val="00F527C4"/>
    <w:rsid w:val="00F527D0"/>
    <w:rsid w:val="00F527FE"/>
    <w:rsid w:val="00F5280A"/>
    <w:rsid w:val="00F5284F"/>
    <w:rsid w:val="00F5285C"/>
    <w:rsid w:val="00F52872"/>
    <w:rsid w:val="00F52881"/>
    <w:rsid w:val="00F5288C"/>
    <w:rsid w:val="00F528AC"/>
    <w:rsid w:val="00F52934"/>
    <w:rsid w:val="00F52957"/>
    <w:rsid w:val="00F5296E"/>
    <w:rsid w:val="00F52970"/>
    <w:rsid w:val="00F52ABA"/>
    <w:rsid w:val="00F52ACD"/>
    <w:rsid w:val="00F52AF2"/>
    <w:rsid w:val="00F52B06"/>
    <w:rsid w:val="00F52BAA"/>
    <w:rsid w:val="00F52BBE"/>
    <w:rsid w:val="00F52BC1"/>
    <w:rsid w:val="00F52D37"/>
    <w:rsid w:val="00F52DF7"/>
    <w:rsid w:val="00F52E2E"/>
    <w:rsid w:val="00F52EC7"/>
    <w:rsid w:val="00F52ED9"/>
    <w:rsid w:val="00F53002"/>
    <w:rsid w:val="00F53078"/>
    <w:rsid w:val="00F530B1"/>
    <w:rsid w:val="00F530C3"/>
    <w:rsid w:val="00F53192"/>
    <w:rsid w:val="00F531FF"/>
    <w:rsid w:val="00F53207"/>
    <w:rsid w:val="00F53268"/>
    <w:rsid w:val="00F53277"/>
    <w:rsid w:val="00F53289"/>
    <w:rsid w:val="00F532AE"/>
    <w:rsid w:val="00F532E8"/>
    <w:rsid w:val="00F5331E"/>
    <w:rsid w:val="00F53345"/>
    <w:rsid w:val="00F5339F"/>
    <w:rsid w:val="00F533B8"/>
    <w:rsid w:val="00F533F5"/>
    <w:rsid w:val="00F5343E"/>
    <w:rsid w:val="00F535D9"/>
    <w:rsid w:val="00F53624"/>
    <w:rsid w:val="00F5365A"/>
    <w:rsid w:val="00F536FC"/>
    <w:rsid w:val="00F53756"/>
    <w:rsid w:val="00F53819"/>
    <w:rsid w:val="00F53866"/>
    <w:rsid w:val="00F53936"/>
    <w:rsid w:val="00F539D8"/>
    <w:rsid w:val="00F53A3F"/>
    <w:rsid w:val="00F53B4E"/>
    <w:rsid w:val="00F53B5D"/>
    <w:rsid w:val="00F53BA0"/>
    <w:rsid w:val="00F53BA8"/>
    <w:rsid w:val="00F53BF9"/>
    <w:rsid w:val="00F53C07"/>
    <w:rsid w:val="00F53C41"/>
    <w:rsid w:val="00F53C4A"/>
    <w:rsid w:val="00F53CDB"/>
    <w:rsid w:val="00F53DE6"/>
    <w:rsid w:val="00F53DFC"/>
    <w:rsid w:val="00F53E32"/>
    <w:rsid w:val="00F53E45"/>
    <w:rsid w:val="00F53F17"/>
    <w:rsid w:val="00F53F20"/>
    <w:rsid w:val="00F53F2B"/>
    <w:rsid w:val="00F53F43"/>
    <w:rsid w:val="00F53FDF"/>
    <w:rsid w:val="00F54110"/>
    <w:rsid w:val="00F54157"/>
    <w:rsid w:val="00F54198"/>
    <w:rsid w:val="00F541AD"/>
    <w:rsid w:val="00F5423B"/>
    <w:rsid w:val="00F5424E"/>
    <w:rsid w:val="00F54295"/>
    <w:rsid w:val="00F54298"/>
    <w:rsid w:val="00F542E6"/>
    <w:rsid w:val="00F542F5"/>
    <w:rsid w:val="00F543AA"/>
    <w:rsid w:val="00F5462F"/>
    <w:rsid w:val="00F54668"/>
    <w:rsid w:val="00F54761"/>
    <w:rsid w:val="00F5478B"/>
    <w:rsid w:val="00F54798"/>
    <w:rsid w:val="00F548FE"/>
    <w:rsid w:val="00F54A2D"/>
    <w:rsid w:val="00F54A5A"/>
    <w:rsid w:val="00F54A72"/>
    <w:rsid w:val="00F54A89"/>
    <w:rsid w:val="00F54AB2"/>
    <w:rsid w:val="00F54AB3"/>
    <w:rsid w:val="00F54B03"/>
    <w:rsid w:val="00F54B17"/>
    <w:rsid w:val="00F54B24"/>
    <w:rsid w:val="00F54BB9"/>
    <w:rsid w:val="00F54C06"/>
    <w:rsid w:val="00F54C83"/>
    <w:rsid w:val="00F54C93"/>
    <w:rsid w:val="00F54D92"/>
    <w:rsid w:val="00F54E60"/>
    <w:rsid w:val="00F54E71"/>
    <w:rsid w:val="00F54E7D"/>
    <w:rsid w:val="00F54EA8"/>
    <w:rsid w:val="00F54ED4"/>
    <w:rsid w:val="00F54F66"/>
    <w:rsid w:val="00F54F78"/>
    <w:rsid w:val="00F54FA5"/>
    <w:rsid w:val="00F550D3"/>
    <w:rsid w:val="00F550E3"/>
    <w:rsid w:val="00F5523E"/>
    <w:rsid w:val="00F55270"/>
    <w:rsid w:val="00F552C4"/>
    <w:rsid w:val="00F552FE"/>
    <w:rsid w:val="00F55391"/>
    <w:rsid w:val="00F553AA"/>
    <w:rsid w:val="00F553FB"/>
    <w:rsid w:val="00F553FF"/>
    <w:rsid w:val="00F55410"/>
    <w:rsid w:val="00F55434"/>
    <w:rsid w:val="00F55456"/>
    <w:rsid w:val="00F5548B"/>
    <w:rsid w:val="00F55492"/>
    <w:rsid w:val="00F554ED"/>
    <w:rsid w:val="00F5551E"/>
    <w:rsid w:val="00F55549"/>
    <w:rsid w:val="00F55617"/>
    <w:rsid w:val="00F55633"/>
    <w:rsid w:val="00F5569B"/>
    <w:rsid w:val="00F55708"/>
    <w:rsid w:val="00F55727"/>
    <w:rsid w:val="00F55779"/>
    <w:rsid w:val="00F5579A"/>
    <w:rsid w:val="00F5589D"/>
    <w:rsid w:val="00F558CE"/>
    <w:rsid w:val="00F55906"/>
    <w:rsid w:val="00F559AA"/>
    <w:rsid w:val="00F559DC"/>
    <w:rsid w:val="00F55AC3"/>
    <w:rsid w:val="00F55B75"/>
    <w:rsid w:val="00F55C03"/>
    <w:rsid w:val="00F55C17"/>
    <w:rsid w:val="00F55C6A"/>
    <w:rsid w:val="00F55C76"/>
    <w:rsid w:val="00F55C8B"/>
    <w:rsid w:val="00F55CD4"/>
    <w:rsid w:val="00F55CF6"/>
    <w:rsid w:val="00F55D42"/>
    <w:rsid w:val="00F55D5C"/>
    <w:rsid w:val="00F55D72"/>
    <w:rsid w:val="00F55D77"/>
    <w:rsid w:val="00F55D81"/>
    <w:rsid w:val="00F55D8A"/>
    <w:rsid w:val="00F55D99"/>
    <w:rsid w:val="00F55E19"/>
    <w:rsid w:val="00F55E2E"/>
    <w:rsid w:val="00F55E75"/>
    <w:rsid w:val="00F55EE7"/>
    <w:rsid w:val="00F55F4F"/>
    <w:rsid w:val="00F55F67"/>
    <w:rsid w:val="00F55F7F"/>
    <w:rsid w:val="00F55F9C"/>
    <w:rsid w:val="00F55FC7"/>
    <w:rsid w:val="00F5602B"/>
    <w:rsid w:val="00F56052"/>
    <w:rsid w:val="00F560BF"/>
    <w:rsid w:val="00F56102"/>
    <w:rsid w:val="00F5612F"/>
    <w:rsid w:val="00F56145"/>
    <w:rsid w:val="00F56171"/>
    <w:rsid w:val="00F56178"/>
    <w:rsid w:val="00F561A0"/>
    <w:rsid w:val="00F561AC"/>
    <w:rsid w:val="00F562DD"/>
    <w:rsid w:val="00F56320"/>
    <w:rsid w:val="00F5640B"/>
    <w:rsid w:val="00F5642D"/>
    <w:rsid w:val="00F56521"/>
    <w:rsid w:val="00F565D2"/>
    <w:rsid w:val="00F56602"/>
    <w:rsid w:val="00F56653"/>
    <w:rsid w:val="00F5667E"/>
    <w:rsid w:val="00F56698"/>
    <w:rsid w:val="00F566D4"/>
    <w:rsid w:val="00F56735"/>
    <w:rsid w:val="00F567DD"/>
    <w:rsid w:val="00F56869"/>
    <w:rsid w:val="00F56909"/>
    <w:rsid w:val="00F56953"/>
    <w:rsid w:val="00F5697C"/>
    <w:rsid w:val="00F5699A"/>
    <w:rsid w:val="00F569C6"/>
    <w:rsid w:val="00F56AB3"/>
    <w:rsid w:val="00F56ADA"/>
    <w:rsid w:val="00F56B12"/>
    <w:rsid w:val="00F56B95"/>
    <w:rsid w:val="00F56D9D"/>
    <w:rsid w:val="00F56DEB"/>
    <w:rsid w:val="00F56DFF"/>
    <w:rsid w:val="00F56E2F"/>
    <w:rsid w:val="00F56ED5"/>
    <w:rsid w:val="00F56F23"/>
    <w:rsid w:val="00F56F3B"/>
    <w:rsid w:val="00F56FEE"/>
    <w:rsid w:val="00F5710A"/>
    <w:rsid w:val="00F57117"/>
    <w:rsid w:val="00F57168"/>
    <w:rsid w:val="00F57174"/>
    <w:rsid w:val="00F57271"/>
    <w:rsid w:val="00F572C3"/>
    <w:rsid w:val="00F572FB"/>
    <w:rsid w:val="00F57306"/>
    <w:rsid w:val="00F57311"/>
    <w:rsid w:val="00F57353"/>
    <w:rsid w:val="00F57392"/>
    <w:rsid w:val="00F573B7"/>
    <w:rsid w:val="00F573C8"/>
    <w:rsid w:val="00F5744F"/>
    <w:rsid w:val="00F574A0"/>
    <w:rsid w:val="00F5752B"/>
    <w:rsid w:val="00F575AB"/>
    <w:rsid w:val="00F575DF"/>
    <w:rsid w:val="00F575ED"/>
    <w:rsid w:val="00F575FD"/>
    <w:rsid w:val="00F5766D"/>
    <w:rsid w:val="00F576E8"/>
    <w:rsid w:val="00F57729"/>
    <w:rsid w:val="00F577CB"/>
    <w:rsid w:val="00F577F9"/>
    <w:rsid w:val="00F578E8"/>
    <w:rsid w:val="00F579A8"/>
    <w:rsid w:val="00F57A6A"/>
    <w:rsid w:val="00F57A83"/>
    <w:rsid w:val="00F57A93"/>
    <w:rsid w:val="00F57AB7"/>
    <w:rsid w:val="00F57B1F"/>
    <w:rsid w:val="00F57BA7"/>
    <w:rsid w:val="00F57BED"/>
    <w:rsid w:val="00F57C17"/>
    <w:rsid w:val="00F57CD5"/>
    <w:rsid w:val="00F57D42"/>
    <w:rsid w:val="00F57DB9"/>
    <w:rsid w:val="00F57DBB"/>
    <w:rsid w:val="00F57F66"/>
    <w:rsid w:val="00F57F7D"/>
    <w:rsid w:val="00F57FFE"/>
    <w:rsid w:val="00F60003"/>
    <w:rsid w:val="00F600C0"/>
    <w:rsid w:val="00F60165"/>
    <w:rsid w:val="00F6018C"/>
    <w:rsid w:val="00F60198"/>
    <w:rsid w:val="00F601AB"/>
    <w:rsid w:val="00F60242"/>
    <w:rsid w:val="00F6029E"/>
    <w:rsid w:val="00F60324"/>
    <w:rsid w:val="00F603A3"/>
    <w:rsid w:val="00F603F1"/>
    <w:rsid w:val="00F60409"/>
    <w:rsid w:val="00F6045A"/>
    <w:rsid w:val="00F60481"/>
    <w:rsid w:val="00F60540"/>
    <w:rsid w:val="00F60546"/>
    <w:rsid w:val="00F6058C"/>
    <w:rsid w:val="00F605A7"/>
    <w:rsid w:val="00F60647"/>
    <w:rsid w:val="00F606A1"/>
    <w:rsid w:val="00F607B3"/>
    <w:rsid w:val="00F608F1"/>
    <w:rsid w:val="00F609F7"/>
    <w:rsid w:val="00F60A2A"/>
    <w:rsid w:val="00F60A7F"/>
    <w:rsid w:val="00F60ACF"/>
    <w:rsid w:val="00F60B15"/>
    <w:rsid w:val="00F60B82"/>
    <w:rsid w:val="00F60BA4"/>
    <w:rsid w:val="00F60BE2"/>
    <w:rsid w:val="00F60BFD"/>
    <w:rsid w:val="00F60C2C"/>
    <w:rsid w:val="00F60C38"/>
    <w:rsid w:val="00F60CC4"/>
    <w:rsid w:val="00F60CFE"/>
    <w:rsid w:val="00F60D00"/>
    <w:rsid w:val="00F60D66"/>
    <w:rsid w:val="00F60D86"/>
    <w:rsid w:val="00F60DD3"/>
    <w:rsid w:val="00F60F79"/>
    <w:rsid w:val="00F60F96"/>
    <w:rsid w:val="00F60FBF"/>
    <w:rsid w:val="00F61017"/>
    <w:rsid w:val="00F61091"/>
    <w:rsid w:val="00F6115A"/>
    <w:rsid w:val="00F61202"/>
    <w:rsid w:val="00F61352"/>
    <w:rsid w:val="00F6137D"/>
    <w:rsid w:val="00F6143F"/>
    <w:rsid w:val="00F61449"/>
    <w:rsid w:val="00F61495"/>
    <w:rsid w:val="00F615C0"/>
    <w:rsid w:val="00F61609"/>
    <w:rsid w:val="00F6165A"/>
    <w:rsid w:val="00F61668"/>
    <w:rsid w:val="00F61677"/>
    <w:rsid w:val="00F6173B"/>
    <w:rsid w:val="00F61771"/>
    <w:rsid w:val="00F61775"/>
    <w:rsid w:val="00F6177F"/>
    <w:rsid w:val="00F6179A"/>
    <w:rsid w:val="00F61813"/>
    <w:rsid w:val="00F6199A"/>
    <w:rsid w:val="00F6199E"/>
    <w:rsid w:val="00F619AF"/>
    <w:rsid w:val="00F61A0B"/>
    <w:rsid w:val="00F61A2F"/>
    <w:rsid w:val="00F61A4C"/>
    <w:rsid w:val="00F61A93"/>
    <w:rsid w:val="00F61AD1"/>
    <w:rsid w:val="00F61B2B"/>
    <w:rsid w:val="00F61C22"/>
    <w:rsid w:val="00F61C27"/>
    <w:rsid w:val="00F61C83"/>
    <w:rsid w:val="00F61CC7"/>
    <w:rsid w:val="00F61CCB"/>
    <w:rsid w:val="00F61D65"/>
    <w:rsid w:val="00F61D8B"/>
    <w:rsid w:val="00F61D95"/>
    <w:rsid w:val="00F61DF5"/>
    <w:rsid w:val="00F61E55"/>
    <w:rsid w:val="00F61EC5"/>
    <w:rsid w:val="00F61F2E"/>
    <w:rsid w:val="00F61F5D"/>
    <w:rsid w:val="00F61F6E"/>
    <w:rsid w:val="00F61F82"/>
    <w:rsid w:val="00F61F88"/>
    <w:rsid w:val="00F61FB1"/>
    <w:rsid w:val="00F6201A"/>
    <w:rsid w:val="00F62027"/>
    <w:rsid w:val="00F62058"/>
    <w:rsid w:val="00F62086"/>
    <w:rsid w:val="00F620A4"/>
    <w:rsid w:val="00F62118"/>
    <w:rsid w:val="00F62158"/>
    <w:rsid w:val="00F6227A"/>
    <w:rsid w:val="00F622F3"/>
    <w:rsid w:val="00F6233C"/>
    <w:rsid w:val="00F6237C"/>
    <w:rsid w:val="00F6237E"/>
    <w:rsid w:val="00F62406"/>
    <w:rsid w:val="00F62472"/>
    <w:rsid w:val="00F62477"/>
    <w:rsid w:val="00F62489"/>
    <w:rsid w:val="00F6248D"/>
    <w:rsid w:val="00F624BA"/>
    <w:rsid w:val="00F62522"/>
    <w:rsid w:val="00F62528"/>
    <w:rsid w:val="00F625BB"/>
    <w:rsid w:val="00F625CD"/>
    <w:rsid w:val="00F626A9"/>
    <w:rsid w:val="00F62723"/>
    <w:rsid w:val="00F62918"/>
    <w:rsid w:val="00F62973"/>
    <w:rsid w:val="00F62A75"/>
    <w:rsid w:val="00F62A7F"/>
    <w:rsid w:val="00F62B37"/>
    <w:rsid w:val="00F62B76"/>
    <w:rsid w:val="00F62B89"/>
    <w:rsid w:val="00F62D52"/>
    <w:rsid w:val="00F62D57"/>
    <w:rsid w:val="00F62D69"/>
    <w:rsid w:val="00F62D94"/>
    <w:rsid w:val="00F62DF7"/>
    <w:rsid w:val="00F62E03"/>
    <w:rsid w:val="00F62E11"/>
    <w:rsid w:val="00F62E15"/>
    <w:rsid w:val="00F62EF1"/>
    <w:rsid w:val="00F62FC8"/>
    <w:rsid w:val="00F62FEE"/>
    <w:rsid w:val="00F62FF7"/>
    <w:rsid w:val="00F6303B"/>
    <w:rsid w:val="00F630AF"/>
    <w:rsid w:val="00F63115"/>
    <w:rsid w:val="00F63151"/>
    <w:rsid w:val="00F631E7"/>
    <w:rsid w:val="00F631F1"/>
    <w:rsid w:val="00F631F8"/>
    <w:rsid w:val="00F6323B"/>
    <w:rsid w:val="00F6324A"/>
    <w:rsid w:val="00F63293"/>
    <w:rsid w:val="00F6329C"/>
    <w:rsid w:val="00F632C0"/>
    <w:rsid w:val="00F63312"/>
    <w:rsid w:val="00F63336"/>
    <w:rsid w:val="00F633B0"/>
    <w:rsid w:val="00F633BA"/>
    <w:rsid w:val="00F6342A"/>
    <w:rsid w:val="00F634A7"/>
    <w:rsid w:val="00F634AB"/>
    <w:rsid w:val="00F634FD"/>
    <w:rsid w:val="00F6352A"/>
    <w:rsid w:val="00F6353E"/>
    <w:rsid w:val="00F6354E"/>
    <w:rsid w:val="00F63572"/>
    <w:rsid w:val="00F635B3"/>
    <w:rsid w:val="00F635C8"/>
    <w:rsid w:val="00F63660"/>
    <w:rsid w:val="00F63691"/>
    <w:rsid w:val="00F636AE"/>
    <w:rsid w:val="00F636C8"/>
    <w:rsid w:val="00F636E0"/>
    <w:rsid w:val="00F63704"/>
    <w:rsid w:val="00F63735"/>
    <w:rsid w:val="00F637C4"/>
    <w:rsid w:val="00F63884"/>
    <w:rsid w:val="00F638A3"/>
    <w:rsid w:val="00F638B1"/>
    <w:rsid w:val="00F638B7"/>
    <w:rsid w:val="00F63971"/>
    <w:rsid w:val="00F63A36"/>
    <w:rsid w:val="00F63AD9"/>
    <w:rsid w:val="00F63AFC"/>
    <w:rsid w:val="00F63BEC"/>
    <w:rsid w:val="00F63BFC"/>
    <w:rsid w:val="00F63C38"/>
    <w:rsid w:val="00F63CB6"/>
    <w:rsid w:val="00F63D25"/>
    <w:rsid w:val="00F63D2D"/>
    <w:rsid w:val="00F63D8A"/>
    <w:rsid w:val="00F63D9B"/>
    <w:rsid w:val="00F63D9C"/>
    <w:rsid w:val="00F63F55"/>
    <w:rsid w:val="00F63F86"/>
    <w:rsid w:val="00F64095"/>
    <w:rsid w:val="00F64125"/>
    <w:rsid w:val="00F6438F"/>
    <w:rsid w:val="00F643B6"/>
    <w:rsid w:val="00F6443E"/>
    <w:rsid w:val="00F6445F"/>
    <w:rsid w:val="00F64462"/>
    <w:rsid w:val="00F644AA"/>
    <w:rsid w:val="00F645C9"/>
    <w:rsid w:val="00F64642"/>
    <w:rsid w:val="00F64671"/>
    <w:rsid w:val="00F6470C"/>
    <w:rsid w:val="00F647FC"/>
    <w:rsid w:val="00F64811"/>
    <w:rsid w:val="00F64812"/>
    <w:rsid w:val="00F6481E"/>
    <w:rsid w:val="00F6484E"/>
    <w:rsid w:val="00F64854"/>
    <w:rsid w:val="00F6486C"/>
    <w:rsid w:val="00F648CB"/>
    <w:rsid w:val="00F6496C"/>
    <w:rsid w:val="00F64A05"/>
    <w:rsid w:val="00F64A3A"/>
    <w:rsid w:val="00F64A48"/>
    <w:rsid w:val="00F64AB6"/>
    <w:rsid w:val="00F64AF6"/>
    <w:rsid w:val="00F64C65"/>
    <w:rsid w:val="00F64CA3"/>
    <w:rsid w:val="00F64D01"/>
    <w:rsid w:val="00F64D65"/>
    <w:rsid w:val="00F64D71"/>
    <w:rsid w:val="00F64DA6"/>
    <w:rsid w:val="00F64E0D"/>
    <w:rsid w:val="00F64E7F"/>
    <w:rsid w:val="00F64EE6"/>
    <w:rsid w:val="00F64F15"/>
    <w:rsid w:val="00F64F49"/>
    <w:rsid w:val="00F64F4A"/>
    <w:rsid w:val="00F65005"/>
    <w:rsid w:val="00F650BB"/>
    <w:rsid w:val="00F650DF"/>
    <w:rsid w:val="00F65145"/>
    <w:rsid w:val="00F6514F"/>
    <w:rsid w:val="00F6519C"/>
    <w:rsid w:val="00F651BD"/>
    <w:rsid w:val="00F65294"/>
    <w:rsid w:val="00F652C8"/>
    <w:rsid w:val="00F6531D"/>
    <w:rsid w:val="00F65321"/>
    <w:rsid w:val="00F65375"/>
    <w:rsid w:val="00F653C9"/>
    <w:rsid w:val="00F6553A"/>
    <w:rsid w:val="00F655AB"/>
    <w:rsid w:val="00F65667"/>
    <w:rsid w:val="00F656D7"/>
    <w:rsid w:val="00F6575C"/>
    <w:rsid w:val="00F6577B"/>
    <w:rsid w:val="00F65787"/>
    <w:rsid w:val="00F657FA"/>
    <w:rsid w:val="00F65834"/>
    <w:rsid w:val="00F65846"/>
    <w:rsid w:val="00F65862"/>
    <w:rsid w:val="00F658C1"/>
    <w:rsid w:val="00F65914"/>
    <w:rsid w:val="00F65948"/>
    <w:rsid w:val="00F65971"/>
    <w:rsid w:val="00F6597B"/>
    <w:rsid w:val="00F6598D"/>
    <w:rsid w:val="00F6599E"/>
    <w:rsid w:val="00F65A23"/>
    <w:rsid w:val="00F65A40"/>
    <w:rsid w:val="00F65A7C"/>
    <w:rsid w:val="00F65BAA"/>
    <w:rsid w:val="00F65BD2"/>
    <w:rsid w:val="00F65BD8"/>
    <w:rsid w:val="00F65BDC"/>
    <w:rsid w:val="00F65BEE"/>
    <w:rsid w:val="00F65C78"/>
    <w:rsid w:val="00F65D11"/>
    <w:rsid w:val="00F65D96"/>
    <w:rsid w:val="00F65E28"/>
    <w:rsid w:val="00F65E35"/>
    <w:rsid w:val="00F65E3E"/>
    <w:rsid w:val="00F65E5D"/>
    <w:rsid w:val="00F65E9F"/>
    <w:rsid w:val="00F65F0C"/>
    <w:rsid w:val="00F65F26"/>
    <w:rsid w:val="00F6601B"/>
    <w:rsid w:val="00F66068"/>
    <w:rsid w:val="00F66094"/>
    <w:rsid w:val="00F660E4"/>
    <w:rsid w:val="00F660ED"/>
    <w:rsid w:val="00F660FB"/>
    <w:rsid w:val="00F6612C"/>
    <w:rsid w:val="00F6612E"/>
    <w:rsid w:val="00F66218"/>
    <w:rsid w:val="00F662D2"/>
    <w:rsid w:val="00F662F5"/>
    <w:rsid w:val="00F66315"/>
    <w:rsid w:val="00F6632B"/>
    <w:rsid w:val="00F6634F"/>
    <w:rsid w:val="00F664AA"/>
    <w:rsid w:val="00F664CF"/>
    <w:rsid w:val="00F66601"/>
    <w:rsid w:val="00F66644"/>
    <w:rsid w:val="00F6665A"/>
    <w:rsid w:val="00F6670C"/>
    <w:rsid w:val="00F667BC"/>
    <w:rsid w:val="00F668E5"/>
    <w:rsid w:val="00F66905"/>
    <w:rsid w:val="00F66988"/>
    <w:rsid w:val="00F669AF"/>
    <w:rsid w:val="00F669CC"/>
    <w:rsid w:val="00F669CD"/>
    <w:rsid w:val="00F669F8"/>
    <w:rsid w:val="00F66B09"/>
    <w:rsid w:val="00F66B99"/>
    <w:rsid w:val="00F66BD8"/>
    <w:rsid w:val="00F66C01"/>
    <w:rsid w:val="00F66D34"/>
    <w:rsid w:val="00F66DC9"/>
    <w:rsid w:val="00F66DF6"/>
    <w:rsid w:val="00F66E1C"/>
    <w:rsid w:val="00F66E64"/>
    <w:rsid w:val="00F66E8D"/>
    <w:rsid w:val="00F66E9A"/>
    <w:rsid w:val="00F66EB2"/>
    <w:rsid w:val="00F66F96"/>
    <w:rsid w:val="00F66FB2"/>
    <w:rsid w:val="00F670AD"/>
    <w:rsid w:val="00F67142"/>
    <w:rsid w:val="00F67362"/>
    <w:rsid w:val="00F673BD"/>
    <w:rsid w:val="00F673D2"/>
    <w:rsid w:val="00F6745F"/>
    <w:rsid w:val="00F67496"/>
    <w:rsid w:val="00F67585"/>
    <w:rsid w:val="00F675A1"/>
    <w:rsid w:val="00F67637"/>
    <w:rsid w:val="00F676AE"/>
    <w:rsid w:val="00F676BE"/>
    <w:rsid w:val="00F676F2"/>
    <w:rsid w:val="00F67758"/>
    <w:rsid w:val="00F678B7"/>
    <w:rsid w:val="00F67A38"/>
    <w:rsid w:val="00F67A53"/>
    <w:rsid w:val="00F67A97"/>
    <w:rsid w:val="00F67B6A"/>
    <w:rsid w:val="00F67BA9"/>
    <w:rsid w:val="00F67C03"/>
    <w:rsid w:val="00F67C3D"/>
    <w:rsid w:val="00F67C7B"/>
    <w:rsid w:val="00F67CDD"/>
    <w:rsid w:val="00F67CDE"/>
    <w:rsid w:val="00F67CEB"/>
    <w:rsid w:val="00F67D14"/>
    <w:rsid w:val="00F67D87"/>
    <w:rsid w:val="00F67EBD"/>
    <w:rsid w:val="00F67F26"/>
    <w:rsid w:val="00F67F35"/>
    <w:rsid w:val="00F67F5A"/>
    <w:rsid w:val="00F67F79"/>
    <w:rsid w:val="00F67F83"/>
    <w:rsid w:val="00F7000F"/>
    <w:rsid w:val="00F70056"/>
    <w:rsid w:val="00F7005B"/>
    <w:rsid w:val="00F70144"/>
    <w:rsid w:val="00F7020E"/>
    <w:rsid w:val="00F702D1"/>
    <w:rsid w:val="00F70319"/>
    <w:rsid w:val="00F70336"/>
    <w:rsid w:val="00F703AA"/>
    <w:rsid w:val="00F703EE"/>
    <w:rsid w:val="00F70411"/>
    <w:rsid w:val="00F70420"/>
    <w:rsid w:val="00F70466"/>
    <w:rsid w:val="00F704C5"/>
    <w:rsid w:val="00F7054D"/>
    <w:rsid w:val="00F70567"/>
    <w:rsid w:val="00F705A1"/>
    <w:rsid w:val="00F705A3"/>
    <w:rsid w:val="00F705EC"/>
    <w:rsid w:val="00F70635"/>
    <w:rsid w:val="00F70667"/>
    <w:rsid w:val="00F706DF"/>
    <w:rsid w:val="00F707B7"/>
    <w:rsid w:val="00F707C7"/>
    <w:rsid w:val="00F708DF"/>
    <w:rsid w:val="00F7099E"/>
    <w:rsid w:val="00F70A1D"/>
    <w:rsid w:val="00F70B53"/>
    <w:rsid w:val="00F70B95"/>
    <w:rsid w:val="00F70BAA"/>
    <w:rsid w:val="00F70BBA"/>
    <w:rsid w:val="00F70BF5"/>
    <w:rsid w:val="00F70C66"/>
    <w:rsid w:val="00F70CC9"/>
    <w:rsid w:val="00F70D24"/>
    <w:rsid w:val="00F70E28"/>
    <w:rsid w:val="00F70E37"/>
    <w:rsid w:val="00F70E50"/>
    <w:rsid w:val="00F70EC3"/>
    <w:rsid w:val="00F70F22"/>
    <w:rsid w:val="00F70FAE"/>
    <w:rsid w:val="00F70FEA"/>
    <w:rsid w:val="00F71015"/>
    <w:rsid w:val="00F7104E"/>
    <w:rsid w:val="00F71069"/>
    <w:rsid w:val="00F710A8"/>
    <w:rsid w:val="00F710EE"/>
    <w:rsid w:val="00F711CB"/>
    <w:rsid w:val="00F711D3"/>
    <w:rsid w:val="00F71251"/>
    <w:rsid w:val="00F71264"/>
    <w:rsid w:val="00F71287"/>
    <w:rsid w:val="00F713C1"/>
    <w:rsid w:val="00F713CB"/>
    <w:rsid w:val="00F7144F"/>
    <w:rsid w:val="00F71478"/>
    <w:rsid w:val="00F7149E"/>
    <w:rsid w:val="00F714BF"/>
    <w:rsid w:val="00F7154E"/>
    <w:rsid w:val="00F7159C"/>
    <w:rsid w:val="00F715A4"/>
    <w:rsid w:val="00F715E0"/>
    <w:rsid w:val="00F7160C"/>
    <w:rsid w:val="00F71629"/>
    <w:rsid w:val="00F71658"/>
    <w:rsid w:val="00F71667"/>
    <w:rsid w:val="00F716AC"/>
    <w:rsid w:val="00F716C2"/>
    <w:rsid w:val="00F716CF"/>
    <w:rsid w:val="00F7172F"/>
    <w:rsid w:val="00F7176E"/>
    <w:rsid w:val="00F71785"/>
    <w:rsid w:val="00F71793"/>
    <w:rsid w:val="00F717AE"/>
    <w:rsid w:val="00F717B9"/>
    <w:rsid w:val="00F717BA"/>
    <w:rsid w:val="00F7181D"/>
    <w:rsid w:val="00F7185C"/>
    <w:rsid w:val="00F718C0"/>
    <w:rsid w:val="00F71905"/>
    <w:rsid w:val="00F71922"/>
    <w:rsid w:val="00F719B7"/>
    <w:rsid w:val="00F719D7"/>
    <w:rsid w:val="00F71A00"/>
    <w:rsid w:val="00F71A2E"/>
    <w:rsid w:val="00F71A7A"/>
    <w:rsid w:val="00F71A9D"/>
    <w:rsid w:val="00F71AA4"/>
    <w:rsid w:val="00F71AB4"/>
    <w:rsid w:val="00F71B14"/>
    <w:rsid w:val="00F71B2D"/>
    <w:rsid w:val="00F71CE8"/>
    <w:rsid w:val="00F71CF2"/>
    <w:rsid w:val="00F71D55"/>
    <w:rsid w:val="00F71D77"/>
    <w:rsid w:val="00F71DDA"/>
    <w:rsid w:val="00F71DE1"/>
    <w:rsid w:val="00F71E72"/>
    <w:rsid w:val="00F71EDE"/>
    <w:rsid w:val="00F71F37"/>
    <w:rsid w:val="00F71F60"/>
    <w:rsid w:val="00F71FC2"/>
    <w:rsid w:val="00F72028"/>
    <w:rsid w:val="00F7202C"/>
    <w:rsid w:val="00F7204C"/>
    <w:rsid w:val="00F7215D"/>
    <w:rsid w:val="00F7217F"/>
    <w:rsid w:val="00F722F4"/>
    <w:rsid w:val="00F72308"/>
    <w:rsid w:val="00F72330"/>
    <w:rsid w:val="00F7234F"/>
    <w:rsid w:val="00F723AB"/>
    <w:rsid w:val="00F723E1"/>
    <w:rsid w:val="00F723FA"/>
    <w:rsid w:val="00F72447"/>
    <w:rsid w:val="00F72462"/>
    <w:rsid w:val="00F72480"/>
    <w:rsid w:val="00F724B8"/>
    <w:rsid w:val="00F724E2"/>
    <w:rsid w:val="00F7250E"/>
    <w:rsid w:val="00F72568"/>
    <w:rsid w:val="00F72569"/>
    <w:rsid w:val="00F726C1"/>
    <w:rsid w:val="00F726E3"/>
    <w:rsid w:val="00F72711"/>
    <w:rsid w:val="00F7273C"/>
    <w:rsid w:val="00F72770"/>
    <w:rsid w:val="00F7282B"/>
    <w:rsid w:val="00F72831"/>
    <w:rsid w:val="00F7285C"/>
    <w:rsid w:val="00F72886"/>
    <w:rsid w:val="00F728C7"/>
    <w:rsid w:val="00F72992"/>
    <w:rsid w:val="00F729DD"/>
    <w:rsid w:val="00F72A7D"/>
    <w:rsid w:val="00F72A81"/>
    <w:rsid w:val="00F72BB9"/>
    <w:rsid w:val="00F72BC3"/>
    <w:rsid w:val="00F72BF7"/>
    <w:rsid w:val="00F72D27"/>
    <w:rsid w:val="00F72D30"/>
    <w:rsid w:val="00F72D76"/>
    <w:rsid w:val="00F72D7D"/>
    <w:rsid w:val="00F72E14"/>
    <w:rsid w:val="00F72E1B"/>
    <w:rsid w:val="00F72E58"/>
    <w:rsid w:val="00F72E83"/>
    <w:rsid w:val="00F72EDD"/>
    <w:rsid w:val="00F72F27"/>
    <w:rsid w:val="00F72F73"/>
    <w:rsid w:val="00F72FA6"/>
    <w:rsid w:val="00F72FD0"/>
    <w:rsid w:val="00F72FE0"/>
    <w:rsid w:val="00F7301B"/>
    <w:rsid w:val="00F7302B"/>
    <w:rsid w:val="00F730AB"/>
    <w:rsid w:val="00F730B3"/>
    <w:rsid w:val="00F730E3"/>
    <w:rsid w:val="00F73102"/>
    <w:rsid w:val="00F731AD"/>
    <w:rsid w:val="00F73204"/>
    <w:rsid w:val="00F73212"/>
    <w:rsid w:val="00F73296"/>
    <w:rsid w:val="00F732CD"/>
    <w:rsid w:val="00F733A3"/>
    <w:rsid w:val="00F733A4"/>
    <w:rsid w:val="00F73422"/>
    <w:rsid w:val="00F73459"/>
    <w:rsid w:val="00F734E3"/>
    <w:rsid w:val="00F734EF"/>
    <w:rsid w:val="00F7351D"/>
    <w:rsid w:val="00F7353E"/>
    <w:rsid w:val="00F73577"/>
    <w:rsid w:val="00F7357A"/>
    <w:rsid w:val="00F73648"/>
    <w:rsid w:val="00F736F5"/>
    <w:rsid w:val="00F73723"/>
    <w:rsid w:val="00F73782"/>
    <w:rsid w:val="00F737DB"/>
    <w:rsid w:val="00F7380E"/>
    <w:rsid w:val="00F738D4"/>
    <w:rsid w:val="00F7393C"/>
    <w:rsid w:val="00F73956"/>
    <w:rsid w:val="00F73964"/>
    <w:rsid w:val="00F73965"/>
    <w:rsid w:val="00F739CB"/>
    <w:rsid w:val="00F73A3F"/>
    <w:rsid w:val="00F73AD5"/>
    <w:rsid w:val="00F73AF3"/>
    <w:rsid w:val="00F73BB0"/>
    <w:rsid w:val="00F73BB6"/>
    <w:rsid w:val="00F73CA8"/>
    <w:rsid w:val="00F73CD5"/>
    <w:rsid w:val="00F73D25"/>
    <w:rsid w:val="00F73DE0"/>
    <w:rsid w:val="00F73DFB"/>
    <w:rsid w:val="00F73E31"/>
    <w:rsid w:val="00F73E7B"/>
    <w:rsid w:val="00F73EE9"/>
    <w:rsid w:val="00F73F01"/>
    <w:rsid w:val="00F73F6C"/>
    <w:rsid w:val="00F73FCE"/>
    <w:rsid w:val="00F74017"/>
    <w:rsid w:val="00F74071"/>
    <w:rsid w:val="00F74075"/>
    <w:rsid w:val="00F740B6"/>
    <w:rsid w:val="00F74177"/>
    <w:rsid w:val="00F742D6"/>
    <w:rsid w:val="00F74326"/>
    <w:rsid w:val="00F74380"/>
    <w:rsid w:val="00F743BD"/>
    <w:rsid w:val="00F743E0"/>
    <w:rsid w:val="00F7441B"/>
    <w:rsid w:val="00F74426"/>
    <w:rsid w:val="00F74517"/>
    <w:rsid w:val="00F745BA"/>
    <w:rsid w:val="00F74627"/>
    <w:rsid w:val="00F74653"/>
    <w:rsid w:val="00F74713"/>
    <w:rsid w:val="00F7472D"/>
    <w:rsid w:val="00F747CB"/>
    <w:rsid w:val="00F7486F"/>
    <w:rsid w:val="00F74A39"/>
    <w:rsid w:val="00F74A54"/>
    <w:rsid w:val="00F74A98"/>
    <w:rsid w:val="00F74ABD"/>
    <w:rsid w:val="00F74AEA"/>
    <w:rsid w:val="00F74B5F"/>
    <w:rsid w:val="00F74B6B"/>
    <w:rsid w:val="00F74B7E"/>
    <w:rsid w:val="00F74C95"/>
    <w:rsid w:val="00F74D00"/>
    <w:rsid w:val="00F74D3E"/>
    <w:rsid w:val="00F74D56"/>
    <w:rsid w:val="00F74D91"/>
    <w:rsid w:val="00F74E94"/>
    <w:rsid w:val="00F74F55"/>
    <w:rsid w:val="00F75011"/>
    <w:rsid w:val="00F75036"/>
    <w:rsid w:val="00F75038"/>
    <w:rsid w:val="00F7508A"/>
    <w:rsid w:val="00F75123"/>
    <w:rsid w:val="00F7513C"/>
    <w:rsid w:val="00F75158"/>
    <w:rsid w:val="00F7518C"/>
    <w:rsid w:val="00F75199"/>
    <w:rsid w:val="00F751AD"/>
    <w:rsid w:val="00F751BE"/>
    <w:rsid w:val="00F751D4"/>
    <w:rsid w:val="00F75255"/>
    <w:rsid w:val="00F752E0"/>
    <w:rsid w:val="00F75326"/>
    <w:rsid w:val="00F75342"/>
    <w:rsid w:val="00F75469"/>
    <w:rsid w:val="00F754B1"/>
    <w:rsid w:val="00F754C6"/>
    <w:rsid w:val="00F754FA"/>
    <w:rsid w:val="00F75503"/>
    <w:rsid w:val="00F75513"/>
    <w:rsid w:val="00F75585"/>
    <w:rsid w:val="00F7558B"/>
    <w:rsid w:val="00F7562A"/>
    <w:rsid w:val="00F75642"/>
    <w:rsid w:val="00F756EA"/>
    <w:rsid w:val="00F75774"/>
    <w:rsid w:val="00F757E6"/>
    <w:rsid w:val="00F7587D"/>
    <w:rsid w:val="00F758DE"/>
    <w:rsid w:val="00F758E3"/>
    <w:rsid w:val="00F758ED"/>
    <w:rsid w:val="00F758F3"/>
    <w:rsid w:val="00F75938"/>
    <w:rsid w:val="00F7597D"/>
    <w:rsid w:val="00F759F3"/>
    <w:rsid w:val="00F75AFB"/>
    <w:rsid w:val="00F75B12"/>
    <w:rsid w:val="00F75B7B"/>
    <w:rsid w:val="00F75C1F"/>
    <w:rsid w:val="00F75C2F"/>
    <w:rsid w:val="00F75C77"/>
    <w:rsid w:val="00F75CAC"/>
    <w:rsid w:val="00F75CD3"/>
    <w:rsid w:val="00F75D48"/>
    <w:rsid w:val="00F75DC1"/>
    <w:rsid w:val="00F75DC9"/>
    <w:rsid w:val="00F75DD9"/>
    <w:rsid w:val="00F75DEE"/>
    <w:rsid w:val="00F75DF1"/>
    <w:rsid w:val="00F75E3C"/>
    <w:rsid w:val="00F75E45"/>
    <w:rsid w:val="00F75E96"/>
    <w:rsid w:val="00F75EAF"/>
    <w:rsid w:val="00F75F27"/>
    <w:rsid w:val="00F75F2F"/>
    <w:rsid w:val="00F75FAE"/>
    <w:rsid w:val="00F76091"/>
    <w:rsid w:val="00F7613A"/>
    <w:rsid w:val="00F76191"/>
    <w:rsid w:val="00F7624C"/>
    <w:rsid w:val="00F76254"/>
    <w:rsid w:val="00F7629C"/>
    <w:rsid w:val="00F762C3"/>
    <w:rsid w:val="00F76314"/>
    <w:rsid w:val="00F76332"/>
    <w:rsid w:val="00F7639D"/>
    <w:rsid w:val="00F763BD"/>
    <w:rsid w:val="00F764CC"/>
    <w:rsid w:val="00F764F2"/>
    <w:rsid w:val="00F7654E"/>
    <w:rsid w:val="00F76611"/>
    <w:rsid w:val="00F76640"/>
    <w:rsid w:val="00F76652"/>
    <w:rsid w:val="00F76669"/>
    <w:rsid w:val="00F76703"/>
    <w:rsid w:val="00F7678A"/>
    <w:rsid w:val="00F768CA"/>
    <w:rsid w:val="00F769E9"/>
    <w:rsid w:val="00F76A07"/>
    <w:rsid w:val="00F76A41"/>
    <w:rsid w:val="00F76B15"/>
    <w:rsid w:val="00F76B8A"/>
    <w:rsid w:val="00F76BD6"/>
    <w:rsid w:val="00F76BDE"/>
    <w:rsid w:val="00F76C02"/>
    <w:rsid w:val="00F76C84"/>
    <w:rsid w:val="00F76CA1"/>
    <w:rsid w:val="00F76CAF"/>
    <w:rsid w:val="00F76CD5"/>
    <w:rsid w:val="00F76CEF"/>
    <w:rsid w:val="00F76D28"/>
    <w:rsid w:val="00F76D50"/>
    <w:rsid w:val="00F76DBA"/>
    <w:rsid w:val="00F76E5C"/>
    <w:rsid w:val="00F76E89"/>
    <w:rsid w:val="00F76EF4"/>
    <w:rsid w:val="00F76FC8"/>
    <w:rsid w:val="00F77046"/>
    <w:rsid w:val="00F77048"/>
    <w:rsid w:val="00F77097"/>
    <w:rsid w:val="00F770E8"/>
    <w:rsid w:val="00F77114"/>
    <w:rsid w:val="00F7713E"/>
    <w:rsid w:val="00F7718B"/>
    <w:rsid w:val="00F771C9"/>
    <w:rsid w:val="00F7727A"/>
    <w:rsid w:val="00F7738E"/>
    <w:rsid w:val="00F77397"/>
    <w:rsid w:val="00F773C6"/>
    <w:rsid w:val="00F773C7"/>
    <w:rsid w:val="00F77452"/>
    <w:rsid w:val="00F77495"/>
    <w:rsid w:val="00F7757A"/>
    <w:rsid w:val="00F775E8"/>
    <w:rsid w:val="00F7772D"/>
    <w:rsid w:val="00F7773C"/>
    <w:rsid w:val="00F77788"/>
    <w:rsid w:val="00F77793"/>
    <w:rsid w:val="00F77799"/>
    <w:rsid w:val="00F7779D"/>
    <w:rsid w:val="00F777C2"/>
    <w:rsid w:val="00F7781C"/>
    <w:rsid w:val="00F7781D"/>
    <w:rsid w:val="00F7788A"/>
    <w:rsid w:val="00F778E4"/>
    <w:rsid w:val="00F77981"/>
    <w:rsid w:val="00F7798B"/>
    <w:rsid w:val="00F779FB"/>
    <w:rsid w:val="00F77A44"/>
    <w:rsid w:val="00F77A68"/>
    <w:rsid w:val="00F77B2C"/>
    <w:rsid w:val="00F77B8D"/>
    <w:rsid w:val="00F77CAF"/>
    <w:rsid w:val="00F77CC8"/>
    <w:rsid w:val="00F77D1A"/>
    <w:rsid w:val="00F77D72"/>
    <w:rsid w:val="00F77D73"/>
    <w:rsid w:val="00F77D85"/>
    <w:rsid w:val="00F77DC5"/>
    <w:rsid w:val="00F77E28"/>
    <w:rsid w:val="00F77F5E"/>
    <w:rsid w:val="00F77F86"/>
    <w:rsid w:val="00F77F90"/>
    <w:rsid w:val="00F77FCA"/>
    <w:rsid w:val="00F8014B"/>
    <w:rsid w:val="00F8022B"/>
    <w:rsid w:val="00F80264"/>
    <w:rsid w:val="00F80322"/>
    <w:rsid w:val="00F8040C"/>
    <w:rsid w:val="00F80445"/>
    <w:rsid w:val="00F80471"/>
    <w:rsid w:val="00F80515"/>
    <w:rsid w:val="00F80564"/>
    <w:rsid w:val="00F8056F"/>
    <w:rsid w:val="00F805A5"/>
    <w:rsid w:val="00F8061B"/>
    <w:rsid w:val="00F8064B"/>
    <w:rsid w:val="00F806B9"/>
    <w:rsid w:val="00F806F6"/>
    <w:rsid w:val="00F80713"/>
    <w:rsid w:val="00F8074A"/>
    <w:rsid w:val="00F80874"/>
    <w:rsid w:val="00F80992"/>
    <w:rsid w:val="00F80996"/>
    <w:rsid w:val="00F809ED"/>
    <w:rsid w:val="00F809EE"/>
    <w:rsid w:val="00F80A29"/>
    <w:rsid w:val="00F80A4E"/>
    <w:rsid w:val="00F80A9A"/>
    <w:rsid w:val="00F80BAE"/>
    <w:rsid w:val="00F80BBA"/>
    <w:rsid w:val="00F80BCD"/>
    <w:rsid w:val="00F80BE7"/>
    <w:rsid w:val="00F80BF5"/>
    <w:rsid w:val="00F80C06"/>
    <w:rsid w:val="00F80D77"/>
    <w:rsid w:val="00F80D8A"/>
    <w:rsid w:val="00F80DE6"/>
    <w:rsid w:val="00F80DF5"/>
    <w:rsid w:val="00F80EFC"/>
    <w:rsid w:val="00F80F06"/>
    <w:rsid w:val="00F80F4E"/>
    <w:rsid w:val="00F80FA1"/>
    <w:rsid w:val="00F80FA6"/>
    <w:rsid w:val="00F80FBF"/>
    <w:rsid w:val="00F81012"/>
    <w:rsid w:val="00F8101D"/>
    <w:rsid w:val="00F810E4"/>
    <w:rsid w:val="00F81162"/>
    <w:rsid w:val="00F8117D"/>
    <w:rsid w:val="00F811CB"/>
    <w:rsid w:val="00F811D4"/>
    <w:rsid w:val="00F81216"/>
    <w:rsid w:val="00F812B0"/>
    <w:rsid w:val="00F812B5"/>
    <w:rsid w:val="00F8135B"/>
    <w:rsid w:val="00F813C1"/>
    <w:rsid w:val="00F81416"/>
    <w:rsid w:val="00F814F8"/>
    <w:rsid w:val="00F815E5"/>
    <w:rsid w:val="00F8164B"/>
    <w:rsid w:val="00F816A9"/>
    <w:rsid w:val="00F8174C"/>
    <w:rsid w:val="00F81780"/>
    <w:rsid w:val="00F81826"/>
    <w:rsid w:val="00F81896"/>
    <w:rsid w:val="00F818D2"/>
    <w:rsid w:val="00F818E0"/>
    <w:rsid w:val="00F81938"/>
    <w:rsid w:val="00F819BD"/>
    <w:rsid w:val="00F819D1"/>
    <w:rsid w:val="00F81A61"/>
    <w:rsid w:val="00F81A65"/>
    <w:rsid w:val="00F81A8F"/>
    <w:rsid w:val="00F81AAF"/>
    <w:rsid w:val="00F81B04"/>
    <w:rsid w:val="00F81B19"/>
    <w:rsid w:val="00F81B2D"/>
    <w:rsid w:val="00F81B88"/>
    <w:rsid w:val="00F81BCF"/>
    <w:rsid w:val="00F81C13"/>
    <w:rsid w:val="00F81CB3"/>
    <w:rsid w:val="00F81CE7"/>
    <w:rsid w:val="00F81CFB"/>
    <w:rsid w:val="00F81D5D"/>
    <w:rsid w:val="00F81D77"/>
    <w:rsid w:val="00F81E5A"/>
    <w:rsid w:val="00F81F5E"/>
    <w:rsid w:val="00F81F7C"/>
    <w:rsid w:val="00F81FF3"/>
    <w:rsid w:val="00F81FFC"/>
    <w:rsid w:val="00F82015"/>
    <w:rsid w:val="00F82105"/>
    <w:rsid w:val="00F8213F"/>
    <w:rsid w:val="00F82158"/>
    <w:rsid w:val="00F821AD"/>
    <w:rsid w:val="00F821BE"/>
    <w:rsid w:val="00F82223"/>
    <w:rsid w:val="00F82257"/>
    <w:rsid w:val="00F82282"/>
    <w:rsid w:val="00F822A1"/>
    <w:rsid w:val="00F822EF"/>
    <w:rsid w:val="00F82311"/>
    <w:rsid w:val="00F8232D"/>
    <w:rsid w:val="00F82417"/>
    <w:rsid w:val="00F8241C"/>
    <w:rsid w:val="00F82460"/>
    <w:rsid w:val="00F8252A"/>
    <w:rsid w:val="00F82564"/>
    <w:rsid w:val="00F8258F"/>
    <w:rsid w:val="00F825B0"/>
    <w:rsid w:val="00F826E1"/>
    <w:rsid w:val="00F82746"/>
    <w:rsid w:val="00F82761"/>
    <w:rsid w:val="00F82777"/>
    <w:rsid w:val="00F827CD"/>
    <w:rsid w:val="00F8281A"/>
    <w:rsid w:val="00F828FD"/>
    <w:rsid w:val="00F8290F"/>
    <w:rsid w:val="00F8296C"/>
    <w:rsid w:val="00F8297C"/>
    <w:rsid w:val="00F829B6"/>
    <w:rsid w:val="00F829C3"/>
    <w:rsid w:val="00F829E9"/>
    <w:rsid w:val="00F829F7"/>
    <w:rsid w:val="00F82A0A"/>
    <w:rsid w:val="00F82A13"/>
    <w:rsid w:val="00F82AB0"/>
    <w:rsid w:val="00F82AF8"/>
    <w:rsid w:val="00F82B4A"/>
    <w:rsid w:val="00F82B75"/>
    <w:rsid w:val="00F82B7F"/>
    <w:rsid w:val="00F82D25"/>
    <w:rsid w:val="00F82D3A"/>
    <w:rsid w:val="00F82D8C"/>
    <w:rsid w:val="00F82DAD"/>
    <w:rsid w:val="00F82E33"/>
    <w:rsid w:val="00F82E3A"/>
    <w:rsid w:val="00F82EB0"/>
    <w:rsid w:val="00F82ECE"/>
    <w:rsid w:val="00F82F2F"/>
    <w:rsid w:val="00F82FCA"/>
    <w:rsid w:val="00F82FDE"/>
    <w:rsid w:val="00F83060"/>
    <w:rsid w:val="00F831A5"/>
    <w:rsid w:val="00F831DB"/>
    <w:rsid w:val="00F831DC"/>
    <w:rsid w:val="00F8320B"/>
    <w:rsid w:val="00F832A7"/>
    <w:rsid w:val="00F832A8"/>
    <w:rsid w:val="00F83323"/>
    <w:rsid w:val="00F83329"/>
    <w:rsid w:val="00F8336C"/>
    <w:rsid w:val="00F833AB"/>
    <w:rsid w:val="00F833F2"/>
    <w:rsid w:val="00F83450"/>
    <w:rsid w:val="00F83552"/>
    <w:rsid w:val="00F83577"/>
    <w:rsid w:val="00F8357F"/>
    <w:rsid w:val="00F83599"/>
    <w:rsid w:val="00F835A8"/>
    <w:rsid w:val="00F83645"/>
    <w:rsid w:val="00F836BE"/>
    <w:rsid w:val="00F836F1"/>
    <w:rsid w:val="00F836F9"/>
    <w:rsid w:val="00F83717"/>
    <w:rsid w:val="00F83730"/>
    <w:rsid w:val="00F837F6"/>
    <w:rsid w:val="00F8381C"/>
    <w:rsid w:val="00F83916"/>
    <w:rsid w:val="00F839A0"/>
    <w:rsid w:val="00F839DE"/>
    <w:rsid w:val="00F839E3"/>
    <w:rsid w:val="00F83AC8"/>
    <w:rsid w:val="00F83ACC"/>
    <w:rsid w:val="00F83AE5"/>
    <w:rsid w:val="00F83AF4"/>
    <w:rsid w:val="00F83B3D"/>
    <w:rsid w:val="00F83B54"/>
    <w:rsid w:val="00F83BB0"/>
    <w:rsid w:val="00F83C32"/>
    <w:rsid w:val="00F83CBC"/>
    <w:rsid w:val="00F83CCA"/>
    <w:rsid w:val="00F83D38"/>
    <w:rsid w:val="00F83DEA"/>
    <w:rsid w:val="00F83E52"/>
    <w:rsid w:val="00F83E57"/>
    <w:rsid w:val="00F83E68"/>
    <w:rsid w:val="00F83E98"/>
    <w:rsid w:val="00F83EE0"/>
    <w:rsid w:val="00F83F0E"/>
    <w:rsid w:val="00F83F22"/>
    <w:rsid w:val="00F83F99"/>
    <w:rsid w:val="00F83FB9"/>
    <w:rsid w:val="00F84018"/>
    <w:rsid w:val="00F84035"/>
    <w:rsid w:val="00F84072"/>
    <w:rsid w:val="00F8408B"/>
    <w:rsid w:val="00F84102"/>
    <w:rsid w:val="00F84192"/>
    <w:rsid w:val="00F841E3"/>
    <w:rsid w:val="00F8420C"/>
    <w:rsid w:val="00F84281"/>
    <w:rsid w:val="00F843B5"/>
    <w:rsid w:val="00F843D1"/>
    <w:rsid w:val="00F8441F"/>
    <w:rsid w:val="00F84425"/>
    <w:rsid w:val="00F8447A"/>
    <w:rsid w:val="00F84530"/>
    <w:rsid w:val="00F84562"/>
    <w:rsid w:val="00F845C0"/>
    <w:rsid w:val="00F845D7"/>
    <w:rsid w:val="00F84615"/>
    <w:rsid w:val="00F846E5"/>
    <w:rsid w:val="00F84727"/>
    <w:rsid w:val="00F84794"/>
    <w:rsid w:val="00F847C2"/>
    <w:rsid w:val="00F848C9"/>
    <w:rsid w:val="00F848CD"/>
    <w:rsid w:val="00F84999"/>
    <w:rsid w:val="00F849A4"/>
    <w:rsid w:val="00F84A3C"/>
    <w:rsid w:val="00F84A53"/>
    <w:rsid w:val="00F84A89"/>
    <w:rsid w:val="00F84B48"/>
    <w:rsid w:val="00F84BD6"/>
    <w:rsid w:val="00F84BF0"/>
    <w:rsid w:val="00F84C21"/>
    <w:rsid w:val="00F84CB2"/>
    <w:rsid w:val="00F84D21"/>
    <w:rsid w:val="00F84E13"/>
    <w:rsid w:val="00F84FF5"/>
    <w:rsid w:val="00F85057"/>
    <w:rsid w:val="00F8508C"/>
    <w:rsid w:val="00F85102"/>
    <w:rsid w:val="00F8516E"/>
    <w:rsid w:val="00F8519F"/>
    <w:rsid w:val="00F851A7"/>
    <w:rsid w:val="00F851C1"/>
    <w:rsid w:val="00F851CB"/>
    <w:rsid w:val="00F851F6"/>
    <w:rsid w:val="00F85368"/>
    <w:rsid w:val="00F8537E"/>
    <w:rsid w:val="00F853E0"/>
    <w:rsid w:val="00F85403"/>
    <w:rsid w:val="00F85453"/>
    <w:rsid w:val="00F8549E"/>
    <w:rsid w:val="00F85582"/>
    <w:rsid w:val="00F85594"/>
    <w:rsid w:val="00F85595"/>
    <w:rsid w:val="00F855DB"/>
    <w:rsid w:val="00F85620"/>
    <w:rsid w:val="00F856AC"/>
    <w:rsid w:val="00F85722"/>
    <w:rsid w:val="00F8572E"/>
    <w:rsid w:val="00F857CF"/>
    <w:rsid w:val="00F8582F"/>
    <w:rsid w:val="00F858C4"/>
    <w:rsid w:val="00F85979"/>
    <w:rsid w:val="00F85996"/>
    <w:rsid w:val="00F859AC"/>
    <w:rsid w:val="00F859CD"/>
    <w:rsid w:val="00F85A31"/>
    <w:rsid w:val="00F85A8A"/>
    <w:rsid w:val="00F85A8E"/>
    <w:rsid w:val="00F85AB2"/>
    <w:rsid w:val="00F85B2D"/>
    <w:rsid w:val="00F85C2B"/>
    <w:rsid w:val="00F85C56"/>
    <w:rsid w:val="00F85CB1"/>
    <w:rsid w:val="00F85E9B"/>
    <w:rsid w:val="00F85F7D"/>
    <w:rsid w:val="00F85F8F"/>
    <w:rsid w:val="00F85FB4"/>
    <w:rsid w:val="00F85FFE"/>
    <w:rsid w:val="00F860AA"/>
    <w:rsid w:val="00F860F7"/>
    <w:rsid w:val="00F86101"/>
    <w:rsid w:val="00F86163"/>
    <w:rsid w:val="00F861A8"/>
    <w:rsid w:val="00F86266"/>
    <w:rsid w:val="00F8626C"/>
    <w:rsid w:val="00F862C0"/>
    <w:rsid w:val="00F86308"/>
    <w:rsid w:val="00F86335"/>
    <w:rsid w:val="00F86364"/>
    <w:rsid w:val="00F863A1"/>
    <w:rsid w:val="00F863C0"/>
    <w:rsid w:val="00F863EB"/>
    <w:rsid w:val="00F86458"/>
    <w:rsid w:val="00F864FC"/>
    <w:rsid w:val="00F86534"/>
    <w:rsid w:val="00F86574"/>
    <w:rsid w:val="00F86596"/>
    <w:rsid w:val="00F86678"/>
    <w:rsid w:val="00F86743"/>
    <w:rsid w:val="00F869B3"/>
    <w:rsid w:val="00F86A03"/>
    <w:rsid w:val="00F86AC0"/>
    <w:rsid w:val="00F86CCE"/>
    <w:rsid w:val="00F86D07"/>
    <w:rsid w:val="00F86D52"/>
    <w:rsid w:val="00F86D9B"/>
    <w:rsid w:val="00F86DAE"/>
    <w:rsid w:val="00F86DF9"/>
    <w:rsid w:val="00F86E10"/>
    <w:rsid w:val="00F86E39"/>
    <w:rsid w:val="00F86E94"/>
    <w:rsid w:val="00F86EBF"/>
    <w:rsid w:val="00F86F13"/>
    <w:rsid w:val="00F86F42"/>
    <w:rsid w:val="00F86FA6"/>
    <w:rsid w:val="00F86FED"/>
    <w:rsid w:val="00F87013"/>
    <w:rsid w:val="00F8705D"/>
    <w:rsid w:val="00F8711D"/>
    <w:rsid w:val="00F87125"/>
    <w:rsid w:val="00F8728B"/>
    <w:rsid w:val="00F8729C"/>
    <w:rsid w:val="00F8732C"/>
    <w:rsid w:val="00F8737A"/>
    <w:rsid w:val="00F8739B"/>
    <w:rsid w:val="00F87467"/>
    <w:rsid w:val="00F874B1"/>
    <w:rsid w:val="00F874FF"/>
    <w:rsid w:val="00F87514"/>
    <w:rsid w:val="00F8753E"/>
    <w:rsid w:val="00F87560"/>
    <w:rsid w:val="00F87588"/>
    <w:rsid w:val="00F87606"/>
    <w:rsid w:val="00F8762F"/>
    <w:rsid w:val="00F8765D"/>
    <w:rsid w:val="00F8768A"/>
    <w:rsid w:val="00F876A3"/>
    <w:rsid w:val="00F8770A"/>
    <w:rsid w:val="00F8771D"/>
    <w:rsid w:val="00F87870"/>
    <w:rsid w:val="00F878F6"/>
    <w:rsid w:val="00F87913"/>
    <w:rsid w:val="00F87968"/>
    <w:rsid w:val="00F87A45"/>
    <w:rsid w:val="00F87A99"/>
    <w:rsid w:val="00F87AB8"/>
    <w:rsid w:val="00F87B1A"/>
    <w:rsid w:val="00F87B68"/>
    <w:rsid w:val="00F87B8B"/>
    <w:rsid w:val="00F87C31"/>
    <w:rsid w:val="00F87C97"/>
    <w:rsid w:val="00F87C9C"/>
    <w:rsid w:val="00F87E30"/>
    <w:rsid w:val="00F87E83"/>
    <w:rsid w:val="00F87EE4"/>
    <w:rsid w:val="00F87F42"/>
    <w:rsid w:val="00F87F78"/>
    <w:rsid w:val="00F87FA0"/>
    <w:rsid w:val="00F900B6"/>
    <w:rsid w:val="00F900FE"/>
    <w:rsid w:val="00F90116"/>
    <w:rsid w:val="00F90129"/>
    <w:rsid w:val="00F901A2"/>
    <w:rsid w:val="00F901A6"/>
    <w:rsid w:val="00F901C7"/>
    <w:rsid w:val="00F902A6"/>
    <w:rsid w:val="00F902C5"/>
    <w:rsid w:val="00F9030D"/>
    <w:rsid w:val="00F90393"/>
    <w:rsid w:val="00F90395"/>
    <w:rsid w:val="00F903A1"/>
    <w:rsid w:val="00F903C5"/>
    <w:rsid w:val="00F903FE"/>
    <w:rsid w:val="00F90444"/>
    <w:rsid w:val="00F9046E"/>
    <w:rsid w:val="00F9048B"/>
    <w:rsid w:val="00F9049D"/>
    <w:rsid w:val="00F9055E"/>
    <w:rsid w:val="00F90575"/>
    <w:rsid w:val="00F905C8"/>
    <w:rsid w:val="00F905FF"/>
    <w:rsid w:val="00F90674"/>
    <w:rsid w:val="00F90683"/>
    <w:rsid w:val="00F9073F"/>
    <w:rsid w:val="00F9079A"/>
    <w:rsid w:val="00F907AF"/>
    <w:rsid w:val="00F907BB"/>
    <w:rsid w:val="00F907C7"/>
    <w:rsid w:val="00F907D9"/>
    <w:rsid w:val="00F907F2"/>
    <w:rsid w:val="00F90819"/>
    <w:rsid w:val="00F9087D"/>
    <w:rsid w:val="00F908F6"/>
    <w:rsid w:val="00F90973"/>
    <w:rsid w:val="00F9098F"/>
    <w:rsid w:val="00F909C2"/>
    <w:rsid w:val="00F909CD"/>
    <w:rsid w:val="00F909F9"/>
    <w:rsid w:val="00F90A78"/>
    <w:rsid w:val="00F90B35"/>
    <w:rsid w:val="00F90B53"/>
    <w:rsid w:val="00F90BB8"/>
    <w:rsid w:val="00F90BCB"/>
    <w:rsid w:val="00F90BE4"/>
    <w:rsid w:val="00F90C28"/>
    <w:rsid w:val="00F90CA2"/>
    <w:rsid w:val="00F90CB7"/>
    <w:rsid w:val="00F90D58"/>
    <w:rsid w:val="00F90D5F"/>
    <w:rsid w:val="00F90DD4"/>
    <w:rsid w:val="00F90E2A"/>
    <w:rsid w:val="00F90E39"/>
    <w:rsid w:val="00F90E87"/>
    <w:rsid w:val="00F90E9D"/>
    <w:rsid w:val="00F90ECA"/>
    <w:rsid w:val="00F90F7D"/>
    <w:rsid w:val="00F90FB8"/>
    <w:rsid w:val="00F91077"/>
    <w:rsid w:val="00F91152"/>
    <w:rsid w:val="00F91189"/>
    <w:rsid w:val="00F911C8"/>
    <w:rsid w:val="00F91236"/>
    <w:rsid w:val="00F912E1"/>
    <w:rsid w:val="00F9144A"/>
    <w:rsid w:val="00F91464"/>
    <w:rsid w:val="00F914E8"/>
    <w:rsid w:val="00F9151B"/>
    <w:rsid w:val="00F91548"/>
    <w:rsid w:val="00F91581"/>
    <w:rsid w:val="00F915E8"/>
    <w:rsid w:val="00F91708"/>
    <w:rsid w:val="00F91763"/>
    <w:rsid w:val="00F91792"/>
    <w:rsid w:val="00F917C6"/>
    <w:rsid w:val="00F917D1"/>
    <w:rsid w:val="00F917D2"/>
    <w:rsid w:val="00F91825"/>
    <w:rsid w:val="00F91858"/>
    <w:rsid w:val="00F91876"/>
    <w:rsid w:val="00F9187A"/>
    <w:rsid w:val="00F918A7"/>
    <w:rsid w:val="00F918B5"/>
    <w:rsid w:val="00F9190D"/>
    <w:rsid w:val="00F919AF"/>
    <w:rsid w:val="00F919F2"/>
    <w:rsid w:val="00F91A05"/>
    <w:rsid w:val="00F91A46"/>
    <w:rsid w:val="00F91AAB"/>
    <w:rsid w:val="00F91B16"/>
    <w:rsid w:val="00F91B3F"/>
    <w:rsid w:val="00F91C77"/>
    <w:rsid w:val="00F91CF4"/>
    <w:rsid w:val="00F91CF8"/>
    <w:rsid w:val="00F91D89"/>
    <w:rsid w:val="00F91E1F"/>
    <w:rsid w:val="00F91EB2"/>
    <w:rsid w:val="00F91F0E"/>
    <w:rsid w:val="00F91F78"/>
    <w:rsid w:val="00F91F9C"/>
    <w:rsid w:val="00F920D4"/>
    <w:rsid w:val="00F920E1"/>
    <w:rsid w:val="00F920E2"/>
    <w:rsid w:val="00F920F4"/>
    <w:rsid w:val="00F9211E"/>
    <w:rsid w:val="00F9212D"/>
    <w:rsid w:val="00F92141"/>
    <w:rsid w:val="00F9217B"/>
    <w:rsid w:val="00F92182"/>
    <w:rsid w:val="00F9218B"/>
    <w:rsid w:val="00F9224E"/>
    <w:rsid w:val="00F92279"/>
    <w:rsid w:val="00F92300"/>
    <w:rsid w:val="00F92372"/>
    <w:rsid w:val="00F92380"/>
    <w:rsid w:val="00F92383"/>
    <w:rsid w:val="00F92395"/>
    <w:rsid w:val="00F923F0"/>
    <w:rsid w:val="00F9243E"/>
    <w:rsid w:val="00F92568"/>
    <w:rsid w:val="00F925CE"/>
    <w:rsid w:val="00F92618"/>
    <w:rsid w:val="00F9271E"/>
    <w:rsid w:val="00F9274D"/>
    <w:rsid w:val="00F9275F"/>
    <w:rsid w:val="00F9278D"/>
    <w:rsid w:val="00F927A8"/>
    <w:rsid w:val="00F927C6"/>
    <w:rsid w:val="00F92865"/>
    <w:rsid w:val="00F92873"/>
    <w:rsid w:val="00F9287D"/>
    <w:rsid w:val="00F92980"/>
    <w:rsid w:val="00F9299C"/>
    <w:rsid w:val="00F92A20"/>
    <w:rsid w:val="00F92A61"/>
    <w:rsid w:val="00F92A6C"/>
    <w:rsid w:val="00F92A74"/>
    <w:rsid w:val="00F92A95"/>
    <w:rsid w:val="00F92BE8"/>
    <w:rsid w:val="00F92C2E"/>
    <w:rsid w:val="00F92CB9"/>
    <w:rsid w:val="00F92D16"/>
    <w:rsid w:val="00F92D93"/>
    <w:rsid w:val="00F92E79"/>
    <w:rsid w:val="00F92F21"/>
    <w:rsid w:val="00F92F4E"/>
    <w:rsid w:val="00F92F5B"/>
    <w:rsid w:val="00F92F6B"/>
    <w:rsid w:val="00F92F8D"/>
    <w:rsid w:val="00F92F97"/>
    <w:rsid w:val="00F92FF6"/>
    <w:rsid w:val="00F930B5"/>
    <w:rsid w:val="00F93126"/>
    <w:rsid w:val="00F931D9"/>
    <w:rsid w:val="00F93228"/>
    <w:rsid w:val="00F93288"/>
    <w:rsid w:val="00F932B5"/>
    <w:rsid w:val="00F932C5"/>
    <w:rsid w:val="00F93324"/>
    <w:rsid w:val="00F93370"/>
    <w:rsid w:val="00F933A8"/>
    <w:rsid w:val="00F93422"/>
    <w:rsid w:val="00F9343B"/>
    <w:rsid w:val="00F9343E"/>
    <w:rsid w:val="00F93471"/>
    <w:rsid w:val="00F934CC"/>
    <w:rsid w:val="00F9359A"/>
    <w:rsid w:val="00F93630"/>
    <w:rsid w:val="00F9363A"/>
    <w:rsid w:val="00F93641"/>
    <w:rsid w:val="00F93650"/>
    <w:rsid w:val="00F936AD"/>
    <w:rsid w:val="00F936E8"/>
    <w:rsid w:val="00F9373C"/>
    <w:rsid w:val="00F93752"/>
    <w:rsid w:val="00F937A6"/>
    <w:rsid w:val="00F937AF"/>
    <w:rsid w:val="00F937FD"/>
    <w:rsid w:val="00F93850"/>
    <w:rsid w:val="00F9385B"/>
    <w:rsid w:val="00F93905"/>
    <w:rsid w:val="00F939F9"/>
    <w:rsid w:val="00F93A52"/>
    <w:rsid w:val="00F93AF5"/>
    <w:rsid w:val="00F93AF8"/>
    <w:rsid w:val="00F93C8F"/>
    <w:rsid w:val="00F93CE1"/>
    <w:rsid w:val="00F93D7A"/>
    <w:rsid w:val="00F93D8A"/>
    <w:rsid w:val="00F93ECA"/>
    <w:rsid w:val="00F93ED6"/>
    <w:rsid w:val="00F93F06"/>
    <w:rsid w:val="00F93FB4"/>
    <w:rsid w:val="00F93FC2"/>
    <w:rsid w:val="00F94083"/>
    <w:rsid w:val="00F94094"/>
    <w:rsid w:val="00F94095"/>
    <w:rsid w:val="00F940BA"/>
    <w:rsid w:val="00F940CC"/>
    <w:rsid w:val="00F94141"/>
    <w:rsid w:val="00F941AA"/>
    <w:rsid w:val="00F94232"/>
    <w:rsid w:val="00F9438C"/>
    <w:rsid w:val="00F943C1"/>
    <w:rsid w:val="00F94417"/>
    <w:rsid w:val="00F9442F"/>
    <w:rsid w:val="00F944B4"/>
    <w:rsid w:val="00F944F3"/>
    <w:rsid w:val="00F94527"/>
    <w:rsid w:val="00F9464B"/>
    <w:rsid w:val="00F947B2"/>
    <w:rsid w:val="00F947E1"/>
    <w:rsid w:val="00F948C9"/>
    <w:rsid w:val="00F948DA"/>
    <w:rsid w:val="00F948DC"/>
    <w:rsid w:val="00F948FB"/>
    <w:rsid w:val="00F948FD"/>
    <w:rsid w:val="00F9492D"/>
    <w:rsid w:val="00F94937"/>
    <w:rsid w:val="00F94994"/>
    <w:rsid w:val="00F949C1"/>
    <w:rsid w:val="00F94A13"/>
    <w:rsid w:val="00F94AD9"/>
    <w:rsid w:val="00F94B44"/>
    <w:rsid w:val="00F94B8A"/>
    <w:rsid w:val="00F94BF3"/>
    <w:rsid w:val="00F94C84"/>
    <w:rsid w:val="00F94C97"/>
    <w:rsid w:val="00F94C9B"/>
    <w:rsid w:val="00F94CA9"/>
    <w:rsid w:val="00F94CE2"/>
    <w:rsid w:val="00F94D60"/>
    <w:rsid w:val="00F94D8E"/>
    <w:rsid w:val="00F94DC3"/>
    <w:rsid w:val="00F94E2E"/>
    <w:rsid w:val="00F94E3A"/>
    <w:rsid w:val="00F94E5E"/>
    <w:rsid w:val="00F94ECD"/>
    <w:rsid w:val="00F94ED3"/>
    <w:rsid w:val="00F94FCE"/>
    <w:rsid w:val="00F94FD4"/>
    <w:rsid w:val="00F95029"/>
    <w:rsid w:val="00F95047"/>
    <w:rsid w:val="00F950DC"/>
    <w:rsid w:val="00F9511D"/>
    <w:rsid w:val="00F95157"/>
    <w:rsid w:val="00F9519E"/>
    <w:rsid w:val="00F951FB"/>
    <w:rsid w:val="00F9521C"/>
    <w:rsid w:val="00F952A8"/>
    <w:rsid w:val="00F95323"/>
    <w:rsid w:val="00F95398"/>
    <w:rsid w:val="00F953A6"/>
    <w:rsid w:val="00F953DE"/>
    <w:rsid w:val="00F95423"/>
    <w:rsid w:val="00F9553B"/>
    <w:rsid w:val="00F95551"/>
    <w:rsid w:val="00F95578"/>
    <w:rsid w:val="00F95601"/>
    <w:rsid w:val="00F95638"/>
    <w:rsid w:val="00F95724"/>
    <w:rsid w:val="00F95751"/>
    <w:rsid w:val="00F9576E"/>
    <w:rsid w:val="00F957CC"/>
    <w:rsid w:val="00F957F9"/>
    <w:rsid w:val="00F9585B"/>
    <w:rsid w:val="00F9586D"/>
    <w:rsid w:val="00F958AD"/>
    <w:rsid w:val="00F958FC"/>
    <w:rsid w:val="00F95939"/>
    <w:rsid w:val="00F95964"/>
    <w:rsid w:val="00F9599F"/>
    <w:rsid w:val="00F959A6"/>
    <w:rsid w:val="00F959B0"/>
    <w:rsid w:val="00F959FD"/>
    <w:rsid w:val="00F95A61"/>
    <w:rsid w:val="00F95AA8"/>
    <w:rsid w:val="00F95AC1"/>
    <w:rsid w:val="00F95B2C"/>
    <w:rsid w:val="00F95BDF"/>
    <w:rsid w:val="00F95C3C"/>
    <w:rsid w:val="00F95C8C"/>
    <w:rsid w:val="00F95C93"/>
    <w:rsid w:val="00F95D7B"/>
    <w:rsid w:val="00F95DF9"/>
    <w:rsid w:val="00F95EBE"/>
    <w:rsid w:val="00F95F90"/>
    <w:rsid w:val="00F960FA"/>
    <w:rsid w:val="00F9610A"/>
    <w:rsid w:val="00F96220"/>
    <w:rsid w:val="00F9628D"/>
    <w:rsid w:val="00F96329"/>
    <w:rsid w:val="00F963A6"/>
    <w:rsid w:val="00F963BB"/>
    <w:rsid w:val="00F96463"/>
    <w:rsid w:val="00F964F6"/>
    <w:rsid w:val="00F965BE"/>
    <w:rsid w:val="00F96619"/>
    <w:rsid w:val="00F96740"/>
    <w:rsid w:val="00F96772"/>
    <w:rsid w:val="00F96794"/>
    <w:rsid w:val="00F967BB"/>
    <w:rsid w:val="00F967D5"/>
    <w:rsid w:val="00F9686C"/>
    <w:rsid w:val="00F96871"/>
    <w:rsid w:val="00F968C8"/>
    <w:rsid w:val="00F968E3"/>
    <w:rsid w:val="00F96923"/>
    <w:rsid w:val="00F969BD"/>
    <w:rsid w:val="00F969D6"/>
    <w:rsid w:val="00F969F9"/>
    <w:rsid w:val="00F96AD3"/>
    <w:rsid w:val="00F96B9C"/>
    <w:rsid w:val="00F96BB9"/>
    <w:rsid w:val="00F96C7C"/>
    <w:rsid w:val="00F96C88"/>
    <w:rsid w:val="00F96CE2"/>
    <w:rsid w:val="00F96D03"/>
    <w:rsid w:val="00F96DDF"/>
    <w:rsid w:val="00F96E27"/>
    <w:rsid w:val="00F96E6F"/>
    <w:rsid w:val="00F97086"/>
    <w:rsid w:val="00F97118"/>
    <w:rsid w:val="00F97131"/>
    <w:rsid w:val="00F971A2"/>
    <w:rsid w:val="00F971C6"/>
    <w:rsid w:val="00F971FC"/>
    <w:rsid w:val="00F971FE"/>
    <w:rsid w:val="00F9720A"/>
    <w:rsid w:val="00F9721F"/>
    <w:rsid w:val="00F97221"/>
    <w:rsid w:val="00F97343"/>
    <w:rsid w:val="00F973CE"/>
    <w:rsid w:val="00F973DC"/>
    <w:rsid w:val="00F973E9"/>
    <w:rsid w:val="00F97410"/>
    <w:rsid w:val="00F9742D"/>
    <w:rsid w:val="00F974C7"/>
    <w:rsid w:val="00F974D6"/>
    <w:rsid w:val="00F97530"/>
    <w:rsid w:val="00F975AD"/>
    <w:rsid w:val="00F975B4"/>
    <w:rsid w:val="00F975F6"/>
    <w:rsid w:val="00F9765A"/>
    <w:rsid w:val="00F9765D"/>
    <w:rsid w:val="00F9768C"/>
    <w:rsid w:val="00F97762"/>
    <w:rsid w:val="00F97796"/>
    <w:rsid w:val="00F977F1"/>
    <w:rsid w:val="00F97892"/>
    <w:rsid w:val="00F978B3"/>
    <w:rsid w:val="00F978D5"/>
    <w:rsid w:val="00F9790E"/>
    <w:rsid w:val="00F9795F"/>
    <w:rsid w:val="00F9798D"/>
    <w:rsid w:val="00F979E3"/>
    <w:rsid w:val="00F97A02"/>
    <w:rsid w:val="00F97A05"/>
    <w:rsid w:val="00F97A30"/>
    <w:rsid w:val="00F97A56"/>
    <w:rsid w:val="00F97AFF"/>
    <w:rsid w:val="00F97B21"/>
    <w:rsid w:val="00F97B3D"/>
    <w:rsid w:val="00F97B54"/>
    <w:rsid w:val="00F97B95"/>
    <w:rsid w:val="00F97C21"/>
    <w:rsid w:val="00F97C66"/>
    <w:rsid w:val="00F97C7E"/>
    <w:rsid w:val="00F97D9E"/>
    <w:rsid w:val="00F97E34"/>
    <w:rsid w:val="00F97EDD"/>
    <w:rsid w:val="00F97F22"/>
    <w:rsid w:val="00F97F6C"/>
    <w:rsid w:val="00F97FF6"/>
    <w:rsid w:val="00FA003F"/>
    <w:rsid w:val="00FA00AC"/>
    <w:rsid w:val="00FA0123"/>
    <w:rsid w:val="00FA012F"/>
    <w:rsid w:val="00FA0133"/>
    <w:rsid w:val="00FA01A2"/>
    <w:rsid w:val="00FA01D6"/>
    <w:rsid w:val="00FA0264"/>
    <w:rsid w:val="00FA0293"/>
    <w:rsid w:val="00FA032F"/>
    <w:rsid w:val="00FA0334"/>
    <w:rsid w:val="00FA0366"/>
    <w:rsid w:val="00FA0370"/>
    <w:rsid w:val="00FA0371"/>
    <w:rsid w:val="00FA0391"/>
    <w:rsid w:val="00FA043F"/>
    <w:rsid w:val="00FA0477"/>
    <w:rsid w:val="00FA048C"/>
    <w:rsid w:val="00FA050A"/>
    <w:rsid w:val="00FA062F"/>
    <w:rsid w:val="00FA06E6"/>
    <w:rsid w:val="00FA077A"/>
    <w:rsid w:val="00FA077B"/>
    <w:rsid w:val="00FA07DE"/>
    <w:rsid w:val="00FA0828"/>
    <w:rsid w:val="00FA0887"/>
    <w:rsid w:val="00FA0947"/>
    <w:rsid w:val="00FA09F2"/>
    <w:rsid w:val="00FA0A28"/>
    <w:rsid w:val="00FA0A54"/>
    <w:rsid w:val="00FA0AD6"/>
    <w:rsid w:val="00FA0AD8"/>
    <w:rsid w:val="00FA0B05"/>
    <w:rsid w:val="00FA0B83"/>
    <w:rsid w:val="00FA0C27"/>
    <w:rsid w:val="00FA0C73"/>
    <w:rsid w:val="00FA0C8A"/>
    <w:rsid w:val="00FA0CC5"/>
    <w:rsid w:val="00FA0CD5"/>
    <w:rsid w:val="00FA0CF9"/>
    <w:rsid w:val="00FA0D3B"/>
    <w:rsid w:val="00FA0DFC"/>
    <w:rsid w:val="00FA0E23"/>
    <w:rsid w:val="00FA0E2D"/>
    <w:rsid w:val="00FA0F51"/>
    <w:rsid w:val="00FA0F83"/>
    <w:rsid w:val="00FA0F8D"/>
    <w:rsid w:val="00FA1030"/>
    <w:rsid w:val="00FA1046"/>
    <w:rsid w:val="00FA1054"/>
    <w:rsid w:val="00FA109E"/>
    <w:rsid w:val="00FA10D1"/>
    <w:rsid w:val="00FA11CE"/>
    <w:rsid w:val="00FA11F1"/>
    <w:rsid w:val="00FA12BF"/>
    <w:rsid w:val="00FA13A5"/>
    <w:rsid w:val="00FA13C7"/>
    <w:rsid w:val="00FA1413"/>
    <w:rsid w:val="00FA1422"/>
    <w:rsid w:val="00FA1433"/>
    <w:rsid w:val="00FA1484"/>
    <w:rsid w:val="00FA14D8"/>
    <w:rsid w:val="00FA1513"/>
    <w:rsid w:val="00FA153A"/>
    <w:rsid w:val="00FA154D"/>
    <w:rsid w:val="00FA1572"/>
    <w:rsid w:val="00FA1724"/>
    <w:rsid w:val="00FA17B4"/>
    <w:rsid w:val="00FA17FB"/>
    <w:rsid w:val="00FA18DA"/>
    <w:rsid w:val="00FA18ED"/>
    <w:rsid w:val="00FA198C"/>
    <w:rsid w:val="00FA19EB"/>
    <w:rsid w:val="00FA1B1F"/>
    <w:rsid w:val="00FA1B2D"/>
    <w:rsid w:val="00FA1B3A"/>
    <w:rsid w:val="00FA1BD6"/>
    <w:rsid w:val="00FA1CDC"/>
    <w:rsid w:val="00FA1D21"/>
    <w:rsid w:val="00FA1D3D"/>
    <w:rsid w:val="00FA1D59"/>
    <w:rsid w:val="00FA1EAE"/>
    <w:rsid w:val="00FA1F7B"/>
    <w:rsid w:val="00FA205A"/>
    <w:rsid w:val="00FA2099"/>
    <w:rsid w:val="00FA20C4"/>
    <w:rsid w:val="00FA2104"/>
    <w:rsid w:val="00FA211E"/>
    <w:rsid w:val="00FA2142"/>
    <w:rsid w:val="00FA2172"/>
    <w:rsid w:val="00FA2198"/>
    <w:rsid w:val="00FA228E"/>
    <w:rsid w:val="00FA22A6"/>
    <w:rsid w:val="00FA22E8"/>
    <w:rsid w:val="00FA235C"/>
    <w:rsid w:val="00FA237E"/>
    <w:rsid w:val="00FA24A3"/>
    <w:rsid w:val="00FA24C2"/>
    <w:rsid w:val="00FA250B"/>
    <w:rsid w:val="00FA2625"/>
    <w:rsid w:val="00FA2778"/>
    <w:rsid w:val="00FA2839"/>
    <w:rsid w:val="00FA2868"/>
    <w:rsid w:val="00FA28B8"/>
    <w:rsid w:val="00FA290A"/>
    <w:rsid w:val="00FA294B"/>
    <w:rsid w:val="00FA2954"/>
    <w:rsid w:val="00FA29D9"/>
    <w:rsid w:val="00FA29F6"/>
    <w:rsid w:val="00FA2A54"/>
    <w:rsid w:val="00FA2A66"/>
    <w:rsid w:val="00FA2B20"/>
    <w:rsid w:val="00FA2B59"/>
    <w:rsid w:val="00FA2B88"/>
    <w:rsid w:val="00FA2B8C"/>
    <w:rsid w:val="00FA2BD9"/>
    <w:rsid w:val="00FA2D33"/>
    <w:rsid w:val="00FA2D34"/>
    <w:rsid w:val="00FA2DC4"/>
    <w:rsid w:val="00FA2E01"/>
    <w:rsid w:val="00FA2E31"/>
    <w:rsid w:val="00FA2E61"/>
    <w:rsid w:val="00FA2F28"/>
    <w:rsid w:val="00FA2F38"/>
    <w:rsid w:val="00FA2F93"/>
    <w:rsid w:val="00FA3095"/>
    <w:rsid w:val="00FA30ED"/>
    <w:rsid w:val="00FA311E"/>
    <w:rsid w:val="00FA31A9"/>
    <w:rsid w:val="00FA31D5"/>
    <w:rsid w:val="00FA31DE"/>
    <w:rsid w:val="00FA3242"/>
    <w:rsid w:val="00FA3258"/>
    <w:rsid w:val="00FA329B"/>
    <w:rsid w:val="00FA329F"/>
    <w:rsid w:val="00FA32C4"/>
    <w:rsid w:val="00FA33A3"/>
    <w:rsid w:val="00FA347F"/>
    <w:rsid w:val="00FA34EC"/>
    <w:rsid w:val="00FA34FF"/>
    <w:rsid w:val="00FA3509"/>
    <w:rsid w:val="00FA354A"/>
    <w:rsid w:val="00FA354C"/>
    <w:rsid w:val="00FA3558"/>
    <w:rsid w:val="00FA35E1"/>
    <w:rsid w:val="00FA36B6"/>
    <w:rsid w:val="00FA380E"/>
    <w:rsid w:val="00FA3816"/>
    <w:rsid w:val="00FA3849"/>
    <w:rsid w:val="00FA3907"/>
    <w:rsid w:val="00FA397A"/>
    <w:rsid w:val="00FA3995"/>
    <w:rsid w:val="00FA3A30"/>
    <w:rsid w:val="00FA3A4E"/>
    <w:rsid w:val="00FA3AF3"/>
    <w:rsid w:val="00FA3BA8"/>
    <w:rsid w:val="00FA3BFD"/>
    <w:rsid w:val="00FA3C25"/>
    <w:rsid w:val="00FA3C47"/>
    <w:rsid w:val="00FA3D06"/>
    <w:rsid w:val="00FA3D7D"/>
    <w:rsid w:val="00FA3D8C"/>
    <w:rsid w:val="00FA3DDD"/>
    <w:rsid w:val="00FA3E51"/>
    <w:rsid w:val="00FA3F73"/>
    <w:rsid w:val="00FA3FDA"/>
    <w:rsid w:val="00FA3FE4"/>
    <w:rsid w:val="00FA4000"/>
    <w:rsid w:val="00FA400C"/>
    <w:rsid w:val="00FA402D"/>
    <w:rsid w:val="00FA409B"/>
    <w:rsid w:val="00FA40F3"/>
    <w:rsid w:val="00FA4191"/>
    <w:rsid w:val="00FA4341"/>
    <w:rsid w:val="00FA4356"/>
    <w:rsid w:val="00FA43BE"/>
    <w:rsid w:val="00FA43E2"/>
    <w:rsid w:val="00FA449E"/>
    <w:rsid w:val="00FA45C5"/>
    <w:rsid w:val="00FA45F0"/>
    <w:rsid w:val="00FA4656"/>
    <w:rsid w:val="00FA4766"/>
    <w:rsid w:val="00FA4773"/>
    <w:rsid w:val="00FA47C5"/>
    <w:rsid w:val="00FA47D8"/>
    <w:rsid w:val="00FA4833"/>
    <w:rsid w:val="00FA4855"/>
    <w:rsid w:val="00FA4886"/>
    <w:rsid w:val="00FA48DC"/>
    <w:rsid w:val="00FA48EC"/>
    <w:rsid w:val="00FA490C"/>
    <w:rsid w:val="00FA4A27"/>
    <w:rsid w:val="00FA4A54"/>
    <w:rsid w:val="00FA4AB2"/>
    <w:rsid w:val="00FA4ABE"/>
    <w:rsid w:val="00FA4B25"/>
    <w:rsid w:val="00FA4BAB"/>
    <w:rsid w:val="00FA4BE0"/>
    <w:rsid w:val="00FA4BFC"/>
    <w:rsid w:val="00FA4C0E"/>
    <w:rsid w:val="00FA4C99"/>
    <w:rsid w:val="00FA4CC6"/>
    <w:rsid w:val="00FA4DFA"/>
    <w:rsid w:val="00FA4E1F"/>
    <w:rsid w:val="00FA4E43"/>
    <w:rsid w:val="00FA4F3E"/>
    <w:rsid w:val="00FA4FB2"/>
    <w:rsid w:val="00FA5064"/>
    <w:rsid w:val="00FA50F8"/>
    <w:rsid w:val="00FA5139"/>
    <w:rsid w:val="00FA5285"/>
    <w:rsid w:val="00FA535D"/>
    <w:rsid w:val="00FA5379"/>
    <w:rsid w:val="00FA53A5"/>
    <w:rsid w:val="00FA53B9"/>
    <w:rsid w:val="00FA53D7"/>
    <w:rsid w:val="00FA53E7"/>
    <w:rsid w:val="00FA5549"/>
    <w:rsid w:val="00FA55A2"/>
    <w:rsid w:val="00FA561C"/>
    <w:rsid w:val="00FA565F"/>
    <w:rsid w:val="00FA5679"/>
    <w:rsid w:val="00FA56A9"/>
    <w:rsid w:val="00FA56DA"/>
    <w:rsid w:val="00FA56ED"/>
    <w:rsid w:val="00FA5703"/>
    <w:rsid w:val="00FA5753"/>
    <w:rsid w:val="00FA5788"/>
    <w:rsid w:val="00FA57DD"/>
    <w:rsid w:val="00FA58E9"/>
    <w:rsid w:val="00FA5923"/>
    <w:rsid w:val="00FA5972"/>
    <w:rsid w:val="00FA59ED"/>
    <w:rsid w:val="00FA5A19"/>
    <w:rsid w:val="00FA5A5D"/>
    <w:rsid w:val="00FA5ACD"/>
    <w:rsid w:val="00FA5ADD"/>
    <w:rsid w:val="00FA5C1C"/>
    <w:rsid w:val="00FA5C3D"/>
    <w:rsid w:val="00FA5D15"/>
    <w:rsid w:val="00FA5D23"/>
    <w:rsid w:val="00FA5D26"/>
    <w:rsid w:val="00FA5DFA"/>
    <w:rsid w:val="00FA5E02"/>
    <w:rsid w:val="00FA5E47"/>
    <w:rsid w:val="00FA5EAB"/>
    <w:rsid w:val="00FA5EB6"/>
    <w:rsid w:val="00FA5ED8"/>
    <w:rsid w:val="00FA5F52"/>
    <w:rsid w:val="00FA5FAB"/>
    <w:rsid w:val="00FA6028"/>
    <w:rsid w:val="00FA6033"/>
    <w:rsid w:val="00FA604D"/>
    <w:rsid w:val="00FA6070"/>
    <w:rsid w:val="00FA60A8"/>
    <w:rsid w:val="00FA60B9"/>
    <w:rsid w:val="00FA60DD"/>
    <w:rsid w:val="00FA611F"/>
    <w:rsid w:val="00FA6132"/>
    <w:rsid w:val="00FA616E"/>
    <w:rsid w:val="00FA6208"/>
    <w:rsid w:val="00FA6219"/>
    <w:rsid w:val="00FA6245"/>
    <w:rsid w:val="00FA62BB"/>
    <w:rsid w:val="00FA62FA"/>
    <w:rsid w:val="00FA632C"/>
    <w:rsid w:val="00FA634F"/>
    <w:rsid w:val="00FA637B"/>
    <w:rsid w:val="00FA63C5"/>
    <w:rsid w:val="00FA63D1"/>
    <w:rsid w:val="00FA63DA"/>
    <w:rsid w:val="00FA63E6"/>
    <w:rsid w:val="00FA64A8"/>
    <w:rsid w:val="00FA64B5"/>
    <w:rsid w:val="00FA6500"/>
    <w:rsid w:val="00FA6521"/>
    <w:rsid w:val="00FA6523"/>
    <w:rsid w:val="00FA658C"/>
    <w:rsid w:val="00FA65C4"/>
    <w:rsid w:val="00FA6626"/>
    <w:rsid w:val="00FA669E"/>
    <w:rsid w:val="00FA66BA"/>
    <w:rsid w:val="00FA66E4"/>
    <w:rsid w:val="00FA6702"/>
    <w:rsid w:val="00FA671D"/>
    <w:rsid w:val="00FA6721"/>
    <w:rsid w:val="00FA6726"/>
    <w:rsid w:val="00FA672E"/>
    <w:rsid w:val="00FA6737"/>
    <w:rsid w:val="00FA6753"/>
    <w:rsid w:val="00FA678A"/>
    <w:rsid w:val="00FA67DA"/>
    <w:rsid w:val="00FA6813"/>
    <w:rsid w:val="00FA6822"/>
    <w:rsid w:val="00FA68B4"/>
    <w:rsid w:val="00FA68BC"/>
    <w:rsid w:val="00FA6938"/>
    <w:rsid w:val="00FA6A3D"/>
    <w:rsid w:val="00FA6A4A"/>
    <w:rsid w:val="00FA6A4B"/>
    <w:rsid w:val="00FA6ABC"/>
    <w:rsid w:val="00FA6B5A"/>
    <w:rsid w:val="00FA6B5F"/>
    <w:rsid w:val="00FA6C4F"/>
    <w:rsid w:val="00FA6C7A"/>
    <w:rsid w:val="00FA6C81"/>
    <w:rsid w:val="00FA6D74"/>
    <w:rsid w:val="00FA6DD7"/>
    <w:rsid w:val="00FA6DFF"/>
    <w:rsid w:val="00FA6E43"/>
    <w:rsid w:val="00FA6EB9"/>
    <w:rsid w:val="00FA6EED"/>
    <w:rsid w:val="00FA6EFD"/>
    <w:rsid w:val="00FA6F78"/>
    <w:rsid w:val="00FA6FD4"/>
    <w:rsid w:val="00FA70B9"/>
    <w:rsid w:val="00FA70C8"/>
    <w:rsid w:val="00FA7137"/>
    <w:rsid w:val="00FA71F5"/>
    <w:rsid w:val="00FA7276"/>
    <w:rsid w:val="00FA7298"/>
    <w:rsid w:val="00FA72F1"/>
    <w:rsid w:val="00FA735D"/>
    <w:rsid w:val="00FA74C6"/>
    <w:rsid w:val="00FA74F0"/>
    <w:rsid w:val="00FA7513"/>
    <w:rsid w:val="00FA755D"/>
    <w:rsid w:val="00FA7561"/>
    <w:rsid w:val="00FA75D6"/>
    <w:rsid w:val="00FA7684"/>
    <w:rsid w:val="00FA76AD"/>
    <w:rsid w:val="00FA7792"/>
    <w:rsid w:val="00FA779E"/>
    <w:rsid w:val="00FA77A2"/>
    <w:rsid w:val="00FA785A"/>
    <w:rsid w:val="00FA7861"/>
    <w:rsid w:val="00FA7895"/>
    <w:rsid w:val="00FA7957"/>
    <w:rsid w:val="00FA798D"/>
    <w:rsid w:val="00FA799D"/>
    <w:rsid w:val="00FA79AF"/>
    <w:rsid w:val="00FA79E7"/>
    <w:rsid w:val="00FA7A24"/>
    <w:rsid w:val="00FA7A25"/>
    <w:rsid w:val="00FA7ADE"/>
    <w:rsid w:val="00FA7C4E"/>
    <w:rsid w:val="00FA7D29"/>
    <w:rsid w:val="00FA7D68"/>
    <w:rsid w:val="00FA7DA2"/>
    <w:rsid w:val="00FA7DBF"/>
    <w:rsid w:val="00FA7E91"/>
    <w:rsid w:val="00FA7EEE"/>
    <w:rsid w:val="00FB0021"/>
    <w:rsid w:val="00FB00A1"/>
    <w:rsid w:val="00FB00D2"/>
    <w:rsid w:val="00FB00EE"/>
    <w:rsid w:val="00FB0105"/>
    <w:rsid w:val="00FB0199"/>
    <w:rsid w:val="00FB01E1"/>
    <w:rsid w:val="00FB01F5"/>
    <w:rsid w:val="00FB0297"/>
    <w:rsid w:val="00FB0338"/>
    <w:rsid w:val="00FB0373"/>
    <w:rsid w:val="00FB03A6"/>
    <w:rsid w:val="00FB03DB"/>
    <w:rsid w:val="00FB046E"/>
    <w:rsid w:val="00FB0532"/>
    <w:rsid w:val="00FB0602"/>
    <w:rsid w:val="00FB0628"/>
    <w:rsid w:val="00FB06AE"/>
    <w:rsid w:val="00FB06BF"/>
    <w:rsid w:val="00FB06C8"/>
    <w:rsid w:val="00FB06F6"/>
    <w:rsid w:val="00FB0707"/>
    <w:rsid w:val="00FB073B"/>
    <w:rsid w:val="00FB078E"/>
    <w:rsid w:val="00FB07D2"/>
    <w:rsid w:val="00FB07FA"/>
    <w:rsid w:val="00FB081E"/>
    <w:rsid w:val="00FB0845"/>
    <w:rsid w:val="00FB08CC"/>
    <w:rsid w:val="00FB0A2D"/>
    <w:rsid w:val="00FB0A2F"/>
    <w:rsid w:val="00FB0A44"/>
    <w:rsid w:val="00FB0AB1"/>
    <w:rsid w:val="00FB0ACE"/>
    <w:rsid w:val="00FB0B32"/>
    <w:rsid w:val="00FB0C63"/>
    <w:rsid w:val="00FB0C9A"/>
    <w:rsid w:val="00FB0D07"/>
    <w:rsid w:val="00FB0D7F"/>
    <w:rsid w:val="00FB0DB2"/>
    <w:rsid w:val="00FB0DD4"/>
    <w:rsid w:val="00FB0E39"/>
    <w:rsid w:val="00FB0EE3"/>
    <w:rsid w:val="00FB0F6C"/>
    <w:rsid w:val="00FB0F73"/>
    <w:rsid w:val="00FB0F8A"/>
    <w:rsid w:val="00FB0FF0"/>
    <w:rsid w:val="00FB0FF9"/>
    <w:rsid w:val="00FB102E"/>
    <w:rsid w:val="00FB1048"/>
    <w:rsid w:val="00FB1090"/>
    <w:rsid w:val="00FB1093"/>
    <w:rsid w:val="00FB109A"/>
    <w:rsid w:val="00FB1126"/>
    <w:rsid w:val="00FB1164"/>
    <w:rsid w:val="00FB119C"/>
    <w:rsid w:val="00FB1208"/>
    <w:rsid w:val="00FB1214"/>
    <w:rsid w:val="00FB1235"/>
    <w:rsid w:val="00FB12ED"/>
    <w:rsid w:val="00FB13FD"/>
    <w:rsid w:val="00FB1400"/>
    <w:rsid w:val="00FB142D"/>
    <w:rsid w:val="00FB146E"/>
    <w:rsid w:val="00FB1523"/>
    <w:rsid w:val="00FB1599"/>
    <w:rsid w:val="00FB15B2"/>
    <w:rsid w:val="00FB15C9"/>
    <w:rsid w:val="00FB1616"/>
    <w:rsid w:val="00FB1639"/>
    <w:rsid w:val="00FB16C9"/>
    <w:rsid w:val="00FB16E9"/>
    <w:rsid w:val="00FB1799"/>
    <w:rsid w:val="00FB181A"/>
    <w:rsid w:val="00FB1822"/>
    <w:rsid w:val="00FB1828"/>
    <w:rsid w:val="00FB184C"/>
    <w:rsid w:val="00FB18B9"/>
    <w:rsid w:val="00FB18C7"/>
    <w:rsid w:val="00FB1921"/>
    <w:rsid w:val="00FB19FA"/>
    <w:rsid w:val="00FB1A3B"/>
    <w:rsid w:val="00FB1AEF"/>
    <w:rsid w:val="00FB1AF3"/>
    <w:rsid w:val="00FB1AF7"/>
    <w:rsid w:val="00FB1AF9"/>
    <w:rsid w:val="00FB1B70"/>
    <w:rsid w:val="00FB1B84"/>
    <w:rsid w:val="00FB1B8F"/>
    <w:rsid w:val="00FB1BAA"/>
    <w:rsid w:val="00FB1BB4"/>
    <w:rsid w:val="00FB1BB5"/>
    <w:rsid w:val="00FB1BE9"/>
    <w:rsid w:val="00FB1D94"/>
    <w:rsid w:val="00FB1FAF"/>
    <w:rsid w:val="00FB1FD6"/>
    <w:rsid w:val="00FB201B"/>
    <w:rsid w:val="00FB21AD"/>
    <w:rsid w:val="00FB2301"/>
    <w:rsid w:val="00FB234E"/>
    <w:rsid w:val="00FB2369"/>
    <w:rsid w:val="00FB2383"/>
    <w:rsid w:val="00FB2390"/>
    <w:rsid w:val="00FB23D0"/>
    <w:rsid w:val="00FB23D1"/>
    <w:rsid w:val="00FB247B"/>
    <w:rsid w:val="00FB24AA"/>
    <w:rsid w:val="00FB24D3"/>
    <w:rsid w:val="00FB24D9"/>
    <w:rsid w:val="00FB24E2"/>
    <w:rsid w:val="00FB24FB"/>
    <w:rsid w:val="00FB2539"/>
    <w:rsid w:val="00FB2545"/>
    <w:rsid w:val="00FB25C6"/>
    <w:rsid w:val="00FB2653"/>
    <w:rsid w:val="00FB267D"/>
    <w:rsid w:val="00FB26AE"/>
    <w:rsid w:val="00FB2703"/>
    <w:rsid w:val="00FB2719"/>
    <w:rsid w:val="00FB2769"/>
    <w:rsid w:val="00FB2798"/>
    <w:rsid w:val="00FB279E"/>
    <w:rsid w:val="00FB27A6"/>
    <w:rsid w:val="00FB2845"/>
    <w:rsid w:val="00FB28B4"/>
    <w:rsid w:val="00FB2942"/>
    <w:rsid w:val="00FB29B2"/>
    <w:rsid w:val="00FB2AC2"/>
    <w:rsid w:val="00FB2AFC"/>
    <w:rsid w:val="00FB2AFE"/>
    <w:rsid w:val="00FB2B59"/>
    <w:rsid w:val="00FB2BE8"/>
    <w:rsid w:val="00FB2BF1"/>
    <w:rsid w:val="00FB2C0B"/>
    <w:rsid w:val="00FB2C1D"/>
    <w:rsid w:val="00FB2C2E"/>
    <w:rsid w:val="00FB2C38"/>
    <w:rsid w:val="00FB2C42"/>
    <w:rsid w:val="00FB2C88"/>
    <w:rsid w:val="00FB2CE3"/>
    <w:rsid w:val="00FB2D3C"/>
    <w:rsid w:val="00FB2D56"/>
    <w:rsid w:val="00FB2DC3"/>
    <w:rsid w:val="00FB2DDC"/>
    <w:rsid w:val="00FB2DEE"/>
    <w:rsid w:val="00FB2E03"/>
    <w:rsid w:val="00FB2E7D"/>
    <w:rsid w:val="00FB2E8C"/>
    <w:rsid w:val="00FB2F56"/>
    <w:rsid w:val="00FB2F71"/>
    <w:rsid w:val="00FB2F8E"/>
    <w:rsid w:val="00FB2FAB"/>
    <w:rsid w:val="00FB2FCD"/>
    <w:rsid w:val="00FB3000"/>
    <w:rsid w:val="00FB307C"/>
    <w:rsid w:val="00FB309E"/>
    <w:rsid w:val="00FB30C3"/>
    <w:rsid w:val="00FB30F5"/>
    <w:rsid w:val="00FB30F9"/>
    <w:rsid w:val="00FB320D"/>
    <w:rsid w:val="00FB3213"/>
    <w:rsid w:val="00FB3393"/>
    <w:rsid w:val="00FB33EE"/>
    <w:rsid w:val="00FB3470"/>
    <w:rsid w:val="00FB3498"/>
    <w:rsid w:val="00FB3563"/>
    <w:rsid w:val="00FB3590"/>
    <w:rsid w:val="00FB35CC"/>
    <w:rsid w:val="00FB3611"/>
    <w:rsid w:val="00FB36A9"/>
    <w:rsid w:val="00FB36B2"/>
    <w:rsid w:val="00FB36F0"/>
    <w:rsid w:val="00FB3749"/>
    <w:rsid w:val="00FB37A1"/>
    <w:rsid w:val="00FB3839"/>
    <w:rsid w:val="00FB383F"/>
    <w:rsid w:val="00FB3890"/>
    <w:rsid w:val="00FB38A6"/>
    <w:rsid w:val="00FB39D3"/>
    <w:rsid w:val="00FB3A39"/>
    <w:rsid w:val="00FB3A4B"/>
    <w:rsid w:val="00FB3A71"/>
    <w:rsid w:val="00FB3AB4"/>
    <w:rsid w:val="00FB3ADB"/>
    <w:rsid w:val="00FB3AFA"/>
    <w:rsid w:val="00FB3B63"/>
    <w:rsid w:val="00FB3CEF"/>
    <w:rsid w:val="00FB3D38"/>
    <w:rsid w:val="00FB3D8B"/>
    <w:rsid w:val="00FB3D92"/>
    <w:rsid w:val="00FB3E06"/>
    <w:rsid w:val="00FB3E18"/>
    <w:rsid w:val="00FB3E43"/>
    <w:rsid w:val="00FB3E84"/>
    <w:rsid w:val="00FB3EF0"/>
    <w:rsid w:val="00FB3F6C"/>
    <w:rsid w:val="00FB3FAB"/>
    <w:rsid w:val="00FB3FE5"/>
    <w:rsid w:val="00FB405E"/>
    <w:rsid w:val="00FB40FE"/>
    <w:rsid w:val="00FB41A8"/>
    <w:rsid w:val="00FB421F"/>
    <w:rsid w:val="00FB431F"/>
    <w:rsid w:val="00FB432A"/>
    <w:rsid w:val="00FB444F"/>
    <w:rsid w:val="00FB4478"/>
    <w:rsid w:val="00FB44CA"/>
    <w:rsid w:val="00FB4527"/>
    <w:rsid w:val="00FB4566"/>
    <w:rsid w:val="00FB45C1"/>
    <w:rsid w:val="00FB4611"/>
    <w:rsid w:val="00FB4616"/>
    <w:rsid w:val="00FB4628"/>
    <w:rsid w:val="00FB462A"/>
    <w:rsid w:val="00FB46A4"/>
    <w:rsid w:val="00FB46AF"/>
    <w:rsid w:val="00FB47A4"/>
    <w:rsid w:val="00FB47EF"/>
    <w:rsid w:val="00FB4876"/>
    <w:rsid w:val="00FB48E4"/>
    <w:rsid w:val="00FB48E7"/>
    <w:rsid w:val="00FB4917"/>
    <w:rsid w:val="00FB4924"/>
    <w:rsid w:val="00FB49A3"/>
    <w:rsid w:val="00FB4A03"/>
    <w:rsid w:val="00FB4B06"/>
    <w:rsid w:val="00FB4B3C"/>
    <w:rsid w:val="00FB4BC1"/>
    <w:rsid w:val="00FB4BD7"/>
    <w:rsid w:val="00FB4C18"/>
    <w:rsid w:val="00FB4C30"/>
    <w:rsid w:val="00FB4C85"/>
    <w:rsid w:val="00FB4CF1"/>
    <w:rsid w:val="00FB4D21"/>
    <w:rsid w:val="00FB4D7C"/>
    <w:rsid w:val="00FB4D88"/>
    <w:rsid w:val="00FB4E60"/>
    <w:rsid w:val="00FB4EAB"/>
    <w:rsid w:val="00FB4F7C"/>
    <w:rsid w:val="00FB4FA7"/>
    <w:rsid w:val="00FB4FDE"/>
    <w:rsid w:val="00FB5039"/>
    <w:rsid w:val="00FB50C1"/>
    <w:rsid w:val="00FB5156"/>
    <w:rsid w:val="00FB5185"/>
    <w:rsid w:val="00FB51CD"/>
    <w:rsid w:val="00FB5252"/>
    <w:rsid w:val="00FB526F"/>
    <w:rsid w:val="00FB5288"/>
    <w:rsid w:val="00FB52E8"/>
    <w:rsid w:val="00FB532F"/>
    <w:rsid w:val="00FB5357"/>
    <w:rsid w:val="00FB53A6"/>
    <w:rsid w:val="00FB5405"/>
    <w:rsid w:val="00FB540B"/>
    <w:rsid w:val="00FB540D"/>
    <w:rsid w:val="00FB5457"/>
    <w:rsid w:val="00FB5486"/>
    <w:rsid w:val="00FB54B0"/>
    <w:rsid w:val="00FB54FD"/>
    <w:rsid w:val="00FB5553"/>
    <w:rsid w:val="00FB57B6"/>
    <w:rsid w:val="00FB589B"/>
    <w:rsid w:val="00FB594E"/>
    <w:rsid w:val="00FB59C9"/>
    <w:rsid w:val="00FB5A34"/>
    <w:rsid w:val="00FB5A92"/>
    <w:rsid w:val="00FB5AA1"/>
    <w:rsid w:val="00FB5ABC"/>
    <w:rsid w:val="00FB5AFB"/>
    <w:rsid w:val="00FB5B18"/>
    <w:rsid w:val="00FB5B25"/>
    <w:rsid w:val="00FB5B37"/>
    <w:rsid w:val="00FB5B3C"/>
    <w:rsid w:val="00FB5B9B"/>
    <w:rsid w:val="00FB5C80"/>
    <w:rsid w:val="00FB5CE1"/>
    <w:rsid w:val="00FB5CE2"/>
    <w:rsid w:val="00FB5D23"/>
    <w:rsid w:val="00FB5E06"/>
    <w:rsid w:val="00FB5E2C"/>
    <w:rsid w:val="00FB5E33"/>
    <w:rsid w:val="00FB5E50"/>
    <w:rsid w:val="00FB5FE2"/>
    <w:rsid w:val="00FB5FF3"/>
    <w:rsid w:val="00FB6002"/>
    <w:rsid w:val="00FB6058"/>
    <w:rsid w:val="00FB60A1"/>
    <w:rsid w:val="00FB60CD"/>
    <w:rsid w:val="00FB6131"/>
    <w:rsid w:val="00FB61D9"/>
    <w:rsid w:val="00FB61FF"/>
    <w:rsid w:val="00FB6293"/>
    <w:rsid w:val="00FB62B7"/>
    <w:rsid w:val="00FB6324"/>
    <w:rsid w:val="00FB6333"/>
    <w:rsid w:val="00FB6365"/>
    <w:rsid w:val="00FB642D"/>
    <w:rsid w:val="00FB6499"/>
    <w:rsid w:val="00FB65CF"/>
    <w:rsid w:val="00FB6703"/>
    <w:rsid w:val="00FB674A"/>
    <w:rsid w:val="00FB679A"/>
    <w:rsid w:val="00FB6842"/>
    <w:rsid w:val="00FB6845"/>
    <w:rsid w:val="00FB6848"/>
    <w:rsid w:val="00FB68DF"/>
    <w:rsid w:val="00FB6955"/>
    <w:rsid w:val="00FB6981"/>
    <w:rsid w:val="00FB69A2"/>
    <w:rsid w:val="00FB69B0"/>
    <w:rsid w:val="00FB6A36"/>
    <w:rsid w:val="00FB6A43"/>
    <w:rsid w:val="00FB6A4C"/>
    <w:rsid w:val="00FB6AF3"/>
    <w:rsid w:val="00FB6B4D"/>
    <w:rsid w:val="00FB6B7D"/>
    <w:rsid w:val="00FB6BA7"/>
    <w:rsid w:val="00FB6BE5"/>
    <w:rsid w:val="00FB6C16"/>
    <w:rsid w:val="00FB6CCD"/>
    <w:rsid w:val="00FB6D86"/>
    <w:rsid w:val="00FB6DD5"/>
    <w:rsid w:val="00FB6DD7"/>
    <w:rsid w:val="00FB6F7B"/>
    <w:rsid w:val="00FB6FD2"/>
    <w:rsid w:val="00FB701D"/>
    <w:rsid w:val="00FB70C8"/>
    <w:rsid w:val="00FB7116"/>
    <w:rsid w:val="00FB7138"/>
    <w:rsid w:val="00FB7148"/>
    <w:rsid w:val="00FB7155"/>
    <w:rsid w:val="00FB720C"/>
    <w:rsid w:val="00FB72E9"/>
    <w:rsid w:val="00FB732E"/>
    <w:rsid w:val="00FB733B"/>
    <w:rsid w:val="00FB7363"/>
    <w:rsid w:val="00FB7377"/>
    <w:rsid w:val="00FB7437"/>
    <w:rsid w:val="00FB743C"/>
    <w:rsid w:val="00FB7495"/>
    <w:rsid w:val="00FB74E8"/>
    <w:rsid w:val="00FB74F6"/>
    <w:rsid w:val="00FB7512"/>
    <w:rsid w:val="00FB755D"/>
    <w:rsid w:val="00FB7582"/>
    <w:rsid w:val="00FB75F9"/>
    <w:rsid w:val="00FB762B"/>
    <w:rsid w:val="00FB7654"/>
    <w:rsid w:val="00FB7694"/>
    <w:rsid w:val="00FB76A7"/>
    <w:rsid w:val="00FB76D2"/>
    <w:rsid w:val="00FB7705"/>
    <w:rsid w:val="00FB77B2"/>
    <w:rsid w:val="00FB77F7"/>
    <w:rsid w:val="00FB781A"/>
    <w:rsid w:val="00FB784B"/>
    <w:rsid w:val="00FB796A"/>
    <w:rsid w:val="00FB79CF"/>
    <w:rsid w:val="00FB7A13"/>
    <w:rsid w:val="00FB7A54"/>
    <w:rsid w:val="00FB7AB5"/>
    <w:rsid w:val="00FB7B51"/>
    <w:rsid w:val="00FB7B85"/>
    <w:rsid w:val="00FB7B8C"/>
    <w:rsid w:val="00FB7BCF"/>
    <w:rsid w:val="00FB7BEA"/>
    <w:rsid w:val="00FB7BEF"/>
    <w:rsid w:val="00FB7C0B"/>
    <w:rsid w:val="00FB7C2C"/>
    <w:rsid w:val="00FB7C76"/>
    <w:rsid w:val="00FB7CA9"/>
    <w:rsid w:val="00FB7CEF"/>
    <w:rsid w:val="00FB7CF8"/>
    <w:rsid w:val="00FB7D18"/>
    <w:rsid w:val="00FB7DDD"/>
    <w:rsid w:val="00FB7DEA"/>
    <w:rsid w:val="00FB7E69"/>
    <w:rsid w:val="00FB7E6C"/>
    <w:rsid w:val="00FB7E7A"/>
    <w:rsid w:val="00FB7EBB"/>
    <w:rsid w:val="00FB7F18"/>
    <w:rsid w:val="00FB7F24"/>
    <w:rsid w:val="00FB7F75"/>
    <w:rsid w:val="00FC0047"/>
    <w:rsid w:val="00FC0050"/>
    <w:rsid w:val="00FC005D"/>
    <w:rsid w:val="00FC00CC"/>
    <w:rsid w:val="00FC00EF"/>
    <w:rsid w:val="00FC0148"/>
    <w:rsid w:val="00FC0151"/>
    <w:rsid w:val="00FC018F"/>
    <w:rsid w:val="00FC01AE"/>
    <w:rsid w:val="00FC02C8"/>
    <w:rsid w:val="00FC02CD"/>
    <w:rsid w:val="00FC0357"/>
    <w:rsid w:val="00FC035A"/>
    <w:rsid w:val="00FC036E"/>
    <w:rsid w:val="00FC0455"/>
    <w:rsid w:val="00FC04DF"/>
    <w:rsid w:val="00FC058C"/>
    <w:rsid w:val="00FC05E6"/>
    <w:rsid w:val="00FC05E9"/>
    <w:rsid w:val="00FC0655"/>
    <w:rsid w:val="00FC0684"/>
    <w:rsid w:val="00FC06B7"/>
    <w:rsid w:val="00FC06E2"/>
    <w:rsid w:val="00FC06F5"/>
    <w:rsid w:val="00FC0756"/>
    <w:rsid w:val="00FC0764"/>
    <w:rsid w:val="00FC07BD"/>
    <w:rsid w:val="00FC0848"/>
    <w:rsid w:val="00FC0879"/>
    <w:rsid w:val="00FC087D"/>
    <w:rsid w:val="00FC08D7"/>
    <w:rsid w:val="00FC0903"/>
    <w:rsid w:val="00FC09A9"/>
    <w:rsid w:val="00FC09B5"/>
    <w:rsid w:val="00FC09D1"/>
    <w:rsid w:val="00FC0A82"/>
    <w:rsid w:val="00FC0AC2"/>
    <w:rsid w:val="00FC0AD3"/>
    <w:rsid w:val="00FC0AE4"/>
    <w:rsid w:val="00FC0B1C"/>
    <w:rsid w:val="00FC0BAE"/>
    <w:rsid w:val="00FC0BBB"/>
    <w:rsid w:val="00FC0C28"/>
    <w:rsid w:val="00FC0D80"/>
    <w:rsid w:val="00FC0D82"/>
    <w:rsid w:val="00FC0D8D"/>
    <w:rsid w:val="00FC0E1C"/>
    <w:rsid w:val="00FC0E29"/>
    <w:rsid w:val="00FC0E52"/>
    <w:rsid w:val="00FC0ED5"/>
    <w:rsid w:val="00FC0F57"/>
    <w:rsid w:val="00FC0FEB"/>
    <w:rsid w:val="00FC0FF7"/>
    <w:rsid w:val="00FC1003"/>
    <w:rsid w:val="00FC10EF"/>
    <w:rsid w:val="00FC111C"/>
    <w:rsid w:val="00FC115D"/>
    <w:rsid w:val="00FC127B"/>
    <w:rsid w:val="00FC12EC"/>
    <w:rsid w:val="00FC1305"/>
    <w:rsid w:val="00FC134E"/>
    <w:rsid w:val="00FC1359"/>
    <w:rsid w:val="00FC13AB"/>
    <w:rsid w:val="00FC13CE"/>
    <w:rsid w:val="00FC13F2"/>
    <w:rsid w:val="00FC13F9"/>
    <w:rsid w:val="00FC1466"/>
    <w:rsid w:val="00FC1475"/>
    <w:rsid w:val="00FC149B"/>
    <w:rsid w:val="00FC1516"/>
    <w:rsid w:val="00FC168B"/>
    <w:rsid w:val="00FC1736"/>
    <w:rsid w:val="00FC1749"/>
    <w:rsid w:val="00FC175E"/>
    <w:rsid w:val="00FC178B"/>
    <w:rsid w:val="00FC17D3"/>
    <w:rsid w:val="00FC1847"/>
    <w:rsid w:val="00FC1885"/>
    <w:rsid w:val="00FC18D1"/>
    <w:rsid w:val="00FC196D"/>
    <w:rsid w:val="00FC1985"/>
    <w:rsid w:val="00FC19BF"/>
    <w:rsid w:val="00FC19FD"/>
    <w:rsid w:val="00FC1A39"/>
    <w:rsid w:val="00FC1A48"/>
    <w:rsid w:val="00FC1AED"/>
    <w:rsid w:val="00FC1B37"/>
    <w:rsid w:val="00FC1BA9"/>
    <w:rsid w:val="00FC1C29"/>
    <w:rsid w:val="00FC1CEA"/>
    <w:rsid w:val="00FC1D83"/>
    <w:rsid w:val="00FC1E3D"/>
    <w:rsid w:val="00FC1E59"/>
    <w:rsid w:val="00FC1ECF"/>
    <w:rsid w:val="00FC1F96"/>
    <w:rsid w:val="00FC1FBB"/>
    <w:rsid w:val="00FC1FF1"/>
    <w:rsid w:val="00FC2031"/>
    <w:rsid w:val="00FC2050"/>
    <w:rsid w:val="00FC20CD"/>
    <w:rsid w:val="00FC2227"/>
    <w:rsid w:val="00FC224F"/>
    <w:rsid w:val="00FC227C"/>
    <w:rsid w:val="00FC233B"/>
    <w:rsid w:val="00FC23C2"/>
    <w:rsid w:val="00FC241C"/>
    <w:rsid w:val="00FC2497"/>
    <w:rsid w:val="00FC258A"/>
    <w:rsid w:val="00FC25B4"/>
    <w:rsid w:val="00FC25BE"/>
    <w:rsid w:val="00FC25E8"/>
    <w:rsid w:val="00FC25ED"/>
    <w:rsid w:val="00FC2607"/>
    <w:rsid w:val="00FC261A"/>
    <w:rsid w:val="00FC2667"/>
    <w:rsid w:val="00FC269E"/>
    <w:rsid w:val="00FC27F7"/>
    <w:rsid w:val="00FC28C6"/>
    <w:rsid w:val="00FC293F"/>
    <w:rsid w:val="00FC2954"/>
    <w:rsid w:val="00FC297C"/>
    <w:rsid w:val="00FC298F"/>
    <w:rsid w:val="00FC29A1"/>
    <w:rsid w:val="00FC2A60"/>
    <w:rsid w:val="00FC2AC1"/>
    <w:rsid w:val="00FC2ADC"/>
    <w:rsid w:val="00FC2B43"/>
    <w:rsid w:val="00FC2B64"/>
    <w:rsid w:val="00FC2BF0"/>
    <w:rsid w:val="00FC2C14"/>
    <w:rsid w:val="00FC2C35"/>
    <w:rsid w:val="00FC2C5F"/>
    <w:rsid w:val="00FC2C79"/>
    <w:rsid w:val="00FC2D20"/>
    <w:rsid w:val="00FC2D3C"/>
    <w:rsid w:val="00FC2E15"/>
    <w:rsid w:val="00FC2E1B"/>
    <w:rsid w:val="00FC2E41"/>
    <w:rsid w:val="00FC2E46"/>
    <w:rsid w:val="00FC2E74"/>
    <w:rsid w:val="00FC2EB7"/>
    <w:rsid w:val="00FC2F33"/>
    <w:rsid w:val="00FC2F4B"/>
    <w:rsid w:val="00FC2F4F"/>
    <w:rsid w:val="00FC2F64"/>
    <w:rsid w:val="00FC2F84"/>
    <w:rsid w:val="00FC301C"/>
    <w:rsid w:val="00FC3040"/>
    <w:rsid w:val="00FC30CA"/>
    <w:rsid w:val="00FC30F5"/>
    <w:rsid w:val="00FC3151"/>
    <w:rsid w:val="00FC315C"/>
    <w:rsid w:val="00FC319B"/>
    <w:rsid w:val="00FC31AE"/>
    <w:rsid w:val="00FC31BC"/>
    <w:rsid w:val="00FC324E"/>
    <w:rsid w:val="00FC3276"/>
    <w:rsid w:val="00FC33BD"/>
    <w:rsid w:val="00FC33DC"/>
    <w:rsid w:val="00FC3479"/>
    <w:rsid w:val="00FC347B"/>
    <w:rsid w:val="00FC34BA"/>
    <w:rsid w:val="00FC34D1"/>
    <w:rsid w:val="00FC3547"/>
    <w:rsid w:val="00FC3551"/>
    <w:rsid w:val="00FC3692"/>
    <w:rsid w:val="00FC36D6"/>
    <w:rsid w:val="00FC3727"/>
    <w:rsid w:val="00FC373A"/>
    <w:rsid w:val="00FC377D"/>
    <w:rsid w:val="00FC3790"/>
    <w:rsid w:val="00FC37FF"/>
    <w:rsid w:val="00FC3811"/>
    <w:rsid w:val="00FC3820"/>
    <w:rsid w:val="00FC38B8"/>
    <w:rsid w:val="00FC39ED"/>
    <w:rsid w:val="00FC3A09"/>
    <w:rsid w:val="00FC3A2D"/>
    <w:rsid w:val="00FC3A82"/>
    <w:rsid w:val="00FC3B19"/>
    <w:rsid w:val="00FC3BBC"/>
    <w:rsid w:val="00FC3D1D"/>
    <w:rsid w:val="00FC3D82"/>
    <w:rsid w:val="00FC3DFD"/>
    <w:rsid w:val="00FC3E7B"/>
    <w:rsid w:val="00FC3EA7"/>
    <w:rsid w:val="00FC3EC1"/>
    <w:rsid w:val="00FC3F28"/>
    <w:rsid w:val="00FC3F4B"/>
    <w:rsid w:val="00FC3FC0"/>
    <w:rsid w:val="00FC3FDE"/>
    <w:rsid w:val="00FC409B"/>
    <w:rsid w:val="00FC40AB"/>
    <w:rsid w:val="00FC40D0"/>
    <w:rsid w:val="00FC40D2"/>
    <w:rsid w:val="00FC410B"/>
    <w:rsid w:val="00FC419D"/>
    <w:rsid w:val="00FC41BB"/>
    <w:rsid w:val="00FC41C0"/>
    <w:rsid w:val="00FC423C"/>
    <w:rsid w:val="00FC42AD"/>
    <w:rsid w:val="00FC4338"/>
    <w:rsid w:val="00FC43CD"/>
    <w:rsid w:val="00FC43F3"/>
    <w:rsid w:val="00FC449D"/>
    <w:rsid w:val="00FC44A6"/>
    <w:rsid w:val="00FC453C"/>
    <w:rsid w:val="00FC45E2"/>
    <w:rsid w:val="00FC4604"/>
    <w:rsid w:val="00FC46AD"/>
    <w:rsid w:val="00FC46CC"/>
    <w:rsid w:val="00FC4734"/>
    <w:rsid w:val="00FC479D"/>
    <w:rsid w:val="00FC47A1"/>
    <w:rsid w:val="00FC480B"/>
    <w:rsid w:val="00FC4817"/>
    <w:rsid w:val="00FC4921"/>
    <w:rsid w:val="00FC4929"/>
    <w:rsid w:val="00FC4942"/>
    <w:rsid w:val="00FC495E"/>
    <w:rsid w:val="00FC4965"/>
    <w:rsid w:val="00FC4982"/>
    <w:rsid w:val="00FC4A0F"/>
    <w:rsid w:val="00FC4A95"/>
    <w:rsid w:val="00FC4AC5"/>
    <w:rsid w:val="00FC4AD0"/>
    <w:rsid w:val="00FC4B26"/>
    <w:rsid w:val="00FC4B86"/>
    <w:rsid w:val="00FC4BCB"/>
    <w:rsid w:val="00FC4C0F"/>
    <w:rsid w:val="00FC4C21"/>
    <w:rsid w:val="00FC4CF8"/>
    <w:rsid w:val="00FC4D4B"/>
    <w:rsid w:val="00FC4E43"/>
    <w:rsid w:val="00FC4EB8"/>
    <w:rsid w:val="00FC4F00"/>
    <w:rsid w:val="00FC4F17"/>
    <w:rsid w:val="00FC4F23"/>
    <w:rsid w:val="00FC4F2A"/>
    <w:rsid w:val="00FC4FE6"/>
    <w:rsid w:val="00FC5023"/>
    <w:rsid w:val="00FC504F"/>
    <w:rsid w:val="00FC50A2"/>
    <w:rsid w:val="00FC50A5"/>
    <w:rsid w:val="00FC515E"/>
    <w:rsid w:val="00FC5211"/>
    <w:rsid w:val="00FC52B0"/>
    <w:rsid w:val="00FC52EF"/>
    <w:rsid w:val="00FC530E"/>
    <w:rsid w:val="00FC531D"/>
    <w:rsid w:val="00FC5331"/>
    <w:rsid w:val="00FC5377"/>
    <w:rsid w:val="00FC5384"/>
    <w:rsid w:val="00FC545C"/>
    <w:rsid w:val="00FC5526"/>
    <w:rsid w:val="00FC5527"/>
    <w:rsid w:val="00FC559B"/>
    <w:rsid w:val="00FC55AD"/>
    <w:rsid w:val="00FC55DF"/>
    <w:rsid w:val="00FC5612"/>
    <w:rsid w:val="00FC5664"/>
    <w:rsid w:val="00FC5684"/>
    <w:rsid w:val="00FC56AE"/>
    <w:rsid w:val="00FC56B7"/>
    <w:rsid w:val="00FC56C1"/>
    <w:rsid w:val="00FC56FF"/>
    <w:rsid w:val="00FC573B"/>
    <w:rsid w:val="00FC574D"/>
    <w:rsid w:val="00FC581F"/>
    <w:rsid w:val="00FC5833"/>
    <w:rsid w:val="00FC586A"/>
    <w:rsid w:val="00FC58BB"/>
    <w:rsid w:val="00FC5959"/>
    <w:rsid w:val="00FC5965"/>
    <w:rsid w:val="00FC59E2"/>
    <w:rsid w:val="00FC5A05"/>
    <w:rsid w:val="00FC5B00"/>
    <w:rsid w:val="00FC5B1A"/>
    <w:rsid w:val="00FC5BA0"/>
    <w:rsid w:val="00FC5C24"/>
    <w:rsid w:val="00FC5C2A"/>
    <w:rsid w:val="00FC5C80"/>
    <w:rsid w:val="00FC5CA8"/>
    <w:rsid w:val="00FC5D56"/>
    <w:rsid w:val="00FC5E17"/>
    <w:rsid w:val="00FC5E5A"/>
    <w:rsid w:val="00FC5E97"/>
    <w:rsid w:val="00FC5E9D"/>
    <w:rsid w:val="00FC5EA1"/>
    <w:rsid w:val="00FC5F6B"/>
    <w:rsid w:val="00FC5F70"/>
    <w:rsid w:val="00FC604B"/>
    <w:rsid w:val="00FC6060"/>
    <w:rsid w:val="00FC607C"/>
    <w:rsid w:val="00FC6156"/>
    <w:rsid w:val="00FC61CF"/>
    <w:rsid w:val="00FC6254"/>
    <w:rsid w:val="00FC625F"/>
    <w:rsid w:val="00FC6282"/>
    <w:rsid w:val="00FC62A9"/>
    <w:rsid w:val="00FC6367"/>
    <w:rsid w:val="00FC637D"/>
    <w:rsid w:val="00FC6419"/>
    <w:rsid w:val="00FC6452"/>
    <w:rsid w:val="00FC64C7"/>
    <w:rsid w:val="00FC64C8"/>
    <w:rsid w:val="00FC653F"/>
    <w:rsid w:val="00FC656E"/>
    <w:rsid w:val="00FC6583"/>
    <w:rsid w:val="00FC658A"/>
    <w:rsid w:val="00FC65AD"/>
    <w:rsid w:val="00FC65E9"/>
    <w:rsid w:val="00FC6675"/>
    <w:rsid w:val="00FC668B"/>
    <w:rsid w:val="00FC668C"/>
    <w:rsid w:val="00FC669B"/>
    <w:rsid w:val="00FC6704"/>
    <w:rsid w:val="00FC6730"/>
    <w:rsid w:val="00FC67E8"/>
    <w:rsid w:val="00FC68CF"/>
    <w:rsid w:val="00FC68D6"/>
    <w:rsid w:val="00FC6948"/>
    <w:rsid w:val="00FC694F"/>
    <w:rsid w:val="00FC6979"/>
    <w:rsid w:val="00FC69CE"/>
    <w:rsid w:val="00FC6A86"/>
    <w:rsid w:val="00FC6ABA"/>
    <w:rsid w:val="00FC6AC9"/>
    <w:rsid w:val="00FC6ADA"/>
    <w:rsid w:val="00FC6B3D"/>
    <w:rsid w:val="00FC6B56"/>
    <w:rsid w:val="00FC6B61"/>
    <w:rsid w:val="00FC6BA8"/>
    <w:rsid w:val="00FC6BC3"/>
    <w:rsid w:val="00FC6CEF"/>
    <w:rsid w:val="00FC6D98"/>
    <w:rsid w:val="00FC6D9A"/>
    <w:rsid w:val="00FC6DCF"/>
    <w:rsid w:val="00FC6E02"/>
    <w:rsid w:val="00FC6E38"/>
    <w:rsid w:val="00FC6E4A"/>
    <w:rsid w:val="00FC6EDD"/>
    <w:rsid w:val="00FC6F1E"/>
    <w:rsid w:val="00FC6F48"/>
    <w:rsid w:val="00FC6F99"/>
    <w:rsid w:val="00FC6FE2"/>
    <w:rsid w:val="00FC700D"/>
    <w:rsid w:val="00FC7016"/>
    <w:rsid w:val="00FC709A"/>
    <w:rsid w:val="00FC70A4"/>
    <w:rsid w:val="00FC70A5"/>
    <w:rsid w:val="00FC70B4"/>
    <w:rsid w:val="00FC70D7"/>
    <w:rsid w:val="00FC70E1"/>
    <w:rsid w:val="00FC7118"/>
    <w:rsid w:val="00FC71D1"/>
    <w:rsid w:val="00FC71E4"/>
    <w:rsid w:val="00FC725E"/>
    <w:rsid w:val="00FC734D"/>
    <w:rsid w:val="00FC747B"/>
    <w:rsid w:val="00FC74B4"/>
    <w:rsid w:val="00FC74DA"/>
    <w:rsid w:val="00FC74FE"/>
    <w:rsid w:val="00FC750C"/>
    <w:rsid w:val="00FC7540"/>
    <w:rsid w:val="00FC7651"/>
    <w:rsid w:val="00FC76AC"/>
    <w:rsid w:val="00FC76FB"/>
    <w:rsid w:val="00FC772E"/>
    <w:rsid w:val="00FC77A8"/>
    <w:rsid w:val="00FC77EC"/>
    <w:rsid w:val="00FC7861"/>
    <w:rsid w:val="00FC78A5"/>
    <w:rsid w:val="00FC78B0"/>
    <w:rsid w:val="00FC78B1"/>
    <w:rsid w:val="00FC7923"/>
    <w:rsid w:val="00FC7943"/>
    <w:rsid w:val="00FC79A9"/>
    <w:rsid w:val="00FC79BC"/>
    <w:rsid w:val="00FC79CF"/>
    <w:rsid w:val="00FC79D5"/>
    <w:rsid w:val="00FC79FD"/>
    <w:rsid w:val="00FC7A2C"/>
    <w:rsid w:val="00FC7B26"/>
    <w:rsid w:val="00FC7B38"/>
    <w:rsid w:val="00FC7B59"/>
    <w:rsid w:val="00FC7B5D"/>
    <w:rsid w:val="00FC7BB7"/>
    <w:rsid w:val="00FC7C69"/>
    <w:rsid w:val="00FC7CBD"/>
    <w:rsid w:val="00FC7D14"/>
    <w:rsid w:val="00FC7D24"/>
    <w:rsid w:val="00FC7D60"/>
    <w:rsid w:val="00FC7DA3"/>
    <w:rsid w:val="00FC7F7A"/>
    <w:rsid w:val="00FC7F86"/>
    <w:rsid w:val="00FD0002"/>
    <w:rsid w:val="00FD003A"/>
    <w:rsid w:val="00FD007F"/>
    <w:rsid w:val="00FD01AE"/>
    <w:rsid w:val="00FD026F"/>
    <w:rsid w:val="00FD0290"/>
    <w:rsid w:val="00FD02DB"/>
    <w:rsid w:val="00FD02F9"/>
    <w:rsid w:val="00FD0305"/>
    <w:rsid w:val="00FD030B"/>
    <w:rsid w:val="00FD0321"/>
    <w:rsid w:val="00FD0369"/>
    <w:rsid w:val="00FD0379"/>
    <w:rsid w:val="00FD03DF"/>
    <w:rsid w:val="00FD04D0"/>
    <w:rsid w:val="00FD050E"/>
    <w:rsid w:val="00FD05C6"/>
    <w:rsid w:val="00FD066E"/>
    <w:rsid w:val="00FD06C3"/>
    <w:rsid w:val="00FD06EE"/>
    <w:rsid w:val="00FD0709"/>
    <w:rsid w:val="00FD0756"/>
    <w:rsid w:val="00FD07CB"/>
    <w:rsid w:val="00FD08C4"/>
    <w:rsid w:val="00FD08CC"/>
    <w:rsid w:val="00FD0A29"/>
    <w:rsid w:val="00FD0A91"/>
    <w:rsid w:val="00FD0AA5"/>
    <w:rsid w:val="00FD0AB9"/>
    <w:rsid w:val="00FD0B01"/>
    <w:rsid w:val="00FD0B62"/>
    <w:rsid w:val="00FD0B73"/>
    <w:rsid w:val="00FD0C18"/>
    <w:rsid w:val="00FD0DFA"/>
    <w:rsid w:val="00FD0E90"/>
    <w:rsid w:val="00FD0EC3"/>
    <w:rsid w:val="00FD0F55"/>
    <w:rsid w:val="00FD0F70"/>
    <w:rsid w:val="00FD0FF3"/>
    <w:rsid w:val="00FD1008"/>
    <w:rsid w:val="00FD102B"/>
    <w:rsid w:val="00FD1087"/>
    <w:rsid w:val="00FD10C3"/>
    <w:rsid w:val="00FD1135"/>
    <w:rsid w:val="00FD1141"/>
    <w:rsid w:val="00FD121F"/>
    <w:rsid w:val="00FD12C3"/>
    <w:rsid w:val="00FD1379"/>
    <w:rsid w:val="00FD13C0"/>
    <w:rsid w:val="00FD1690"/>
    <w:rsid w:val="00FD16BF"/>
    <w:rsid w:val="00FD1796"/>
    <w:rsid w:val="00FD1797"/>
    <w:rsid w:val="00FD17A8"/>
    <w:rsid w:val="00FD17AB"/>
    <w:rsid w:val="00FD17E2"/>
    <w:rsid w:val="00FD1819"/>
    <w:rsid w:val="00FD1871"/>
    <w:rsid w:val="00FD1873"/>
    <w:rsid w:val="00FD18FC"/>
    <w:rsid w:val="00FD1A0F"/>
    <w:rsid w:val="00FD1A51"/>
    <w:rsid w:val="00FD1A76"/>
    <w:rsid w:val="00FD1A8B"/>
    <w:rsid w:val="00FD1AA0"/>
    <w:rsid w:val="00FD1ADE"/>
    <w:rsid w:val="00FD1AF0"/>
    <w:rsid w:val="00FD1B1E"/>
    <w:rsid w:val="00FD1B28"/>
    <w:rsid w:val="00FD1B9B"/>
    <w:rsid w:val="00FD1BAB"/>
    <w:rsid w:val="00FD1BAF"/>
    <w:rsid w:val="00FD1BF4"/>
    <w:rsid w:val="00FD1C73"/>
    <w:rsid w:val="00FD1C95"/>
    <w:rsid w:val="00FD1CE3"/>
    <w:rsid w:val="00FD1D47"/>
    <w:rsid w:val="00FD1DED"/>
    <w:rsid w:val="00FD1ED3"/>
    <w:rsid w:val="00FD1EE7"/>
    <w:rsid w:val="00FD1FC8"/>
    <w:rsid w:val="00FD2003"/>
    <w:rsid w:val="00FD2041"/>
    <w:rsid w:val="00FD2050"/>
    <w:rsid w:val="00FD2149"/>
    <w:rsid w:val="00FD2150"/>
    <w:rsid w:val="00FD2259"/>
    <w:rsid w:val="00FD2299"/>
    <w:rsid w:val="00FD22B7"/>
    <w:rsid w:val="00FD2327"/>
    <w:rsid w:val="00FD233D"/>
    <w:rsid w:val="00FD23C8"/>
    <w:rsid w:val="00FD241A"/>
    <w:rsid w:val="00FD241D"/>
    <w:rsid w:val="00FD2459"/>
    <w:rsid w:val="00FD248F"/>
    <w:rsid w:val="00FD2492"/>
    <w:rsid w:val="00FD24A1"/>
    <w:rsid w:val="00FD24DC"/>
    <w:rsid w:val="00FD259C"/>
    <w:rsid w:val="00FD260D"/>
    <w:rsid w:val="00FD261E"/>
    <w:rsid w:val="00FD265E"/>
    <w:rsid w:val="00FD26EF"/>
    <w:rsid w:val="00FD2707"/>
    <w:rsid w:val="00FD2724"/>
    <w:rsid w:val="00FD27CE"/>
    <w:rsid w:val="00FD27D6"/>
    <w:rsid w:val="00FD280B"/>
    <w:rsid w:val="00FD282E"/>
    <w:rsid w:val="00FD2857"/>
    <w:rsid w:val="00FD28AF"/>
    <w:rsid w:val="00FD2986"/>
    <w:rsid w:val="00FD29B3"/>
    <w:rsid w:val="00FD2A67"/>
    <w:rsid w:val="00FD2BF3"/>
    <w:rsid w:val="00FD2C53"/>
    <w:rsid w:val="00FD2C69"/>
    <w:rsid w:val="00FD2D04"/>
    <w:rsid w:val="00FD2E1F"/>
    <w:rsid w:val="00FD2E51"/>
    <w:rsid w:val="00FD2E60"/>
    <w:rsid w:val="00FD2E86"/>
    <w:rsid w:val="00FD2ECF"/>
    <w:rsid w:val="00FD2ED8"/>
    <w:rsid w:val="00FD2EDB"/>
    <w:rsid w:val="00FD2EED"/>
    <w:rsid w:val="00FD2F4A"/>
    <w:rsid w:val="00FD2FBA"/>
    <w:rsid w:val="00FD300F"/>
    <w:rsid w:val="00FD30D0"/>
    <w:rsid w:val="00FD3112"/>
    <w:rsid w:val="00FD3120"/>
    <w:rsid w:val="00FD314D"/>
    <w:rsid w:val="00FD3202"/>
    <w:rsid w:val="00FD3280"/>
    <w:rsid w:val="00FD328E"/>
    <w:rsid w:val="00FD329D"/>
    <w:rsid w:val="00FD32F2"/>
    <w:rsid w:val="00FD3316"/>
    <w:rsid w:val="00FD335F"/>
    <w:rsid w:val="00FD33EA"/>
    <w:rsid w:val="00FD3422"/>
    <w:rsid w:val="00FD3474"/>
    <w:rsid w:val="00FD34D3"/>
    <w:rsid w:val="00FD3505"/>
    <w:rsid w:val="00FD35BF"/>
    <w:rsid w:val="00FD3615"/>
    <w:rsid w:val="00FD362F"/>
    <w:rsid w:val="00FD36F4"/>
    <w:rsid w:val="00FD3716"/>
    <w:rsid w:val="00FD3718"/>
    <w:rsid w:val="00FD389F"/>
    <w:rsid w:val="00FD38E3"/>
    <w:rsid w:val="00FD38F2"/>
    <w:rsid w:val="00FD391B"/>
    <w:rsid w:val="00FD39AC"/>
    <w:rsid w:val="00FD3A13"/>
    <w:rsid w:val="00FD3AC8"/>
    <w:rsid w:val="00FD3B0A"/>
    <w:rsid w:val="00FD3C02"/>
    <w:rsid w:val="00FD3C06"/>
    <w:rsid w:val="00FD3C20"/>
    <w:rsid w:val="00FD3C97"/>
    <w:rsid w:val="00FD3CC9"/>
    <w:rsid w:val="00FD3CFE"/>
    <w:rsid w:val="00FD3D49"/>
    <w:rsid w:val="00FD3E1F"/>
    <w:rsid w:val="00FD3E32"/>
    <w:rsid w:val="00FD3E7E"/>
    <w:rsid w:val="00FD3EA1"/>
    <w:rsid w:val="00FD3EAF"/>
    <w:rsid w:val="00FD4000"/>
    <w:rsid w:val="00FD4035"/>
    <w:rsid w:val="00FD41E0"/>
    <w:rsid w:val="00FD41EC"/>
    <w:rsid w:val="00FD424A"/>
    <w:rsid w:val="00FD4252"/>
    <w:rsid w:val="00FD4296"/>
    <w:rsid w:val="00FD42B8"/>
    <w:rsid w:val="00FD42CA"/>
    <w:rsid w:val="00FD4306"/>
    <w:rsid w:val="00FD4345"/>
    <w:rsid w:val="00FD4574"/>
    <w:rsid w:val="00FD458F"/>
    <w:rsid w:val="00FD4599"/>
    <w:rsid w:val="00FD4630"/>
    <w:rsid w:val="00FD4688"/>
    <w:rsid w:val="00FD46D0"/>
    <w:rsid w:val="00FD4701"/>
    <w:rsid w:val="00FD4750"/>
    <w:rsid w:val="00FD4772"/>
    <w:rsid w:val="00FD47DD"/>
    <w:rsid w:val="00FD48BF"/>
    <w:rsid w:val="00FD48CA"/>
    <w:rsid w:val="00FD4925"/>
    <w:rsid w:val="00FD4927"/>
    <w:rsid w:val="00FD4972"/>
    <w:rsid w:val="00FD498D"/>
    <w:rsid w:val="00FD49C5"/>
    <w:rsid w:val="00FD49F4"/>
    <w:rsid w:val="00FD4AAD"/>
    <w:rsid w:val="00FD4ABA"/>
    <w:rsid w:val="00FD4C52"/>
    <w:rsid w:val="00FD4C5C"/>
    <w:rsid w:val="00FD4C8A"/>
    <w:rsid w:val="00FD4CA0"/>
    <w:rsid w:val="00FD4CA9"/>
    <w:rsid w:val="00FD4CEA"/>
    <w:rsid w:val="00FD4D47"/>
    <w:rsid w:val="00FD4D59"/>
    <w:rsid w:val="00FD4E74"/>
    <w:rsid w:val="00FD4F00"/>
    <w:rsid w:val="00FD4F36"/>
    <w:rsid w:val="00FD4FE0"/>
    <w:rsid w:val="00FD50AD"/>
    <w:rsid w:val="00FD50B5"/>
    <w:rsid w:val="00FD517C"/>
    <w:rsid w:val="00FD51DA"/>
    <w:rsid w:val="00FD51F9"/>
    <w:rsid w:val="00FD5221"/>
    <w:rsid w:val="00FD52B7"/>
    <w:rsid w:val="00FD52DF"/>
    <w:rsid w:val="00FD539B"/>
    <w:rsid w:val="00FD53B8"/>
    <w:rsid w:val="00FD5441"/>
    <w:rsid w:val="00FD5549"/>
    <w:rsid w:val="00FD556A"/>
    <w:rsid w:val="00FD55B8"/>
    <w:rsid w:val="00FD55D5"/>
    <w:rsid w:val="00FD55DE"/>
    <w:rsid w:val="00FD56FD"/>
    <w:rsid w:val="00FD573F"/>
    <w:rsid w:val="00FD5782"/>
    <w:rsid w:val="00FD5796"/>
    <w:rsid w:val="00FD5874"/>
    <w:rsid w:val="00FD588C"/>
    <w:rsid w:val="00FD5895"/>
    <w:rsid w:val="00FD5900"/>
    <w:rsid w:val="00FD5974"/>
    <w:rsid w:val="00FD5982"/>
    <w:rsid w:val="00FD59B7"/>
    <w:rsid w:val="00FD59EC"/>
    <w:rsid w:val="00FD5A17"/>
    <w:rsid w:val="00FD5A40"/>
    <w:rsid w:val="00FD5A50"/>
    <w:rsid w:val="00FD5A58"/>
    <w:rsid w:val="00FD5ABD"/>
    <w:rsid w:val="00FD5AE3"/>
    <w:rsid w:val="00FD5B53"/>
    <w:rsid w:val="00FD5BAD"/>
    <w:rsid w:val="00FD5C56"/>
    <w:rsid w:val="00FD5D0D"/>
    <w:rsid w:val="00FD5D37"/>
    <w:rsid w:val="00FD5D50"/>
    <w:rsid w:val="00FD5DAA"/>
    <w:rsid w:val="00FD5DC6"/>
    <w:rsid w:val="00FD5DDA"/>
    <w:rsid w:val="00FD5E65"/>
    <w:rsid w:val="00FD5F0C"/>
    <w:rsid w:val="00FD5F48"/>
    <w:rsid w:val="00FD5F64"/>
    <w:rsid w:val="00FD6152"/>
    <w:rsid w:val="00FD615B"/>
    <w:rsid w:val="00FD615E"/>
    <w:rsid w:val="00FD627F"/>
    <w:rsid w:val="00FD638C"/>
    <w:rsid w:val="00FD63C3"/>
    <w:rsid w:val="00FD63D0"/>
    <w:rsid w:val="00FD63DA"/>
    <w:rsid w:val="00FD63E1"/>
    <w:rsid w:val="00FD64A7"/>
    <w:rsid w:val="00FD6521"/>
    <w:rsid w:val="00FD65BC"/>
    <w:rsid w:val="00FD6606"/>
    <w:rsid w:val="00FD672B"/>
    <w:rsid w:val="00FD672C"/>
    <w:rsid w:val="00FD678A"/>
    <w:rsid w:val="00FD68F4"/>
    <w:rsid w:val="00FD69D3"/>
    <w:rsid w:val="00FD6A29"/>
    <w:rsid w:val="00FD6AE8"/>
    <w:rsid w:val="00FD6B79"/>
    <w:rsid w:val="00FD6B80"/>
    <w:rsid w:val="00FD6BE2"/>
    <w:rsid w:val="00FD6C62"/>
    <w:rsid w:val="00FD6CC9"/>
    <w:rsid w:val="00FD6CF5"/>
    <w:rsid w:val="00FD6DA4"/>
    <w:rsid w:val="00FD6E63"/>
    <w:rsid w:val="00FD6E68"/>
    <w:rsid w:val="00FD6F41"/>
    <w:rsid w:val="00FD6F79"/>
    <w:rsid w:val="00FD7038"/>
    <w:rsid w:val="00FD7059"/>
    <w:rsid w:val="00FD7071"/>
    <w:rsid w:val="00FD70AD"/>
    <w:rsid w:val="00FD7109"/>
    <w:rsid w:val="00FD7173"/>
    <w:rsid w:val="00FD717E"/>
    <w:rsid w:val="00FD723D"/>
    <w:rsid w:val="00FD727F"/>
    <w:rsid w:val="00FD72BB"/>
    <w:rsid w:val="00FD72F0"/>
    <w:rsid w:val="00FD72FF"/>
    <w:rsid w:val="00FD731D"/>
    <w:rsid w:val="00FD7338"/>
    <w:rsid w:val="00FD7346"/>
    <w:rsid w:val="00FD738C"/>
    <w:rsid w:val="00FD7390"/>
    <w:rsid w:val="00FD73AA"/>
    <w:rsid w:val="00FD74B7"/>
    <w:rsid w:val="00FD759E"/>
    <w:rsid w:val="00FD75E0"/>
    <w:rsid w:val="00FD75EC"/>
    <w:rsid w:val="00FD7671"/>
    <w:rsid w:val="00FD76AC"/>
    <w:rsid w:val="00FD76DB"/>
    <w:rsid w:val="00FD7727"/>
    <w:rsid w:val="00FD7746"/>
    <w:rsid w:val="00FD77CC"/>
    <w:rsid w:val="00FD783E"/>
    <w:rsid w:val="00FD7845"/>
    <w:rsid w:val="00FD7889"/>
    <w:rsid w:val="00FD7939"/>
    <w:rsid w:val="00FD7994"/>
    <w:rsid w:val="00FD79EC"/>
    <w:rsid w:val="00FD79F8"/>
    <w:rsid w:val="00FD7A0C"/>
    <w:rsid w:val="00FD7A22"/>
    <w:rsid w:val="00FD7A48"/>
    <w:rsid w:val="00FD7AE4"/>
    <w:rsid w:val="00FD7BA1"/>
    <w:rsid w:val="00FD7BEC"/>
    <w:rsid w:val="00FD7C2F"/>
    <w:rsid w:val="00FD7C36"/>
    <w:rsid w:val="00FD7CD6"/>
    <w:rsid w:val="00FD7CF7"/>
    <w:rsid w:val="00FD7CFE"/>
    <w:rsid w:val="00FD7D45"/>
    <w:rsid w:val="00FD7E56"/>
    <w:rsid w:val="00FD7E7A"/>
    <w:rsid w:val="00FD7F62"/>
    <w:rsid w:val="00FE0031"/>
    <w:rsid w:val="00FE0066"/>
    <w:rsid w:val="00FE00B4"/>
    <w:rsid w:val="00FE00BF"/>
    <w:rsid w:val="00FE00D3"/>
    <w:rsid w:val="00FE012F"/>
    <w:rsid w:val="00FE01B6"/>
    <w:rsid w:val="00FE01C4"/>
    <w:rsid w:val="00FE01CA"/>
    <w:rsid w:val="00FE026D"/>
    <w:rsid w:val="00FE02B1"/>
    <w:rsid w:val="00FE02C4"/>
    <w:rsid w:val="00FE0490"/>
    <w:rsid w:val="00FE04D2"/>
    <w:rsid w:val="00FE04F4"/>
    <w:rsid w:val="00FE0508"/>
    <w:rsid w:val="00FE0572"/>
    <w:rsid w:val="00FE05C3"/>
    <w:rsid w:val="00FE0630"/>
    <w:rsid w:val="00FE06A3"/>
    <w:rsid w:val="00FE073C"/>
    <w:rsid w:val="00FE076F"/>
    <w:rsid w:val="00FE07CE"/>
    <w:rsid w:val="00FE0811"/>
    <w:rsid w:val="00FE0844"/>
    <w:rsid w:val="00FE084D"/>
    <w:rsid w:val="00FE0860"/>
    <w:rsid w:val="00FE08E9"/>
    <w:rsid w:val="00FE08ED"/>
    <w:rsid w:val="00FE092E"/>
    <w:rsid w:val="00FE0947"/>
    <w:rsid w:val="00FE094C"/>
    <w:rsid w:val="00FE0967"/>
    <w:rsid w:val="00FE097B"/>
    <w:rsid w:val="00FE0988"/>
    <w:rsid w:val="00FE09BB"/>
    <w:rsid w:val="00FE0A0F"/>
    <w:rsid w:val="00FE0AC1"/>
    <w:rsid w:val="00FE0AD8"/>
    <w:rsid w:val="00FE0B32"/>
    <w:rsid w:val="00FE0B5D"/>
    <w:rsid w:val="00FE0BA8"/>
    <w:rsid w:val="00FE0BB5"/>
    <w:rsid w:val="00FE0C22"/>
    <w:rsid w:val="00FE0C40"/>
    <w:rsid w:val="00FE0CCF"/>
    <w:rsid w:val="00FE0CE8"/>
    <w:rsid w:val="00FE0D4A"/>
    <w:rsid w:val="00FE0D5A"/>
    <w:rsid w:val="00FE0D98"/>
    <w:rsid w:val="00FE0DE0"/>
    <w:rsid w:val="00FE0E3E"/>
    <w:rsid w:val="00FE0E4E"/>
    <w:rsid w:val="00FE0EA3"/>
    <w:rsid w:val="00FE1005"/>
    <w:rsid w:val="00FE1056"/>
    <w:rsid w:val="00FE10DF"/>
    <w:rsid w:val="00FE1115"/>
    <w:rsid w:val="00FE1149"/>
    <w:rsid w:val="00FE11CB"/>
    <w:rsid w:val="00FE1214"/>
    <w:rsid w:val="00FE1226"/>
    <w:rsid w:val="00FE1252"/>
    <w:rsid w:val="00FE1291"/>
    <w:rsid w:val="00FE12A3"/>
    <w:rsid w:val="00FE1303"/>
    <w:rsid w:val="00FE141A"/>
    <w:rsid w:val="00FE143C"/>
    <w:rsid w:val="00FE1486"/>
    <w:rsid w:val="00FE14B2"/>
    <w:rsid w:val="00FE14B8"/>
    <w:rsid w:val="00FE158D"/>
    <w:rsid w:val="00FE16DA"/>
    <w:rsid w:val="00FE1704"/>
    <w:rsid w:val="00FE174A"/>
    <w:rsid w:val="00FE17E1"/>
    <w:rsid w:val="00FE183F"/>
    <w:rsid w:val="00FE1899"/>
    <w:rsid w:val="00FE1990"/>
    <w:rsid w:val="00FE19AE"/>
    <w:rsid w:val="00FE19B5"/>
    <w:rsid w:val="00FE19ED"/>
    <w:rsid w:val="00FE1A14"/>
    <w:rsid w:val="00FE1AC5"/>
    <w:rsid w:val="00FE1AC6"/>
    <w:rsid w:val="00FE1BDA"/>
    <w:rsid w:val="00FE1BF6"/>
    <w:rsid w:val="00FE1C6F"/>
    <w:rsid w:val="00FE1CB4"/>
    <w:rsid w:val="00FE1CDE"/>
    <w:rsid w:val="00FE1D41"/>
    <w:rsid w:val="00FE1D75"/>
    <w:rsid w:val="00FE1D8F"/>
    <w:rsid w:val="00FE1E7F"/>
    <w:rsid w:val="00FE1F12"/>
    <w:rsid w:val="00FE2094"/>
    <w:rsid w:val="00FE20FC"/>
    <w:rsid w:val="00FE2113"/>
    <w:rsid w:val="00FE2134"/>
    <w:rsid w:val="00FE213A"/>
    <w:rsid w:val="00FE22C4"/>
    <w:rsid w:val="00FE22F1"/>
    <w:rsid w:val="00FE23D6"/>
    <w:rsid w:val="00FE23DA"/>
    <w:rsid w:val="00FE245B"/>
    <w:rsid w:val="00FE2474"/>
    <w:rsid w:val="00FE26DA"/>
    <w:rsid w:val="00FE2710"/>
    <w:rsid w:val="00FE2746"/>
    <w:rsid w:val="00FE27EC"/>
    <w:rsid w:val="00FE281F"/>
    <w:rsid w:val="00FE283E"/>
    <w:rsid w:val="00FE2852"/>
    <w:rsid w:val="00FE2869"/>
    <w:rsid w:val="00FE2873"/>
    <w:rsid w:val="00FE289F"/>
    <w:rsid w:val="00FE28B4"/>
    <w:rsid w:val="00FE28EA"/>
    <w:rsid w:val="00FE2953"/>
    <w:rsid w:val="00FE29CF"/>
    <w:rsid w:val="00FE2AB2"/>
    <w:rsid w:val="00FE2B45"/>
    <w:rsid w:val="00FE2C2E"/>
    <w:rsid w:val="00FE2CAC"/>
    <w:rsid w:val="00FE2CAF"/>
    <w:rsid w:val="00FE2CE3"/>
    <w:rsid w:val="00FE2D10"/>
    <w:rsid w:val="00FE2D17"/>
    <w:rsid w:val="00FE2DE4"/>
    <w:rsid w:val="00FE2DEE"/>
    <w:rsid w:val="00FE2DF3"/>
    <w:rsid w:val="00FE2E58"/>
    <w:rsid w:val="00FE2E8B"/>
    <w:rsid w:val="00FE2EB1"/>
    <w:rsid w:val="00FE2EC5"/>
    <w:rsid w:val="00FE2ED0"/>
    <w:rsid w:val="00FE2EFA"/>
    <w:rsid w:val="00FE2F52"/>
    <w:rsid w:val="00FE2F86"/>
    <w:rsid w:val="00FE2F93"/>
    <w:rsid w:val="00FE2FF7"/>
    <w:rsid w:val="00FE305B"/>
    <w:rsid w:val="00FE3086"/>
    <w:rsid w:val="00FE30B7"/>
    <w:rsid w:val="00FE30FD"/>
    <w:rsid w:val="00FE31E1"/>
    <w:rsid w:val="00FE31FB"/>
    <w:rsid w:val="00FE3263"/>
    <w:rsid w:val="00FE329A"/>
    <w:rsid w:val="00FE32A4"/>
    <w:rsid w:val="00FE32CA"/>
    <w:rsid w:val="00FE339A"/>
    <w:rsid w:val="00FE33ED"/>
    <w:rsid w:val="00FE3471"/>
    <w:rsid w:val="00FE34B7"/>
    <w:rsid w:val="00FE353E"/>
    <w:rsid w:val="00FE35B3"/>
    <w:rsid w:val="00FE35B7"/>
    <w:rsid w:val="00FE35E0"/>
    <w:rsid w:val="00FE3654"/>
    <w:rsid w:val="00FE366E"/>
    <w:rsid w:val="00FE3680"/>
    <w:rsid w:val="00FE36E7"/>
    <w:rsid w:val="00FE3713"/>
    <w:rsid w:val="00FE379E"/>
    <w:rsid w:val="00FE3876"/>
    <w:rsid w:val="00FE38D3"/>
    <w:rsid w:val="00FE38D9"/>
    <w:rsid w:val="00FE394A"/>
    <w:rsid w:val="00FE399F"/>
    <w:rsid w:val="00FE39A0"/>
    <w:rsid w:val="00FE39D0"/>
    <w:rsid w:val="00FE3AF8"/>
    <w:rsid w:val="00FE3B21"/>
    <w:rsid w:val="00FE3B77"/>
    <w:rsid w:val="00FE3BF6"/>
    <w:rsid w:val="00FE3BFF"/>
    <w:rsid w:val="00FE3CCE"/>
    <w:rsid w:val="00FE3D3D"/>
    <w:rsid w:val="00FE3E8A"/>
    <w:rsid w:val="00FE3ED1"/>
    <w:rsid w:val="00FE3EFF"/>
    <w:rsid w:val="00FE3F73"/>
    <w:rsid w:val="00FE3FD7"/>
    <w:rsid w:val="00FE3FDD"/>
    <w:rsid w:val="00FE3FFD"/>
    <w:rsid w:val="00FE403C"/>
    <w:rsid w:val="00FE4041"/>
    <w:rsid w:val="00FE4050"/>
    <w:rsid w:val="00FE407B"/>
    <w:rsid w:val="00FE40A0"/>
    <w:rsid w:val="00FE40A3"/>
    <w:rsid w:val="00FE40B6"/>
    <w:rsid w:val="00FE4258"/>
    <w:rsid w:val="00FE4270"/>
    <w:rsid w:val="00FE4278"/>
    <w:rsid w:val="00FE429C"/>
    <w:rsid w:val="00FE42CB"/>
    <w:rsid w:val="00FE42D0"/>
    <w:rsid w:val="00FE441D"/>
    <w:rsid w:val="00FE450D"/>
    <w:rsid w:val="00FE4510"/>
    <w:rsid w:val="00FE456F"/>
    <w:rsid w:val="00FE45F1"/>
    <w:rsid w:val="00FE464C"/>
    <w:rsid w:val="00FE46B4"/>
    <w:rsid w:val="00FE4738"/>
    <w:rsid w:val="00FE47BC"/>
    <w:rsid w:val="00FE47D7"/>
    <w:rsid w:val="00FE4805"/>
    <w:rsid w:val="00FE4836"/>
    <w:rsid w:val="00FE4873"/>
    <w:rsid w:val="00FE48DE"/>
    <w:rsid w:val="00FE4946"/>
    <w:rsid w:val="00FE4957"/>
    <w:rsid w:val="00FE49FF"/>
    <w:rsid w:val="00FE4A36"/>
    <w:rsid w:val="00FE4A41"/>
    <w:rsid w:val="00FE4AC6"/>
    <w:rsid w:val="00FE4CBB"/>
    <w:rsid w:val="00FE4D30"/>
    <w:rsid w:val="00FE4D4A"/>
    <w:rsid w:val="00FE4DC6"/>
    <w:rsid w:val="00FE4E0F"/>
    <w:rsid w:val="00FE4E1C"/>
    <w:rsid w:val="00FE4E4E"/>
    <w:rsid w:val="00FE4E5B"/>
    <w:rsid w:val="00FE4E9D"/>
    <w:rsid w:val="00FE4F47"/>
    <w:rsid w:val="00FE4FA7"/>
    <w:rsid w:val="00FE4FC0"/>
    <w:rsid w:val="00FE5008"/>
    <w:rsid w:val="00FE5026"/>
    <w:rsid w:val="00FE505A"/>
    <w:rsid w:val="00FE50D1"/>
    <w:rsid w:val="00FE518D"/>
    <w:rsid w:val="00FE519A"/>
    <w:rsid w:val="00FE525B"/>
    <w:rsid w:val="00FE5294"/>
    <w:rsid w:val="00FE52C5"/>
    <w:rsid w:val="00FE53B7"/>
    <w:rsid w:val="00FE5409"/>
    <w:rsid w:val="00FE5468"/>
    <w:rsid w:val="00FE547A"/>
    <w:rsid w:val="00FE54A1"/>
    <w:rsid w:val="00FE54E3"/>
    <w:rsid w:val="00FE5518"/>
    <w:rsid w:val="00FE552E"/>
    <w:rsid w:val="00FE5553"/>
    <w:rsid w:val="00FE55C4"/>
    <w:rsid w:val="00FE55E9"/>
    <w:rsid w:val="00FE5605"/>
    <w:rsid w:val="00FE5678"/>
    <w:rsid w:val="00FE5695"/>
    <w:rsid w:val="00FE56AB"/>
    <w:rsid w:val="00FE56B4"/>
    <w:rsid w:val="00FE56F2"/>
    <w:rsid w:val="00FE588A"/>
    <w:rsid w:val="00FE593E"/>
    <w:rsid w:val="00FE5B63"/>
    <w:rsid w:val="00FE5BEE"/>
    <w:rsid w:val="00FE5D2C"/>
    <w:rsid w:val="00FE5D61"/>
    <w:rsid w:val="00FE5D73"/>
    <w:rsid w:val="00FE5E00"/>
    <w:rsid w:val="00FE5E07"/>
    <w:rsid w:val="00FE5E3A"/>
    <w:rsid w:val="00FE5E54"/>
    <w:rsid w:val="00FE5E56"/>
    <w:rsid w:val="00FE5E84"/>
    <w:rsid w:val="00FE5E9D"/>
    <w:rsid w:val="00FE5EBA"/>
    <w:rsid w:val="00FE5F22"/>
    <w:rsid w:val="00FE5FBA"/>
    <w:rsid w:val="00FE5FC6"/>
    <w:rsid w:val="00FE5FC9"/>
    <w:rsid w:val="00FE5FFC"/>
    <w:rsid w:val="00FE6058"/>
    <w:rsid w:val="00FE60BC"/>
    <w:rsid w:val="00FE61CE"/>
    <w:rsid w:val="00FE6213"/>
    <w:rsid w:val="00FE622D"/>
    <w:rsid w:val="00FE632E"/>
    <w:rsid w:val="00FE633A"/>
    <w:rsid w:val="00FE6375"/>
    <w:rsid w:val="00FE63A5"/>
    <w:rsid w:val="00FE63FB"/>
    <w:rsid w:val="00FE6450"/>
    <w:rsid w:val="00FE64D1"/>
    <w:rsid w:val="00FE654E"/>
    <w:rsid w:val="00FE6595"/>
    <w:rsid w:val="00FE665B"/>
    <w:rsid w:val="00FE665E"/>
    <w:rsid w:val="00FE666A"/>
    <w:rsid w:val="00FE671B"/>
    <w:rsid w:val="00FE6735"/>
    <w:rsid w:val="00FE6756"/>
    <w:rsid w:val="00FE67FB"/>
    <w:rsid w:val="00FE680E"/>
    <w:rsid w:val="00FE6837"/>
    <w:rsid w:val="00FE68A9"/>
    <w:rsid w:val="00FE6900"/>
    <w:rsid w:val="00FE6A59"/>
    <w:rsid w:val="00FE6C36"/>
    <w:rsid w:val="00FE6CC9"/>
    <w:rsid w:val="00FE6D1F"/>
    <w:rsid w:val="00FE6D48"/>
    <w:rsid w:val="00FE6D85"/>
    <w:rsid w:val="00FE6E3C"/>
    <w:rsid w:val="00FE6E52"/>
    <w:rsid w:val="00FE6FBA"/>
    <w:rsid w:val="00FE7104"/>
    <w:rsid w:val="00FE7124"/>
    <w:rsid w:val="00FE72A6"/>
    <w:rsid w:val="00FE731A"/>
    <w:rsid w:val="00FE73F3"/>
    <w:rsid w:val="00FE7549"/>
    <w:rsid w:val="00FE7593"/>
    <w:rsid w:val="00FE75B6"/>
    <w:rsid w:val="00FE75F2"/>
    <w:rsid w:val="00FE76A7"/>
    <w:rsid w:val="00FE76ED"/>
    <w:rsid w:val="00FE772B"/>
    <w:rsid w:val="00FE7814"/>
    <w:rsid w:val="00FE783D"/>
    <w:rsid w:val="00FE785C"/>
    <w:rsid w:val="00FE7876"/>
    <w:rsid w:val="00FE78D2"/>
    <w:rsid w:val="00FE79A8"/>
    <w:rsid w:val="00FE79D5"/>
    <w:rsid w:val="00FE7A12"/>
    <w:rsid w:val="00FE7BCB"/>
    <w:rsid w:val="00FE7BD2"/>
    <w:rsid w:val="00FE7BF0"/>
    <w:rsid w:val="00FE7C23"/>
    <w:rsid w:val="00FE7CD6"/>
    <w:rsid w:val="00FE7D0E"/>
    <w:rsid w:val="00FE7DCC"/>
    <w:rsid w:val="00FE7EE4"/>
    <w:rsid w:val="00FE7F9C"/>
    <w:rsid w:val="00FE7FA5"/>
    <w:rsid w:val="00FF0025"/>
    <w:rsid w:val="00FF009F"/>
    <w:rsid w:val="00FF0152"/>
    <w:rsid w:val="00FF0158"/>
    <w:rsid w:val="00FF01BD"/>
    <w:rsid w:val="00FF0230"/>
    <w:rsid w:val="00FF0251"/>
    <w:rsid w:val="00FF030E"/>
    <w:rsid w:val="00FF0320"/>
    <w:rsid w:val="00FF0339"/>
    <w:rsid w:val="00FF0377"/>
    <w:rsid w:val="00FF0386"/>
    <w:rsid w:val="00FF0392"/>
    <w:rsid w:val="00FF03C0"/>
    <w:rsid w:val="00FF03EF"/>
    <w:rsid w:val="00FF042E"/>
    <w:rsid w:val="00FF044F"/>
    <w:rsid w:val="00FF04FA"/>
    <w:rsid w:val="00FF050E"/>
    <w:rsid w:val="00FF058A"/>
    <w:rsid w:val="00FF05E9"/>
    <w:rsid w:val="00FF0690"/>
    <w:rsid w:val="00FF06D5"/>
    <w:rsid w:val="00FF072B"/>
    <w:rsid w:val="00FF076E"/>
    <w:rsid w:val="00FF07CC"/>
    <w:rsid w:val="00FF0819"/>
    <w:rsid w:val="00FF0858"/>
    <w:rsid w:val="00FF088B"/>
    <w:rsid w:val="00FF08AE"/>
    <w:rsid w:val="00FF0907"/>
    <w:rsid w:val="00FF098C"/>
    <w:rsid w:val="00FF09E0"/>
    <w:rsid w:val="00FF09E4"/>
    <w:rsid w:val="00FF0A61"/>
    <w:rsid w:val="00FF0AB3"/>
    <w:rsid w:val="00FF0ACD"/>
    <w:rsid w:val="00FF0B50"/>
    <w:rsid w:val="00FF0BB2"/>
    <w:rsid w:val="00FF0BE0"/>
    <w:rsid w:val="00FF0C21"/>
    <w:rsid w:val="00FF0C7C"/>
    <w:rsid w:val="00FF0CCC"/>
    <w:rsid w:val="00FF0D0A"/>
    <w:rsid w:val="00FF0DDB"/>
    <w:rsid w:val="00FF0ED5"/>
    <w:rsid w:val="00FF0F45"/>
    <w:rsid w:val="00FF0F61"/>
    <w:rsid w:val="00FF0F87"/>
    <w:rsid w:val="00FF0FDE"/>
    <w:rsid w:val="00FF1046"/>
    <w:rsid w:val="00FF11C9"/>
    <w:rsid w:val="00FF123A"/>
    <w:rsid w:val="00FF126E"/>
    <w:rsid w:val="00FF1274"/>
    <w:rsid w:val="00FF1281"/>
    <w:rsid w:val="00FF12FC"/>
    <w:rsid w:val="00FF12FD"/>
    <w:rsid w:val="00FF1308"/>
    <w:rsid w:val="00FF13A2"/>
    <w:rsid w:val="00FF13BD"/>
    <w:rsid w:val="00FF1418"/>
    <w:rsid w:val="00FF144F"/>
    <w:rsid w:val="00FF1535"/>
    <w:rsid w:val="00FF1594"/>
    <w:rsid w:val="00FF15B9"/>
    <w:rsid w:val="00FF1637"/>
    <w:rsid w:val="00FF16B0"/>
    <w:rsid w:val="00FF16F1"/>
    <w:rsid w:val="00FF16FD"/>
    <w:rsid w:val="00FF1770"/>
    <w:rsid w:val="00FF17BC"/>
    <w:rsid w:val="00FF1824"/>
    <w:rsid w:val="00FF188D"/>
    <w:rsid w:val="00FF189F"/>
    <w:rsid w:val="00FF18D2"/>
    <w:rsid w:val="00FF1923"/>
    <w:rsid w:val="00FF19AC"/>
    <w:rsid w:val="00FF19FE"/>
    <w:rsid w:val="00FF1A1D"/>
    <w:rsid w:val="00FF1AD7"/>
    <w:rsid w:val="00FF1BB7"/>
    <w:rsid w:val="00FF1BF6"/>
    <w:rsid w:val="00FF1C57"/>
    <w:rsid w:val="00FF1C6E"/>
    <w:rsid w:val="00FF1D6E"/>
    <w:rsid w:val="00FF1D77"/>
    <w:rsid w:val="00FF1DBC"/>
    <w:rsid w:val="00FF1ECF"/>
    <w:rsid w:val="00FF1F17"/>
    <w:rsid w:val="00FF1F2E"/>
    <w:rsid w:val="00FF1F36"/>
    <w:rsid w:val="00FF1F5F"/>
    <w:rsid w:val="00FF1F94"/>
    <w:rsid w:val="00FF2058"/>
    <w:rsid w:val="00FF20B9"/>
    <w:rsid w:val="00FF20DE"/>
    <w:rsid w:val="00FF2169"/>
    <w:rsid w:val="00FF216A"/>
    <w:rsid w:val="00FF21D6"/>
    <w:rsid w:val="00FF2272"/>
    <w:rsid w:val="00FF22DE"/>
    <w:rsid w:val="00FF233A"/>
    <w:rsid w:val="00FF2365"/>
    <w:rsid w:val="00FF2501"/>
    <w:rsid w:val="00FF260E"/>
    <w:rsid w:val="00FF2641"/>
    <w:rsid w:val="00FF266C"/>
    <w:rsid w:val="00FF2681"/>
    <w:rsid w:val="00FF26E3"/>
    <w:rsid w:val="00FF2715"/>
    <w:rsid w:val="00FF2794"/>
    <w:rsid w:val="00FF27FD"/>
    <w:rsid w:val="00FF2888"/>
    <w:rsid w:val="00FF28AF"/>
    <w:rsid w:val="00FF2921"/>
    <w:rsid w:val="00FF29ED"/>
    <w:rsid w:val="00FF29FB"/>
    <w:rsid w:val="00FF2A13"/>
    <w:rsid w:val="00FF2A21"/>
    <w:rsid w:val="00FF2A5A"/>
    <w:rsid w:val="00FF2A75"/>
    <w:rsid w:val="00FF2AA4"/>
    <w:rsid w:val="00FF2B3B"/>
    <w:rsid w:val="00FF2BDD"/>
    <w:rsid w:val="00FF2C4F"/>
    <w:rsid w:val="00FF2C63"/>
    <w:rsid w:val="00FF2C87"/>
    <w:rsid w:val="00FF2C9A"/>
    <w:rsid w:val="00FF2CCE"/>
    <w:rsid w:val="00FF2D0E"/>
    <w:rsid w:val="00FF2D70"/>
    <w:rsid w:val="00FF2DBC"/>
    <w:rsid w:val="00FF2E1A"/>
    <w:rsid w:val="00FF2E28"/>
    <w:rsid w:val="00FF2E4A"/>
    <w:rsid w:val="00FF2E9F"/>
    <w:rsid w:val="00FF2EA5"/>
    <w:rsid w:val="00FF2EEB"/>
    <w:rsid w:val="00FF2F84"/>
    <w:rsid w:val="00FF2FD1"/>
    <w:rsid w:val="00FF3139"/>
    <w:rsid w:val="00FF3140"/>
    <w:rsid w:val="00FF314B"/>
    <w:rsid w:val="00FF315D"/>
    <w:rsid w:val="00FF317C"/>
    <w:rsid w:val="00FF31FB"/>
    <w:rsid w:val="00FF320E"/>
    <w:rsid w:val="00FF3262"/>
    <w:rsid w:val="00FF3311"/>
    <w:rsid w:val="00FF3352"/>
    <w:rsid w:val="00FF340C"/>
    <w:rsid w:val="00FF3419"/>
    <w:rsid w:val="00FF341A"/>
    <w:rsid w:val="00FF34A3"/>
    <w:rsid w:val="00FF354E"/>
    <w:rsid w:val="00FF355B"/>
    <w:rsid w:val="00FF363A"/>
    <w:rsid w:val="00FF3664"/>
    <w:rsid w:val="00FF36C3"/>
    <w:rsid w:val="00FF36D2"/>
    <w:rsid w:val="00FF36E2"/>
    <w:rsid w:val="00FF36F7"/>
    <w:rsid w:val="00FF371D"/>
    <w:rsid w:val="00FF3748"/>
    <w:rsid w:val="00FF37AA"/>
    <w:rsid w:val="00FF37B2"/>
    <w:rsid w:val="00FF3843"/>
    <w:rsid w:val="00FF3924"/>
    <w:rsid w:val="00FF394D"/>
    <w:rsid w:val="00FF3AF9"/>
    <w:rsid w:val="00FF3B0B"/>
    <w:rsid w:val="00FF3B18"/>
    <w:rsid w:val="00FF3B44"/>
    <w:rsid w:val="00FF3B5E"/>
    <w:rsid w:val="00FF3B86"/>
    <w:rsid w:val="00FF3BEB"/>
    <w:rsid w:val="00FF3C88"/>
    <w:rsid w:val="00FF3D88"/>
    <w:rsid w:val="00FF3DD4"/>
    <w:rsid w:val="00FF3DF1"/>
    <w:rsid w:val="00FF3E92"/>
    <w:rsid w:val="00FF3EDE"/>
    <w:rsid w:val="00FF3F0B"/>
    <w:rsid w:val="00FF3F66"/>
    <w:rsid w:val="00FF3F6B"/>
    <w:rsid w:val="00FF402E"/>
    <w:rsid w:val="00FF4033"/>
    <w:rsid w:val="00FF4049"/>
    <w:rsid w:val="00FF4052"/>
    <w:rsid w:val="00FF4103"/>
    <w:rsid w:val="00FF4184"/>
    <w:rsid w:val="00FF42F2"/>
    <w:rsid w:val="00FF439E"/>
    <w:rsid w:val="00FF43D3"/>
    <w:rsid w:val="00FF43E5"/>
    <w:rsid w:val="00FF4503"/>
    <w:rsid w:val="00FF450C"/>
    <w:rsid w:val="00FF451E"/>
    <w:rsid w:val="00FF4536"/>
    <w:rsid w:val="00FF45CD"/>
    <w:rsid w:val="00FF4641"/>
    <w:rsid w:val="00FF464B"/>
    <w:rsid w:val="00FF4674"/>
    <w:rsid w:val="00FF46F1"/>
    <w:rsid w:val="00FF47B1"/>
    <w:rsid w:val="00FF47B4"/>
    <w:rsid w:val="00FF4854"/>
    <w:rsid w:val="00FF48E6"/>
    <w:rsid w:val="00FF48F7"/>
    <w:rsid w:val="00FF4910"/>
    <w:rsid w:val="00FF4933"/>
    <w:rsid w:val="00FF494E"/>
    <w:rsid w:val="00FF498B"/>
    <w:rsid w:val="00FF49EB"/>
    <w:rsid w:val="00FF4AC1"/>
    <w:rsid w:val="00FF4B51"/>
    <w:rsid w:val="00FF4B6A"/>
    <w:rsid w:val="00FF4BB4"/>
    <w:rsid w:val="00FF4BD9"/>
    <w:rsid w:val="00FF4C3F"/>
    <w:rsid w:val="00FF4D0A"/>
    <w:rsid w:val="00FF4DC0"/>
    <w:rsid w:val="00FF4DDA"/>
    <w:rsid w:val="00FF4EA1"/>
    <w:rsid w:val="00FF4ECE"/>
    <w:rsid w:val="00FF4F34"/>
    <w:rsid w:val="00FF4FA9"/>
    <w:rsid w:val="00FF4FB8"/>
    <w:rsid w:val="00FF4FD7"/>
    <w:rsid w:val="00FF5025"/>
    <w:rsid w:val="00FF5031"/>
    <w:rsid w:val="00FF5033"/>
    <w:rsid w:val="00FF505A"/>
    <w:rsid w:val="00FF508E"/>
    <w:rsid w:val="00FF509F"/>
    <w:rsid w:val="00FF50BD"/>
    <w:rsid w:val="00FF50F7"/>
    <w:rsid w:val="00FF510F"/>
    <w:rsid w:val="00FF5134"/>
    <w:rsid w:val="00FF5189"/>
    <w:rsid w:val="00FF527C"/>
    <w:rsid w:val="00FF52A4"/>
    <w:rsid w:val="00FF52AE"/>
    <w:rsid w:val="00FF5343"/>
    <w:rsid w:val="00FF53BF"/>
    <w:rsid w:val="00FF543A"/>
    <w:rsid w:val="00FF5447"/>
    <w:rsid w:val="00FF550A"/>
    <w:rsid w:val="00FF5541"/>
    <w:rsid w:val="00FF5560"/>
    <w:rsid w:val="00FF562F"/>
    <w:rsid w:val="00FF5654"/>
    <w:rsid w:val="00FF5665"/>
    <w:rsid w:val="00FF56F7"/>
    <w:rsid w:val="00FF57AA"/>
    <w:rsid w:val="00FF57BE"/>
    <w:rsid w:val="00FF5823"/>
    <w:rsid w:val="00FF5883"/>
    <w:rsid w:val="00FF58AD"/>
    <w:rsid w:val="00FF58B0"/>
    <w:rsid w:val="00FF58D9"/>
    <w:rsid w:val="00FF592C"/>
    <w:rsid w:val="00FF594B"/>
    <w:rsid w:val="00FF5977"/>
    <w:rsid w:val="00FF59C0"/>
    <w:rsid w:val="00FF59DD"/>
    <w:rsid w:val="00FF59FB"/>
    <w:rsid w:val="00FF59FC"/>
    <w:rsid w:val="00FF5A11"/>
    <w:rsid w:val="00FF5A39"/>
    <w:rsid w:val="00FF5AB3"/>
    <w:rsid w:val="00FF5CB0"/>
    <w:rsid w:val="00FF5CD6"/>
    <w:rsid w:val="00FF5D43"/>
    <w:rsid w:val="00FF5D5A"/>
    <w:rsid w:val="00FF5D61"/>
    <w:rsid w:val="00FF5D6D"/>
    <w:rsid w:val="00FF5D84"/>
    <w:rsid w:val="00FF5DE9"/>
    <w:rsid w:val="00FF5DF2"/>
    <w:rsid w:val="00FF5E45"/>
    <w:rsid w:val="00FF5E46"/>
    <w:rsid w:val="00FF5E49"/>
    <w:rsid w:val="00FF5E4D"/>
    <w:rsid w:val="00FF5E7D"/>
    <w:rsid w:val="00FF5E9B"/>
    <w:rsid w:val="00FF5EAC"/>
    <w:rsid w:val="00FF5F0B"/>
    <w:rsid w:val="00FF5FB5"/>
    <w:rsid w:val="00FF5FD4"/>
    <w:rsid w:val="00FF6009"/>
    <w:rsid w:val="00FF6034"/>
    <w:rsid w:val="00FF6138"/>
    <w:rsid w:val="00FF616F"/>
    <w:rsid w:val="00FF61B9"/>
    <w:rsid w:val="00FF6266"/>
    <w:rsid w:val="00FF62DC"/>
    <w:rsid w:val="00FF63D5"/>
    <w:rsid w:val="00FF64CB"/>
    <w:rsid w:val="00FF64E8"/>
    <w:rsid w:val="00FF65E6"/>
    <w:rsid w:val="00FF6605"/>
    <w:rsid w:val="00FF6627"/>
    <w:rsid w:val="00FF667F"/>
    <w:rsid w:val="00FF6780"/>
    <w:rsid w:val="00FF6831"/>
    <w:rsid w:val="00FF6868"/>
    <w:rsid w:val="00FF695E"/>
    <w:rsid w:val="00FF6961"/>
    <w:rsid w:val="00FF6A35"/>
    <w:rsid w:val="00FF6A3E"/>
    <w:rsid w:val="00FF6A8B"/>
    <w:rsid w:val="00FF6A8E"/>
    <w:rsid w:val="00FF6B0B"/>
    <w:rsid w:val="00FF6B1B"/>
    <w:rsid w:val="00FF6B29"/>
    <w:rsid w:val="00FF6B46"/>
    <w:rsid w:val="00FF6B8B"/>
    <w:rsid w:val="00FF6B92"/>
    <w:rsid w:val="00FF6BFD"/>
    <w:rsid w:val="00FF6C7C"/>
    <w:rsid w:val="00FF6CAB"/>
    <w:rsid w:val="00FF6D05"/>
    <w:rsid w:val="00FF6D1A"/>
    <w:rsid w:val="00FF6D1B"/>
    <w:rsid w:val="00FF6DCC"/>
    <w:rsid w:val="00FF6E56"/>
    <w:rsid w:val="00FF6E77"/>
    <w:rsid w:val="00FF6EF1"/>
    <w:rsid w:val="00FF6F87"/>
    <w:rsid w:val="00FF6FAF"/>
    <w:rsid w:val="00FF6FE8"/>
    <w:rsid w:val="00FF700A"/>
    <w:rsid w:val="00FF700E"/>
    <w:rsid w:val="00FF7057"/>
    <w:rsid w:val="00FF70CD"/>
    <w:rsid w:val="00FF70D9"/>
    <w:rsid w:val="00FF712A"/>
    <w:rsid w:val="00FF717F"/>
    <w:rsid w:val="00FF7213"/>
    <w:rsid w:val="00FF7327"/>
    <w:rsid w:val="00FF7350"/>
    <w:rsid w:val="00FF7355"/>
    <w:rsid w:val="00FF7384"/>
    <w:rsid w:val="00FF7392"/>
    <w:rsid w:val="00FF748F"/>
    <w:rsid w:val="00FF74F4"/>
    <w:rsid w:val="00FF750F"/>
    <w:rsid w:val="00FF753C"/>
    <w:rsid w:val="00FF755B"/>
    <w:rsid w:val="00FF755C"/>
    <w:rsid w:val="00FF7598"/>
    <w:rsid w:val="00FF75DA"/>
    <w:rsid w:val="00FF762C"/>
    <w:rsid w:val="00FF764F"/>
    <w:rsid w:val="00FF7683"/>
    <w:rsid w:val="00FF77E1"/>
    <w:rsid w:val="00FF7831"/>
    <w:rsid w:val="00FF783B"/>
    <w:rsid w:val="00FF7855"/>
    <w:rsid w:val="00FF7865"/>
    <w:rsid w:val="00FF7896"/>
    <w:rsid w:val="00FF792B"/>
    <w:rsid w:val="00FF793E"/>
    <w:rsid w:val="00FF79DD"/>
    <w:rsid w:val="00FF7A42"/>
    <w:rsid w:val="00FF7A44"/>
    <w:rsid w:val="00FF7A59"/>
    <w:rsid w:val="00FF7AC2"/>
    <w:rsid w:val="00FF7B19"/>
    <w:rsid w:val="00FF7B5C"/>
    <w:rsid w:val="00FF7BDA"/>
    <w:rsid w:val="00FF7BE8"/>
    <w:rsid w:val="00FF7C09"/>
    <w:rsid w:val="00FF7CAE"/>
    <w:rsid w:val="00FF7CE0"/>
    <w:rsid w:val="00FF7D46"/>
    <w:rsid w:val="00FF7DBA"/>
    <w:rsid w:val="00FF7DD5"/>
    <w:rsid w:val="00FF7E03"/>
    <w:rsid w:val="00FF7E0A"/>
    <w:rsid w:val="00FF7E16"/>
    <w:rsid w:val="00FF7E66"/>
    <w:rsid w:val="00FF7EDF"/>
    <w:rsid w:val="00FF7EE0"/>
    <w:rsid w:val="00FF7EE6"/>
    <w:rsid w:val="00FF7F44"/>
    <w:rsid w:val="00FF7F4D"/>
    <w:rsid w:val="00FF7F6D"/>
    <w:rsid w:val="00FF7F93"/>
    <w:rsid w:val="01159EB6"/>
    <w:rsid w:val="012C54F0"/>
    <w:rsid w:val="01544FD9"/>
    <w:rsid w:val="0167B2D6"/>
    <w:rsid w:val="016E9B5D"/>
    <w:rsid w:val="0173543D"/>
    <w:rsid w:val="0188A528"/>
    <w:rsid w:val="019F0AA6"/>
    <w:rsid w:val="01B4958D"/>
    <w:rsid w:val="01C70495"/>
    <w:rsid w:val="01F0198F"/>
    <w:rsid w:val="01FB21E7"/>
    <w:rsid w:val="01FD9A76"/>
    <w:rsid w:val="020D7731"/>
    <w:rsid w:val="02306C97"/>
    <w:rsid w:val="02349829"/>
    <w:rsid w:val="025F44AA"/>
    <w:rsid w:val="02A7CDCD"/>
    <w:rsid w:val="02B678EE"/>
    <w:rsid w:val="02C988E9"/>
    <w:rsid w:val="03275267"/>
    <w:rsid w:val="034B4CE8"/>
    <w:rsid w:val="035EDA0D"/>
    <w:rsid w:val="0378C4EF"/>
    <w:rsid w:val="03A971D8"/>
    <w:rsid w:val="03BB7305"/>
    <w:rsid w:val="03BD7F1D"/>
    <w:rsid w:val="03E5A06B"/>
    <w:rsid w:val="03F0FA09"/>
    <w:rsid w:val="044434A6"/>
    <w:rsid w:val="0447A3B8"/>
    <w:rsid w:val="0485AD3A"/>
    <w:rsid w:val="04BB1605"/>
    <w:rsid w:val="04E49A2B"/>
    <w:rsid w:val="054EC51B"/>
    <w:rsid w:val="0562594F"/>
    <w:rsid w:val="05858618"/>
    <w:rsid w:val="05B534CF"/>
    <w:rsid w:val="05E6A4EC"/>
    <w:rsid w:val="06030BBC"/>
    <w:rsid w:val="060C076A"/>
    <w:rsid w:val="0624EFDF"/>
    <w:rsid w:val="06725837"/>
    <w:rsid w:val="06728104"/>
    <w:rsid w:val="069F8F37"/>
    <w:rsid w:val="06CDEAB9"/>
    <w:rsid w:val="0734DEEC"/>
    <w:rsid w:val="07350851"/>
    <w:rsid w:val="073D1EC7"/>
    <w:rsid w:val="0745FD8E"/>
    <w:rsid w:val="0747E219"/>
    <w:rsid w:val="074A123A"/>
    <w:rsid w:val="0772998E"/>
    <w:rsid w:val="077E8DFE"/>
    <w:rsid w:val="078DED85"/>
    <w:rsid w:val="07DB05E6"/>
    <w:rsid w:val="07E8A5A2"/>
    <w:rsid w:val="08048E15"/>
    <w:rsid w:val="080F77A3"/>
    <w:rsid w:val="083C2E5F"/>
    <w:rsid w:val="08776C8A"/>
    <w:rsid w:val="08A5627A"/>
    <w:rsid w:val="08D6E598"/>
    <w:rsid w:val="092B7102"/>
    <w:rsid w:val="0938D571"/>
    <w:rsid w:val="0958F081"/>
    <w:rsid w:val="0992C39A"/>
    <w:rsid w:val="099A5A19"/>
    <w:rsid w:val="09B29454"/>
    <w:rsid w:val="09BA289F"/>
    <w:rsid w:val="09D34C28"/>
    <w:rsid w:val="09EAF6B7"/>
    <w:rsid w:val="0A3DAF30"/>
    <w:rsid w:val="0A51F468"/>
    <w:rsid w:val="0A9EF3C6"/>
    <w:rsid w:val="0AC65F68"/>
    <w:rsid w:val="0AC8F911"/>
    <w:rsid w:val="0AE4FDC7"/>
    <w:rsid w:val="0AF57364"/>
    <w:rsid w:val="0B0A6F14"/>
    <w:rsid w:val="0B29B116"/>
    <w:rsid w:val="0B632F33"/>
    <w:rsid w:val="0B63A82D"/>
    <w:rsid w:val="0B9608FC"/>
    <w:rsid w:val="0BBD2025"/>
    <w:rsid w:val="0BDC8252"/>
    <w:rsid w:val="0C1A2A00"/>
    <w:rsid w:val="0C2C59A2"/>
    <w:rsid w:val="0C2F62FE"/>
    <w:rsid w:val="0C4A3E5C"/>
    <w:rsid w:val="0C5766E7"/>
    <w:rsid w:val="0C95C720"/>
    <w:rsid w:val="0CB7A855"/>
    <w:rsid w:val="0CC8D399"/>
    <w:rsid w:val="0CF45F70"/>
    <w:rsid w:val="0D6DFA41"/>
    <w:rsid w:val="0D916ED3"/>
    <w:rsid w:val="0D94FBAD"/>
    <w:rsid w:val="0DD912A2"/>
    <w:rsid w:val="0DF48116"/>
    <w:rsid w:val="0E169981"/>
    <w:rsid w:val="0E1CD076"/>
    <w:rsid w:val="0E2C0C6B"/>
    <w:rsid w:val="0E71773F"/>
    <w:rsid w:val="0E73D58B"/>
    <w:rsid w:val="0E86ADFA"/>
    <w:rsid w:val="0EA22F01"/>
    <w:rsid w:val="0ECCA2C4"/>
    <w:rsid w:val="0EF6122F"/>
    <w:rsid w:val="0F0332FF"/>
    <w:rsid w:val="0F0D6F31"/>
    <w:rsid w:val="0F158D59"/>
    <w:rsid w:val="0F529CF7"/>
    <w:rsid w:val="0F65D365"/>
    <w:rsid w:val="0F863437"/>
    <w:rsid w:val="10277116"/>
    <w:rsid w:val="10478AD9"/>
    <w:rsid w:val="106416D2"/>
    <w:rsid w:val="106A39B7"/>
    <w:rsid w:val="10A99B6F"/>
    <w:rsid w:val="10BDF94F"/>
    <w:rsid w:val="10EC6B0B"/>
    <w:rsid w:val="1140BE94"/>
    <w:rsid w:val="11645985"/>
    <w:rsid w:val="11AECD81"/>
    <w:rsid w:val="11D8A61A"/>
    <w:rsid w:val="11F8A96B"/>
    <w:rsid w:val="1252F26A"/>
    <w:rsid w:val="12599108"/>
    <w:rsid w:val="125ED346"/>
    <w:rsid w:val="12670031"/>
    <w:rsid w:val="12780E4E"/>
    <w:rsid w:val="129F0711"/>
    <w:rsid w:val="12BC0A62"/>
    <w:rsid w:val="12C4119E"/>
    <w:rsid w:val="12E6C56D"/>
    <w:rsid w:val="12FB2E9F"/>
    <w:rsid w:val="13044790"/>
    <w:rsid w:val="1308B881"/>
    <w:rsid w:val="1321ECDD"/>
    <w:rsid w:val="13239186"/>
    <w:rsid w:val="1331BDB2"/>
    <w:rsid w:val="1350F91B"/>
    <w:rsid w:val="137CF0B2"/>
    <w:rsid w:val="13907FF1"/>
    <w:rsid w:val="13A4FFD2"/>
    <w:rsid w:val="13DB8C65"/>
    <w:rsid w:val="13E56EFA"/>
    <w:rsid w:val="1404FFCA"/>
    <w:rsid w:val="141B6790"/>
    <w:rsid w:val="14427F03"/>
    <w:rsid w:val="148327BE"/>
    <w:rsid w:val="148E00A6"/>
    <w:rsid w:val="14EBA969"/>
    <w:rsid w:val="1569E28B"/>
    <w:rsid w:val="1579545A"/>
    <w:rsid w:val="158F36F4"/>
    <w:rsid w:val="15AAC92A"/>
    <w:rsid w:val="15D90FEF"/>
    <w:rsid w:val="15E46AA2"/>
    <w:rsid w:val="160E81B7"/>
    <w:rsid w:val="161B60BA"/>
    <w:rsid w:val="162F239B"/>
    <w:rsid w:val="1641C892"/>
    <w:rsid w:val="166B8F6D"/>
    <w:rsid w:val="16943D00"/>
    <w:rsid w:val="16A49AA0"/>
    <w:rsid w:val="16B1194C"/>
    <w:rsid w:val="16F2A862"/>
    <w:rsid w:val="1700F2D9"/>
    <w:rsid w:val="17174866"/>
    <w:rsid w:val="17467321"/>
    <w:rsid w:val="174CE9D9"/>
    <w:rsid w:val="17AC5C40"/>
    <w:rsid w:val="17B307C0"/>
    <w:rsid w:val="17B428F1"/>
    <w:rsid w:val="184A8376"/>
    <w:rsid w:val="1854A976"/>
    <w:rsid w:val="19171D1B"/>
    <w:rsid w:val="1917CA5F"/>
    <w:rsid w:val="193DD97A"/>
    <w:rsid w:val="193FDF5E"/>
    <w:rsid w:val="1960EE29"/>
    <w:rsid w:val="1961BD59"/>
    <w:rsid w:val="19914798"/>
    <w:rsid w:val="199AD07B"/>
    <w:rsid w:val="19BA1856"/>
    <w:rsid w:val="19E806B2"/>
    <w:rsid w:val="19EE78DC"/>
    <w:rsid w:val="1A5E8123"/>
    <w:rsid w:val="1A7C1BE9"/>
    <w:rsid w:val="1A816FCC"/>
    <w:rsid w:val="1A8C7A3E"/>
    <w:rsid w:val="1AAACD15"/>
    <w:rsid w:val="1AC4A2E2"/>
    <w:rsid w:val="1ADBE924"/>
    <w:rsid w:val="1B010604"/>
    <w:rsid w:val="1B4D0689"/>
    <w:rsid w:val="1B88EAA6"/>
    <w:rsid w:val="1B990749"/>
    <w:rsid w:val="1BC725F1"/>
    <w:rsid w:val="1BD0BC73"/>
    <w:rsid w:val="1BE27922"/>
    <w:rsid w:val="1BE89072"/>
    <w:rsid w:val="1C2146D0"/>
    <w:rsid w:val="1C44C4D5"/>
    <w:rsid w:val="1C57C35E"/>
    <w:rsid w:val="1C628F28"/>
    <w:rsid w:val="1C90CDFF"/>
    <w:rsid w:val="1CBCF782"/>
    <w:rsid w:val="1CE4BA02"/>
    <w:rsid w:val="1CEAD01A"/>
    <w:rsid w:val="1CF19BF1"/>
    <w:rsid w:val="1D120C4A"/>
    <w:rsid w:val="1D14BBA6"/>
    <w:rsid w:val="1D596F08"/>
    <w:rsid w:val="1D68AB76"/>
    <w:rsid w:val="1D9CB985"/>
    <w:rsid w:val="1DA65F8E"/>
    <w:rsid w:val="1DC5BE8A"/>
    <w:rsid w:val="1DC5E47C"/>
    <w:rsid w:val="1E4A892C"/>
    <w:rsid w:val="1E7FD8D7"/>
    <w:rsid w:val="1E9B432C"/>
    <w:rsid w:val="1EBCC31D"/>
    <w:rsid w:val="1EE3D683"/>
    <w:rsid w:val="1EF1FE0C"/>
    <w:rsid w:val="1F03D3C3"/>
    <w:rsid w:val="1F1FFDFD"/>
    <w:rsid w:val="1F3A23F3"/>
    <w:rsid w:val="1F3E369D"/>
    <w:rsid w:val="1F433AA7"/>
    <w:rsid w:val="1F4B6E48"/>
    <w:rsid w:val="1F6B3D39"/>
    <w:rsid w:val="1F7EB4B9"/>
    <w:rsid w:val="1F81281E"/>
    <w:rsid w:val="1FADECAF"/>
    <w:rsid w:val="1FD884E9"/>
    <w:rsid w:val="2004E8EE"/>
    <w:rsid w:val="205C60A3"/>
    <w:rsid w:val="206FD8A0"/>
    <w:rsid w:val="207777EA"/>
    <w:rsid w:val="208D4D0E"/>
    <w:rsid w:val="209E6073"/>
    <w:rsid w:val="20D5277F"/>
    <w:rsid w:val="20DC5C10"/>
    <w:rsid w:val="20EF1CD1"/>
    <w:rsid w:val="2131CF0D"/>
    <w:rsid w:val="2184F6A4"/>
    <w:rsid w:val="21BBD729"/>
    <w:rsid w:val="22070A1E"/>
    <w:rsid w:val="2243D39C"/>
    <w:rsid w:val="225FDA00"/>
    <w:rsid w:val="2263E06B"/>
    <w:rsid w:val="229AC898"/>
    <w:rsid w:val="229BC260"/>
    <w:rsid w:val="22E4C172"/>
    <w:rsid w:val="22FEF852"/>
    <w:rsid w:val="2301EF51"/>
    <w:rsid w:val="235CFBEC"/>
    <w:rsid w:val="2364DDDF"/>
    <w:rsid w:val="236C566F"/>
    <w:rsid w:val="23852677"/>
    <w:rsid w:val="23B1FF05"/>
    <w:rsid w:val="23B922B1"/>
    <w:rsid w:val="2419EDDE"/>
    <w:rsid w:val="24500536"/>
    <w:rsid w:val="249637CE"/>
    <w:rsid w:val="249AD012"/>
    <w:rsid w:val="24A75F7E"/>
    <w:rsid w:val="24BEE5A3"/>
    <w:rsid w:val="24C1C2D5"/>
    <w:rsid w:val="24DC3184"/>
    <w:rsid w:val="24E9211A"/>
    <w:rsid w:val="24F61A29"/>
    <w:rsid w:val="253E02DD"/>
    <w:rsid w:val="257F9EA1"/>
    <w:rsid w:val="259692CF"/>
    <w:rsid w:val="25C4C649"/>
    <w:rsid w:val="2607458B"/>
    <w:rsid w:val="26088EF5"/>
    <w:rsid w:val="262D0BA8"/>
    <w:rsid w:val="2637D4CA"/>
    <w:rsid w:val="265738D7"/>
    <w:rsid w:val="268CCD5C"/>
    <w:rsid w:val="269EC82E"/>
    <w:rsid w:val="26C25C71"/>
    <w:rsid w:val="26DFD867"/>
    <w:rsid w:val="26F06B53"/>
    <w:rsid w:val="2710A1F6"/>
    <w:rsid w:val="2728EDC9"/>
    <w:rsid w:val="2742C1BE"/>
    <w:rsid w:val="2792D28C"/>
    <w:rsid w:val="279F6A28"/>
    <w:rsid w:val="2800E262"/>
    <w:rsid w:val="284D2300"/>
    <w:rsid w:val="289C7718"/>
    <w:rsid w:val="289CAB38"/>
    <w:rsid w:val="28A2F6B7"/>
    <w:rsid w:val="28C5A095"/>
    <w:rsid w:val="28D2836B"/>
    <w:rsid w:val="28FECE98"/>
    <w:rsid w:val="29203C9E"/>
    <w:rsid w:val="297877FC"/>
    <w:rsid w:val="29888C76"/>
    <w:rsid w:val="2A0BF430"/>
    <w:rsid w:val="2A0CA0D8"/>
    <w:rsid w:val="2A7493D4"/>
    <w:rsid w:val="2A77FD41"/>
    <w:rsid w:val="2AB0CA54"/>
    <w:rsid w:val="2AC6B607"/>
    <w:rsid w:val="2B5027C4"/>
    <w:rsid w:val="2BA22E11"/>
    <w:rsid w:val="2BD2CF09"/>
    <w:rsid w:val="2C0E57D9"/>
    <w:rsid w:val="2C110C40"/>
    <w:rsid w:val="2C172815"/>
    <w:rsid w:val="2C1B7E47"/>
    <w:rsid w:val="2C311622"/>
    <w:rsid w:val="2C341347"/>
    <w:rsid w:val="2C6F489F"/>
    <w:rsid w:val="2C6F64A6"/>
    <w:rsid w:val="2C8CD464"/>
    <w:rsid w:val="2CB068E3"/>
    <w:rsid w:val="2CC3CCCA"/>
    <w:rsid w:val="2CE28807"/>
    <w:rsid w:val="2CF95313"/>
    <w:rsid w:val="2D06AA9A"/>
    <w:rsid w:val="2D12C758"/>
    <w:rsid w:val="2D215B82"/>
    <w:rsid w:val="2D25CE38"/>
    <w:rsid w:val="2D490F41"/>
    <w:rsid w:val="2D57BE47"/>
    <w:rsid w:val="2DAC7B15"/>
    <w:rsid w:val="2DBEE09C"/>
    <w:rsid w:val="2E072218"/>
    <w:rsid w:val="2E44C22E"/>
    <w:rsid w:val="2E6CFC03"/>
    <w:rsid w:val="2E9B5B62"/>
    <w:rsid w:val="2EDAC67C"/>
    <w:rsid w:val="2EE7F189"/>
    <w:rsid w:val="2F0D2996"/>
    <w:rsid w:val="2F0E5DB4"/>
    <w:rsid w:val="2F17A97A"/>
    <w:rsid w:val="2F33AA26"/>
    <w:rsid w:val="2F6C2758"/>
    <w:rsid w:val="2F73E684"/>
    <w:rsid w:val="2F7A0BC0"/>
    <w:rsid w:val="2FE92033"/>
    <w:rsid w:val="2FFF41E9"/>
    <w:rsid w:val="302E0CA8"/>
    <w:rsid w:val="3071AB90"/>
    <w:rsid w:val="30DE7FFA"/>
    <w:rsid w:val="30FE4B72"/>
    <w:rsid w:val="31116DB6"/>
    <w:rsid w:val="3150D99C"/>
    <w:rsid w:val="3182BC5A"/>
    <w:rsid w:val="3187B1D1"/>
    <w:rsid w:val="31881EEC"/>
    <w:rsid w:val="31CBAD72"/>
    <w:rsid w:val="31D0E68E"/>
    <w:rsid w:val="31F21F27"/>
    <w:rsid w:val="3204C0EB"/>
    <w:rsid w:val="3235613B"/>
    <w:rsid w:val="32500FC7"/>
    <w:rsid w:val="3251380A"/>
    <w:rsid w:val="325A8346"/>
    <w:rsid w:val="325E76B9"/>
    <w:rsid w:val="327B46D5"/>
    <w:rsid w:val="327C6DA1"/>
    <w:rsid w:val="3287BE5D"/>
    <w:rsid w:val="3297E28A"/>
    <w:rsid w:val="32C4834B"/>
    <w:rsid w:val="333551B7"/>
    <w:rsid w:val="3347BF57"/>
    <w:rsid w:val="3349DBE8"/>
    <w:rsid w:val="33512699"/>
    <w:rsid w:val="3388FFCD"/>
    <w:rsid w:val="33CADF84"/>
    <w:rsid w:val="3420471C"/>
    <w:rsid w:val="347740E2"/>
    <w:rsid w:val="34A60C89"/>
    <w:rsid w:val="34AEDC90"/>
    <w:rsid w:val="34CB18B5"/>
    <w:rsid w:val="34E20202"/>
    <w:rsid w:val="34FE5E6B"/>
    <w:rsid w:val="350DE085"/>
    <w:rsid w:val="355E0519"/>
    <w:rsid w:val="357D34F3"/>
    <w:rsid w:val="3585A43E"/>
    <w:rsid w:val="358A2747"/>
    <w:rsid w:val="359643DA"/>
    <w:rsid w:val="35A07E2C"/>
    <w:rsid w:val="35DDDEC9"/>
    <w:rsid w:val="360CC132"/>
    <w:rsid w:val="36459B90"/>
    <w:rsid w:val="36786ADD"/>
    <w:rsid w:val="37284DE2"/>
    <w:rsid w:val="3757D082"/>
    <w:rsid w:val="376F4465"/>
    <w:rsid w:val="377780F4"/>
    <w:rsid w:val="3783D7DA"/>
    <w:rsid w:val="37B4930C"/>
    <w:rsid w:val="37D4B141"/>
    <w:rsid w:val="3800950B"/>
    <w:rsid w:val="3808A92C"/>
    <w:rsid w:val="380A74D1"/>
    <w:rsid w:val="382F244C"/>
    <w:rsid w:val="3844A70D"/>
    <w:rsid w:val="38802EF2"/>
    <w:rsid w:val="38882F8D"/>
    <w:rsid w:val="388B55D2"/>
    <w:rsid w:val="388BB9BA"/>
    <w:rsid w:val="38A9886D"/>
    <w:rsid w:val="39226515"/>
    <w:rsid w:val="3931094D"/>
    <w:rsid w:val="3942FEE1"/>
    <w:rsid w:val="394A0A79"/>
    <w:rsid w:val="396E6FCF"/>
    <w:rsid w:val="397A3966"/>
    <w:rsid w:val="399E997E"/>
    <w:rsid w:val="39D0D7DC"/>
    <w:rsid w:val="39DEE109"/>
    <w:rsid w:val="3AAB034F"/>
    <w:rsid w:val="3B1995F7"/>
    <w:rsid w:val="3B1C0206"/>
    <w:rsid w:val="3B251D4D"/>
    <w:rsid w:val="3BA69EAF"/>
    <w:rsid w:val="3BB043F1"/>
    <w:rsid w:val="3BD118CF"/>
    <w:rsid w:val="3C0CC99A"/>
    <w:rsid w:val="3C0CD14C"/>
    <w:rsid w:val="3C3C8A5B"/>
    <w:rsid w:val="3C584158"/>
    <w:rsid w:val="3C69E066"/>
    <w:rsid w:val="3C6D3BC3"/>
    <w:rsid w:val="3C9ECD73"/>
    <w:rsid w:val="3CAAD012"/>
    <w:rsid w:val="3CECEECD"/>
    <w:rsid w:val="3D040487"/>
    <w:rsid w:val="3D22668E"/>
    <w:rsid w:val="3D3204AE"/>
    <w:rsid w:val="3D85DECC"/>
    <w:rsid w:val="3DACFE36"/>
    <w:rsid w:val="3DDBBE81"/>
    <w:rsid w:val="3DDF2BD8"/>
    <w:rsid w:val="3DEEEE01"/>
    <w:rsid w:val="3E0FAE52"/>
    <w:rsid w:val="3E15793A"/>
    <w:rsid w:val="3E16E9F6"/>
    <w:rsid w:val="3E32B3E8"/>
    <w:rsid w:val="3E538070"/>
    <w:rsid w:val="3E60AC23"/>
    <w:rsid w:val="3E806D3A"/>
    <w:rsid w:val="3EBC4C8A"/>
    <w:rsid w:val="3ECEFAFD"/>
    <w:rsid w:val="3EF58971"/>
    <w:rsid w:val="3F17A8EF"/>
    <w:rsid w:val="3F17FF07"/>
    <w:rsid w:val="3F1D315C"/>
    <w:rsid w:val="3F3FA192"/>
    <w:rsid w:val="3F83CDF6"/>
    <w:rsid w:val="3F8C9343"/>
    <w:rsid w:val="3FB86796"/>
    <w:rsid w:val="4002B4CE"/>
    <w:rsid w:val="4051D0D3"/>
    <w:rsid w:val="405D1B93"/>
    <w:rsid w:val="406C81D2"/>
    <w:rsid w:val="40B3D455"/>
    <w:rsid w:val="40E40CC8"/>
    <w:rsid w:val="4108D0D4"/>
    <w:rsid w:val="412869EB"/>
    <w:rsid w:val="413D786E"/>
    <w:rsid w:val="4150D418"/>
    <w:rsid w:val="416A2073"/>
    <w:rsid w:val="41715AFB"/>
    <w:rsid w:val="41822098"/>
    <w:rsid w:val="41AD0499"/>
    <w:rsid w:val="41C0D588"/>
    <w:rsid w:val="41DC70F5"/>
    <w:rsid w:val="420862C1"/>
    <w:rsid w:val="42203B58"/>
    <w:rsid w:val="423D0596"/>
    <w:rsid w:val="423E4F07"/>
    <w:rsid w:val="424E0735"/>
    <w:rsid w:val="42A45699"/>
    <w:rsid w:val="42CC08B8"/>
    <w:rsid w:val="42DF4AB6"/>
    <w:rsid w:val="4316E604"/>
    <w:rsid w:val="433B3C4A"/>
    <w:rsid w:val="437DFD0F"/>
    <w:rsid w:val="43A870F7"/>
    <w:rsid w:val="4407E7FB"/>
    <w:rsid w:val="4426DFE1"/>
    <w:rsid w:val="4438455E"/>
    <w:rsid w:val="443AED5E"/>
    <w:rsid w:val="444E6E9C"/>
    <w:rsid w:val="445335FB"/>
    <w:rsid w:val="4462FE9D"/>
    <w:rsid w:val="4469B2F2"/>
    <w:rsid w:val="44836ED4"/>
    <w:rsid w:val="4499BAA5"/>
    <w:rsid w:val="44A07AAD"/>
    <w:rsid w:val="44A976FB"/>
    <w:rsid w:val="44DB407A"/>
    <w:rsid w:val="44EEEC92"/>
    <w:rsid w:val="45137C2A"/>
    <w:rsid w:val="451F9968"/>
    <w:rsid w:val="4523062B"/>
    <w:rsid w:val="45247BA0"/>
    <w:rsid w:val="4560FA89"/>
    <w:rsid w:val="4582BB53"/>
    <w:rsid w:val="4598E6A4"/>
    <w:rsid w:val="460D1A65"/>
    <w:rsid w:val="461BEC0D"/>
    <w:rsid w:val="46214441"/>
    <w:rsid w:val="462E1396"/>
    <w:rsid w:val="468A3633"/>
    <w:rsid w:val="46924DBA"/>
    <w:rsid w:val="46979A30"/>
    <w:rsid w:val="46A562FF"/>
    <w:rsid w:val="46BAE376"/>
    <w:rsid w:val="46DF94F8"/>
    <w:rsid w:val="46E47E48"/>
    <w:rsid w:val="46F56439"/>
    <w:rsid w:val="46FF5C12"/>
    <w:rsid w:val="47245AF4"/>
    <w:rsid w:val="472DC4F7"/>
    <w:rsid w:val="473B5657"/>
    <w:rsid w:val="478860AB"/>
    <w:rsid w:val="47B936BE"/>
    <w:rsid w:val="47FEC1C6"/>
    <w:rsid w:val="4815BE84"/>
    <w:rsid w:val="48218EF1"/>
    <w:rsid w:val="48295D46"/>
    <w:rsid w:val="485FAE5A"/>
    <w:rsid w:val="486499DA"/>
    <w:rsid w:val="48AAC37E"/>
    <w:rsid w:val="48EB39C9"/>
    <w:rsid w:val="48F3494B"/>
    <w:rsid w:val="48F86298"/>
    <w:rsid w:val="49099B3C"/>
    <w:rsid w:val="4915D024"/>
    <w:rsid w:val="492F3B11"/>
    <w:rsid w:val="4973997C"/>
    <w:rsid w:val="497499CC"/>
    <w:rsid w:val="498C530A"/>
    <w:rsid w:val="49934B01"/>
    <w:rsid w:val="49B025D2"/>
    <w:rsid w:val="49B0D325"/>
    <w:rsid w:val="49BE601B"/>
    <w:rsid w:val="49C0B81A"/>
    <w:rsid w:val="4A186683"/>
    <w:rsid w:val="4A7EFD49"/>
    <w:rsid w:val="4AB2FC39"/>
    <w:rsid w:val="4AE905E2"/>
    <w:rsid w:val="4AF75BB0"/>
    <w:rsid w:val="4B425A29"/>
    <w:rsid w:val="4B80B306"/>
    <w:rsid w:val="4B921443"/>
    <w:rsid w:val="4B9B3167"/>
    <w:rsid w:val="4BAC2AAA"/>
    <w:rsid w:val="4BDB40B8"/>
    <w:rsid w:val="4BDC77DF"/>
    <w:rsid w:val="4C089D8B"/>
    <w:rsid w:val="4C60750A"/>
    <w:rsid w:val="4C6E42B6"/>
    <w:rsid w:val="4C878AC5"/>
    <w:rsid w:val="4C88189B"/>
    <w:rsid w:val="4C9386D3"/>
    <w:rsid w:val="4CD69F94"/>
    <w:rsid w:val="4CE763FC"/>
    <w:rsid w:val="4D1D558A"/>
    <w:rsid w:val="4D22A390"/>
    <w:rsid w:val="4D3D01A6"/>
    <w:rsid w:val="4D483697"/>
    <w:rsid w:val="4D509CA2"/>
    <w:rsid w:val="4D52B440"/>
    <w:rsid w:val="4D704BC5"/>
    <w:rsid w:val="4D88A7D4"/>
    <w:rsid w:val="4DD38BFF"/>
    <w:rsid w:val="4DDCDE13"/>
    <w:rsid w:val="4DFA7AFE"/>
    <w:rsid w:val="4E23D861"/>
    <w:rsid w:val="4E3A2CD3"/>
    <w:rsid w:val="4EBF95A8"/>
    <w:rsid w:val="4EDE2FD7"/>
    <w:rsid w:val="4EE36063"/>
    <w:rsid w:val="4EFD6C78"/>
    <w:rsid w:val="4F02DB3D"/>
    <w:rsid w:val="4F0858EA"/>
    <w:rsid w:val="4F427C90"/>
    <w:rsid w:val="4F58B084"/>
    <w:rsid w:val="4F7760FD"/>
    <w:rsid w:val="4F960A28"/>
    <w:rsid w:val="4F971035"/>
    <w:rsid w:val="4F9FB0BF"/>
    <w:rsid w:val="4FA1CE01"/>
    <w:rsid w:val="4FA7B6D4"/>
    <w:rsid w:val="4FBDDD9F"/>
    <w:rsid w:val="4FD40FA1"/>
    <w:rsid w:val="4FF7BAE2"/>
    <w:rsid w:val="503ECBD3"/>
    <w:rsid w:val="50557D9D"/>
    <w:rsid w:val="507F6728"/>
    <w:rsid w:val="509B2639"/>
    <w:rsid w:val="50CB4A4E"/>
    <w:rsid w:val="50D118C5"/>
    <w:rsid w:val="50D84131"/>
    <w:rsid w:val="51E17B4A"/>
    <w:rsid w:val="51FB10D4"/>
    <w:rsid w:val="5215C347"/>
    <w:rsid w:val="5244A217"/>
    <w:rsid w:val="524F5ED3"/>
    <w:rsid w:val="525CF754"/>
    <w:rsid w:val="528DFBCE"/>
    <w:rsid w:val="52928B5A"/>
    <w:rsid w:val="52BB417F"/>
    <w:rsid w:val="53365B07"/>
    <w:rsid w:val="53798305"/>
    <w:rsid w:val="539BC5FD"/>
    <w:rsid w:val="53AD59B2"/>
    <w:rsid w:val="53B82889"/>
    <w:rsid w:val="53F0BAE7"/>
    <w:rsid w:val="540E0628"/>
    <w:rsid w:val="545CA2F1"/>
    <w:rsid w:val="547663CB"/>
    <w:rsid w:val="54856CF4"/>
    <w:rsid w:val="5497776C"/>
    <w:rsid w:val="54AFF874"/>
    <w:rsid w:val="54CD7D4E"/>
    <w:rsid w:val="54DAC6AE"/>
    <w:rsid w:val="54E2268E"/>
    <w:rsid w:val="54F25276"/>
    <w:rsid w:val="54F6D884"/>
    <w:rsid w:val="5518D06F"/>
    <w:rsid w:val="5540B4CB"/>
    <w:rsid w:val="556030FB"/>
    <w:rsid w:val="5569FE36"/>
    <w:rsid w:val="556F2494"/>
    <w:rsid w:val="55963428"/>
    <w:rsid w:val="55D998A7"/>
    <w:rsid w:val="564C8BD3"/>
    <w:rsid w:val="566127EF"/>
    <w:rsid w:val="5683C6E2"/>
    <w:rsid w:val="56D0E4F5"/>
    <w:rsid w:val="56D78EE0"/>
    <w:rsid w:val="56E81902"/>
    <w:rsid w:val="576B4826"/>
    <w:rsid w:val="57D476BC"/>
    <w:rsid w:val="57E62FC1"/>
    <w:rsid w:val="580F380E"/>
    <w:rsid w:val="582A9F21"/>
    <w:rsid w:val="58681FE5"/>
    <w:rsid w:val="589855E7"/>
    <w:rsid w:val="58A5D39B"/>
    <w:rsid w:val="58D891A3"/>
    <w:rsid w:val="58DB57F0"/>
    <w:rsid w:val="58F008D0"/>
    <w:rsid w:val="591607B2"/>
    <w:rsid w:val="5918E82E"/>
    <w:rsid w:val="594FD949"/>
    <w:rsid w:val="59B06719"/>
    <w:rsid w:val="59CC399E"/>
    <w:rsid w:val="59F0001D"/>
    <w:rsid w:val="5A25E617"/>
    <w:rsid w:val="5A3CAE82"/>
    <w:rsid w:val="5A52EC0A"/>
    <w:rsid w:val="5A5419BA"/>
    <w:rsid w:val="5A6AB2E8"/>
    <w:rsid w:val="5A7F1915"/>
    <w:rsid w:val="5ABA7C75"/>
    <w:rsid w:val="5ACA9105"/>
    <w:rsid w:val="5B084D48"/>
    <w:rsid w:val="5B44CAD1"/>
    <w:rsid w:val="5B7DBF6C"/>
    <w:rsid w:val="5BCDD32B"/>
    <w:rsid w:val="5C177572"/>
    <w:rsid w:val="5C422492"/>
    <w:rsid w:val="5C7B1984"/>
    <w:rsid w:val="5C864788"/>
    <w:rsid w:val="5CBA3A02"/>
    <w:rsid w:val="5CBBDD1F"/>
    <w:rsid w:val="5CD96484"/>
    <w:rsid w:val="5CE4FA56"/>
    <w:rsid w:val="5D00192F"/>
    <w:rsid w:val="5D06CEA6"/>
    <w:rsid w:val="5D1599F7"/>
    <w:rsid w:val="5D32DBB3"/>
    <w:rsid w:val="5D3C34D0"/>
    <w:rsid w:val="5D6209B5"/>
    <w:rsid w:val="5D68D18F"/>
    <w:rsid w:val="5D6BAC87"/>
    <w:rsid w:val="5D7F4447"/>
    <w:rsid w:val="5D80FF73"/>
    <w:rsid w:val="5DF6C454"/>
    <w:rsid w:val="5E31D7D5"/>
    <w:rsid w:val="5E592D45"/>
    <w:rsid w:val="5E8F422A"/>
    <w:rsid w:val="5EB1D900"/>
    <w:rsid w:val="5EB9E7A0"/>
    <w:rsid w:val="5EF7F681"/>
    <w:rsid w:val="5F372292"/>
    <w:rsid w:val="5F613559"/>
    <w:rsid w:val="5F6C77BD"/>
    <w:rsid w:val="5F7C73FD"/>
    <w:rsid w:val="5FAB6C2F"/>
    <w:rsid w:val="5FDE99A8"/>
    <w:rsid w:val="6004C974"/>
    <w:rsid w:val="6019EDAA"/>
    <w:rsid w:val="601AAEB3"/>
    <w:rsid w:val="6021FB2A"/>
    <w:rsid w:val="607533F6"/>
    <w:rsid w:val="609DEA04"/>
    <w:rsid w:val="60A569E0"/>
    <w:rsid w:val="612730CD"/>
    <w:rsid w:val="612E716B"/>
    <w:rsid w:val="61416DF6"/>
    <w:rsid w:val="618533D5"/>
    <w:rsid w:val="61B94F8B"/>
    <w:rsid w:val="61CE69CA"/>
    <w:rsid w:val="61D88A08"/>
    <w:rsid w:val="6229529F"/>
    <w:rsid w:val="622F6E67"/>
    <w:rsid w:val="62809348"/>
    <w:rsid w:val="62C4791D"/>
    <w:rsid w:val="62E53CAC"/>
    <w:rsid w:val="630F29C9"/>
    <w:rsid w:val="632DE1D7"/>
    <w:rsid w:val="633817D9"/>
    <w:rsid w:val="6367A516"/>
    <w:rsid w:val="6372D66B"/>
    <w:rsid w:val="63BEA9AB"/>
    <w:rsid w:val="63C8B853"/>
    <w:rsid w:val="63F6F24F"/>
    <w:rsid w:val="64322217"/>
    <w:rsid w:val="6433112F"/>
    <w:rsid w:val="644ECE00"/>
    <w:rsid w:val="6490369F"/>
    <w:rsid w:val="64A4E072"/>
    <w:rsid w:val="64CFA4E4"/>
    <w:rsid w:val="64D5CA1B"/>
    <w:rsid w:val="65452258"/>
    <w:rsid w:val="654C7D4C"/>
    <w:rsid w:val="65520D6C"/>
    <w:rsid w:val="6557528C"/>
    <w:rsid w:val="657B7220"/>
    <w:rsid w:val="65818DFB"/>
    <w:rsid w:val="65923732"/>
    <w:rsid w:val="65BE12CD"/>
    <w:rsid w:val="66051AEA"/>
    <w:rsid w:val="6647E6CB"/>
    <w:rsid w:val="6655EE04"/>
    <w:rsid w:val="667A8DD2"/>
    <w:rsid w:val="669E9F90"/>
    <w:rsid w:val="66AA98A3"/>
    <w:rsid w:val="66AD5A1E"/>
    <w:rsid w:val="66E7A921"/>
    <w:rsid w:val="66FE229F"/>
    <w:rsid w:val="673CCE31"/>
    <w:rsid w:val="6753EFE2"/>
    <w:rsid w:val="6791EB3C"/>
    <w:rsid w:val="67A93D79"/>
    <w:rsid w:val="6812EB7A"/>
    <w:rsid w:val="6878C7FD"/>
    <w:rsid w:val="68BB89A2"/>
    <w:rsid w:val="68CD4F6B"/>
    <w:rsid w:val="693B9F2E"/>
    <w:rsid w:val="694AE14B"/>
    <w:rsid w:val="69609DB4"/>
    <w:rsid w:val="699B7375"/>
    <w:rsid w:val="69ABC8D4"/>
    <w:rsid w:val="69DE3A87"/>
    <w:rsid w:val="69EC765F"/>
    <w:rsid w:val="69F795AD"/>
    <w:rsid w:val="6A0449B9"/>
    <w:rsid w:val="6A340BC3"/>
    <w:rsid w:val="6A4A5802"/>
    <w:rsid w:val="6A527AED"/>
    <w:rsid w:val="6A891C58"/>
    <w:rsid w:val="6A9EF540"/>
    <w:rsid w:val="6AC1ACE1"/>
    <w:rsid w:val="6AF32FB9"/>
    <w:rsid w:val="6B016130"/>
    <w:rsid w:val="6B4CC1C7"/>
    <w:rsid w:val="6BA0ED3B"/>
    <w:rsid w:val="6BAF6265"/>
    <w:rsid w:val="6BC8277E"/>
    <w:rsid w:val="6BEEA837"/>
    <w:rsid w:val="6BF21985"/>
    <w:rsid w:val="6BFC6CB4"/>
    <w:rsid w:val="6C46CF3D"/>
    <w:rsid w:val="6CB36347"/>
    <w:rsid w:val="6CD02873"/>
    <w:rsid w:val="6CD6CBB5"/>
    <w:rsid w:val="6CE458A2"/>
    <w:rsid w:val="6CEF3351"/>
    <w:rsid w:val="6D079899"/>
    <w:rsid w:val="6D145AEF"/>
    <w:rsid w:val="6D21C08C"/>
    <w:rsid w:val="6D71E09D"/>
    <w:rsid w:val="6D82CFC3"/>
    <w:rsid w:val="6D8F98D1"/>
    <w:rsid w:val="6D98FD43"/>
    <w:rsid w:val="6DA39E17"/>
    <w:rsid w:val="6DB319DC"/>
    <w:rsid w:val="6DB78516"/>
    <w:rsid w:val="6DE7087C"/>
    <w:rsid w:val="6E3ACE3D"/>
    <w:rsid w:val="6EB15743"/>
    <w:rsid w:val="6ECDDACA"/>
    <w:rsid w:val="6F3AA038"/>
    <w:rsid w:val="6F995ABD"/>
    <w:rsid w:val="6FA4A147"/>
    <w:rsid w:val="6FB52FCD"/>
    <w:rsid w:val="6FFA7AEC"/>
    <w:rsid w:val="70127BB5"/>
    <w:rsid w:val="7022C85A"/>
    <w:rsid w:val="7028CF4F"/>
    <w:rsid w:val="7045B4A7"/>
    <w:rsid w:val="7048F6CB"/>
    <w:rsid w:val="704C72FA"/>
    <w:rsid w:val="705F9A0C"/>
    <w:rsid w:val="70A88387"/>
    <w:rsid w:val="70EE3032"/>
    <w:rsid w:val="711E1A51"/>
    <w:rsid w:val="713CB130"/>
    <w:rsid w:val="7149FBAD"/>
    <w:rsid w:val="71765661"/>
    <w:rsid w:val="71816C85"/>
    <w:rsid w:val="718F085C"/>
    <w:rsid w:val="7195BE91"/>
    <w:rsid w:val="71CC00CF"/>
    <w:rsid w:val="71D0F074"/>
    <w:rsid w:val="71D53BE1"/>
    <w:rsid w:val="71F02D53"/>
    <w:rsid w:val="71F9F0D5"/>
    <w:rsid w:val="720F2A39"/>
    <w:rsid w:val="727D0BFF"/>
    <w:rsid w:val="72834C40"/>
    <w:rsid w:val="72994506"/>
    <w:rsid w:val="72AB8EA5"/>
    <w:rsid w:val="72B3FC05"/>
    <w:rsid w:val="72BEC36D"/>
    <w:rsid w:val="72CC5D60"/>
    <w:rsid w:val="72D1CBA4"/>
    <w:rsid w:val="73078E15"/>
    <w:rsid w:val="730AE89A"/>
    <w:rsid w:val="7315ECC2"/>
    <w:rsid w:val="732CF598"/>
    <w:rsid w:val="73442181"/>
    <w:rsid w:val="734F875C"/>
    <w:rsid w:val="73AEBCBD"/>
    <w:rsid w:val="73C245BB"/>
    <w:rsid w:val="73C9455A"/>
    <w:rsid w:val="73DC2CC5"/>
    <w:rsid w:val="73E9C3A0"/>
    <w:rsid w:val="73FD4815"/>
    <w:rsid w:val="7483B101"/>
    <w:rsid w:val="7496A35E"/>
    <w:rsid w:val="749F3A84"/>
    <w:rsid w:val="74A081F7"/>
    <w:rsid w:val="74CA05B4"/>
    <w:rsid w:val="752142D3"/>
    <w:rsid w:val="75444C13"/>
    <w:rsid w:val="7575891B"/>
    <w:rsid w:val="75849078"/>
    <w:rsid w:val="75EEA6AF"/>
    <w:rsid w:val="760769A8"/>
    <w:rsid w:val="76296079"/>
    <w:rsid w:val="762E9EBF"/>
    <w:rsid w:val="7630EE6B"/>
    <w:rsid w:val="76386DFC"/>
    <w:rsid w:val="763EC78F"/>
    <w:rsid w:val="7644C052"/>
    <w:rsid w:val="76455581"/>
    <w:rsid w:val="7648DF86"/>
    <w:rsid w:val="767A2CE8"/>
    <w:rsid w:val="768EC0E1"/>
    <w:rsid w:val="76940E7F"/>
    <w:rsid w:val="769DC155"/>
    <w:rsid w:val="76C72551"/>
    <w:rsid w:val="76E72E2A"/>
    <w:rsid w:val="7706B31C"/>
    <w:rsid w:val="772C99D9"/>
    <w:rsid w:val="77307F41"/>
    <w:rsid w:val="77322863"/>
    <w:rsid w:val="7732F39F"/>
    <w:rsid w:val="7738C1D1"/>
    <w:rsid w:val="774303BF"/>
    <w:rsid w:val="77478276"/>
    <w:rsid w:val="775715B1"/>
    <w:rsid w:val="7782D645"/>
    <w:rsid w:val="77A88EAD"/>
    <w:rsid w:val="77AB5A8C"/>
    <w:rsid w:val="77B36FDD"/>
    <w:rsid w:val="77E339A2"/>
    <w:rsid w:val="77ECE4EF"/>
    <w:rsid w:val="77F5927F"/>
    <w:rsid w:val="782F70AF"/>
    <w:rsid w:val="78366110"/>
    <w:rsid w:val="784D3C0B"/>
    <w:rsid w:val="788EC718"/>
    <w:rsid w:val="78A3DCAD"/>
    <w:rsid w:val="78D4D457"/>
    <w:rsid w:val="78FE7419"/>
    <w:rsid w:val="79101521"/>
    <w:rsid w:val="79113F76"/>
    <w:rsid w:val="7912ED82"/>
    <w:rsid w:val="79236616"/>
    <w:rsid w:val="7937E0F1"/>
    <w:rsid w:val="793F7991"/>
    <w:rsid w:val="7942A75C"/>
    <w:rsid w:val="7960B51F"/>
    <w:rsid w:val="79B60A1A"/>
    <w:rsid w:val="79C6C823"/>
    <w:rsid w:val="79D024F9"/>
    <w:rsid w:val="7A0BBB8E"/>
    <w:rsid w:val="7A0E9BFF"/>
    <w:rsid w:val="7A11F425"/>
    <w:rsid w:val="7A17523F"/>
    <w:rsid w:val="7A507055"/>
    <w:rsid w:val="7A693F85"/>
    <w:rsid w:val="7A9016B5"/>
    <w:rsid w:val="7A98BC5D"/>
    <w:rsid w:val="7AD47A1A"/>
    <w:rsid w:val="7B17FD9B"/>
    <w:rsid w:val="7B33A2A4"/>
    <w:rsid w:val="7B3C002B"/>
    <w:rsid w:val="7B446217"/>
    <w:rsid w:val="7BB66CED"/>
    <w:rsid w:val="7BB994C7"/>
    <w:rsid w:val="7BD1FDE2"/>
    <w:rsid w:val="7C11FD4B"/>
    <w:rsid w:val="7C24A31B"/>
    <w:rsid w:val="7C2F3D09"/>
    <w:rsid w:val="7C4DA601"/>
    <w:rsid w:val="7C86ED8D"/>
    <w:rsid w:val="7CBA6B9F"/>
    <w:rsid w:val="7CDAF768"/>
    <w:rsid w:val="7CE0139F"/>
    <w:rsid w:val="7D5FD29C"/>
    <w:rsid w:val="7D62A91B"/>
    <w:rsid w:val="7DA0A4CA"/>
    <w:rsid w:val="7DA7F14E"/>
    <w:rsid w:val="7DDE4C8B"/>
    <w:rsid w:val="7DDE8754"/>
    <w:rsid w:val="7DEF1FCE"/>
    <w:rsid w:val="7E095467"/>
    <w:rsid w:val="7E1D1677"/>
    <w:rsid w:val="7E29C97E"/>
    <w:rsid w:val="7E2A27DB"/>
    <w:rsid w:val="7E424D1A"/>
    <w:rsid w:val="7E554F03"/>
    <w:rsid w:val="7E91DEE1"/>
    <w:rsid w:val="7E97065A"/>
    <w:rsid w:val="7E9CA9ED"/>
    <w:rsid w:val="7EE7094B"/>
    <w:rsid w:val="7EE9DE21"/>
    <w:rsid w:val="7F026662"/>
    <w:rsid w:val="7F0987DA"/>
    <w:rsid w:val="7F15ACDA"/>
    <w:rsid w:val="7F1FBE63"/>
    <w:rsid w:val="7F2353EA"/>
    <w:rsid w:val="7F3FE6B7"/>
    <w:rsid w:val="7FA6DD94"/>
    <w:rsid w:val="7FDC6EB2"/>
    <w:rsid w:val="7FE15664"/>
    <w:rsid w:val="7FEEB1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C0DE"/>
  <w15:docId w15:val="{8BAE21BF-7E74-43D5-918E-7CCE9754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667"/>
    <w:pPr>
      <w:spacing w:before="120" w:after="120" w:line="240" w:lineRule="auto"/>
    </w:pPr>
    <w:rPr>
      <w:rFonts w:ascii="Calibri Light" w:eastAsia="Times New Roman" w:hAnsi="Calibri Light" w:cs="Times New Roman"/>
      <w:kern w:val="16"/>
      <w:szCs w:val="20"/>
      <w:lang w:eastAsia="en-AU"/>
    </w:rPr>
  </w:style>
  <w:style w:type="paragraph" w:styleId="Heading1">
    <w:name w:val="heading 1"/>
    <w:basedOn w:val="HeadingBase"/>
    <w:next w:val="Normal"/>
    <w:link w:val="Heading1Char"/>
    <w:qFormat/>
    <w:rsid w:val="00037C32"/>
    <w:pPr>
      <w:keepLines/>
      <w:spacing w:before="120" w:line="560" w:lineRule="exact"/>
      <w:outlineLvl w:val="0"/>
    </w:pPr>
    <w:rPr>
      <w:b/>
      <w:bCs w:val="0"/>
      <w:color w:val="082C44"/>
      <w:sz w:val="56"/>
    </w:rPr>
  </w:style>
  <w:style w:type="paragraph" w:styleId="Heading2">
    <w:name w:val="heading 2"/>
    <w:basedOn w:val="HeadingBase"/>
    <w:next w:val="Normal"/>
    <w:link w:val="Heading2Char"/>
    <w:qFormat/>
    <w:rsid w:val="00430CF7"/>
    <w:pPr>
      <w:spacing w:before="360" w:after="240" w:line="400" w:lineRule="exact"/>
      <w:outlineLvl w:val="1"/>
    </w:pPr>
    <w:rPr>
      <w:b/>
      <w:bCs w:val="0"/>
      <w:iCs/>
      <w:color w:val="216364"/>
      <w:sz w:val="36"/>
      <w:szCs w:val="28"/>
    </w:rPr>
  </w:style>
  <w:style w:type="paragraph" w:styleId="Heading3">
    <w:name w:val="heading 3"/>
    <w:basedOn w:val="HeadingBase"/>
    <w:next w:val="Normal"/>
    <w:link w:val="Heading3Char"/>
    <w:qFormat/>
    <w:rsid w:val="00CB2E1B"/>
    <w:pPr>
      <w:spacing w:before="240" w:after="0"/>
      <w:outlineLvl w:val="2"/>
    </w:pPr>
    <w:rPr>
      <w:b/>
      <w:bCs w:val="0"/>
      <w:color w:val="082C44"/>
      <w:sz w:val="28"/>
      <w:szCs w:val="26"/>
    </w:rPr>
  </w:style>
  <w:style w:type="paragraph" w:styleId="Heading4">
    <w:name w:val="heading 4"/>
    <w:basedOn w:val="HeadingBase"/>
    <w:next w:val="Normal"/>
    <w:link w:val="Heading4Char"/>
    <w:qFormat/>
    <w:rsid w:val="009F56A9"/>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9F56A9"/>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9F56A9"/>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7C32"/>
    <w:rPr>
      <w:rFonts w:ascii="Calibri" w:eastAsia="Times New Roman" w:hAnsi="Calibri" w:cs="Arial"/>
      <w:b/>
      <w:color w:val="082C44"/>
      <w:kern w:val="32"/>
      <w:sz w:val="56"/>
      <w:szCs w:val="36"/>
      <w:lang w:eastAsia="en-AU"/>
    </w:rPr>
  </w:style>
  <w:style w:type="character" w:customStyle="1" w:styleId="Heading2Char">
    <w:name w:val="Heading 2 Char"/>
    <w:basedOn w:val="DefaultParagraphFont"/>
    <w:link w:val="Heading2"/>
    <w:rsid w:val="00430CF7"/>
    <w:rPr>
      <w:rFonts w:ascii="Calibri" w:eastAsia="Times New Roman" w:hAnsi="Calibri" w:cs="Arial"/>
      <w:b/>
      <w:iCs/>
      <w:color w:val="216364"/>
      <w:kern w:val="32"/>
      <w:sz w:val="36"/>
      <w:szCs w:val="28"/>
      <w:lang w:eastAsia="en-AU"/>
    </w:rPr>
  </w:style>
  <w:style w:type="character" w:customStyle="1" w:styleId="Heading3Char">
    <w:name w:val="Heading 3 Char"/>
    <w:basedOn w:val="DefaultParagraphFont"/>
    <w:link w:val="Heading3"/>
    <w:rsid w:val="00CB2E1B"/>
    <w:rPr>
      <w:rFonts w:ascii="Calibri" w:eastAsia="Times New Roman" w:hAnsi="Calibri" w:cs="Arial"/>
      <w:b/>
      <w:color w:val="082C44"/>
      <w:kern w:val="32"/>
      <w:sz w:val="28"/>
      <w:szCs w:val="26"/>
      <w:lang w:eastAsia="en-AU"/>
    </w:rPr>
  </w:style>
  <w:style w:type="character" w:customStyle="1" w:styleId="Heading4Char">
    <w:name w:val="Heading 4 Char"/>
    <w:basedOn w:val="DefaultParagraphFont"/>
    <w:link w:val="Heading4"/>
    <w:rsid w:val="009F56A9"/>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9F56A9"/>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9F56A9"/>
    <w:rPr>
      <w:rFonts w:ascii="Calibri Light" w:eastAsia="Times New Roman" w:hAnsi="Calibri Light" w:cs="Arial"/>
      <w:color w:val="000000" w:themeColor="text1"/>
      <w:kern w:val="32"/>
      <w:lang w:eastAsia="en-AU"/>
    </w:rPr>
  </w:style>
  <w:style w:type="paragraph" w:customStyle="1" w:styleId="AlphaParagraph">
    <w:name w:val="Alpha Paragraph"/>
    <w:basedOn w:val="Normal"/>
    <w:qFormat/>
    <w:rsid w:val="009F56A9"/>
    <w:pPr>
      <w:numPr>
        <w:ilvl w:val="1"/>
        <w:numId w:val="1"/>
      </w:numPr>
      <w:spacing w:before="0"/>
    </w:pPr>
  </w:style>
  <w:style w:type="paragraph" w:customStyle="1" w:styleId="HeadingBase">
    <w:name w:val="Heading Base"/>
    <w:rsid w:val="009F56A9"/>
    <w:pPr>
      <w:keepNext/>
      <w:spacing w:after="120" w:line="240" w:lineRule="auto"/>
    </w:pPr>
    <w:rPr>
      <w:rFonts w:ascii="Calibri" w:eastAsia="Times New Roman" w:hAnsi="Calibri" w:cs="Arial"/>
      <w:bCs/>
      <w:color w:val="002C4A"/>
      <w:kern w:val="32"/>
      <w:sz w:val="48"/>
      <w:szCs w:val="36"/>
      <w:lang w:eastAsia="en-AU"/>
    </w:rPr>
  </w:style>
  <w:style w:type="paragraph" w:customStyle="1" w:styleId="AppendixHeading">
    <w:name w:val="Appendix Heading"/>
    <w:basedOn w:val="Heading1"/>
    <w:next w:val="Normal"/>
    <w:rsid w:val="009F56A9"/>
  </w:style>
  <w:style w:type="paragraph" w:styleId="BalloonText">
    <w:name w:val="Balloon Text"/>
    <w:basedOn w:val="Normal"/>
    <w:link w:val="BalloonTextChar"/>
    <w:uiPriority w:val="99"/>
    <w:semiHidden/>
    <w:unhideWhenUsed/>
    <w:rsid w:val="009F56A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6A9"/>
    <w:rPr>
      <w:rFonts w:ascii="Tahoma" w:eastAsia="Times New Roman" w:hAnsi="Tahoma" w:cs="Tahoma"/>
      <w:sz w:val="16"/>
      <w:szCs w:val="16"/>
      <w:lang w:eastAsia="en-AU"/>
    </w:rPr>
  </w:style>
  <w:style w:type="paragraph" w:customStyle="1" w:styleId="Bullet">
    <w:name w:val="Bullet"/>
    <w:basedOn w:val="Normal"/>
    <w:link w:val="BulletChar"/>
    <w:qFormat/>
    <w:rsid w:val="003917BC"/>
    <w:pPr>
      <w:numPr>
        <w:numId w:val="3"/>
      </w:numPr>
      <w:tabs>
        <w:tab w:val="left" w:pos="720"/>
      </w:tabs>
      <w:spacing w:before="0"/>
    </w:pPr>
  </w:style>
  <w:style w:type="character" w:customStyle="1" w:styleId="BulletChar">
    <w:name w:val="Bullet Char"/>
    <w:basedOn w:val="DefaultParagraphFont"/>
    <w:link w:val="Bullet"/>
    <w:locked/>
    <w:rsid w:val="003917BC"/>
    <w:rPr>
      <w:rFonts w:ascii="Calibri Light" w:eastAsia="Times New Roman" w:hAnsi="Calibri Light" w:cs="Times New Roman"/>
      <w:kern w:val="16"/>
      <w:szCs w:val="20"/>
      <w:lang w:eastAsia="en-AU"/>
    </w:rPr>
  </w:style>
  <w:style w:type="paragraph" w:customStyle="1" w:styleId="Boxbullet">
    <w:name w:val="Box bullet"/>
    <w:basedOn w:val="Bullet"/>
    <w:rsid w:val="00B81BA3"/>
    <w:pPr>
      <w:numPr>
        <w:numId w:val="4"/>
      </w:numPr>
      <w:tabs>
        <w:tab w:val="num" w:pos="520"/>
      </w:tabs>
      <w:spacing w:before="60"/>
    </w:pPr>
    <w:rPr>
      <w:color w:val="0D0D0D" w:themeColor="text1" w:themeTint="F2"/>
    </w:rPr>
  </w:style>
  <w:style w:type="numbering" w:customStyle="1" w:styleId="BoxBulletedList">
    <w:name w:val="Box Bulleted List"/>
    <w:uiPriority w:val="99"/>
    <w:rsid w:val="009F56A9"/>
    <w:pPr>
      <w:numPr>
        <w:numId w:val="2"/>
      </w:numPr>
    </w:pPr>
  </w:style>
  <w:style w:type="paragraph" w:customStyle="1" w:styleId="Dash">
    <w:name w:val="Dash"/>
    <w:basedOn w:val="Normal"/>
    <w:link w:val="DashChar"/>
    <w:qFormat/>
    <w:rsid w:val="009F56A9"/>
    <w:pPr>
      <w:numPr>
        <w:ilvl w:val="1"/>
        <w:numId w:val="3"/>
      </w:numPr>
      <w:spacing w:before="0"/>
    </w:pPr>
  </w:style>
  <w:style w:type="character" w:customStyle="1" w:styleId="DashChar">
    <w:name w:val="Dash Char"/>
    <w:basedOn w:val="DefaultParagraphFont"/>
    <w:link w:val="Dash"/>
    <w:locked/>
    <w:rsid w:val="009F56A9"/>
    <w:rPr>
      <w:rFonts w:ascii="Calibri Light" w:eastAsia="Times New Roman" w:hAnsi="Calibri Light" w:cs="Times New Roman"/>
      <w:szCs w:val="20"/>
      <w:lang w:eastAsia="en-AU"/>
    </w:rPr>
  </w:style>
  <w:style w:type="paragraph" w:customStyle="1" w:styleId="Boxdash">
    <w:name w:val="Box dash"/>
    <w:basedOn w:val="Dash"/>
    <w:rsid w:val="009F56A9"/>
    <w:pPr>
      <w:numPr>
        <w:numId w:val="4"/>
      </w:numPr>
      <w:spacing w:before="60" w:after="0" w:line="276" w:lineRule="auto"/>
    </w:pPr>
    <w:rPr>
      <w:rFonts w:eastAsiaTheme="minorHAnsi"/>
      <w:color w:val="0D0D0D" w:themeColor="text1" w:themeTint="F2"/>
      <w:lang w:eastAsia="en-US"/>
    </w:rPr>
  </w:style>
  <w:style w:type="paragraph" w:customStyle="1" w:styleId="DoubleDot">
    <w:name w:val="Double Dot"/>
    <w:basedOn w:val="Normal"/>
    <w:link w:val="DoubleDotChar"/>
    <w:qFormat/>
    <w:rsid w:val="009F56A9"/>
    <w:pPr>
      <w:numPr>
        <w:ilvl w:val="2"/>
        <w:numId w:val="3"/>
      </w:numPr>
      <w:spacing w:before="0"/>
    </w:pPr>
  </w:style>
  <w:style w:type="character" w:customStyle="1" w:styleId="DoubleDotChar">
    <w:name w:val="Double Dot Char"/>
    <w:basedOn w:val="DefaultParagraphFont"/>
    <w:link w:val="DoubleDot"/>
    <w:locked/>
    <w:rsid w:val="009F56A9"/>
    <w:rPr>
      <w:rFonts w:ascii="Calibri Light" w:eastAsia="Times New Roman" w:hAnsi="Calibri Light" w:cs="Times New Roman"/>
      <w:szCs w:val="20"/>
      <w:lang w:eastAsia="en-AU"/>
    </w:rPr>
  </w:style>
  <w:style w:type="paragraph" w:customStyle="1" w:styleId="Boxdoubledot">
    <w:name w:val="Box double dot"/>
    <w:basedOn w:val="DoubleDot"/>
    <w:rsid w:val="009F56A9"/>
    <w:pPr>
      <w:numPr>
        <w:numId w:val="4"/>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BoxHeading">
    <w:name w:val="Box Heading"/>
    <w:basedOn w:val="Normal"/>
    <w:next w:val="Normal"/>
    <w:rsid w:val="00CB2E1B"/>
    <w:pPr>
      <w:keepNext/>
      <w:spacing w:before="0"/>
    </w:pPr>
    <w:rPr>
      <w:rFonts w:ascii="Calibri" w:hAnsi="Calibri"/>
      <w:b/>
      <w:color w:val="082C44"/>
      <w:sz w:val="26"/>
      <w:szCs w:val="26"/>
    </w:rPr>
  </w:style>
  <w:style w:type="paragraph" w:customStyle="1" w:styleId="BoxText">
    <w:name w:val="Box Text"/>
    <w:basedOn w:val="Normal"/>
    <w:link w:val="BoxTextChar"/>
    <w:rsid w:val="009F56A9"/>
  </w:style>
  <w:style w:type="character" w:customStyle="1" w:styleId="BoxTextChar">
    <w:name w:val="Box Text Char"/>
    <w:basedOn w:val="DefaultParagraphFont"/>
    <w:link w:val="BoxText"/>
    <w:locked/>
    <w:rsid w:val="009F56A9"/>
    <w:rPr>
      <w:rFonts w:ascii="Calibri Light" w:eastAsia="Times New Roman" w:hAnsi="Calibri Light" w:cs="Times New Roman"/>
      <w:szCs w:val="20"/>
      <w:lang w:eastAsia="en-AU"/>
    </w:rPr>
  </w:style>
  <w:style w:type="numbering" w:customStyle="1" w:styleId="BulletedList">
    <w:name w:val="Bulleted List"/>
    <w:uiPriority w:val="99"/>
    <w:rsid w:val="009F56A9"/>
    <w:pPr>
      <w:numPr>
        <w:numId w:val="5"/>
      </w:numPr>
    </w:pPr>
  </w:style>
  <w:style w:type="paragraph" w:customStyle="1" w:styleId="ChartandTableFootnoteAlpha">
    <w:name w:val="Chart and Table Footnote Alpha"/>
    <w:rsid w:val="009F56A9"/>
    <w:pPr>
      <w:numPr>
        <w:numId w:val="6"/>
      </w:numPr>
      <w:spacing w:after="0" w:line="240" w:lineRule="auto"/>
      <w:jc w:val="both"/>
    </w:pPr>
    <w:rPr>
      <w:rFonts w:ascii="Calibri" w:eastAsia="Times New Roman" w:hAnsi="Calibri" w:cs="Times New Roman"/>
      <w:color w:val="000000"/>
      <w:sz w:val="18"/>
      <w:szCs w:val="16"/>
      <w:lang w:eastAsia="en-AU"/>
    </w:rPr>
  </w:style>
  <w:style w:type="paragraph" w:customStyle="1" w:styleId="ChartGraphic">
    <w:name w:val="Chart Graphic"/>
    <w:basedOn w:val="Normal"/>
    <w:next w:val="Normal"/>
    <w:rsid w:val="00F20600"/>
    <w:pPr>
      <w:keepNext/>
      <w:jc w:val="center"/>
    </w:pPr>
    <w:rPr>
      <w:color w:val="004A7F"/>
      <w:sz w:val="20"/>
    </w:rPr>
  </w:style>
  <w:style w:type="paragraph" w:customStyle="1" w:styleId="TableMainHeading">
    <w:name w:val="Table Main Heading"/>
    <w:basedOn w:val="Heading3"/>
    <w:next w:val="Normal"/>
    <w:rsid w:val="00FA6726"/>
    <w:pPr>
      <w:spacing w:after="120"/>
    </w:pPr>
    <w:rPr>
      <w:color w:val="216364"/>
      <w:sz w:val="26"/>
    </w:rPr>
  </w:style>
  <w:style w:type="paragraph" w:customStyle="1" w:styleId="ChartMainHeading">
    <w:name w:val="Chart Main Heading"/>
    <w:basedOn w:val="TableMainHeading"/>
    <w:next w:val="ChartGraphic"/>
    <w:rsid w:val="00625F8C"/>
    <w:pPr>
      <w:outlineLvl w:val="3"/>
    </w:pPr>
  </w:style>
  <w:style w:type="paragraph" w:customStyle="1" w:styleId="ChartorTableNote">
    <w:name w:val="Chart or Table Note"/>
    <w:next w:val="Normal"/>
    <w:rsid w:val="00E94014"/>
    <w:pPr>
      <w:keepLines/>
      <w:spacing w:before="40" w:after="0" w:line="240" w:lineRule="auto"/>
      <w:ind w:left="709" w:hanging="709"/>
    </w:pPr>
    <w:rPr>
      <w:rFonts w:ascii="Calibri Light" w:eastAsia="Times New Roman" w:hAnsi="Calibri Light" w:cs="Times New Roman"/>
      <w:color w:val="000000"/>
      <w:sz w:val="17"/>
      <w:szCs w:val="20"/>
      <w:lang w:eastAsia="en-AU"/>
    </w:rPr>
  </w:style>
  <w:style w:type="paragraph" w:customStyle="1" w:styleId="TableSecondHeading">
    <w:name w:val="Table Second Heading"/>
    <w:basedOn w:val="Normal"/>
    <w:next w:val="Normal"/>
    <w:rsid w:val="009F56A9"/>
    <w:pPr>
      <w:keepNext/>
      <w:spacing w:before="0" w:after="20"/>
    </w:pPr>
    <w:rPr>
      <w:b/>
      <w:color w:val="004A7F"/>
    </w:rPr>
  </w:style>
  <w:style w:type="paragraph" w:customStyle="1" w:styleId="ChartSecondHeading">
    <w:name w:val="Chart Second Heading"/>
    <w:basedOn w:val="TableSecondHeading"/>
    <w:next w:val="ChartGraphic"/>
    <w:rsid w:val="009F56A9"/>
    <w:pPr>
      <w:jc w:val="center"/>
    </w:pPr>
    <w:rPr>
      <w:b w:val="0"/>
      <w:bCs/>
    </w:rPr>
  </w:style>
  <w:style w:type="numbering" w:customStyle="1" w:styleId="ChartandTableFootnoteAlphaList">
    <w:name w:val="ChartandTableFootnoteAlphaList"/>
    <w:uiPriority w:val="99"/>
    <w:rsid w:val="009F56A9"/>
    <w:pPr>
      <w:numPr>
        <w:numId w:val="6"/>
      </w:numPr>
    </w:pPr>
  </w:style>
  <w:style w:type="character" w:styleId="CommentReference">
    <w:name w:val="annotation reference"/>
    <w:basedOn w:val="DefaultParagraphFont"/>
    <w:uiPriority w:val="99"/>
    <w:semiHidden/>
    <w:unhideWhenUsed/>
    <w:rsid w:val="009F56A9"/>
    <w:rPr>
      <w:sz w:val="16"/>
      <w:szCs w:val="16"/>
    </w:rPr>
  </w:style>
  <w:style w:type="paragraph" w:styleId="CommentText">
    <w:name w:val="annotation text"/>
    <w:basedOn w:val="Normal"/>
    <w:link w:val="CommentTextChar"/>
    <w:uiPriority w:val="99"/>
    <w:unhideWhenUsed/>
    <w:rsid w:val="009F56A9"/>
    <w:rPr>
      <w:rFonts w:ascii="Calibri" w:hAnsi="Calibri"/>
      <w:sz w:val="20"/>
    </w:rPr>
  </w:style>
  <w:style w:type="character" w:customStyle="1" w:styleId="CommentTextChar">
    <w:name w:val="Comment Text Char"/>
    <w:basedOn w:val="DefaultParagraphFont"/>
    <w:link w:val="CommentText"/>
    <w:uiPriority w:val="99"/>
    <w:rsid w:val="009F56A9"/>
    <w:rPr>
      <w:rFonts w:ascii="Calibri" w:eastAsia="Times New Roman" w:hAnsi="Calibri" w:cs="Times New Roman"/>
      <w:sz w:val="20"/>
      <w:szCs w:val="20"/>
      <w:lang w:eastAsia="en-AU"/>
    </w:rPr>
  </w:style>
  <w:style w:type="paragraph" w:customStyle="1" w:styleId="DLMSecurityFooter">
    <w:name w:val="DLM Security Footer"/>
    <w:link w:val="DLMSecurityFooterChar"/>
    <w:rsid w:val="009F56A9"/>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DefaultParagraphFont"/>
    <w:link w:val="DLMSecurityFooter"/>
    <w:rsid w:val="009F56A9"/>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9F56A9"/>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DefaultParagraphFont"/>
    <w:link w:val="DLMSecurityHeader"/>
    <w:rsid w:val="009F56A9"/>
    <w:rPr>
      <w:rFonts w:ascii="Calibri" w:eastAsia="Times New Roman" w:hAnsi="Calibri" w:cs="Calibri"/>
      <w:b/>
      <w:color w:val="FF0000"/>
      <w:sz w:val="24"/>
      <w:szCs w:val="20"/>
      <w:lang w:eastAsia="en-AU"/>
    </w:rPr>
  </w:style>
  <w:style w:type="paragraph" w:styleId="Footer">
    <w:name w:val="footer"/>
    <w:basedOn w:val="Normal"/>
    <w:link w:val="FooterChar"/>
    <w:unhideWhenUsed/>
    <w:rsid w:val="00A85AB4"/>
    <w:pPr>
      <w:tabs>
        <w:tab w:val="center" w:pos="4513"/>
        <w:tab w:val="right" w:pos="9026"/>
      </w:tabs>
      <w:spacing w:before="0" w:after="0"/>
      <w:jc w:val="right"/>
    </w:pPr>
    <w:rPr>
      <w:color w:val="002C47"/>
      <w:sz w:val="20"/>
    </w:rPr>
  </w:style>
  <w:style w:type="character" w:customStyle="1" w:styleId="FooterChar">
    <w:name w:val="Footer Char"/>
    <w:basedOn w:val="DefaultParagraphFont"/>
    <w:link w:val="Footer"/>
    <w:rsid w:val="00A85AB4"/>
    <w:rPr>
      <w:rFonts w:ascii="Calibri Light" w:eastAsia="Times New Roman" w:hAnsi="Calibri Light" w:cs="Times New Roman"/>
      <w:color w:val="002C47"/>
      <w:sz w:val="20"/>
      <w:szCs w:val="20"/>
      <w:lang w:eastAsia="en-AU"/>
    </w:rPr>
  </w:style>
  <w:style w:type="paragraph" w:customStyle="1" w:styleId="FooterEven">
    <w:name w:val="Footer Even"/>
    <w:basedOn w:val="Footer"/>
    <w:rsid w:val="009F56A9"/>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E727E9"/>
    <w:pPr>
      <w:keepNext/>
      <w:tabs>
        <w:tab w:val="clear" w:pos="4513"/>
        <w:tab w:val="clear" w:pos="9026"/>
        <w:tab w:val="right" w:pos="9072"/>
      </w:tabs>
    </w:pPr>
    <w:rPr>
      <w:color w:val="2C384A" w:themeColor="accent1"/>
    </w:rPr>
  </w:style>
  <w:style w:type="character" w:styleId="FootnoteReference">
    <w:name w:val="footnote reference"/>
    <w:basedOn w:val="DefaultParagraphFont"/>
    <w:uiPriority w:val="99"/>
    <w:rsid w:val="008D79E6"/>
    <w:rPr>
      <w:rFonts w:asciiTheme="minorHAnsi" w:hAnsiTheme="minorHAnsi"/>
      <w:kern w:val="16"/>
      <w:sz w:val="20"/>
      <w:vertAlign w:val="superscript"/>
    </w:rPr>
  </w:style>
  <w:style w:type="paragraph" w:styleId="FootnoteText">
    <w:name w:val="footnote text"/>
    <w:basedOn w:val="Normal"/>
    <w:link w:val="FootnoteTextChar"/>
    <w:uiPriority w:val="99"/>
    <w:rsid w:val="003D3424"/>
    <w:pPr>
      <w:spacing w:before="0"/>
      <w:ind w:left="567" w:hanging="567"/>
    </w:pPr>
    <w:rPr>
      <w:kern w:val="20"/>
    </w:rPr>
  </w:style>
  <w:style w:type="character" w:customStyle="1" w:styleId="FootnoteTextChar">
    <w:name w:val="Footnote Text Char"/>
    <w:basedOn w:val="DefaultParagraphFont"/>
    <w:link w:val="FootnoteText"/>
    <w:uiPriority w:val="99"/>
    <w:rsid w:val="003D3424"/>
    <w:rPr>
      <w:rFonts w:ascii="Calibri Light" w:eastAsia="Times New Roman" w:hAnsi="Calibri Light" w:cs="Times New Roman"/>
      <w:kern w:val="20"/>
      <w:szCs w:val="20"/>
      <w:lang w:eastAsia="en-AU"/>
    </w:rPr>
  </w:style>
  <w:style w:type="paragraph" w:styleId="Header">
    <w:name w:val="header"/>
    <w:basedOn w:val="Normal"/>
    <w:link w:val="HeaderChar"/>
    <w:uiPriority w:val="99"/>
    <w:unhideWhenUsed/>
    <w:rsid w:val="00A85AB4"/>
    <w:pPr>
      <w:keepNext/>
      <w:spacing w:before="0" w:after="0"/>
      <w:jc w:val="right"/>
    </w:pPr>
    <w:rPr>
      <w:color w:val="2C384A" w:themeColor="accent1"/>
      <w:sz w:val="20"/>
    </w:rPr>
  </w:style>
  <w:style w:type="character" w:customStyle="1" w:styleId="HeaderChar">
    <w:name w:val="Header Char"/>
    <w:basedOn w:val="DefaultParagraphFont"/>
    <w:link w:val="Header"/>
    <w:uiPriority w:val="99"/>
    <w:rsid w:val="00A85AB4"/>
    <w:rPr>
      <w:rFonts w:ascii="Calibri Light" w:eastAsia="Times New Roman" w:hAnsi="Calibri Light" w:cs="Times New Roman"/>
      <w:color w:val="2C384A" w:themeColor="accent1"/>
      <w:sz w:val="20"/>
      <w:szCs w:val="20"/>
      <w:lang w:eastAsia="en-AU"/>
    </w:rPr>
  </w:style>
  <w:style w:type="paragraph" w:customStyle="1" w:styleId="HeaderEven">
    <w:name w:val="Header Even"/>
    <w:basedOn w:val="Header"/>
    <w:qFormat/>
    <w:rsid w:val="009F56A9"/>
    <w:pPr>
      <w:jc w:val="left"/>
    </w:pPr>
    <w:rPr>
      <w:color w:val="002C47"/>
    </w:rPr>
  </w:style>
  <w:style w:type="paragraph" w:customStyle="1" w:styleId="HeaderOdd">
    <w:name w:val="Header Odd"/>
    <w:basedOn w:val="Header"/>
    <w:qFormat/>
    <w:rsid w:val="00E727E9"/>
  </w:style>
  <w:style w:type="paragraph" w:customStyle="1" w:styleId="Heading1Numbered">
    <w:name w:val="Heading 1 Numbered"/>
    <w:basedOn w:val="Heading1"/>
    <w:next w:val="Normal"/>
    <w:rsid w:val="009F56A9"/>
    <w:pPr>
      <w:numPr>
        <w:numId w:val="7"/>
      </w:numPr>
    </w:pPr>
  </w:style>
  <w:style w:type="paragraph" w:customStyle="1" w:styleId="Heading2Numbered">
    <w:name w:val="Heading 2 Numbered"/>
    <w:basedOn w:val="Heading2"/>
    <w:next w:val="Normal"/>
    <w:rsid w:val="009F56A9"/>
    <w:pPr>
      <w:numPr>
        <w:ilvl w:val="1"/>
        <w:numId w:val="7"/>
      </w:numPr>
    </w:pPr>
  </w:style>
  <w:style w:type="paragraph" w:customStyle="1" w:styleId="Heading3Numbered">
    <w:name w:val="Heading 3 Numbered"/>
    <w:basedOn w:val="Heading3"/>
    <w:rsid w:val="009F56A9"/>
    <w:pPr>
      <w:numPr>
        <w:ilvl w:val="2"/>
        <w:numId w:val="7"/>
      </w:numPr>
    </w:pPr>
  </w:style>
  <w:style w:type="character" w:styleId="Hyperlink">
    <w:name w:val="Hyperlink"/>
    <w:basedOn w:val="DefaultParagraphFont"/>
    <w:uiPriority w:val="99"/>
    <w:rsid w:val="009F56A9"/>
    <w:rPr>
      <w:color w:val="3A6FAF"/>
      <w:u w:val="none"/>
    </w:rPr>
  </w:style>
  <w:style w:type="paragraph" w:customStyle="1" w:styleId="Instructions">
    <w:name w:val="Instructions"/>
    <w:basedOn w:val="Normal"/>
    <w:uiPriority w:val="1"/>
    <w:qFormat/>
    <w:rsid w:val="009F56A9"/>
    <w:pPr>
      <w:shd w:val="clear" w:color="auto" w:fill="FFFF00"/>
      <w:ind w:left="170" w:hanging="170"/>
    </w:pPr>
    <w:rPr>
      <w:rFonts w:asciiTheme="minorHAnsi" w:hAnsiTheme="minorHAnsi"/>
      <w:sz w:val="20"/>
      <w:szCs w:val="24"/>
    </w:rPr>
  </w:style>
  <w:style w:type="paragraph" w:styleId="ListParagraph">
    <w:name w:val="List Paragraph"/>
    <w:basedOn w:val="Normal"/>
    <w:uiPriority w:val="34"/>
    <w:rsid w:val="009F56A9"/>
    <w:pPr>
      <w:ind w:left="720"/>
      <w:contextualSpacing/>
    </w:pPr>
  </w:style>
  <w:style w:type="paragraph" w:customStyle="1" w:styleId="NotesHeading">
    <w:name w:val="Notes Heading"/>
    <w:basedOn w:val="Normal"/>
    <w:rsid w:val="009F56A9"/>
    <w:pPr>
      <w:keepNext/>
      <w:spacing w:before="240" w:after="360"/>
      <w:jc w:val="center"/>
    </w:pPr>
    <w:rPr>
      <w:rFonts w:ascii="Century Gothic" w:hAnsi="Century Gothic"/>
      <w:smallCaps/>
      <w:color w:val="5F5F5F" w:themeColor="text2"/>
      <w:sz w:val="36"/>
      <w:szCs w:val="36"/>
    </w:rPr>
  </w:style>
  <w:style w:type="numbering" w:customStyle="1" w:styleId="OneLevelList">
    <w:name w:val="OneLevelList"/>
    <w:uiPriority w:val="99"/>
    <w:rsid w:val="009F56A9"/>
    <w:pPr>
      <w:numPr>
        <w:numId w:val="8"/>
      </w:numPr>
    </w:pPr>
  </w:style>
  <w:style w:type="paragraph" w:customStyle="1" w:styleId="OutlineNumbered1">
    <w:name w:val="Outline Numbered 1"/>
    <w:basedOn w:val="Normal"/>
    <w:rsid w:val="009F56A9"/>
    <w:pPr>
      <w:numPr>
        <w:numId w:val="9"/>
      </w:numPr>
      <w:spacing w:before="0"/>
    </w:pPr>
  </w:style>
  <w:style w:type="paragraph" w:customStyle="1" w:styleId="OutlineNumbered2">
    <w:name w:val="Outline Numbered 2"/>
    <w:basedOn w:val="Normal"/>
    <w:rsid w:val="009F56A9"/>
    <w:pPr>
      <w:numPr>
        <w:ilvl w:val="1"/>
        <w:numId w:val="9"/>
      </w:numPr>
      <w:spacing w:before="0"/>
    </w:pPr>
  </w:style>
  <w:style w:type="paragraph" w:customStyle="1" w:styleId="OutlineNumbered3">
    <w:name w:val="Outline Numbered 3"/>
    <w:basedOn w:val="Normal"/>
    <w:rsid w:val="009F56A9"/>
    <w:pPr>
      <w:numPr>
        <w:ilvl w:val="2"/>
        <w:numId w:val="9"/>
      </w:numPr>
      <w:spacing w:before="0"/>
    </w:pPr>
  </w:style>
  <w:style w:type="numbering" w:customStyle="1" w:styleId="OutlineList">
    <w:name w:val="OutlineList"/>
    <w:uiPriority w:val="99"/>
    <w:rsid w:val="009F56A9"/>
    <w:pPr>
      <w:numPr>
        <w:numId w:val="9"/>
      </w:numPr>
    </w:pPr>
  </w:style>
  <w:style w:type="character" w:styleId="PlaceholderText">
    <w:name w:val="Placeholder Text"/>
    <w:basedOn w:val="DefaultParagraphFont"/>
    <w:uiPriority w:val="99"/>
    <w:semiHidden/>
    <w:rsid w:val="009F56A9"/>
    <w:rPr>
      <w:color w:val="808080"/>
    </w:rPr>
  </w:style>
  <w:style w:type="paragraph" w:customStyle="1" w:styleId="ReportDate">
    <w:name w:val="Report Date"/>
    <w:basedOn w:val="Normal"/>
    <w:link w:val="ReportDateChar"/>
    <w:rsid w:val="009F56A9"/>
    <w:pPr>
      <w:keepNext/>
      <w:spacing w:before="0" w:after="360"/>
    </w:pPr>
    <w:rPr>
      <w:color w:val="90B6F0"/>
      <w:sz w:val="32"/>
    </w:rPr>
  </w:style>
  <w:style w:type="character" w:customStyle="1" w:styleId="ReportDateChar">
    <w:name w:val="Report Date Char"/>
    <w:basedOn w:val="DefaultParagraphFont"/>
    <w:link w:val="ReportDate"/>
    <w:rsid w:val="009F56A9"/>
    <w:rPr>
      <w:rFonts w:ascii="Calibri Light" w:eastAsia="Times New Roman" w:hAnsi="Calibri Light" w:cs="Times New Roman"/>
      <w:color w:val="90B6F0"/>
      <w:sz w:val="32"/>
      <w:szCs w:val="20"/>
      <w:lang w:eastAsia="en-AU"/>
    </w:rPr>
  </w:style>
  <w:style w:type="paragraph" w:customStyle="1" w:styleId="SecurityClassificationFooter">
    <w:name w:val="Security Classification Footer"/>
    <w:link w:val="SecurityClassificationFooterChar"/>
    <w:rsid w:val="009F56A9"/>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9F56A9"/>
    <w:rPr>
      <w:rFonts w:ascii="Calibri" w:eastAsia="Times New Roman" w:hAnsi="Calibri" w:cs="Calibri"/>
      <w:b/>
      <w:color w:val="FF0000"/>
      <w:sz w:val="24"/>
      <w:szCs w:val="20"/>
      <w:lang w:eastAsia="en-AU"/>
    </w:rPr>
  </w:style>
  <w:style w:type="paragraph" w:customStyle="1" w:styleId="SecurityClassificationHeader">
    <w:name w:val="Security Classification Header"/>
    <w:link w:val="SecurityClassificationHeaderChar"/>
    <w:rsid w:val="009F56A9"/>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9F56A9"/>
    <w:rPr>
      <w:rFonts w:ascii="Calibri" w:eastAsia="Times New Roman" w:hAnsi="Calibri" w:cs="Calibri"/>
      <w:b/>
      <w:color w:val="FF0000"/>
      <w:sz w:val="24"/>
      <w:szCs w:val="20"/>
      <w:lang w:eastAsia="en-AU"/>
    </w:rPr>
  </w:style>
  <w:style w:type="paragraph" w:customStyle="1" w:styleId="SingleParagraph">
    <w:name w:val="Single Paragraph"/>
    <w:basedOn w:val="Normal"/>
    <w:next w:val="Normal"/>
    <w:link w:val="SingleParagraphChar"/>
    <w:rsid w:val="009F56A9"/>
    <w:pPr>
      <w:spacing w:before="0" w:after="0"/>
    </w:pPr>
  </w:style>
  <w:style w:type="character" w:customStyle="1" w:styleId="SingleParagraphChar">
    <w:name w:val="Single Paragraph Char"/>
    <w:basedOn w:val="DefaultParagraphFont"/>
    <w:link w:val="SingleParagraph"/>
    <w:rsid w:val="009F56A9"/>
    <w:rPr>
      <w:rFonts w:ascii="Calibri Light" w:eastAsia="Times New Roman" w:hAnsi="Calibri Light" w:cs="Times New Roman"/>
      <w:szCs w:val="20"/>
      <w:lang w:eastAsia="en-AU"/>
    </w:rPr>
  </w:style>
  <w:style w:type="paragraph" w:styleId="Subtitle">
    <w:name w:val="Subtitle"/>
    <w:basedOn w:val="Normal"/>
    <w:next w:val="Normal"/>
    <w:link w:val="SubtitleChar"/>
    <w:uiPriority w:val="11"/>
    <w:rsid w:val="00E80B3B"/>
    <w:pPr>
      <w:numPr>
        <w:ilvl w:val="1"/>
      </w:numPr>
      <w:outlineLvl w:val="1"/>
    </w:pPr>
    <w:rPr>
      <w:rFonts w:eastAsiaTheme="majorEastAsia" w:cstheme="majorBidi"/>
      <w:iCs/>
      <w:color w:val="5F5F5F" w:themeColor="text2"/>
      <w:sz w:val="44"/>
      <w:szCs w:val="44"/>
    </w:rPr>
  </w:style>
  <w:style w:type="character" w:customStyle="1" w:styleId="SubtitleChar">
    <w:name w:val="Subtitle Char"/>
    <w:basedOn w:val="DefaultParagraphFont"/>
    <w:link w:val="Subtitle"/>
    <w:uiPriority w:val="11"/>
    <w:rsid w:val="00E80B3B"/>
    <w:rPr>
      <w:rFonts w:ascii="Calibri Light" w:eastAsiaTheme="majorEastAsia" w:hAnsi="Calibri Light" w:cstheme="majorBidi"/>
      <w:iCs/>
      <w:color w:val="5F5F5F" w:themeColor="text2"/>
      <w:sz w:val="44"/>
      <w:szCs w:val="44"/>
      <w:lang w:eastAsia="en-AU"/>
    </w:rPr>
  </w:style>
  <w:style w:type="character" w:styleId="SubtleEmphasis">
    <w:name w:val="Subtle Emphasis"/>
    <w:basedOn w:val="DefaultParagraphFont"/>
    <w:uiPriority w:val="19"/>
    <w:rsid w:val="009F56A9"/>
    <w:rPr>
      <w:i/>
      <w:iCs/>
      <w:color w:val="808080" w:themeColor="text1" w:themeTint="7F"/>
    </w:rPr>
  </w:style>
  <w:style w:type="paragraph" w:customStyle="1" w:styleId="TableTextRight">
    <w:name w:val="Table Text Right"/>
    <w:basedOn w:val="Normal"/>
    <w:rsid w:val="009F56A9"/>
    <w:pPr>
      <w:spacing w:before="40" w:after="40"/>
      <w:jc w:val="right"/>
    </w:pPr>
    <w:rPr>
      <w:color w:val="000000"/>
      <w:sz w:val="18"/>
    </w:rPr>
  </w:style>
  <w:style w:type="paragraph" w:customStyle="1" w:styleId="TableTextLeft">
    <w:name w:val="Table Text Left"/>
    <w:basedOn w:val="TableTextRight"/>
    <w:rsid w:val="009F56A9"/>
    <w:pPr>
      <w:jc w:val="left"/>
    </w:pPr>
  </w:style>
  <w:style w:type="paragraph" w:customStyle="1" w:styleId="TableColumnHeadingCentred">
    <w:name w:val="Table Column Heading Centred"/>
    <w:basedOn w:val="TableTextLeft"/>
    <w:rsid w:val="009F56A9"/>
    <w:pPr>
      <w:jc w:val="center"/>
    </w:pPr>
    <w:rPr>
      <w:b/>
      <w:color w:val="2C384A" w:themeColor="accent1"/>
      <w:sz w:val="20"/>
    </w:rPr>
  </w:style>
  <w:style w:type="paragraph" w:customStyle="1" w:styleId="TableColumnHeadingLeft">
    <w:name w:val="Table Column Heading Left"/>
    <w:basedOn w:val="TableTextLeft"/>
    <w:rsid w:val="00037C32"/>
    <w:rPr>
      <w:rFonts w:ascii="Calibri" w:hAnsi="Calibri"/>
      <w:b/>
      <w:color w:val="216364"/>
      <w:sz w:val="20"/>
    </w:rPr>
  </w:style>
  <w:style w:type="paragraph" w:customStyle="1" w:styleId="TableColumnHeadingRight">
    <w:name w:val="Table Column Heading Right"/>
    <w:basedOn w:val="TableTextLeft"/>
    <w:rsid w:val="009F56A9"/>
    <w:pPr>
      <w:jc w:val="right"/>
    </w:pPr>
    <w:rPr>
      <w:b/>
      <w:color w:val="2C384A" w:themeColor="accent1"/>
      <w:sz w:val="20"/>
    </w:rPr>
  </w:style>
  <w:style w:type="paragraph" w:customStyle="1" w:styleId="TableGraphic">
    <w:name w:val="Table Graphic"/>
    <w:basedOn w:val="HeadingBase"/>
    <w:next w:val="Normal"/>
    <w:rsid w:val="009F56A9"/>
    <w:pPr>
      <w:spacing w:after="0"/>
    </w:pPr>
  </w:style>
  <w:style w:type="table" w:styleId="TableGrid">
    <w:name w:val="Table Grid"/>
    <w:basedOn w:val="TableNormal"/>
    <w:rsid w:val="009F56A9"/>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HeadingContinued">
    <w:name w:val="Table Heading Continued"/>
    <w:basedOn w:val="TableMainHeading"/>
    <w:next w:val="TableGraphic"/>
    <w:rsid w:val="009F56A9"/>
  </w:style>
  <w:style w:type="paragraph" w:customStyle="1" w:styleId="TableTextCentered">
    <w:name w:val="Table Text Centered"/>
    <w:basedOn w:val="TableTextRight"/>
    <w:rsid w:val="00E10075"/>
    <w:pPr>
      <w:jc w:val="center"/>
    </w:pPr>
  </w:style>
  <w:style w:type="paragraph" w:customStyle="1" w:styleId="TableTextIndented">
    <w:name w:val="Table Text Indented"/>
    <w:basedOn w:val="TableTextLeft"/>
    <w:rsid w:val="009F56A9"/>
    <w:pPr>
      <w:ind w:left="284"/>
    </w:pPr>
  </w:style>
  <w:style w:type="paragraph" w:styleId="Title">
    <w:name w:val="Title"/>
    <w:basedOn w:val="Normal"/>
    <w:next w:val="Normal"/>
    <w:link w:val="TitleChar"/>
    <w:uiPriority w:val="10"/>
    <w:rsid w:val="00E80B3B"/>
    <w:pPr>
      <w:spacing w:before="0" w:after="300"/>
      <w:contextualSpacing/>
      <w:outlineLvl w:val="0"/>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E80B3B"/>
    <w:rPr>
      <w:rFonts w:ascii="Calibri Light" w:eastAsiaTheme="majorEastAsia" w:hAnsi="Calibri Light" w:cstheme="majorBidi"/>
      <w:b/>
      <w:color w:val="2C384A" w:themeColor="accent1"/>
      <w:spacing w:val="5"/>
      <w:kern w:val="28"/>
      <w:sz w:val="72"/>
      <w:szCs w:val="52"/>
      <w:lang w:eastAsia="en-AU"/>
    </w:rPr>
  </w:style>
  <w:style w:type="paragraph" w:styleId="TOC1">
    <w:name w:val="toc 1"/>
    <w:basedOn w:val="Normal"/>
    <w:next w:val="Normal"/>
    <w:uiPriority w:val="39"/>
    <w:rsid w:val="009C5E79"/>
    <w:pPr>
      <w:keepNext/>
      <w:tabs>
        <w:tab w:val="right" w:leader="dot" w:pos="9072"/>
      </w:tabs>
      <w:spacing w:after="0"/>
    </w:pPr>
    <w:rPr>
      <w:b/>
      <w:noProof/>
      <w:color w:val="2C384A" w:themeColor="accent1"/>
      <w:szCs w:val="22"/>
    </w:rPr>
  </w:style>
  <w:style w:type="paragraph" w:styleId="TOC2">
    <w:name w:val="toc 2"/>
    <w:basedOn w:val="Normal"/>
    <w:next w:val="Normal"/>
    <w:uiPriority w:val="39"/>
    <w:rsid w:val="009F56A9"/>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9F56A9"/>
    <w:pPr>
      <w:tabs>
        <w:tab w:val="right" w:leader="dot" w:pos="9072"/>
      </w:tabs>
      <w:spacing w:before="20" w:after="0"/>
      <w:ind w:left="284" w:right="-2"/>
    </w:pPr>
    <w:rPr>
      <w:rFonts w:cs="Calibri"/>
      <w:noProof/>
    </w:rPr>
  </w:style>
  <w:style w:type="character" w:styleId="Strong">
    <w:name w:val="Strong"/>
    <w:basedOn w:val="DefaultParagraphFont"/>
    <w:uiPriority w:val="22"/>
    <w:qFormat/>
    <w:rsid w:val="00C002FA"/>
    <w:rPr>
      <w:b/>
      <w:bCs/>
    </w:rPr>
  </w:style>
  <w:style w:type="paragraph" w:customStyle="1" w:styleId="IntrotextMWM">
    <w:name w:val="Intro text MWM"/>
    <w:basedOn w:val="Normal"/>
    <w:next w:val="Normal"/>
    <w:qFormat/>
    <w:rsid w:val="00037C32"/>
    <w:pPr>
      <w:spacing w:before="240" w:after="0"/>
    </w:pPr>
    <w:rPr>
      <w:rFonts w:eastAsia="Calibri Light" w:cs="Calibri"/>
      <w:color w:val="082C44"/>
      <w:sz w:val="26"/>
    </w:rPr>
  </w:style>
  <w:style w:type="paragraph" w:styleId="Quote">
    <w:name w:val="Quote"/>
    <w:basedOn w:val="Normal"/>
    <w:next w:val="Normal"/>
    <w:link w:val="QuoteChar"/>
    <w:uiPriority w:val="29"/>
    <w:rsid w:val="00037C32"/>
    <w:pPr>
      <w:spacing w:after="240"/>
      <w:ind w:left="862" w:right="862"/>
      <w:contextualSpacing/>
    </w:pPr>
    <w:rPr>
      <w:i/>
      <w:iCs/>
      <w:color w:val="404040" w:themeColor="text1" w:themeTint="BF"/>
    </w:rPr>
  </w:style>
  <w:style w:type="character" w:customStyle="1" w:styleId="QuoteChar">
    <w:name w:val="Quote Char"/>
    <w:basedOn w:val="DefaultParagraphFont"/>
    <w:link w:val="Quote"/>
    <w:uiPriority w:val="29"/>
    <w:rsid w:val="00037C32"/>
    <w:rPr>
      <w:rFonts w:ascii="Calibri Light" w:eastAsia="Times New Roman" w:hAnsi="Calibri Light" w:cs="Times New Roman"/>
      <w:i/>
      <w:iCs/>
      <w:color w:val="404040" w:themeColor="text1" w:themeTint="BF"/>
      <w:kern w:val="16"/>
      <w:szCs w:val="20"/>
      <w:lang w:eastAsia="en-AU"/>
    </w:rPr>
  </w:style>
  <w:style w:type="table" w:styleId="TableGridLight">
    <w:name w:val="Grid Table Light"/>
    <w:basedOn w:val="TableNormal"/>
    <w:uiPriority w:val="40"/>
    <w:rsid w:val="00E40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66B4A"/>
    <w:pPr>
      <w:spacing w:after="0" w:line="240" w:lineRule="auto"/>
    </w:pPr>
    <w:rPr>
      <w:rFonts w:ascii="MS Gothic" w:eastAsia="Arial" w:hAnsi="MS Gothic" w:cs="Arial"/>
      <w:szCs w:val="20"/>
      <w:lang w:eastAsia="en-AU"/>
    </w:rPr>
  </w:style>
  <w:style w:type="paragraph" w:customStyle="1" w:styleId="TableTextBullet">
    <w:name w:val="Table Text Bullet"/>
    <w:basedOn w:val="Bullet"/>
    <w:qFormat/>
    <w:rsid w:val="00084FD2"/>
    <w:pPr>
      <w:spacing w:before="40" w:after="40"/>
    </w:pPr>
    <w:rPr>
      <w:sz w:val="18"/>
      <w:szCs w:val="18"/>
    </w:rPr>
  </w:style>
  <w:style w:type="paragraph" w:styleId="TOCHeading">
    <w:name w:val="TOC Heading"/>
    <w:basedOn w:val="Heading1"/>
    <w:next w:val="Normal"/>
    <w:uiPriority w:val="39"/>
    <w:unhideWhenUsed/>
    <w:qFormat/>
    <w:rsid w:val="00A85AB4"/>
    <w:pPr>
      <w:spacing w:before="240" w:after="0" w:line="259" w:lineRule="auto"/>
      <w:outlineLvl w:val="9"/>
    </w:pPr>
    <w:rPr>
      <w:rFonts w:asciiTheme="majorHAnsi" w:eastAsiaTheme="majorEastAsia" w:hAnsiTheme="majorHAnsi" w:cstheme="majorBidi"/>
      <w:b w:val="0"/>
      <w:color w:val="212937" w:themeColor="accent1" w:themeShade="BF"/>
      <w:kern w:val="0"/>
      <w:sz w:val="32"/>
      <w:szCs w:val="32"/>
      <w:lang w:val="en-US" w:eastAsia="en-US"/>
    </w:rPr>
  </w:style>
  <w:style w:type="paragraph" w:styleId="TOC4">
    <w:name w:val="toc 4"/>
    <w:basedOn w:val="Normal"/>
    <w:next w:val="Normal"/>
    <w:autoRedefine/>
    <w:uiPriority w:val="39"/>
    <w:unhideWhenUsed/>
    <w:rsid w:val="00A85AB4"/>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A85AB4"/>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A85AB4"/>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A85AB4"/>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A85AB4"/>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A85AB4"/>
    <w:pPr>
      <w:spacing w:before="0" w:after="100" w:line="259" w:lineRule="auto"/>
      <w:ind w:left="1760"/>
    </w:pPr>
    <w:rPr>
      <w:rFonts w:asciiTheme="minorHAnsi" w:eastAsiaTheme="minorEastAsia" w:hAnsiTheme="minorHAnsi" w:cstheme="minorBidi"/>
      <w:szCs w:val="22"/>
    </w:rPr>
  </w:style>
  <w:style w:type="character" w:styleId="UnresolvedMention">
    <w:name w:val="Unresolved Mention"/>
    <w:basedOn w:val="DefaultParagraphFont"/>
    <w:uiPriority w:val="99"/>
    <w:semiHidden/>
    <w:unhideWhenUsed/>
    <w:rsid w:val="00A85AB4"/>
    <w:rPr>
      <w:color w:val="605E5C"/>
      <w:shd w:val="clear" w:color="auto" w:fill="E1DFDD"/>
    </w:rPr>
  </w:style>
  <w:style w:type="table" w:customStyle="1" w:styleId="Style1">
    <w:name w:val="Style1"/>
    <w:basedOn w:val="TableNormal"/>
    <w:uiPriority w:val="99"/>
    <w:rsid w:val="00CB2E1B"/>
    <w:pPr>
      <w:spacing w:after="0" w:line="240" w:lineRule="auto"/>
    </w:pPr>
    <w:tblPr>
      <w:tblCellMar>
        <w:top w:w="227" w:type="dxa"/>
        <w:left w:w="227" w:type="dxa"/>
        <w:bottom w:w="227" w:type="dxa"/>
        <w:right w:w="227" w:type="dxa"/>
      </w:tblCellMar>
    </w:tblPr>
    <w:tblStylePr w:type="firstRow">
      <w:rPr>
        <w:b w:val="0"/>
      </w:rPr>
      <w:tblPr/>
      <w:tcPr>
        <w:shd w:val="clear" w:color="auto" w:fill="F8FBFD"/>
      </w:tcPr>
    </w:tblStylePr>
  </w:style>
  <w:style w:type="paragraph" w:styleId="NormalWeb">
    <w:name w:val="Normal (Web)"/>
    <w:basedOn w:val="Normal"/>
    <w:uiPriority w:val="99"/>
    <w:semiHidden/>
    <w:unhideWhenUsed/>
    <w:rsid w:val="00135DEA"/>
    <w:rPr>
      <w:rFonts w:ascii="Times New Roman" w:hAnsi="Times New Roman"/>
      <w:sz w:val="24"/>
      <w:szCs w:val="24"/>
    </w:rPr>
  </w:style>
  <w:style w:type="table" w:customStyle="1" w:styleId="MWMTables">
    <w:name w:val="MWM Tables"/>
    <w:basedOn w:val="TableNormal"/>
    <w:uiPriority w:val="99"/>
    <w:rsid w:val="007D6204"/>
    <w:pPr>
      <w:spacing w:after="0" w:line="240" w:lineRule="auto"/>
    </w:pPr>
    <w:tblPr>
      <w:tblStyleRowBandSize w:val="1"/>
      <w:tblStyleColBandSize w:val="1"/>
      <w:tblBorders>
        <w:top w:val="single" w:sz="4" w:space="0" w:color="216364"/>
        <w:bottom w:val="single" w:sz="4" w:space="0" w:color="216364"/>
        <w:insideH w:val="single" w:sz="4" w:space="0" w:color="216364"/>
        <w:insideV w:val="single" w:sz="4" w:space="0" w:color="EEEEEE" w:themeColor="background2"/>
      </w:tblBorders>
      <w:tblCellMar>
        <w:top w:w="28" w:type="dxa"/>
        <w:bottom w:w="28" w:type="dxa"/>
      </w:tblCellMar>
    </w:tblPr>
    <w:trPr>
      <w:cantSplit/>
    </w:trPr>
    <w:tblStylePr w:type="firstRow">
      <w:pPr>
        <w:jc w:val="left"/>
      </w:pPr>
      <w:rPr>
        <w:color w:val="216364"/>
      </w:rPr>
      <w:tblPr/>
      <w:tcPr>
        <w:tcBorders>
          <w:top w:val="single" w:sz="4" w:space="0" w:color="216364"/>
          <w:left w:val="nil"/>
          <w:bottom w:val="single" w:sz="4" w:space="0" w:color="216364"/>
          <w:right w:val="nil"/>
          <w:insideH w:val="nil"/>
          <w:insideV w:val="nil"/>
          <w:tl2br w:val="nil"/>
          <w:tr2bl w:val="nil"/>
        </w:tcBorders>
        <w:shd w:val="clear" w:color="auto" w:fill="F3FAFB"/>
      </w:tcPr>
    </w:tblStylePr>
    <w:tblStylePr w:type="band1Vert">
      <w:tblPr/>
      <w:tcPr>
        <w:tcBorders>
          <w:top w:val="nil"/>
          <w:left w:val="single" w:sz="4" w:space="0" w:color="EEEEEE" w:themeColor="background2"/>
          <w:bottom w:val="nil"/>
          <w:right w:val="single" w:sz="4" w:space="0" w:color="EEEEEE" w:themeColor="background2"/>
          <w:insideH w:val="nil"/>
          <w:insideV w:val="nil"/>
          <w:tl2br w:val="nil"/>
          <w:tr2bl w:val="nil"/>
        </w:tcBorders>
      </w:tcPr>
    </w:tblStylePr>
    <w:tblStylePr w:type="band1Horz">
      <w:tblPr/>
      <w:tcPr>
        <w:tcBorders>
          <w:top w:val="single" w:sz="4" w:space="0" w:color="216364"/>
          <w:left w:val="nil"/>
          <w:bottom w:val="single" w:sz="4" w:space="0" w:color="216364"/>
          <w:right w:val="nil"/>
          <w:insideH w:val="nil"/>
          <w:insideV w:val="nil"/>
          <w:tl2br w:val="nil"/>
          <w:tr2bl w:val="nil"/>
        </w:tcBorders>
      </w:tcPr>
    </w:tblStylePr>
    <w:tblStylePr w:type="band2Horz">
      <w:tblPr/>
      <w:tcPr>
        <w:tcBorders>
          <w:top w:val="single" w:sz="4" w:space="0" w:color="216364"/>
          <w:left w:val="nil"/>
          <w:bottom w:val="single" w:sz="4" w:space="0" w:color="216364"/>
          <w:right w:val="nil"/>
          <w:insideH w:val="nil"/>
          <w:insideV w:val="nil"/>
          <w:tl2br w:val="nil"/>
          <w:tr2bl w:val="nil"/>
        </w:tcBorders>
      </w:tcPr>
    </w:tblStylePr>
  </w:style>
  <w:style w:type="character" w:customStyle="1" w:styleId="TableFootnoteReference">
    <w:name w:val="Table Footnote Reference"/>
    <w:basedOn w:val="FootnoteReference"/>
    <w:uiPriority w:val="1"/>
    <w:qFormat/>
    <w:rsid w:val="00BC491B"/>
    <w:rPr>
      <w:rFonts w:asciiTheme="minorHAnsi" w:hAnsiTheme="minorHAnsi"/>
      <w:kern w:val="16"/>
      <w:sz w:val="18"/>
      <w:vertAlign w:val="superscript"/>
    </w:rPr>
  </w:style>
  <w:style w:type="character" w:styleId="Emphasis">
    <w:name w:val="Emphasis"/>
    <w:basedOn w:val="DefaultParagraphFont"/>
    <w:uiPriority w:val="13"/>
    <w:qFormat/>
    <w:rsid w:val="00A6211B"/>
    <w:rPr>
      <w:i/>
      <w:iCs/>
    </w:rPr>
  </w:style>
  <w:style w:type="table" w:customStyle="1" w:styleId="MWMKey">
    <w:name w:val="MWM Key"/>
    <w:basedOn w:val="TableNormal"/>
    <w:uiPriority w:val="99"/>
    <w:rsid w:val="00E604CF"/>
    <w:pPr>
      <w:spacing w:after="0" w:line="240" w:lineRule="auto"/>
    </w:pPr>
    <w:tblPr>
      <w:tblCellMar>
        <w:top w:w="227" w:type="dxa"/>
        <w:left w:w="227" w:type="dxa"/>
        <w:bottom w:w="227" w:type="dxa"/>
        <w:right w:w="227" w:type="dxa"/>
      </w:tblCellMar>
    </w:tblPr>
    <w:trPr>
      <w:cantSplit/>
    </w:trPr>
    <w:tcPr>
      <w:shd w:val="clear" w:color="auto" w:fill="F8FBFD"/>
    </w:tcPr>
    <w:tblStylePr w:type="firstRow">
      <w:pPr>
        <w:jc w:val="left"/>
      </w:pPr>
      <w:tblPr>
        <w:tblCellMar>
          <w:top w:w="227" w:type="dxa"/>
          <w:left w:w="227" w:type="dxa"/>
          <w:bottom w:w="227" w:type="dxa"/>
          <w:right w:w="227" w:type="dxa"/>
        </w:tblCellMar>
      </w:tblPr>
      <w:trPr>
        <w:cantSplit/>
      </w:trPr>
      <w:tcPr>
        <w:shd w:val="clear" w:color="auto" w:fill="D0E1EF"/>
        <w:vAlign w:val="center"/>
      </w:tcPr>
    </w:tblStylePr>
  </w:style>
  <w:style w:type="paragraph" w:styleId="CommentSubject">
    <w:name w:val="annotation subject"/>
    <w:basedOn w:val="CommentText"/>
    <w:next w:val="CommentText"/>
    <w:link w:val="CommentSubjectChar"/>
    <w:uiPriority w:val="99"/>
    <w:semiHidden/>
    <w:unhideWhenUsed/>
    <w:rsid w:val="001B72D5"/>
    <w:rPr>
      <w:rFonts w:ascii="Calibri Light" w:hAnsi="Calibri Light"/>
      <w:b/>
      <w:bCs/>
    </w:rPr>
  </w:style>
  <w:style w:type="character" w:customStyle="1" w:styleId="CommentSubjectChar">
    <w:name w:val="Comment Subject Char"/>
    <w:basedOn w:val="CommentTextChar"/>
    <w:link w:val="CommentSubject"/>
    <w:uiPriority w:val="99"/>
    <w:semiHidden/>
    <w:rsid w:val="001B72D5"/>
    <w:rPr>
      <w:rFonts w:ascii="Calibri Light" w:eastAsia="Times New Roman" w:hAnsi="Calibri Light" w:cs="Times New Roman"/>
      <w:b/>
      <w:bCs/>
      <w:kern w:val="16"/>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794">
      <w:bodyDiv w:val="1"/>
      <w:marLeft w:val="0"/>
      <w:marRight w:val="0"/>
      <w:marTop w:val="0"/>
      <w:marBottom w:val="0"/>
      <w:divBdr>
        <w:top w:val="none" w:sz="0" w:space="0" w:color="auto"/>
        <w:left w:val="none" w:sz="0" w:space="0" w:color="auto"/>
        <w:bottom w:val="none" w:sz="0" w:space="0" w:color="auto"/>
        <w:right w:val="none" w:sz="0" w:space="0" w:color="auto"/>
      </w:divBdr>
    </w:div>
    <w:div w:id="10187401">
      <w:bodyDiv w:val="1"/>
      <w:marLeft w:val="0"/>
      <w:marRight w:val="0"/>
      <w:marTop w:val="0"/>
      <w:marBottom w:val="0"/>
      <w:divBdr>
        <w:top w:val="none" w:sz="0" w:space="0" w:color="auto"/>
        <w:left w:val="none" w:sz="0" w:space="0" w:color="auto"/>
        <w:bottom w:val="none" w:sz="0" w:space="0" w:color="auto"/>
        <w:right w:val="none" w:sz="0" w:space="0" w:color="auto"/>
      </w:divBdr>
      <w:divsChild>
        <w:div w:id="1779059454">
          <w:marLeft w:val="0"/>
          <w:marRight w:val="0"/>
          <w:marTop w:val="0"/>
          <w:marBottom w:val="0"/>
          <w:divBdr>
            <w:top w:val="none" w:sz="0" w:space="0" w:color="auto"/>
            <w:left w:val="none" w:sz="0" w:space="0" w:color="auto"/>
            <w:bottom w:val="none" w:sz="0" w:space="0" w:color="auto"/>
            <w:right w:val="none" w:sz="0" w:space="0" w:color="auto"/>
          </w:divBdr>
        </w:div>
      </w:divsChild>
    </w:div>
    <w:div w:id="12613422">
      <w:bodyDiv w:val="1"/>
      <w:marLeft w:val="0"/>
      <w:marRight w:val="0"/>
      <w:marTop w:val="0"/>
      <w:marBottom w:val="0"/>
      <w:divBdr>
        <w:top w:val="none" w:sz="0" w:space="0" w:color="auto"/>
        <w:left w:val="none" w:sz="0" w:space="0" w:color="auto"/>
        <w:bottom w:val="none" w:sz="0" w:space="0" w:color="auto"/>
        <w:right w:val="none" w:sz="0" w:space="0" w:color="auto"/>
      </w:divBdr>
    </w:div>
    <w:div w:id="27682377">
      <w:bodyDiv w:val="1"/>
      <w:marLeft w:val="0"/>
      <w:marRight w:val="0"/>
      <w:marTop w:val="0"/>
      <w:marBottom w:val="0"/>
      <w:divBdr>
        <w:top w:val="none" w:sz="0" w:space="0" w:color="auto"/>
        <w:left w:val="none" w:sz="0" w:space="0" w:color="auto"/>
        <w:bottom w:val="none" w:sz="0" w:space="0" w:color="auto"/>
        <w:right w:val="none" w:sz="0" w:space="0" w:color="auto"/>
      </w:divBdr>
    </w:div>
    <w:div w:id="31351237">
      <w:bodyDiv w:val="1"/>
      <w:marLeft w:val="0"/>
      <w:marRight w:val="0"/>
      <w:marTop w:val="0"/>
      <w:marBottom w:val="0"/>
      <w:divBdr>
        <w:top w:val="none" w:sz="0" w:space="0" w:color="auto"/>
        <w:left w:val="none" w:sz="0" w:space="0" w:color="auto"/>
        <w:bottom w:val="none" w:sz="0" w:space="0" w:color="auto"/>
        <w:right w:val="none" w:sz="0" w:space="0" w:color="auto"/>
      </w:divBdr>
    </w:div>
    <w:div w:id="50883979">
      <w:bodyDiv w:val="1"/>
      <w:marLeft w:val="0"/>
      <w:marRight w:val="0"/>
      <w:marTop w:val="0"/>
      <w:marBottom w:val="0"/>
      <w:divBdr>
        <w:top w:val="none" w:sz="0" w:space="0" w:color="auto"/>
        <w:left w:val="none" w:sz="0" w:space="0" w:color="auto"/>
        <w:bottom w:val="none" w:sz="0" w:space="0" w:color="auto"/>
        <w:right w:val="none" w:sz="0" w:space="0" w:color="auto"/>
      </w:divBdr>
    </w:div>
    <w:div w:id="55976240">
      <w:bodyDiv w:val="1"/>
      <w:marLeft w:val="0"/>
      <w:marRight w:val="0"/>
      <w:marTop w:val="0"/>
      <w:marBottom w:val="0"/>
      <w:divBdr>
        <w:top w:val="none" w:sz="0" w:space="0" w:color="auto"/>
        <w:left w:val="none" w:sz="0" w:space="0" w:color="auto"/>
        <w:bottom w:val="none" w:sz="0" w:space="0" w:color="auto"/>
        <w:right w:val="none" w:sz="0" w:space="0" w:color="auto"/>
      </w:divBdr>
      <w:divsChild>
        <w:div w:id="1856993198">
          <w:marLeft w:val="0"/>
          <w:marRight w:val="0"/>
          <w:marTop w:val="0"/>
          <w:marBottom w:val="0"/>
          <w:divBdr>
            <w:top w:val="none" w:sz="0" w:space="0" w:color="auto"/>
            <w:left w:val="none" w:sz="0" w:space="0" w:color="auto"/>
            <w:bottom w:val="none" w:sz="0" w:space="0" w:color="auto"/>
            <w:right w:val="none" w:sz="0" w:space="0" w:color="auto"/>
          </w:divBdr>
        </w:div>
      </w:divsChild>
    </w:div>
    <w:div w:id="60562778">
      <w:bodyDiv w:val="1"/>
      <w:marLeft w:val="0"/>
      <w:marRight w:val="0"/>
      <w:marTop w:val="0"/>
      <w:marBottom w:val="0"/>
      <w:divBdr>
        <w:top w:val="none" w:sz="0" w:space="0" w:color="auto"/>
        <w:left w:val="none" w:sz="0" w:space="0" w:color="auto"/>
        <w:bottom w:val="none" w:sz="0" w:space="0" w:color="auto"/>
        <w:right w:val="none" w:sz="0" w:space="0" w:color="auto"/>
      </w:divBdr>
      <w:divsChild>
        <w:div w:id="434517498">
          <w:marLeft w:val="0"/>
          <w:marRight w:val="0"/>
          <w:marTop w:val="0"/>
          <w:marBottom w:val="0"/>
          <w:divBdr>
            <w:top w:val="none" w:sz="0" w:space="0" w:color="auto"/>
            <w:left w:val="none" w:sz="0" w:space="0" w:color="auto"/>
            <w:bottom w:val="none" w:sz="0" w:space="0" w:color="auto"/>
            <w:right w:val="none" w:sz="0" w:space="0" w:color="auto"/>
          </w:divBdr>
        </w:div>
        <w:div w:id="1114708180">
          <w:marLeft w:val="0"/>
          <w:marRight w:val="0"/>
          <w:marTop w:val="0"/>
          <w:marBottom w:val="0"/>
          <w:divBdr>
            <w:top w:val="none" w:sz="0" w:space="0" w:color="auto"/>
            <w:left w:val="none" w:sz="0" w:space="0" w:color="auto"/>
            <w:bottom w:val="none" w:sz="0" w:space="0" w:color="auto"/>
            <w:right w:val="none" w:sz="0" w:space="0" w:color="auto"/>
          </w:divBdr>
        </w:div>
      </w:divsChild>
    </w:div>
    <w:div w:id="73944028">
      <w:bodyDiv w:val="1"/>
      <w:marLeft w:val="0"/>
      <w:marRight w:val="0"/>
      <w:marTop w:val="0"/>
      <w:marBottom w:val="0"/>
      <w:divBdr>
        <w:top w:val="none" w:sz="0" w:space="0" w:color="auto"/>
        <w:left w:val="none" w:sz="0" w:space="0" w:color="auto"/>
        <w:bottom w:val="none" w:sz="0" w:space="0" w:color="auto"/>
        <w:right w:val="none" w:sz="0" w:space="0" w:color="auto"/>
      </w:divBdr>
    </w:div>
    <w:div w:id="84884093">
      <w:bodyDiv w:val="1"/>
      <w:marLeft w:val="0"/>
      <w:marRight w:val="0"/>
      <w:marTop w:val="0"/>
      <w:marBottom w:val="0"/>
      <w:divBdr>
        <w:top w:val="none" w:sz="0" w:space="0" w:color="auto"/>
        <w:left w:val="none" w:sz="0" w:space="0" w:color="auto"/>
        <w:bottom w:val="none" w:sz="0" w:space="0" w:color="auto"/>
        <w:right w:val="none" w:sz="0" w:space="0" w:color="auto"/>
      </w:divBdr>
    </w:div>
    <w:div w:id="84962702">
      <w:bodyDiv w:val="1"/>
      <w:marLeft w:val="0"/>
      <w:marRight w:val="0"/>
      <w:marTop w:val="0"/>
      <w:marBottom w:val="0"/>
      <w:divBdr>
        <w:top w:val="none" w:sz="0" w:space="0" w:color="auto"/>
        <w:left w:val="none" w:sz="0" w:space="0" w:color="auto"/>
        <w:bottom w:val="none" w:sz="0" w:space="0" w:color="auto"/>
        <w:right w:val="none" w:sz="0" w:space="0" w:color="auto"/>
      </w:divBdr>
    </w:div>
    <w:div w:id="102266204">
      <w:bodyDiv w:val="1"/>
      <w:marLeft w:val="0"/>
      <w:marRight w:val="0"/>
      <w:marTop w:val="0"/>
      <w:marBottom w:val="0"/>
      <w:divBdr>
        <w:top w:val="none" w:sz="0" w:space="0" w:color="auto"/>
        <w:left w:val="none" w:sz="0" w:space="0" w:color="auto"/>
        <w:bottom w:val="none" w:sz="0" w:space="0" w:color="auto"/>
        <w:right w:val="none" w:sz="0" w:space="0" w:color="auto"/>
      </w:divBdr>
      <w:divsChild>
        <w:div w:id="80227051">
          <w:marLeft w:val="0"/>
          <w:marRight w:val="0"/>
          <w:marTop w:val="0"/>
          <w:marBottom w:val="0"/>
          <w:divBdr>
            <w:top w:val="none" w:sz="0" w:space="0" w:color="auto"/>
            <w:left w:val="none" w:sz="0" w:space="0" w:color="auto"/>
            <w:bottom w:val="none" w:sz="0" w:space="0" w:color="auto"/>
            <w:right w:val="none" w:sz="0" w:space="0" w:color="auto"/>
          </w:divBdr>
        </w:div>
        <w:div w:id="1543906980">
          <w:marLeft w:val="0"/>
          <w:marRight w:val="0"/>
          <w:marTop w:val="0"/>
          <w:marBottom w:val="0"/>
          <w:divBdr>
            <w:top w:val="none" w:sz="0" w:space="0" w:color="auto"/>
            <w:left w:val="none" w:sz="0" w:space="0" w:color="auto"/>
            <w:bottom w:val="none" w:sz="0" w:space="0" w:color="auto"/>
            <w:right w:val="none" w:sz="0" w:space="0" w:color="auto"/>
          </w:divBdr>
        </w:div>
      </w:divsChild>
    </w:div>
    <w:div w:id="122385133">
      <w:bodyDiv w:val="1"/>
      <w:marLeft w:val="0"/>
      <w:marRight w:val="0"/>
      <w:marTop w:val="0"/>
      <w:marBottom w:val="0"/>
      <w:divBdr>
        <w:top w:val="none" w:sz="0" w:space="0" w:color="auto"/>
        <w:left w:val="none" w:sz="0" w:space="0" w:color="auto"/>
        <w:bottom w:val="none" w:sz="0" w:space="0" w:color="auto"/>
        <w:right w:val="none" w:sz="0" w:space="0" w:color="auto"/>
      </w:divBdr>
      <w:divsChild>
        <w:div w:id="1098911281">
          <w:marLeft w:val="0"/>
          <w:marRight w:val="0"/>
          <w:marTop w:val="0"/>
          <w:marBottom w:val="0"/>
          <w:divBdr>
            <w:top w:val="none" w:sz="0" w:space="0" w:color="auto"/>
            <w:left w:val="none" w:sz="0" w:space="0" w:color="auto"/>
            <w:bottom w:val="none" w:sz="0" w:space="0" w:color="auto"/>
            <w:right w:val="none" w:sz="0" w:space="0" w:color="auto"/>
          </w:divBdr>
        </w:div>
        <w:div w:id="1292326950">
          <w:marLeft w:val="0"/>
          <w:marRight w:val="0"/>
          <w:marTop w:val="0"/>
          <w:marBottom w:val="0"/>
          <w:divBdr>
            <w:top w:val="none" w:sz="0" w:space="0" w:color="auto"/>
            <w:left w:val="none" w:sz="0" w:space="0" w:color="auto"/>
            <w:bottom w:val="none" w:sz="0" w:space="0" w:color="auto"/>
            <w:right w:val="none" w:sz="0" w:space="0" w:color="auto"/>
          </w:divBdr>
        </w:div>
      </w:divsChild>
    </w:div>
    <w:div w:id="123888879">
      <w:bodyDiv w:val="1"/>
      <w:marLeft w:val="0"/>
      <w:marRight w:val="0"/>
      <w:marTop w:val="0"/>
      <w:marBottom w:val="0"/>
      <w:divBdr>
        <w:top w:val="none" w:sz="0" w:space="0" w:color="auto"/>
        <w:left w:val="none" w:sz="0" w:space="0" w:color="auto"/>
        <w:bottom w:val="none" w:sz="0" w:space="0" w:color="auto"/>
        <w:right w:val="none" w:sz="0" w:space="0" w:color="auto"/>
      </w:divBdr>
    </w:div>
    <w:div w:id="145516006">
      <w:bodyDiv w:val="1"/>
      <w:marLeft w:val="0"/>
      <w:marRight w:val="0"/>
      <w:marTop w:val="0"/>
      <w:marBottom w:val="0"/>
      <w:divBdr>
        <w:top w:val="none" w:sz="0" w:space="0" w:color="auto"/>
        <w:left w:val="none" w:sz="0" w:space="0" w:color="auto"/>
        <w:bottom w:val="none" w:sz="0" w:space="0" w:color="auto"/>
        <w:right w:val="none" w:sz="0" w:space="0" w:color="auto"/>
      </w:divBdr>
    </w:div>
    <w:div w:id="154225382">
      <w:bodyDiv w:val="1"/>
      <w:marLeft w:val="0"/>
      <w:marRight w:val="0"/>
      <w:marTop w:val="0"/>
      <w:marBottom w:val="0"/>
      <w:divBdr>
        <w:top w:val="none" w:sz="0" w:space="0" w:color="auto"/>
        <w:left w:val="none" w:sz="0" w:space="0" w:color="auto"/>
        <w:bottom w:val="none" w:sz="0" w:space="0" w:color="auto"/>
        <w:right w:val="none" w:sz="0" w:space="0" w:color="auto"/>
      </w:divBdr>
    </w:div>
    <w:div w:id="165175611">
      <w:bodyDiv w:val="1"/>
      <w:marLeft w:val="0"/>
      <w:marRight w:val="0"/>
      <w:marTop w:val="0"/>
      <w:marBottom w:val="0"/>
      <w:divBdr>
        <w:top w:val="none" w:sz="0" w:space="0" w:color="auto"/>
        <w:left w:val="none" w:sz="0" w:space="0" w:color="auto"/>
        <w:bottom w:val="none" w:sz="0" w:space="0" w:color="auto"/>
        <w:right w:val="none" w:sz="0" w:space="0" w:color="auto"/>
      </w:divBdr>
    </w:div>
    <w:div w:id="175655954">
      <w:bodyDiv w:val="1"/>
      <w:marLeft w:val="0"/>
      <w:marRight w:val="0"/>
      <w:marTop w:val="0"/>
      <w:marBottom w:val="0"/>
      <w:divBdr>
        <w:top w:val="none" w:sz="0" w:space="0" w:color="auto"/>
        <w:left w:val="none" w:sz="0" w:space="0" w:color="auto"/>
        <w:bottom w:val="none" w:sz="0" w:space="0" w:color="auto"/>
        <w:right w:val="none" w:sz="0" w:space="0" w:color="auto"/>
      </w:divBdr>
    </w:div>
    <w:div w:id="181628665">
      <w:bodyDiv w:val="1"/>
      <w:marLeft w:val="0"/>
      <w:marRight w:val="0"/>
      <w:marTop w:val="0"/>
      <w:marBottom w:val="0"/>
      <w:divBdr>
        <w:top w:val="none" w:sz="0" w:space="0" w:color="auto"/>
        <w:left w:val="none" w:sz="0" w:space="0" w:color="auto"/>
        <w:bottom w:val="none" w:sz="0" w:space="0" w:color="auto"/>
        <w:right w:val="none" w:sz="0" w:space="0" w:color="auto"/>
      </w:divBdr>
    </w:div>
    <w:div w:id="191967754">
      <w:bodyDiv w:val="1"/>
      <w:marLeft w:val="0"/>
      <w:marRight w:val="0"/>
      <w:marTop w:val="0"/>
      <w:marBottom w:val="0"/>
      <w:divBdr>
        <w:top w:val="none" w:sz="0" w:space="0" w:color="auto"/>
        <w:left w:val="none" w:sz="0" w:space="0" w:color="auto"/>
        <w:bottom w:val="none" w:sz="0" w:space="0" w:color="auto"/>
        <w:right w:val="none" w:sz="0" w:space="0" w:color="auto"/>
      </w:divBdr>
    </w:div>
    <w:div w:id="211354841">
      <w:bodyDiv w:val="1"/>
      <w:marLeft w:val="0"/>
      <w:marRight w:val="0"/>
      <w:marTop w:val="0"/>
      <w:marBottom w:val="0"/>
      <w:divBdr>
        <w:top w:val="none" w:sz="0" w:space="0" w:color="auto"/>
        <w:left w:val="none" w:sz="0" w:space="0" w:color="auto"/>
        <w:bottom w:val="none" w:sz="0" w:space="0" w:color="auto"/>
        <w:right w:val="none" w:sz="0" w:space="0" w:color="auto"/>
      </w:divBdr>
    </w:div>
    <w:div w:id="225339550">
      <w:bodyDiv w:val="1"/>
      <w:marLeft w:val="0"/>
      <w:marRight w:val="0"/>
      <w:marTop w:val="0"/>
      <w:marBottom w:val="0"/>
      <w:divBdr>
        <w:top w:val="none" w:sz="0" w:space="0" w:color="auto"/>
        <w:left w:val="none" w:sz="0" w:space="0" w:color="auto"/>
        <w:bottom w:val="none" w:sz="0" w:space="0" w:color="auto"/>
        <w:right w:val="none" w:sz="0" w:space="0" w:color="auto"/>
      </w:divBdr>
    </w:div>
    <w:div w:id="226453197">
      <w:bodyDiv w:val="1"/>
      <w:marLeft w:val="0"/>
      <w:marRight w:val="0"/>
      <w:marTop w:val="0"/>
      <w:marBottom w:val="0"/>
      <w:divBdr>
        <w:top w:val="none" w:sz="0" w:space="0" w:color="auto"/>
        <w:left w:val="none" w:sz="0" w:space="0" w:color="auto"/>
        <w:bottom w:val="none" w:sz="0" w:space="0" w:color="auto"/>
        <w:right w:val="none" w:sz="0" w:space="0" w:color="auto"/>
      </w:divBdr>
    </w:div>
    <w:div w:id="235936906">
      <w:bodyDiv w:val="1"/>
      <w:marLeft w:val="0"/>
      <w:marRight w:val="0"/>
      <w:marTop w:val="0"/>
      <w:marBottom w:val="0"/>
      <w:divBdr>
        <w:top w:val="none" w:sz="0" w:space="0" w:color="auto"/>
        <w:left w:val="none" w:sz="0" w:space="0" w:color="auto"/>
        <w:bottom w:val="none" w:sz="0" w:space="0" w:color="auto"/>
        <w:right w:val="none" w:sz="0" w:space="0" w:color="auto"/>
      </w:divBdr>
    </w:div>
    <w:div w:id="237908654">
      <w:bodyDiv w:val="1"/>
      <w:marLeft w:val="0"/>
      <w:marRight w:val="0"/>
      <w:marTop w:val="0"/>
      <w:marBottom w:val="0"/>
      <w:divBdr>
        <w:top w:val="none" w:sz="0" w:space="0" w:color="auto"/>
        <w:left w:val="none" w:sz="0" w:space="0" w:color="auto"/>
        <w:bottom w:val="none" w:sz="0" w:space="0" w:color="auto"/>
        <w:right w:val="none" w:sz="0" w:space="0" w:color="auto"/>
      </w:divBdr>
    </w:div>
    <w:div w:id="250820986">
      <w:bodyDiv w:val="1"/>
      <w:marLeft w:val="0"/>
      <w:marRight w:val="0"/>
      <w:marTop w:val="0"/>
      <w:marBottom w:val="0"/>
      <w:divBdr>
        <w:top w:val="none" w:sz="0" w:space="0" w:color="auto"/>
        <w:left w:val="none" w:sz="0" w:space="0" w:color="auto"/>
        <w:bottom w:val="none" w:sz="0" w:space="0" w:color="auto"/>
        <w:right w:val="none" w:sz="0" w:space="0" w:color="auto"/>
      </w:divBdr>
    </w:div>
    <w:div w:id="252513902">
      <w:bodyDiv w:val="1"/>
      <w:marLeft w:val="0"/>
      <w:marRight w:val="0"/>
      <w:marTop w:val="0"/>
      <w:marBottom w:val="0"/>
      <w:divBdr>
        <w:top w:val="none" w:sz="0" w:space="0" w:color="auto"/>
        <w:left w:val="none" w:sz="0" w:space="0" w:color="auto"/>
        <w:bottom w:val="none" w:sz="0" w:space="0" w:color="auto"/>
        <w:right w:val="none" w:sz="0" w:space="0" w:color="auto"/>
      </w:divBdr>
      <w:divsChild>
        <w:div w:id="163015868">
          <w:marLeft w:val="0"/>
          <w:marRight w:val="0"/>
          <w:marTop w:val="0"/>
          <w:marBottom w:val="0"/>
          <w:divBdr>
            <w:top w:val="none" w:sz="0" w:space="0" w:color="auto"/>
            <w:left w:val="none" w:sz="0" w:space="0" w:color="auto"/>
            <w:bottom w:val="none" w:sz="0" w:space="0" w:color="auto"/>
            <w:right w:val="none" w:sz="0" w:space="0" w:color="auto"/>
          </w:divBdr>
        </w:div>
      </w:divsChild>
    </w:div>
    <w:div w:id="253520038">
      <w:bodyDiv w:val="1"/>
      <w:marLeft w:val="0"/>
      <w:marRight w:val="0"/>
      <w:marTop w:val="0"/>
      <w:marBottom w:val="0"/>
      <w:divBdr>
        <w:top w:val="none" w:sz="0" w:space="0" w:color="auto"/>
        <w:left w:val="none" w:sz="0" w:space="0" w:color="auto"/>
        <w:bottom w:val="none" w:sz="0" w:space="0" w:color="auto"/>
        <w:right w:val="none" w:sz="0" w:space="0" w:color="auto"/>
      </w:divBdr>
    </w:div>
    <w:div w:id="255868791">
      <w:bodyDiv w:val="1"/>
      <w:marLeft w:val="0"/>
      <w:marRight w:val="0"/>
      <w:marTop w:val="0"/>
      <w:marBottom w:val="0"/>
      <w:divBdr>
        <w:top w:val="none" w:sz="0" w:space="0" w:color="auto"/>
        <w:left w:val="none" w:sz="0" w:space="0" w:color="auto"/>
        <w:bottom w:val="none" w:sz="0" w:space="0" w:color="auto"/>
        <w:right w:val="none" w:sz="0" w:space="0" w:color="auto"/>
      </w:divBdr>
    </w:div>
    <w:div w:id="260727385">
      <w:bodyDiv w:val="1"/>
      <w:marLeft w:val="0"/>
      <w:marRight w:val="0"/>
      <w:marTop w:val="0"/>
      <w:marBottom w:val="0"/>
      <w:divBdr>
        <w:top w:val="none" w:sz="0" w:space="0" w:color="auto"/>
        <w:left w:val="none" w:sz="0" w:space="0" w:color="auto"/>
        <w:bottom w:val="none" w:sz="0" w:space="0" w:color="auto"/>
        <w:right w:val="none" w:sz="0" w:space="0" w:color="auto"/>
      </w:divBdr>
    </w:div>
    <w:div w:id="260846378">
      <w:bodyDiv w:val="1"/>
      <w:marLeft w:val="0"/>
      <w:marRight w:val="0"/>
      <w:marTop w:val="0"/>
      <w:marBottom w:val="0"/>
      <w:divBdr>
        <w:top w:val="none" w:sz="0" w:space="0" w:color="auto"/>
        <w:left w:val="none" w:sz="0" w:space="0" w:color="auto"/>
        <w:bottom w:val="none" w:sz="0" w:space="0" w:color="auto"/>
        <w:right w:val="none" w:sz="0" w:space="0" w:color="auto"/>
      </w:divBdr>
    </w:div>
    <w:div w:id="263416068">
      <w:bodyDiv w:val="1"/>
      <w:marLeft w:val="0"/>
      <w:marRight w:val="0"/>
      <w:marTop w:val="0"/>
      <w:marBottom w:val="0"/>
      <w:divBdr>
        <w:top w:val="none" w:sz="0" w:space="0" w:color="auto"/>
        <w:left w:val="none" w:sz="0" w:space="0" w:color="auto"/>
        <w:bottom w:val="none" w:sz="0" w:space="0" w:color="auto"/>
        <w:right w:val="none" w:sz="0" w:space="0" w:color="auto"/>
      </w:divBdr>
    </w:div>
    <w:div w:id="288435770">
      <w:bodyDiv w:val="1"/>
      <w:marLeft w:val="0"/>
      <w:marRight w:val="0"/>
      <w:marTop w:val="0"/>
      <w:marBottom w:val="0"/>
      <w:divBdr>
        <w:top w:val="none" w:sz="0" w:space="0" w:color="auto"/>
        <w:left w:val="none" w:sz="0" w:space="0" w:color="auto"/>
        <w:bottom w:val="none" w:sz="0" w:space="0" w:color="auto"/>
        <w:right w:val="none" w:sz="0" w:space="0" w:color="auto"/>
      </w:divBdr>
    </w:div>
    <w:div w:id="290599003">
      <w:bodyDiv w:val="1"/>
      <w:marLeft w:val="0"/>
      <w:marRight w:val="0"/>
      <w:marTop w:val="0"/>
      <w:marBottom w:val="0"/>
      <w:divBdr>
        <w:top w:val="none" w:sz="0" w:space="0" w:color="auto"/>
        <w:left w:val="none" w:sz="0" w:space="0" w:color="auto"/>
        <w:bottom w:val="none" w:sz="0" w:space="0" w:color="auto"/>
        <w:right w:val="none" w:sz="0" w:space="0" w:color="auto"/>
      </w:divBdr>
      <w:divsChild>
        <w:div w:id="780034589">
          <w:marLeft w:val="0"/>
          <w:marRight w:val="0"/>
          <w:marTop w:val="0"/>
          <w:marBottom w:val="0"/>
          <w:divBdr>
            <w:top w:val="none" w:sz="0" w:space="0" w:color="auto"/>
            <w:left w:val="none" w:sz="0" w:space="0" w:color="auto"/>
            <w:bottom w:val="none" w:sz="0" w:space="0" w:color="auto"/>
            <w:right w:val="none" w:sz="0" w:space="0" w:color="auto"/>
          </w:divBdr>
          <w:divsChild>
            <w:div w:id="384838142">
              <w:marLeft w:val="0"/>
              <w:marRight w:val="0"/>
              <w:marTop w:val="150"/>
              <w:marBottom w:val="150"/>
              <w:divBdr>
                <w:top w:val="none" w:sz="0" w:space="0" w:color="auto"/>
                <w:left w:val="none" w:sz="0" w:space="0" w:color="auto"/>
                <w:bottom w:val="none" w:sz="0" w:space="0" w:color="auto"/>
                <w:right w:val="none" w:sz="0" w:space="0" w:color="auto"/>
              </w:divBdr>
              <w:divsChild>
                <w:div w:id="1264798476">
                  <w:marLeft w:val="0"/>
                  <w:marRight w:val="0"/>
                  <w:marTop w:val="0"/>
                  <w:marBottom w:val="0"/>
                  <w:divBdr>
                    <w:top w:val="none" w:sz="0" w:space="0" w:color="auto"/>
                    <w:left w:val="none" w:sz="0" w:space="0" w:color="auto"/>
                    <w:bottom w:val="none" w:sz="0" w:space="0" w:color="auto"/>
                    <w:right w:val="none" w:sz="0" w:space="0" w:color="auto"/>
                  </w:divBdr>
                </w:div>
              </w:divsChild>
            </w:div>
            <w:div w:id="439373574">
              <w:marLeft w:val="0"/>
              <w:marRight w:val="0"/>
              <w:marTop w:val="0"/>
              <w:marBottom w:val="0"/>
              <w:divBdr>
                <w:top w:val="none" w:sz="0" w:space="0" w:color="auto"/>
                <w:left w:val="none" w:sz="0" w:space="0" w:color="auto"/>
                <w:bottom w:val="none" w:sz="0" w:space="0" w:color="auto"/>
                <w:right w:val="none" w:sz="0" w:space="0" w:color="auto"/>
              </w:divBdr>
              <w:divsChild>
                <w:div w:id="271740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68588294">
          <w:marLeft w:val="0"/>
          <w:marRight w:val="0"/>
          <w:marTop w:val="0"/>
          <w:marBottom w:val="0"/>
          <w:divBdr>
            <w:top w:val="none" w:sz="0" w:space="0" w:color="auto"/>
            <w:left w:val="none" w:sz="0" w:space="0" w:color="auto"/>
            <w:bottom w:val="none" w:sz="0" w:space="0" w:color="auto"/>
            <w:right w:val="none" w:sz="0" w:space="0" w:color="auto"/>
          </w:divBdr>
          <w:divsChild>
            <w:div w:id="915626491">
              <w:marLeft w:val="0"/>
              <w:marRight w:val="0"/>
              <w:marTop w:val="0"/>
              <w:marBottom w:val="0"/>
              <w:divBdr>
                <w:top w:val="none" w:sz="0" w:space="0" w:color="auto"/>
                <w:left w:val="none" w:sz="0" w:space="0" w:color="auto"/>
                <w:bottom w:val="none" w:sz="0" w:space="0" w:color="auto"/>
                <w:right w:val="none" w:sz="0" w:space="0" w:color="auto"/>
              </w:divBdr>
              <w:divsChild>
                <w:div w:id="280846898">
                  <w:marLeft w:val="0"/>
                  <w:marRight w:val="0"/>
                  <w:marTop w:val="0"/>
                  <w:marBottom w:val="0"/>
                  <w:divBdr>
                    <w:top w:val="none" w:sz="0" w:space="0" w:color="auto"/>
                    <w:left w:val="none" w:sz="0" w:space="0" w:color="auto"/>
                    <w:bottom w:val="none" w:sz="0" w:space="0" w:color="auto"/>
                    <w:right w:val="none" w:sz="0" w:space="0" w:color="auto"/>
                  </w:divBdr>
                </w:div>
                <w:div w:id="998193887">
                  <w:marLeft w:val="0"/>
                  <w:marRight w:val="0"/>
                  <w:marTop w:val="0"/>
                  <w:marBottom w:val="0"/>
                  <w:divBdr>
                    <w:top w:val="none" w:sz="0" w:space="0" w:color="auto"/>
                    <w:left w:val="none" w:sz="0" w:space="0" w:color="auto"/>
                    <w:bottom w:val="none" w:sz="0" w:space="0" w:color="auto"/>
                    <w:right w:val="none" w:sz="0" w:space="0" w:color="auto"/>
                  </w:divBdr>
                  <w:divsChild>
                    <w:div w:id="626936445">
                      <w:marLeft w:val="0"/>
                      <w:marRight w:val="0"/>
                      <w:marTop w:val="0"/>
                      <w:marBottom w:val="0"/>
                      <w:divBdr>
                        <w:top w:val="none" w:sz="0" w:space="0" w:color="auto"/>
                        <w:left w:val="none" w:sz="0" w:space="0" w:color="auto"/>
                        <w:bottom w:val="none" w:sz="0" w:space="0" w:color="auto"/>
                        <w:right w:val="none" w:sz="0" w:space="0" w:color="auto"/>
                      </w:divBdr>
                      <w:divsChild>
                        <w:div w:id="19077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19908">
              <w:marLeft w:val="0"/>
              <w:marRight w:val="0"/>
              <w:marTop w:val="0"/>
              <w:marBottom w:val="0"/>
              <w:divBdr>
                <w:top w:val="none" w:sz="0" w:space="0" w:color="auto"/>
                <w:left w:val="none" w:sz="0" w:space="0" w:color="auto"/>
                <w:bottom w:val="none" w:sz="0" w:space="0" w:color="auto"/>
                <w:right w:val="none" w:sz="0" w:space="0" w:color="auto"/>
              </w:divBdr>
              <w:divsChild>
                <w:div w:id="1005671048">
                  <w:marLeft w:val="0"/>
                  <w:marRight w:val="0"/>
                  <w:marTop w:val="0"/>
                  <w:marBottom w:val="0"/>
                  <w:divBdr>
                    <w:top w:val="none" w:sz="0" w:space="0" w:color="auto"/>
                    <w:left w:val="none" w:sz="0" w:space="0" w:color="auto"/>
                    <w:bottom w:val="none" w:sz="0" w:space="0" w:color="auto"/>
                    <w:right w:val="none" w:sz="0" w:space="0" w:color="auto"/>
                  </w:divBdr>
                  <w:divsChild>
                    <w:div w:id="338582222">
                      <w:marLeft w:val="0"/>
                      <w:marRight w:val="0"/>
                      <w:marTop w:val="0"/>
                      <w:marBottom w:val="0"/>
                      <w:divBdr>
                        <w:top w:val="none" w:sz="0" w:space="0" w:color="auto"/>
                        <w:left w:val="none" w:sz="0" w:space="0" w:color="auto"/>
                        <w:bottom w:val="none" w:sz="0" w:space="0" w:color="auto"/>
                        <w:right w:val="none" w:sz="0" w:space="0" w:color="auto"/>
                      </w:divBdr>
                      <w:divsChild>
                        <w:div w:id="18821349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6829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053">
      <w:bodyDiv w:val="1"/>
      <w:marLeft w:val="0"/>
      <w:marRight w:val="0"/>
      <w:marTop w:val="0"/>
      <w:marBottom w:val="0"/>
      <w:divBdr>
        <w:top w:val="none" w:sz="0" w:space="0" w:color="auto"/>
        <w:left w:val="none" w:sz="0" w:space="0" w:color="auto"/>
        <w:bottom w:val="none" w:sz="0" w:space="0" w:color="auto"/>
        <w:right w:val="none" w:sz="0" w:space="0" w:color="auto"/>
      </w:divBdr>
    </w:div>
    <w:div w:id="305092980">
      <w:bodyDiv w:val="1"/>
      <w:marLeft w:val="0"/>
      <w:marRight w:val="0"/>
      <w:marTop w:val="0"/>
      <w:marBottom w:val="0"/>
      <w:divBdr>
        <w:top w:val="none" w:sz="0" w:space="0" w:color="auto"/>
        <w:left w:val="none" w:sz="0" w:space="0" w:color="auto"/>
        <w:bottom w:val="none" w:sz="0" w:space="0" w:color="auto"/>
        <w:right w:val="none" w:sz="0" w:space="0" w:color="auto"/>
      </w:divBdr>
      <w:divsChild>
        <w:div w:id="204146075">
          <w:marLeft w:val="0"/>
          <w:marRight w:val="0"/>
          <w:marTop w:val="0"/>
          <w:marBottom w:val="0"/>
          <w:divBdr>
            <w:top w:val="none" w:sz="0" w:space="0" w:color="auto"/>
            <w:left w:val="none" w:sz="0" w:space="0" w:color="auto"/>
            <w:bottom w:val="none" w:sz="0" w:space="0" w:color="auto"/>
            <w:right w:val="none" w:sz="0" w:space="0" w:color="auto"/>
          </w:divBdr>
        </w:div>
        <w:div w:id="659313856">
          <w:marLeft w:val="0"/>
          <w:marRight w:val="0"/>
          <w:marTop w:val="0"/>
          <w:marBottom w:val="0"/>
          <w:divBdr>
            <w:top w:val="none" w:sz="0" w:space="0" w:color="auto"/>
            <w:left w:val="none" w:sz="0" w:space="0" w:color="auto"/>
            <w:bottom w:val="none" w:sz="0" w:space="0" w:color="auto"/>
            <w:right w:val="none" w:sz="0" w:space="0" w:color="auto"/>
          </w:divBdr>
        </w:div>
        <w:div w:id="1729920369">
          <w:marLeft w:val="0"/>
          <w:marRight w:val="0"/>
          <w:marTop w:val="0"/>
          <w:marBottom w:val="0"/>
          <w:divBdr>
            <w:top w:val="none" w:sz="0" w:space="0" w:color="auto"/>
            <w:left w:val="none" w:sz="0" w:space="0" w:color="auto"/>
            <w:bottom w:val="none" w:sz="0" w:space="0" w:color="auto"/>
            <w:right w:val="none" w:sz="0" w:space="0" w:color="auto"/>
          </w:divBdr>
        </w:div>
      </w:divsChild>
    </w:div>
    <w:div w:id="321155918">
      <w:bodyDiv w:val="1"/>
      <w:marLeft w:val="0"/>
      <w:marRight w:val="0"/>
      <w:marTop w:val="0"/>
      <w:marBottom w:val="0"/>
      <w:divBdr>
        <w:top w:val="none" w:sz="0" w:space="0" w:color="auto"/>
        <w:left w:val="none" w:sz="0" w:space="0" w:color="auto"/>
        <w:bottom w:val="none" w:sz="0" w:space="0" w:color="auto"/>
        <w:right w:val="none" w:sz="0" w:space="0" w:color="auto"/>
      </w:divBdr>
    </w:div>
    <w:div w:id="324551259">
      <w:bodyDiv w:val="1"/>
      <w:marLeft w:val="0"/>
      <w:marRight w:val="0"/>
      <w:marTop w:val="0"/>
      <w:marBottom w:val="0"/>
      <w:divBdr>
        <w:top w:val="none" w:sz="0" w:space="0" w:color="auto"/>
        <w:left w:val="none" w:sz="0" w:space="0" w:color="auto"/>
        <w:bottom w:val="none" w:sz="0" w:space="0" w:color="auto"/>
        <w:right w:val="none" w:sz="0" w:space="0" w:color="auto"/>
      </w:divBdr>
    </w:div>
    <w:div w:id="325324665">
      <w:bodyDiv w:val="1"/>
      <w:marLeft w:val="0"/>
      <w:marRight w:val="0"/>
      <w:marTop w:val="0"/>
      <w:marBottom w:val="0"/>
      <w:divBdr>
        <w:top w:val="none" w:sz="0" w:space="0" w:color="auto"/>
        <w:left w:val="none" w:sz="0" w:space="0" w:color="auto"/>
        <w:bottom w:val="none" w:sz="0" w:space="0" w:color="auto"/>
        <w:right w:val="none" w:sz="0" w:space="0" w:color="auto"/>
      </w:divBdr>
    </w:div>
    <w:div w:id="331376096">
      <w:bodyDiv w:val="1"/>
      <w:marLeft w:val="0"/>
      <w:marRight w:val="0"/>
      <w:marTop w:val="0"/>
      <w:marBottom w:val="0"/>
      <w:divBdr>
        <w:top w:val="none" w:sz="0" w:space="0" w:color="auto"/>
        <w:left w:val="none" w:sz="0" w:space="0" w:color="auto"/>
        <w:bottom w:val="none" w:sz="0" w:space="0" w:color="auto"/>
        <w:right w:val="none" w:sz="0" w:space="0" w:color="auto"/>
      </w:divBdr>
    </w:div>
    <w:div w:id="331495546">
      <w:bodyDiv w:val="1"/>
      <w:marLeft w:val="0"/>
      <w:marRight w:val="0"/>
      <w:marTop w:val="0"/>
      <w:marBottom w:val="0"/>
      <w:divBdr>
        <w:top w:val="none" w:sz="0" w:space="0" w:color="auto"/>
        <w:left w:val="none" w:sz="0" w:space="0" w:color="auto"/>
        <w:bottom w:val="none" w:sz="0" w:space="0" w:color="auto"/>
        <w:right w:val="none" w:sz="0" w:space="0" w:color="auto"/>
      </w:divBdr>
    </w:div>
    <w:div w:id="335621503">
      <w:bodyDiv w:val="1"/>
      <w:marLeft w:val="0"/>
      <w:marRight w:val="0"/>
      <w:marTop w:val="0"/>
      <w:marBottom w:val="0"/>
      <w:divBdr>
        <w:top w:val="none" w:sz="0" w:space="0" w:color="auto"/>
        <w:left w:val="none" w:sz="0" w:space="0" w:color="auto"/>
        <w:bottom w:val="none" w:sz="0" w:space="0" w:color="auto"/>
        <w:right w:val="none" w:sz="0" w:space="0" w:color="auto"/>
      </w:divBdr>
    </w:div>
    <w:div w:id="336081927">
      <w:bodyDiv w:val="1"/>
      <w:marLeft w:val="0"/>
      <w:marRight w:val="0"/>
      <w:marTop w:val="0"/>
      <w:marBottom w:val="0"/>
      <w:divBdr>
        <w:top w:val="none" w:sz="0" w:space="0" w:color="auto"/>
        <w:left w:val="none" w:sz="0" w:space="0" w:color="auto"/>
        <w:bottom w:val="none" w:sz="0" w:space="0" w:color="auto"/>
        <w:right w:val="none" w:sz="0" w:space="0" w:color="auto"/>
      </w:divBdr>
    </w:div>
    <w:div w:id="337274715">
      <w:bodyDiv w:val="1"/>
      <w:marLeft w:val="0"/>
      <w:marRight w:val="0"/>
      <w:marTop w:val="0"/>
      <w:marBottom w:val="0"/>
      <w:divBdr>
        <w:top w:val="none" w:sz="0" w:space="0" w:color="auto"/>
        <w:left w:val="none" w:sz="0" w:space="0" w:color="auto"/>
        <w:bottom w:val="none" w:sz="0" w:space="0" w:color="auto"/>
        <w:right w:val="none" w:sz="0" w:space="0" w:color="auto"/>
      </w:divBdr>
    </w:div>
    <w:div w:id="345864179">
      <w:bodyDiv w:val="1"/>
      <w:marLeft w:val="0"/>
      <w:marRight w:val="0"/>
      <w:marTop w:val="0"/>
      <w:marBottom w:val="0"/>
      <w:divBdr>
        <w:top w:val="none" w:sz="0" w:space="0" w:color="auto"/>
        <w:left w:val="none" w:sz="0" w:space="0" w:color="auto"/>
        <w:bottom w:val="none" w:sz="0" w:space="0" w:color="auto"/>
        <w:right w:val="none" w:sz="0" w:space="0" w:color="auto"/>
      </w:divBdr>
    </w:div>
    <w:div w:id="357976525">
      <w:bodyDiv w:val="1"/>
      <w:marLeft w:val="0"/>
      <w:marRight w:val="0"/>
      <w:marTop w:val="0"/>
      <w:marBottom w:val="0"/>
      <w:divBdr>
        <w:top w:val="none" w:sz="0" w:space="0" w:color="auto"/>
        <w:left w:val="none" w:sz="0" w:space="0" w:color="auto"/>
        <w:bottom w:val="none" w:sz="0" w:space="0" w:color="auto"/>
        <w:right w:val="none" w:sz="0" w:space="0" w:color="auto"/>
      </w:divBdr>
    </w:div>
    <w:div w:id="365059451">
      <w:bodyDiv w:val="1"/>
      <w:marLeft w:val="0"/>
      <w:marRight w:val="0"/>
      <w:marTop w:val="0"/>
      <w:marBottom w:val="0"/>
      <w:divBdr>
        <w:top w:val="none" w:sz="0" w:space="0" w:color="auto"/>
        <w:left w:val="none" w:sz="0" w:space="0" w:color="auto"/>
        <w:bottom w:val="none" w:sz="0" w:space="0" w:color="auto"/>
        <w:right w:val="none" w:sz="0" w:space="0" w:color="auto"/>
      </w:divBdr>
    </w:div>
    <w:div w:id="365184288">
      <w:bodyDiv w:val="1"/>
      <w:marLeft w:val="0"/>
      <w:marRight w:val="0"/>
      <w:marTop w:val="0"/>
      <w:marBottom w:val="0"/>
      <w:divBdr>
        <w:top w:val="none" w:sz="0" w:space="0" w:color="auto"/>
        <w:left w:val="none" w:sz="0" w:space="0" w:color="auto"/>
        <w:bottom w:val="none" w:sz="0" w:space="0" w:color="auto"/>
        <w:right w:val="none" w:sz="0" w:space="0" w:color="auto"/>
      </w:divBdr>
    </w:div>
    <w:div w:id="372459339">
      <w:bodyDiv w:val="1"/>
      <w:marLeft w:val="0"/>
      <w:marRight w:val="0"/>
      <w:marTop w:val="0"/>
      <w:marBottom w:val="0"/>
      <w:divBdr>
        <w:top w:val="none" w:sz="0" w:space="0" w:color="auto"/>
        <w:left w:val="none" w:sz="0" w:space="0" w:color="auto"/>
        <w:bottom w:val="none" w:sz="0" w:space="0" w:color="auto"/>
        <w:right w:val="none" w:sz="0" w:space="0" w:color="auto"/>
      </w:divBdr>
    </w:div>
    <w:div w:id="377629793">
      <w:bodyDiv w:val="1"/>
      <w:marLeft w:val="0"/>
      <w:marRight w:val="0"/>
      <w:marTop w:val="0"/>
      <w:marBottom w:val="0"/>
      <w:divBdr>
        <w:top w:val="none" w:sz="0" w:space="0" w:color="auto"/>
        <w:left w:val="none" w:sz="0" w:space="0" w:color="auto"/>
        <w:bottom w:val="none" w:sz="0" w:space="0" w:color="auto"/>
        <w:right w:val="none" w:sz="0" w:space="0" w:color="auto"/>
      </w:divBdr>
    </w:div>
    <w:div w:id="389110507">
      <w:bodyDiv w:val="1"/>
      <w:marLeft w:val="0"/>
      <w:marRight w:val="0"/>
      <w:marTop w:val="0"/>
      <w:marBottom w:val="0"/>
      <w:divBdr>
        <w:top w:val="none" w:sz="0" w:space="0" w:color="auto"/>
        <w:left w:val="none" w:sz="0" w:space="0" w:color="auto"/>
        <w:bottom w:val="none" w:sz="0" w:space="0" w:color="auto"/>
        <w:right w:val="none" w:sz="0" w:space="0" w:color="auto"/>
      </w:divBdr>
    </w:div>
    <w:div w:id="391929250">
      <w:bodyDiv w:val="1"/>
      <w:marLeft w:val="0"/>
      <w:marRight w:val="0"/>
      <w:marTop w:val="0"/>
      <w:marBottom w:val="0"/>
      <w:divBdr>
        <w:top w:val="none" w:sz="0" w:space="0" w:color="auto"/>
        <w:left w:val="none" w:sz="0" w:space="0" w:color="auto"/>
        <w:bottom w:val="none" w:sz="0" w:space="0" w:color="auto"/>
        <w:right w:val="none" w:sz="0" w:space="0" w:color="auto"/>
      </w:divBdr>
      <w:divsChild>
        <w:div w:id="1376076889">
          <w:marLeft w:val="0"/>
          <w:marRight w:val="0"/>
          <w:marTop w:val="0"/>
          <w:marBottom w:val="0"/>
          <w:divBdr>
            <w:top w:val="none" w:sz="0" w:space="0" w:color="auto"/>
            <w:left w:val="none" w:sz="0" w:space="0" w:color="auto"/>
            <w:bottom w:val="none" w:sz="0" w:space="0" w:color="auto"/>
            <w:right w:val="none" w:sz="0" w:space="0" w:color="auto"/>
          </w:divBdr>
          <w:divsChild>
            <w:div w:id="1453354374">
              <w:marLeft w:val="0"/>
              <w:marRight w:val="0"/>
              <w:marTop w:val="0"/>
              <w:marBottom w:val="0"/>
              <w:divBdr>
                <w:top w:val="none" w:sz="0" w:space="0" w:color="auto"/>
                <w:left w:val="none" w:sz="0" w:space="0" w:color="auto"/>
                <w:bottom w:val="none" w:sz="0" w:space="0" w:color="auto"/>
                <w:right w:val="none" w:sz="0" w:space="0" w:color="auto"/>
              </w:divBdr>
            </w:div>
          </w:divsChild>
        </w:div>
        <w:div w:id="1511989563">
          <w:marLeft w:val="0"/>
          <w:marRight w:val="0"/>
          <w:marTop w:val="0"/>
          <w:marBottom w:val="0"/>
          <w:divBdr>
            <w:top w:val="none" w:sz="0" w:space="0" w:color="auto"/>
            <w:left w:val="none" w:sz="0" w:space="0" w:color="auto"/>
            <w:bottom w:val="none" w:sz="0" w:space="0" w:color="auto"/>
            <w:right w:val="none" w:sz="0" w:space="0" w:color="auto"/>
          </w:divBdr>
          <w:divsChild>
            <w:div w:id="2733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5636">
      <w:bodyDiv w:val="1"/>
      <w:marLeft w:val="0"/>
      <w:marRight w:val="0"/>
      <w:marTop w:val="0"/>
      <w:marBottom w:val="0"/>
      <w:divBdr>
        <w:top w:val="none" w:sz="0" w:space="0" w:color="auto"/>
        <w:left w:val="none" w:sz="0" w:space="0" w:color="auto"/>
        <w:bottom w:val="none" w:sz="0" w:space="0" w:color="auto"/>
        <w:right w:val="none" w:sz="0" w:space="0" w:color="auto"/>
      </w:divBdr>
    </w:div>
    <w:div w:id="416370843">
      <w:bodyDiv w:val="1"/>
      <w:marLeft w:val="0"/>
      <w:marRight w:val="0"/>
      <w:marTop w:val="0"/>
      <w:marBottom w:val="0"/>
      <w:divBdr>
        <w:top w:val="none" w:sz="0" w:space="0" w:color="auto"/>
        <w:left w:val="none" w:sz="0" w:space="0" w:color="auto"/>
        <w:bottom w:val="none" w:sz="0" w:space="0" w:color="auto"/>
        <w:right w:val="none" w:sz="0" w:space="0" w:color="auto"/>
      </w:divBdr>
    </w:div>
    <w:div w:id="418522483">
      <w:bodyDiv w:val="1"/>
      <w:marLeft w:val="0"/>
      <w:marRight w:val="0"/>
      <w:marTop w:val="0"/>
      <w:marBottom w:val="0"/>
      <w:divBdr>
        <w:top w:val="none" w:sz="0" w:space="0" w:color="auto"/>
        <w:left w:val="none" w:sz="0" w:space="0" w:color="auto"/>
        <w:bottom w:val="none" w:sz="0" w:space="0" w:color="auto"/>
        <w:right w:val="none" w:sz="0" w:space="0" w:color="auto"/>
      </w:divBdr>
    </w:div>
    <w:div w:id="418841554">
      <w:bodyDiv w:val="1"/>
      <w:marLeft w:val="0"/>
      <w:marRight w:val="0"/>
      <w:marTop w:val="0"/>
      <w:marBottom w:val="0"/>
      <w:divBdr>
        <w:top w:val="none" w:sz="0" w:space="0" w:color="auto"/>
        <w:left w:val="none" w:sz="0" w:space="0" w:color="auto"/>
        <w:bottom w:val="none" w:sz="0" w:space="0" w:color="auto"/>
        <w:right w:val="none" w:sz="0" w:space="0" w:color="auto"/>
      </w:divBdr>
    </w:div>
    <w:div w:id="421728643">
      <w:bodyDiv w:val="1"/>
      <w:marLeft w:val="0"/>
      <w:marRight w:val="0"/>
      <w:marTop w:val="0"/>
      <w:marBottom w:val="0"/>
      <w:divBdr>
        <w:top w:val="none" w:sz="0" w:space="0" w:color="auto"/>
        <w:left w:val="none" w:sz="0" w:space="0" w:color="auto"/>
        <w:bottom w:val="none" w:sz="0" w:space="0" w:color="auto"/>
        <w:right w:val="none" w:sz="0" w:space="0" w:color="auto"/>
      </w:divBdr>
    </w:div>
    <w:div w:id="435445415">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6263981">
      <w:bodyDiv w:val="1"/>
      <w:marLeft w:val="0"/>
      <w:marRight w:val="0"/>
      <w:marTop w:val="0"/>
      <w:marBottom w:val="0"/>
      <w:divBdr>
        <w:top w:val="none" w:sz="0" w:space="0" w:color="auto"/>
        <w:left w:val="none" w:sz="0" w:space="0" w:color="auto"/>
        <w:bottom w:val="none" w:sz="0" w:space="0" w:color="auto"/>
        <w:right w:val="none" w:sz="0" w:space="0" w:color="auto"/>
      </w:divBdr>
    </w:div>
    <w:div w:id="457257766">
      <w:bodyDiv w:val="1"/>
      <w:marLeft w:val="0"/>
      <w:marRight w:val="0"/>
      <w:marTop w:val="0"/>
      <w:marBottom w:val="0"/>
      <w:divBdr>
        <w:top w:val="none" w:sz="0" w:space="0" w:color="auto"/>
        <w:left w:val="none" w:sz="0" w:space="0" w:color="auto"/>
        <w:bottom w:val="none" w:sz="0" w:space="0" w:color="auto"/>
        <w:right w:val="none" w:sz="0" w:space="0" w:color="auto"/>
      </w:divBdr>
    </w:div>
    <w:div w:id="469633004">
      <w:bodyDiv w:val="1"/>
      <w:marLeft w:val="0"/>
      <w:marRight w:val="0"/>
      <w:marTop w:val="0"/>
      <w:marBottom w:val="0"/>
      <w:divBdr>
        <w:top w:val="none" w:sz="0" w:space="0" w:color="auto"/>
        <w:left w:val="none" w:sz="0" w:space="0" w:color="auto"/>
        <w:bottom w:val="none" w:sz="0" w:space="0" w:color="auto"/>
        <w:right w:val="none" w:sz="0" w:space="0" w:color="auto"/>
      </w:divBdr>
    </w:div>
    <w:div w:id="478347573">
      <w:bodyDiv w:val="1"/>
      <w:marLeft w:val="0"/>
      <w:marRight w:val="0"/>
      <w:marTop w:val="0"/>
      <w:marBottom w:val="0"/>
      <w:divBdr>
        <w:top w:val="none" w:sz="0" w:space="0" w:color="auto"/>
        <w:left w:val="none" w:sz="0" w:space="0" w:color="auto"/>
        <w:bottom w:val="none" w:sz="0" w:space="0" w:color="auto"/>
        <w:right w:val="none" w:sz="0" w:space="0" w:color="auto"/>
      </w:divBdr>
      <w:divsChild>
        <w:div w:id="483668349">
          <w:marLeft w:val="0"/>
          <w:marRight w:val="0"/>
          <w:marTop w:val="0"/>
          <w:marBottom w:val="0"/>
          <w:divBdr>
            <w:top w:val="none" w:sz="0" w:space="0" w:color="auto"/>
            <w:left w:val="none" w:sz="0" w:space="0" w:color="auto"/>
            <w:bottom w:val="none" w:sz="0" w:space="0" w:color="auto"/>
            <w:right w:val="none" w:sz="0" w:space="0" w:color="auto"/>
          </w:divBdr>
        </w:div>
        <w:div w:id="1178420561">
          <w:marLeft w:val="0"/>
          <w:marRight w:val="0"/>
          <w:marTop w:val="0"/>
          <w:marBottom w:val="0"/>
          <w:divBdr>
            <w:top w:val="none" w:sz="0" w:space="0" w:color="auto"/>
            <w:left w:val="none" w:sz="0" w:space="0" w:color="auto"/>
            <w:bottom w:val="none" w:sz="0" w:space="0" w:color="auto"/>
            <w:right w:val="none" w:sz="0" w:space="0" w:color="auto"/>
          </w:divBdr>
        </w:div>
        <w:div w:id="1250427801">
          <w:marLeft w:val="0"/>
          <w:marRight w:val="0"/>
          <w:marTop w:val="0"/>
          <w:marBottom w:val="0"/>
          <w:divBdr>
            <w:top w:val="none" w:sz="0" w:space="0" w:color="auto"/>
            <w:left w:val="none" w:sz="0" w:space="0" w:color="auto"/>
            <w:bottom w:val="none" w:sz="0" w:space="0" w:color="auto"/>
            <w:right w:val="none" w:sz="0" w:space="0" w:color="auto"/>
          </w:divBdr>
        </w:div>
      </w:divsChild>
    </w:div>
    <w:div w:id="487208786">
      <w:bodyDiv w:val="1"/>
      <w:marLeft w:val="0"/>
      <w:marRight w:val="0"/>
      <w:marTop w:val="0"/>
      <w:marBottom w:val="0"/>
      <w:divBdr>
        <w:top w:val="none" w:sz="0" w:space="0" w:color="auto"/>
        <w:left w:val="none" w:sz="0" w:space="0" w:color="auto"/>
        <w:bottom w:val="none" w:sz="0" w:space="0" w:color="auto"/>
        <w:right w:val="none" w:sz="0" w:space="0" w:color="auto"/>
      </w:divBdr>
    </w:div>
    <w:div w:id="492259302">
      <w:bodyDiv w:val="1"/>
      <w:marLeft w:val="0"/>
      <w:marRight w:val="0"/>
      <w:marTop w:val="0"/>
      <w:marBottom w:val="0"/>
      <w:divBdr>
        <w:top w:val="none" w:sz="0" w:space="0" w:color="auto"/>
        <w:left w:val="none" w:sz="0" w:space="0" w:color="auto"/>
        <w:bottom w:val="none" w:sz="0" w:space="0" w:color="auto"/>
        <w:right w:val="none" w:sz="0" w:space="0" w:color="auto"/>
      </w:divBdr>
    </w:div>
    <w:div w:id="493953454">
      <w:bodyDiv w:val="1"/>
      <w:marLeft w:val="0"/>
      <w:marRight w:val="0"/>
      <w:marTop w:val="0"/>
      <w:marBottom w:val="0"/>
      <w:divBdr>
        <w:top w:val="none" w:sz="0" w:space="0" w:color="auto"/>
        <w:left w:val="none" w:sz="0" w:space="0" w:color="auto"/>
        <w:bottom w:val="none" w:sz="0" w:space="0" w:color="auto"/>
        <w:right w:val="none" w:sz="0" w:space="0" w:color="auto"/>
      </w:divBdr>
    </w:div>
    <w:div w:id="515924559">
      <w:bodyDiv w:val="1"/>
      <w:marLeft w:val="0"/>
      <w:marRight w:val="0"/>
      <w:marTop w:val="0"/>
      <w:marBottom w:val="0"/>
      <w:divBdr>
        <w:top w:val="none" w:sz="0" w:space="0" w:color="auto"/>
        <w:left w:val="none" w:sz="0" w:space="0" w:color="auto"/>
        <w:bottom w:val="none" w:sz="0" w:space="0" w:color="auto"/>
        <w:right w:val="none" w:sz="0" w:space="0" w:color="auto"/>
      </w:divBdr>
    </w:div>
    <w:div w:id="51781705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9">
          <w:marLeft w:val="0"/>
          <w:marRight w:val="0"/>
          <w:marTop w:val="0"/>
          <w:marBottom w:val="0"/>
          <w:divBdr>
            <w:top w:val="none" w:sz="0" w:space="0" w:color="auto"/>
            <w:left w:val="none" w:sz="0" w:space="0" w:color="auto"/>
            <w:bottom w:val="none" w:sz="0" w:space="0" w:color="auto"/>
            <w:right w:val="none" w:sz="0" w:space="0" w:color="auto"/>
          </w:divBdr>
        </w:div>
      </w:divsChild>
    </w:div>
    <w:div w:id="518281751">
      <w:bodyDiv w:val="1"/>
      <w:marLeft w:val="0"/>
      <w:marRight w:val="0"/>
      <w:marTop w:val="0"/>
      <w:marBottom w:val="0"/>
      <w:divBdr>
        <w:top w:val="none" w:sz="0" w:space="0" w:color="auto"/>
        <w:left w:val="none" w:sz="0" w:space="0" w:color="auto"/>
        <w:bottom w:val="none" w:sz="0" w:space="0" w:color="auto"/>
        <w:right w:val="none" w:sz="0" w:space="0" w:color="auto"/>
      </w:divBdr>
    </w:div>
    <w:div w:id="525288034">
      <w:bodyDiv w:val="1"/>
      <w:marLeft w:val="0"/>
      <w:marRight w:val="0"/>
      <w:marTop w:val="0"/>
      <w:marBottom w:val="0"/>
      <w:divBdr>
        <w:top w:val="none" w:sz="0" w:space="0" w:color="auto"/>
        <w:left w:val="none" w:sz="0" w:space="0" w:color="auto"/>
        <w:bottom w:val="none" w:sz="0" w:space="0" w:color="auto"/>
        <w:right w:val="none" w:sz="0" w:space="0" w:color="auto"/>
      </w:divBdr>
    </w:div>
    <w:div w:id="534345991">
      <w:bodyDiv w:val="1"/>
      <w:marLeft w:val="0"/>
      <w:marRight w:val="0"/>
      <w:marTop w:val="0"/>
      <w:marBottom w:val="0"/>
      <w:divBdr>
        <w:top w:val="none" w:sz="0" w:space="0" w:color="auto"/>
        <w:left w:val="none" w:sz="0" w:space="0" w:color="auto"/>
        <w:bottom w:val="none" w:sz="0" w:space="0" w:color="auto"/>
        <w:right w:val="none" w:sz="0" w:space="0" w:color="auto"/>
      </w:divBdr>
    </w:div>
    <w:div w:id="535964701">
      <w:bodyDiv w:val="1"/>
      <w:marLeft w:val="0"/>
      <w:marRight w:val="0"/>
      <w:marTop w:val="0"/>
      <w:marBottom w:val="0"/>
      <w:divBdr>
        <w:top w:val="none" w:sz="0" w:space="0" w:color="auto"/>
        <w:left w:val="none" w:sz="0" w:space="0" w:color="auto"/>
        <w:bottom w:val="none" w:sz="0" w:space="0" w:color="auto"/>
        <w:right w:val="none" w:sz="0" w:space="0" w:color="auto"/>
      </w:divBdr>
    </w:div>
    <w:div w:id="543054894">
      <w:bodyDiv w:val="1"/>
      <w:marLeft w:val="0"/>
      <w:marRight w:val="0"/>
      <w:marTop w:val="0"/>
      <w:marBottom w:val="0"/>
      <w:divBdr>
        <w:top w:val="none" w:sz="0" w:space="0" w:color="auto"/>
        <w:left w:val="none" w:sz="0" w:space="0" w:color="auto"/>
        <w:bottom w:val="none" w:sz="0" w:space="0" w:color="auto"/>
        <w:right w:val="none" w:sz="0" w:space="0" w:color="auto"/>
      </w:divBdr>
    </w:div>
    <w:div w:id="551044123">
      <w:bodyDiv w:val="1"/>
      <w:marLeft w:val="0"/>
      <w:marRight w:val="0"/>
      <w:marTop w:val="0"/>
      <w:marBottom w:val="0"/>
      <w:divBdr>
        <w:top w:val="none" w:sz="0" w:space="0" w:color="auto"/>
        <w:left w:val="none" w:sz="0" w:space="0" w:color="auto"/>
        <w:bottom w:val="none" w:sz="0" w:space="0" w:color="auto"/>
        <w:right w:val="none" w:sz="0" w:space="0" w:color="auto"/>
      </w:divBdr>
    </w:div>
    <w:div w:id="553741356">
      <w:bodyDiv w:val="1"/>
      <w:marLeft w:val="0"/>
      <w:marRight w:val="0"/>
      <w:marTop w:val="0"/>
      <w:marBottom w:val="0"/>
      <w:divBdr>
        <w:top w:val="none" w:sz="0" w:space="0" w:color="auto"/>
        <w:left w:val="none" w:sz="0" w:space="0" w:color="auto"/>
        <w:bottom w:val="none" w:sz="0" w:space="0" w:color="auto"/>
        <w:right w:val="none" w:sz="0" w:space="0" w:color="auto"/>
      </w:divBdr>
    </w:div>
    <w:div w:id="560214377">
      <w:bodyDiv w:val="1"/>
      <w:marLeft w:val="0"/>
      <w:marRight w:val="0"/>
      <w:marTop w:val="0"/>
      <w:marBottom w:val="0"/>
      <w:divBdr>
        <w:top w:val="none" w:sz="0" w:space="0" w:color="auto"/>
        <w:left w:val="none" w:sz="0" w:space="0" w:color="auto"/>
        <w:bottom w:val="none" w:sz="0" w:space="0" w:color="auto"/>
        <w:right w:val="none" w:sz="0" w:space="0" w:color="auto"/>
      </w:divBdr>
    </w:div>
    <w:div w:id="578757698">
      <w:bodyDiv w:val="1"/>
      <w:marLeft w:val="0"/>
      <w:marRight w:val="0"/>
      <w:marTop w:val="0"/>
      <w:marBottom w:val="0"/>
      <w:divBdr>
        <w:top w:val="none" w:sz="0" w:space="0" w:color="auto"/>
        <w:left w:val="none" w:sz="0" w:space="0" w:color="auto"/>
        <w:bottom w:val="none" w:sz="0" w:space="0" w:color="auto"/>
        <w:right w:val="none" w:sz="0" w:space="0" w:color="auto"/>
      </w:divBdr>
    </w:div>
    <w:div w:id="581305517">
      <w:bodyDiv w:val="1"/>
      <w:marLeft w:val="0"/>
      <w:marRight w:val="0"/>
      <w:marTop w:val="0"/>
      <w:marBottom w:val="0"/>
      <w:divBdr>
        <w:top w:val="none" w:sz="0" w:space="0" w:color="auto"/>
        <w:left w:val="none" w:sz="0" w:space="0" w:color="auto"/>
        <w:bottom w:val="none" w:sz="0" w:space="0" w:color="auto"/>
        <w:right w:val="none" w:sz="0" w:space="0" w:color="auto"/>
      </w:divBdr>
    </w:div>
    <w:div w:id="583954034">
      <w:bodyDiv w:val="1"/>
      <w:marLeft w:val="0"/>
      <w:marRight w:val="0"/>
      <w:marTop w:val="0"/>
      <w:marBottom w:val="0"/>
      <w:divBdr>
        <w:top w:val="none" w:sz="0" w:space="0" w:color="auto"/>
        <w:left w:val="none" w:sz="0" w:space="0" w:color="auto"/>
        <w:bottom w:val="none" w:sz="0" w:space="0" w:color="auto"/>
        <w:right w:val="none" w:sz="0" w:space="0" w:color="auto"/>
      </w:divBdr>
    </w:div>
    <w:div w:id="586962063">
      <w:bodyDiv w:val="1"/>
      <w:marLeft w:val="0"/>
      <w:marRight w:val="0"/>
      <w:marTop w:val="0"/>
      <w:marBottom w:val="0"/>
      <w:divBdr>
        <w:top w:val="none" w:sz="0" w:space="0" w:color="auto"/>
        <w:left w:val="none" w:sz="0" w:space="0" w:color="auto"/>
        <w:bottom w:val="none" w:sz="0" w:space="0" w:color="auto"/>
        <w:right w:val="none" w:sz="0" w:space="0" w:color="auto"/>
      </w:divBdr>
    </w:div>
    <w:div w:id="588470021">
      <w:bodyDiv w:val="1"/>
      <w:marLeft w:val="0"/>
      <w:marRight w:val="0"/>
      <w:marTop w:val="0"/>
      <w:marBottom w:val="0"/>
      <w:divBdr>
        <w:top w:val="none" w:sz="0" w:space="0" w:color="auto"/>
        <w:left w:val="none" w:sz="0" w:space="0" w:color="auto"/>
        <w:bottom w:val="none" w:sz="0" w:space="0" w:color="auto"/>
        <w:right w:val="none" w:sz="0" w:space="0" w:color="auto"/>
      </w:divBdr>
    </w:div>
    <w:div w:id="595141866">
      <w:bodyDiv w:val="1"/>
      <w:marLeft w:val="0"/>
      <w:marRight w:val="0"/>
      <w:marTop w:val="0"/>
      <w:marBottom w:val="0"/>
      <w:divBdr>
        <w:top w:val="none" w:sz="0" w:space="0" w:color="auto"/>
        <w:left w:val="none" w:sz="0" w:space="0" w:color="auto"/>
        <w:bottom w:val="none" w:sz="0" w:space="0" w:color="auto"/>
        <w:right w:val="none" w:sz="0" w:space="0" w:color="auto"/>
      </w:divBdr>
    </w:div>
    <w:div w:id="608390258">
      <w:bodyDiv w:val="1"/>
      <w:marLeft w:val="0"/>
      <w:marRight w:val="0"/>
      <w:marTop w:val="0"/>
      <w:marBottom w:val="0"/>
      <w:divBdr>
        <w:top w:val="none" w:sz="0" w:space="0" w:color="auto"/>
        <w:left w:val="none" w:sz="0" w:space="0" w:color="auto"/>
        <w:bottom w:val="none" w:sz="0" w:space="0" w:color="auto"/>
        <w:right w:val="none" w:sz="0" w:space="0" w:color="auto"/>
      </w:divBdr>
    </w:div>
    <w:div w:id="610862324">
      <w:bodyDiv w:val="1"/>
      <w:marLeft w:val="0"/>
      <w:marRight w:val="0"/>
      <w:marTop w:val="0"/>
      <w:marBottom w:val="0"/>
      <w:divBdr>
        <w:top w:val="none" w:sz="0" w:space="0" w:color="auto"/>
        <w:left w:val="none" w:sz="0" w:space="0" w:color="auto"/>
        <w:bottom w:val="none" w:sz="0" w:space="0" w:color="auto"/>
        <w:right w:val="none" w:sz="0" w:space="0" w:color="auto"/>
      </w:divBdr>
    </w:div>
    <w:div w:id="610942613">
      <w:bodyDiv w:val="1"/>
      <w:marLeft w:val="0"/>
      <w:marRight w:val="0"/>
      <w:marTop w:val="0"/>
      <w:marBottom w:val="0"/>
      <w:divBdr>
        <w:top w:val="none" w:sz="0" w:space="0" w:color="auto"/>
        <w:left w:val="none" w:sz="0" w:space="0" w:color="auto"/>
        <w:bottom w:val="none" w:sz="0" w:space="0" w:color="auto"/>
        <w:right w:val="none" w:sz="0" w:space="0" w:color="auto"/>
      </w:divBdr>
    </w:div>
    <w:div w:id="618026254">
      <w:bodyDiv w:val="1"/>
      <w:marLeft w:val="0"/>
      <w:marRight w:val="0"/>
      <w:marTop w:val="0"/>
      <w:marBottom w:val="0"/>
      <w:divBdr>
        <w:top w:val="none" w:sz="0" w:space="0" w:color="auto"/>
        <w:left w:val="none" w:sz="0" w:space="0" w:color="auto"/>
        <w:bottom w:val="none" w:sz="0" w:space="0" w:color="auto"/>
        <w:right w:val="none" w:sz="0" w:space="0" w:color="auto"/>
      </w:divBdr>
    </w:div>
    <w:div w:id="623271687">
      <w:bodyDiv w:val="1"/>
      <w:marLeft w:val="0"/>
      <w:marRight w:val="0"/>
      <w:marTop w:val="0"/>
      <w:marBottom w:val="0"/>
      <w:divBdr>
        <w:top w:val="none" w:sz="0" w:space="0" w:color="auto"/>
        <w:left w:val="none" w:sz="0" w:space="0" w:color="auto"/>
        <w:bottom w:val="none" w:sz="0" w:space="0" w:color="auto"/>
        <w:right w:val="none" w:sz="0" w:space="0" w:color="auto"/>
      </w:divBdr>
      <w:divsChild>
        <w:div w:id="1920016714">
          <w:marLeft w:val="0"/>
          <w:marRight w:val="0"/>
          <w:marTop w:val="0"/>
          <w:marBottom w:val="0"/>
          <w:divBdr>
            <w:top w:val="none" w:sz="0" w:space="0" w:color="auto"/>
            <w:left w:val="none" w:sz="0" w:space="0" w:color="auto"/>
            <w:bottom w:val="none" w:sz="0" w:space="0" w:color="auto"/>
            <w:right w:val="none" w:sz="0" w:space="0" w:color="auto"/>
          </w:divBdr>
          <w:divsChild>
            <w:div w:id="141584778">
              <w:marLeft w:val="0"/>
              <w:marRight w:val="0"/>
              <w:marTop w:val="0"/>
              <w:marBottom w:val="0"/>
              <w:divBdr>
                <w:top w:val="none" w:sz="0" w:space="0" w:color="auto"/>
                <w:left w:val="none" w:sz="0" w:space="0" w:color="auto"/>
                <w:bottom w:val="none" w:sz="0" w:space="0" w:color="auto"/>
                <w:right w:val="none" w:sz="0" w:space="0" w:color="auto"/>
              </w:divBdr>
              <w:divsChild>
                <w:div w:id="1446266665">
                  <w:marLeft w:val="0"/>
                  <w:marRight w:val="0"/>
                  <w:marTop w:val="0"/>
                  <w:marBottom w:val="0"/>
                  <w:divBdr>
                    <w:top w:val="none" w:sz="0" w:space="0" w:color="auto"/>
                    <w:left w:val="none" w:sz="0" w:space="0" w:color="auto"/>
                    <w:bottom w:val="none" w:sz="0" w:space="0" w:color="auto"/>
                    <w:right w:val="none" w:sz="0" w:space="0" w:color="auto"/>
                  </w:divBdr>
                  <w:divsChild>
                    <w:div w:id="1604151141">
                      <w:marLeft w:val="0"/>
                      <w:marRight w:val="0"/>
                      <w:marTop w:val="0"/>
                      <w:marBottom w:val="0"/>
                      <w:divBdr>
                        <w:top w:val="none" w:sz="0" w:space="0" w:color="auto"/>
                        <w:left w:val="none" w:sz="0" w:space="0" w:color="auto"/>
                        <w:bottom w:val="none" w:sz="0" w:space="0" w:color="auto"/>
                        <w:right w:val="none" w:sz="0" w:space="0" w:color="auto"/>
                      </w:divBdr>
                      <w:divsChild>
                        <w:div w:id="436754694">
                          <w:marLeft w:val="0"/>
                          <w:marRight w:val="0"/>
                          <w:marTop w:val="0"/>
                          <w:marBottom w:val="0"/>
                          <w:divBdr>
                            <w:top w:val="none" w:sz="0" w:space="0" w:color="auto"/>
                            <w:left w:val="none" w:sz="0" w:space="0" w:color="auto"/>
                            <w:bottom w:val="none" w:sz="0" w:space="0" w:color="auto"/>
                            <w:right w:val="none" w:sz="0" w:space="0" w:color="auto"/>
                          </w:divBdr>
                        </w:div>
                      </w:divsChild>
                    </w:div>
                    <w:div w:id="1819149565">
                      <w:marLeft w:val="0"/>
                      <w:marRight w:val="0"/>
                      <w:marTop w:val="0"/>
                      <w:marBottom w:val="0"/>
                      <w:divBdr>
                        <w:top w:val="none" w:sz="0" w:space="0" w:color="auto"/>
                        <w:left w:val="none" w:sz="0" w:space="0" w:color="auto"/>
                        <w:bottom w:val="none" w:sz="0" w:space="0" w:color="auto"/>
                        <w:right w:val="none" w:sz="0" w:space="0" w:color="auto"/>
                      </w:divBdr>
                      <w:divsChild>
                        <w:div w:id="20580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2819">
      <w:bodyDiv w:val="1"/>
      <w:marLeft w:val="0"/>
      <w:marRight w:val="0"/>
      <w:marTop w:val="0"/>
      <w:marBottom w:val="0"/>
      <w:divBdr>
        <w:top w:val="none" w:sz="0" w:space="0" w:color="auto"/>
        <w:left w:val="none" w:sz="0" w:space="0" w:color="auto"/>
        <w:bottom w:val="none" w:sz="0" w:space="0" w:color="auto"/>
        <w:right w:val="none" w:sz="0" w:space="0" w:color="auto"/>
      </w:divBdr>
    </w:div>
    <w:div w:id="632323332">
      <w:bodyDiv w:val="1"/>
      <w:marLeft w:val="0"/>
      <w:marRight w:val="0"/>
      <w:marTop w:val="0"/>
      <w:marBottom w:val="0"/>
      <w:divBdr>
        <w:top w:val="none" w:sz="0" w:space="0" w:color="auto"/>
        <w:left w:val="none" w:sz="0" w:space="0" w:color="auto"/>
        <w:bottom w:val="none" w:sz="0" w:space="0" w:color="auto"/>
        <w:right w:val="none" w:sz="0" w:space="0" w:color="auto"/>
      </w:divBdr>
    </w:div>
    <w:div w:id="632323338">
      <w:bodyDiv w:val="1"/>
      <w:marLeft w:val="0"/>
      <w:marRight w:val="0"/>
      <w:marTop w:val="0"/>
      <w:marBottom w:val="0"/>
      <w:divBdr>
        <w:top w:val="none" w:sz="0" w:space="0" w:color="auto"/>
        <w:left w:val="none" w:sz="0" w:space="0" w:color="auto"/>
        <w:bottom w:val="none" w:sz="0" w:space="0" w:color="auto"/>
        <w:right w:val="none" w:sz="0" w:space="0" w:color="auto"/>
      </w:divBdr>
    </w:div>
    <w:div w:id="645209692">
      <w:bodyDiv w:val="1"/>
      <w:marLeft w:val="0"/>
      <w:marRight w:val="0"/>
      <w:marTop w:val="0"/>
      <w:marBottom w:val="0"/>
      <w:divBdr>
        <w:top w:val="none" w:sz="0" w:space="0" w:color="auto"/>
        <w:left w:val="none" w:sz="0" w:space="0" w:color="auto"/>
        <w:bottom w:val="none" w:sz="0" w:space="0" w:color="auto"/>
        <w:right w:val="none" w:sz="0" w:space="0" w:color="auto"/>
      </w:divBdr>
    </w:div>
    <w:div w:id="645282671">
      <w:bodyDiv w:val="1"/>
      <w:marLeft w:val="0"/>
      <w:marRight w:val="0"/>
      <w:marTop w:val="0"/>
      <w:marBottom w:val="0"/>
      <w:divBdr>
        <w:top w:val="none" w:sz="0" w:space="0" w:color="auto"/>
        <w:left w:val="none" w:sz="0" w:space="0" w:color="auto"/>
        <w:bottom w:val="none" w:sz="0" w:space="0" w:color="auto"/>
        <w:right w:val="none" w:sz="0" w:space="0" w:color="auto"/>
      </w:divBdr>
    </w:div>
    <w:div w:id="652413094">
      <w:bodyDiv w:val="1"/>
      <w:marLeft w:val="0"/>
      <w:marRight w:val="0"/>
      <w:marTop w:val="0"/>
      <w:marBottom w:val="0"/>
      <w:divBdr>
        <w:top w:val="none" w:sz="0" w:space="0" w:color="auto"/>
        <w:left w:val="none" w:sz="0" w:space="0" w:color="auto"/>
        <w:bottom w:val="none" w:sz="0" w:space="0" w:color="auto"/>
        <w:right w:val="none" w:sz="0" w:space="0" w:color="auto"/>
      </w:divBdr>
    </w:div>
    <w:div w:id="662389639">
      <w:bodyDiv w:val="1"/>
      <w:marLeft w:val="0"/>
      <w:marRight w:val="0"/>
      <w:marTop w:val="0"/>
      <w:marBottom w:val="0"/>
      <w:divBdr>
        <w:top w:val="none" w:sz="0" w:space="0" w:color="auto"/>
        <w:left w:val="none" w:sz="0" w:space="0" w:color="auto"/>
        <w:bottom w:val="none" w:sz="0" w:space="0" w:color="auto"/>
        <w:right w:val="none" w:sz="0" w:space="0" w:color="auto"/>
      </w:divBdr>
    </w:div>
    <w:div w:id="671762921">
      <w:bodyDiv w:val="1"/>
      <w:marLeft w:val="0"/>
      <w:marRight w:val="0"/>
      <w:marTop w:val="0"/>
      <w:marBottom w:val="0"/>
      <w:divBdr>
        <w:top w:val="none" w:sz="0" w:space="0" w:color="auto"/>
        <w:left w:val="none" w:sz="0" w:space="0" w:color="auto"/>
        <w:bottom w:val="none" w:sz="0" w:space="0" w:color="auto"/>
        <w:right w:val="none" w:sz="0" w:space="0" w:color="auto"/>
      </w:divBdr>
    </w:div>
    <w:div w:id="686951782">
      <w:bodyDiv w:val="1"/>
      <w:marLeft w:val="0"/>
      <w:marRight w:val="0"/>
      <w:marTop w:val="0"/>
      <w:marBottom w:val="0"/>
      <w:divBdr>
        <w:top w:val="none" w:sz="0" w:space="0" w:color="auto"/>
        <w:left w:val="none" w:sz="0" w:space="0" w:color="auto"/>
        <w:bottom w:val="none" w:sz="0" w:space="0" w:color="auto"/>
        <w:right w:val="none" w:sz="0" w:space="0" w:color="auto"/>
      </w:divBdr>
    </w:div>
    <w:div w:id="688290730">
      <w:bodyDiv w:val="1"/>
      <w:marLeft w:val="0"/>
      <w:marRight w:val="0"/>
      <w:marTop w:val="0"/>
      <w:marBottom w:val="0"/>
      <w:divBdr>
        <w:top w:val="none" w:sz="0" w:space="0" w:color="auto"/>
        <w:left w:val="none" w:sz="0" w:space="0" w:color="auto"/>
        <w:bottom w:val="none" w:sz="0" w:space="0" w:color="auto"/>
        <w:right w:val="none" w:sz="0" w:space="0" w:color="auto"/>
      </w:divBdr>
    </w:div>
    <w:div w:id="689915360">
      <w:bodyDiv w:val="1"/>
      <w:marLeft w:val="0"/>
      <w:marRight w:val="0"/>
      <w:marTop w:val="0"/>
      <w:marBottom w:val="0"/>
      <w:divBdr>
        <w:top w:val="none" w:sz="0" w:space="0" w:color="auto"/>
        <w:left w:val="none" w:sz="0" w:space="0" w:color="auto"/>
        <w:bottom w:val="none" w:sz="0" w:space="0" w:color="auto"/>
        <w:right w:val="none" w:sz="0" w:space="0" w:color="auto"/>
      </w:divBdr>
    </w:div>
    <w:div w:id="694888322">
      <w:bodyDiv w:val="1"/>
      <w:marLeft w:val="0"/>
      <w:marRight w:val="0"/>
      <w:marTop w:val="0"/>
      <w:marBottom w:val="0"/>
      <w:divBdr>
        <w:top w:val="none" w:sz="0" w:space="0" w:color="auto"/>
        <w:left w:val="none" w:sz="0" w:space="0" w:color="auto"/>
        <w:bottom w:val="none" w:sz="0" w:space="0" w:color="auto"/>
        <w:right w:val="none" w:sz="0" w:space="0" w:color="auto"/>
      </w:divBdr>
    </w:div>
    <w:div w:id="703595789">
      <w:bodyDiv w:val="1"/>
      <w:marLeft w:val="0"/>
      <w:marRight w:val="0"/>
      <w:marTop w:val="0"/>
      <w:marBottom w:val="0"/>
      <w:divBdr>
        <w:top w:val="none" w:sz="0" w:space="0" w:color="auto"/>
        <w:left w:val="none" w:sz="0" w:space="0" w:color="auto"/>
        <w:bottom w:val="none" w:sz="0" w:space="0" w:color="auto"/>
        <w:right w:val="none" w:sz="0" w:space="0" w:color="auto"/>
      </w:divBdr>
      <w:divsChild>
        <w:div w:id="978536921">
          <w:marLeft w:val="0"/>
          <w:marRight w:val="0"/>
          <w:marTop w:val="0"/>
          <w:marBottom w:val="0"/>
          <w:divBdr>
            <w:top w:val="none" w:sz="0" w:space="0" w:color="auto"/>
            <w:left w:val="none" w:sz="0" w:space="0" w:color="auto"/>
            <w:bottom w:val="none" w:sz="0" w:space="0" w:color="auto"/>
            <w:right w:val="none" w:sz="0" w:space="0" w:color="auto"/>
          </w:divBdr>
        </w:div>
      </w:divsChild>
    </w:div>
    <w:div w:id="710887987">
      <w:bodyDiv w:val="1"/>
      <w:marLeft w:val="0"/>
      <w:marRight w:val="0"/>
      <w:marTop w:val="0"/>
      <w:marBottom w:val="0"/>
      <w:divBdr>
        <w:top w:val="none" w:sz="0" w:space="0" w:color="auto"/>
        <w:left w:val="none" w:sz="0" w:space="0" w:color="auto"/>
        <w:bottom w:val="none" w:sz="0" w:space="0" w:color="auto"/>
        <w:right w:val="none" w:sz="0" w:space="0" w:color="auto"/>
      </w:divBdr>
    </w:div>
    <w:div w:id="712197075">
      <w:bodyDiv w:val="1"/>
      <w:marLeft w:val="0"/>
      <w:marRight w:val="0"/>
      <w:marTop w:val="0"/>
      <w:marBottom w:val="0"/>
      <w:divBdr>
        <w:top w:val="none" w:sz="0" w:space="0" w:color="auto"/>
        <w:left w:val="none" w:sz="0" w:space="0" w:color="auto"/>
        <w:bottom w:val="none" w:sz="0" w:space="0" w:color="auto"/>
        <w:right w:val="none" w:sz="0" w:space="0" w:color="auto"/>
      </w:divBdr>
    </w:div>
    <w:div w:id="715541076">
      <w:bodyDiv w:val="1"/>
      <w:marLeft w:val="0"/>
      <w:marRight w:val="0"/>
      <w:marTop w:val="0"/>
      <w:marBottom w:val="0"/>
      <w:divBdr>
        <w:top w:val="none" w:sz="0" w:space="0" w:color="auto"/>
        <w:left w:val="none" w:sz="0" w:space="0" w:color="auto"/>
        <w:bottom w:val="none" w:sz="0" w:space="0" w:color="auto"/>
        <w:right w:val="none" w:sz="0" w:space="0" w:color="auto"/>
      </w:divBdr>
    </w:div>
    <w:div w:id="723411586">
      <w:bodyDiv w:val="1"/>
      <w:marLeft w:val="0"/>
      <w:marRight w:val="0"/>
      <w:marTop w:val="0"/>
      <w:marBottom w:val="0"/>
      <w:divBdr>
        <w:top w:val="none" w:sz="0" w:space="0" w:color="auto"/>
        <w:left w:val="none" w:sz="0" w:space="0" w:color="auto"/>
        <w:bottom w:val="none" w:sz="0" w:space="0" w:color="auto"/>
        <w:right w:val="none" w:sz="0" w:space="0" w:color="auto"/>
      </w:divBdr>
    </w:div>
    <w:div w:id="724640317">
      <w:bodyDiv w:val="1"/>
      <w:marLeft w:val="0"/>
      <w:marRight w:val="0"/>
      <w:marTop w:val="0"/>
      <w:marBottom w:val="0"/>
      <w:divBdr>
        <w:top w:val="none" w:sz="0" w:space="0" w:color="auto"/>
        <w:left w:val="none" w:sz="0" w:space="0" w:color="auto"/>
        <w:bottom w:val="none" w:sz="0" w:space="0" w:color="auto"/>
        <w:right w:val="none" w:sz="0" w:space="0" w:color="auto"/>
      </w:divBdr>
      <w:divsChild>
        <w:div w:id="842479702">
          <w:marLeft w:val="0"/>
          <w:marRight w:val="0"/>
          <w:marTop w:val="0"/>
          <w:marBottom w:val="0"/>
          <w:divBdr>
            <w:top w:val="none" w:sz="0" w:space="0" w:color="auto"/>
            <w:left w:val="none" w:sz="0" w:space="0" w:color="auto"/>
            <w:bottom w:val="none" w:sz="0" w:space="0" w:color="auto"/>
            <w:right w:val="none" w:sz="0" w:space="0" w:color="auto"/>
          </w:divBdr>
          <w:divsChild>
            <w:div w:id="390424715">
              <w:marLeft w:val="0"/>
              <w:marRight w:val="0"/>
              <w:marTop w:val="0"/>
              <w:marBottom w:val="0"/>
              <w:divBdr>
                <w:top w:val="none" w:sz="0" w:space="0" w:color="auto"/>
                <w:left w:val="none" w:sz="0" w:space="0" w:color="auto"/>
                <w:bottom w:val="none" w:sz="0" w:space="0" w:color="auto"/>
                <w:right w:val="none" w:sz="0" w:space="0" w:color="auto"/>
              </w:divBdr>
              <w:divsChild>
                <w:div w:id="481770694">
                  <w:marLeft w:val="0"/>
                  <w:marRight w:val="0"/>
                  <w:marTop w:val="0"/>
                  <w:marBottom w:val="0"/>
                  <w:divBdr>
                    <w:top w:val="none" w:sz="0" w:space="0" w:color="auto"/>
                    <w:left w:val="none" w:sz="0" w:space="0" w:color="auto"/>
                    <w:bottom w:val="none" w:sz="0" w:space="0" w:color="auto"/>
                    <w:right w:val="none" w:sz="0" w:space="0" w:color="auto"/>
                  </w:divBdr>
                  <w:divsChild>
                    <w:div w:id="124931997">
                      <w:marLeft w:val="0"/>
                      <w:marRight w:val="0"/>
                      <w:marTop w:val="0"/>
                      <w:marBottom w:val="0"/>
                      <w:divBdr>
                        <w:top w:val="none" w:sz="0" w:space="0" w:color="auto"/>
                        <w:left w:val="none" w:sz="0" w:space="0" w:color="auto"/>
                        <w:bottom w:val="none" w:sz="0" w:space="0" w:color="auto"/>
                        <w:right w:val="none" w:sz="0" w:space="0" w:color="auto"/>
                      </w:divBdr>
                      <w:divsChild>
                        <w:div w:id="914359393">
                          <w:marLeft w:val="0"/>
                          <w:marRight w:val="0"/>
                          <w:marTop w:val="0"/>
                          <w:marBottom w:val="0"/>
                          <w:divBdr>
                            <w:top w:val="none" w:sz="0" w:space="0" w:color="auto"/>
                            <w:left w:val="none" w:sz="0" w:space="0" w:color="auto"/>
                            <w:bottom w:val="none" w:sz="0" w:space="0" w:color="auto"/>
                            <w:right w:val="none" w:sz="0" w:space="0" w:color="auto"/>
                          </w:divBdr>
                          <w:divsChild>
                            <w:div w:id="511456084">
                              <w:marLeft w:val="0"/>
                              <w:marRight w:val="0"/>
                              <w:marTop w:val="0"/>
                              <w:marBottom w:val="0"/>
                              <w:divBdr>
                                <w:top w:val="none" w:sz="0" w:space="0" w:color="auto"/>
                                <w:left w:val="none" w:sz="0" w:space="0" w:color="auto"/>
                                <w:bottom w:val="none" w:sz="0" w:space="0" w:color="auto"/>
                                <w:right w:val="none" w:sz="0" w:space="0" w:color="auto"/>
                              </w:divBdr>
                            </w:div>
                            <w:div w:id="971986858">
                              <w:marLeft w:val="0"/>
                              <w:marRight w:val="0"/>
                              <w:marTop w:val="0"/>
                              <w:marBottom w:val="0"/>
                              <w:divBdr>
                                <w:top w:val="none" w:sz="0" w:space="0" w:color="auto"/>
                                <w:left w:val="none" w:sz="0" w:space="0" w:color="auto"/>
                                <w:bottom w:val="none" w:sz="0" w:space="0" w:color="auto"/>
                                <w:right w:val="none" w:sz="0" w:space="0" w:color="auto"/>
                              </w:divBdr>
                            </w:div>
                          </w:divsChild>
                        </w:div>
                        <w:div w:id="1486625768">
                          <w:marLeft w:val="0"/>
                          <w:marRight w:val="150"/>
                          <w:marTop w:val="90"/>
                          <w:marBottom w:val="180"/>
                          <w:divBdr>
                            <w:top w:val="none" w:sz="0" w:space="0" w:color="auto"/>
                            <w:left w:val="none" w:sz="0" w:space="0" w:color="auto"/>
                            <w:bottom w:val="none" w:sz="0" w:space="0" w:color="auto"/>
                            <w:right w:val="none" w:sz="0" w:space="0" w:color="auto"/>
                          </w:divBdr>
                        </w:div>
                      </w:divsChild>
                    </w:div>
                    <w:div w:id="965620864">
                      <w:marLeft w:val="0"/>
                      <w:marRight w:val="0"/>
                      <w:marTop w:val="0"/>
                      <w:marBottom w:val="90"/>
                      <w:divBdr>
                        <w:top w:val="none" w:sz="0" w:space="0" w:color="auto"/>
                        <w:left w:val="none" w:sz="0" w:space="0" w:color="auto"/>
                        <w:bottom w:val="none" w:sz="0" w:space="0" w:color="auto"/>
                        <w:right w:val="none" w:sz="0" w:space="0" w:color="auto"/>
                      </w:divBdr>
                      <w:divsChild>
                        <w:div w:id="428351979">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924611847">
          <w:marLeft w:val="0"/>
          <w:marRight w:val="0"/>
          <w:marTop w:val="0"/>
          <w:marBottom w:val="0"/>
          <w:divBdr>
            <w:top w:val="none" w:sz="0" w:space="0" w:color="auto"/>
            <w:left w:val="none" w:sz="0" w:space="0" w:color="auto"/>
            <w:bottom w:val="none" w:sz="0" w:space="0" w:color="auto"/>
            <w:right w:val="none" w:sz="0" w:space="0" w:color="auto"/>
          </w:divBdr>
          <w:divsChild>
            <w:div w:id="1856262495">
              <w:marLeft w:val="0"/>
              <w:marRight w:val="0"/>
              <w:marTop w:val="0"/>
              <w:marBottom w:val="0"/>
              <w:divBdr>
                <w:top w:val="none" w:sz="0" w:space="0" w:color="auto"/>
                <w:left w:val="none" w:sz="0" w:space="0" w:color="auto"/>
                <w:bottom w:val="none" w:sz="0" w:space="0" w:color="auto"/>
                <w:right w:val="none" w:sz="0" w:space="0" w:color="auto"/>
              </w:divBdr>
              <w:divsChild>
                <w:div w:id="16107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637">
          <w:marLeft w:val="0"/>
          <w:marRight w:val="0"/>
          <w:marTop w:val="0"/>
          <w:marBottom w:val="0"/>
          <w:divBdr>
            <w:top w:val="none" w:sz="0" w:space="0" w:color="auto"/>
            <w:left w:val="none" w:sz="0" w:space="0" w:color="auto"/>
            <w:bottom w:val="none" w:sz="0" w:space="0" w:color="auto"/>
            <w:right w:val="none" w:sz="0" w:space="0" w:color="auto"/>
          </w:divBdr>
          <w:divsChild>
            <w:div w:id="2089382472">
              <w:marLeft w:val="0"/>
              <w:marRight w:val="0"/>
              <w:marTop w:val="0"/>
              <w:marBottom w:val="180"/>
              <w:divBdr>
                <w:top w:val="none" w:sz="0" w:space="0" w:color="auto"/>
                <w:left w:val="none" w:sz="0" w:space="0" w:color="auto"/>
                <w:bottom w:val="none" w:sz="0" w:space="0" w:color="auto"/>
                <w:right w:val="none" w:sz="0" w:space="0" w:color="auto"/>
              </w:divBdr>
            </w:div>
          </w:divsChild>
        </w:div>
        <w:div w:id="1719473021">
          <w:marLeft w:val="0"/>
          <w:marRight w:val="0"/>
          <w:marTop w:val="0"/>
          <w:marBottom w:val="0"/>
          <w:divBdr>
            <w:top w:val="none" w:sz="0" w:space="0" w:color="auto"/>
            <w:left w:val="none" w:sz="0" w:space="0" w:color="auto"/>
            <w:bottom w:val="none" w:sz="0" w:space="0" w:color="auto"/>
            <w:right w:val="none" w:sz="0" w:space="0" w:color="auto"/>
          </w:divBdr>
          <w:divsChild>
            <w:div w:id="819347636">
              <w:marLeft w:val="0"/>
              <w:marRight w:val="0"/>
              <w:marTop w:val="0"/>
              <w:marBottom w:val="0"/>
              <w:divBdr>
                <w:top w:val="none" w:sz="0" w:space="0" w:color="auto"/>
                <w:left w:val="none" w:sz="0" w:space="0" w:color="auto"/>
                <w:bottom w:val="none" w:sz="0" w:space="0" w:color="auto"/>
                <w:right w:val="none" w:sz="0" w:space="0" w:color="auto"/>
              </w:divBdr>
              <w:divsChild>
                <w:div w:id="574432974">
                  <w:marLeft w:val="0"/>
                  <w:marRight w:val="0"/>
                  <w:marTop w:val="0"/>
                  <w:marBottom w:val="0"/>
                  <w:divBdr>
                    <w:top w:val="none" w:sz="0" w:space="0" w:color="auto"/>
                    <w:left w:val="none" w:sz="0" w:space="0" w:color="auto"/>
                    <w:bottom w:val="none" w:sz="0" w:space="0" w:color="auto"/>
                    <w:right w:val="none" w:sz="0" w:space="0" w:color="auto"/>
                  </w:divBdr>
                  <w:divsChild>
                    <w:div w:id="45423011">
                      <w:marLeft w:val="0"/>
                      <w:marRight w:val="0"/>
                      <w:marTop w:val="0"/>
                      <w:marBottom w:val="0"/>
                      <w:divBdr>
                        <w:top w:val="none" w:sz="0" w:space="0" w:color="auto"/>
                        <w:left w:val="none" w:sz="0" w:space="0" w:color="auto"/>
                        <w:bottom w:val="none" w:sz="0" w:space="0" w:color="auto"/>
                        <w:right w:val="none" w:sz="0" w:space="0" w:color="auto"/>
                      </w:divBdr>
                      <w:divsChild>
                        <w:div w:id="1173105913">
                          <w:marLeft w:val="0"/>
                          <w:marRight w:val="0"/>
                          <w:marTop w:val="0"/>
                          <w:marBottom w:val="0"/>
                          <w:divBdr>
                            <w:top w:val="none" w:sz="0" w:space="0" w:color="auto"/>
                            <w:left w:val="none" w:sz="0" w:space="0" w:color="auto"/>
                            <w:bottom w:val="none" w:sz="0" w:space="0" w:color="auto"/>
                            <w:right w:val="none" w:sz="0" w:space="0" w:color="auto"/>
                          </w:divBdr>
                        </w:div>
                        <w:div w:id="1865436552">
                          <w:marLeft w:val="0"/>
                          <w:marRight w:val="0"/>
                          <w:marTop w:val="0"/>
                          <w:marBottom w:val="0"/>
                          <w:divBdr>
                            <w:top w:val="none" w:sz="0" w:space="0" w:color="auto"/>
                            <w:left w:val="none" w:sz="0" w:space="0" w:color="auto"/>
                            <w:bottom w:val="none" w:sz="0" w:space="0" w:color="auto"/>
                            <w:right w:val="none" w:sz="0" w:space="0" w:color="auto"/>
                          </w:divBdr>
                          <w:divsChild>
                            <w:div w:id="109662974">
                              <w:marLeft w:val="0"/>
                              <w:marRight w:val="0"/>
                              <w:marTop w:val="0"/>
                              <w:marBottom w:val="0"/>
                              <w:divBdr>
                                <w:top w:val="none" w:sz="0" w:space="0" w:color="auto"/>
                                <w:left w:val="none" w:sz="0" w:space="0" w:color="auto"/>
                                <w:bottom w:val="none" w:sz="0" w:space="0" w:color="auto"/>
                                <w:right w:val="none" w:sz="0" w:space="0" w:color="auto"/>
                              </w:divBdr>
                              <w:divsChild>
                                <w:div w:id="757991827">
                                  <w:marLeft w:val="0"/>
                                  <w:marRight w:val="0"/>
                                  <w:marTop w:val="0"/>
                                  <w:marBottom w:val="0"/>
                                  <w:divBdr>
                                    <w:top w:val="none" w:sz="0" w:space="0" w:color="auto"/>
                                    <w:left w:val="none" w:sz="0" w:space="0" w:color="auto"/>
                                    <w:bottom w:val="none" w:sz="0" w:space="0" w:color="auto"/>
                                    <w:right w:val="none" w:sz="0" w:space="0" w:color="auto"/>
                                  </w:divBdr>
                                </w:div>
                                <w:div w:id="2119762667">
                                  <w:marLeft w:val="0"/>
                                  <w:marRight w:val="0"/>
                                  <w:marTop w:val="0"/>
                                  <w:marBottom w:val="0"/>
                                  <w:divBdr>
                                    <w:top w:val="none" w:sz="0" w:space="0" w:color="auto"/>
                                    <w:left w:val="none" w:sz="0" w:space="0" w:color="auto"/>
                                    <w:bottom w:val="none" w:sz="0" w:space="0" w:color="auto"/>
                                    <w:right w:val="none" w:sz="0" w:space="0" w:color="auto"/>
                                  </w:divBdr>
                                  <w:divsChild>
                                    <w:div w:id="649940550">
                                      <w:marLeft w:val="0"/>
                                      <w:marRight w:val="0"/>
                                      <w:marTop w:val="0"/>
                                      <w:marBottom w:val="0"/>
                                      <w:divBdr>
                                        <w:top w:val="none" w:sz="0" w:space="0" w:color="auto"/>
                                        <w:left w:val="none" w:sz="0" w:space="0" w:color="auto"/>
                                        <w:bottom w:val="none" w:sz="0" w:space="0" w:color="auto"/>
                                        <w:right w:val="none" w:sz="0" w:space="0" w:color="auto"/>
                                      </w:divBdr>
                                      <w:divsChild>
                                        <w:div w:id="1651908611">
                                          <w:marLeft w:val="0"/>
                                          <w:marRight w:val="0"/>
                                          <w:marTop w:val="0"/>
                                          <w:marBottom w:val="0"/>
                                          <w:divBdr>
                                            <w:top w:val="none" w:sz="0" w:space="0" w:color="auto"/>
                                            <w:left w:val="none" w:sz="0" w:space="0" w:color="auto"/>
                                            <w:bottom w:val="none" w:sz="0" w:space="0" w:color="auto"/>
                                            <w:right w:val="none" w:sz="0" w:space="0" w:color="auto"/>
                                          </w:divBdr>
                                        </w:div>
                                      </w:divsChild>
                                    </w:div>
                                    <w:div w:id="1405949165">
                                      <w:marLeft w:val="0"/>
                                      <w:marRight w:val="0"/>
                                      <w:marTop w:val="0"/>
                                      <w:marBottom w:val="0"/>
                                      <w:divBdr>
                                        <w:top w:val="none" w:sz="0" w:space="0" w:color="auto"/>
                                        <w:left w:val="none" w:sz="0" w:space="0" w:color="auto"/>
                                        <w:bottom w:val="none" w:sz="0" w:space="0" w:color="auto"/>
                                        <w:right w:val="none" w:sz="0" w:space="0" w:color="auto"/>
                                      </w:divBdr>
                                      <w:divsChild>
                                        <w:div w:id="20218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604641">
      <w:bodyDiv w:val="1"/>
      <w:marLeft w:val="0"/>
      <w:marRight w:val="0"/>
      <w:marTop w:val="0"/>
      <w:marBottom w:val="0"/>
      <w:divBdr>
        <w:top w:val="none" w:sz="0" w:space="0" w:color="auto"/>
        <w:left w:val="none" w:sz="0" w:space="0" w:color="auto"/>
        <w:bottom w:val="none" w:sz="0" w:space="0" w:color="auto"/>
        <w:right w:val="none" w:sz="0" w:space="0" w:color="auto"/>
      </w:divBdr>
    </w:div>
    <w:div w:id="728117047">
      <w:bodyDiv w:val="1"/>
      <w:marLeft w:val="0"/>
      <w:marRight w:val="0"/>
      <w:marTop w:val="0"/>
      <w:marBottom w:val="0"/>
      <w:divBdr>
        <w:top w:val="none" w:sz="0" w:space="0" w:color="auto"/>
        <w:left w:val="none" w:sz="0" w:space="0" w:color="auto"/>
        <w:bottom w:val="none" w:sz="0" w:space="0" w:color="auto"/>
        <w:right w:val="none" w:sz="0" w:space="0" w:color="auto"/>
      </w:divBdr>
    </w:div>
    <w:div w:id="731736383">
      <w:bodyDiv w:val="1"/>
      <w:marLeft w:val="0"/>
      <w:marRight w:val="0"/>
      <w:marTop w:val="0"/>
      <w:marBottom w:val="0"/>
      <w:divBdr>
        <w:top w:val="none" w:sz="0" w:space="0" w:color="auto"/>
        <w:left w:val="none" w:sz="0" w:space="0" w:color="auto"/>
        <w:bottom w:val="none" w:sz="0" w:space="0" w:color="auto"/>
        <w:right w:val="none" w:sz="0" w:space="0" w:color="auto"/>
      </w:divBdr>
      <w:divsChild>
        <w:div w:id="1460681907">
          <w:marLeft w:val="0"/>
          <w:marRight w:val="0"/>
          <w:marTop w:val="0"/>
          <w:marBottom w:val="0"/>
          <w:divBdr>
            <w:top w:val="none" w:sz="0" w:space="0" w:color="auto"/>
            <w:left w:val="none" w:sz="0" w:space="0" w:color="auto"/>
            <w:bottom w:val="none" w:sz="0" w:space="0" w:color="auto"/>
            <w:right w:val="none" w:sz="0" w:space="0" w:color="auto"/>
          </w:divBdr>
        </w:div>
      </w:divsChild>
    </w:div>
    <w:div w:id="747923479">
      <w:bodyDiv w:val="1"/>
      <w:marLeft w:val="0"/>
      <w:marRight w:val="0"/>
      <w:marTop w:val="0"/>
      <w:marBottom w:val="0"/>
      <w:divBdr>
        <w:top w:val="none" w:sz="0" w:space="0" w:color="auto"/>
        <w:left w:val="none" w:sz="0" w:space="0" w:color="auto"/>
        <w:bottom w:val="none" w:sz="0" w:space="0" w:color="auto"/>
        <w:right w:val="none" w:sz="0" w:space="0" w:color="auto"/>
      </w:divBdr>
    </w:div>
    <w:div w:id="750397020">
      <w:bodyDiv w:val="1"/>
      <w:marLeft w:val="0"/>
      <w:marRight w:val="0"/>
      <w:marTop w:val="0"/>
      <w:marBottom w:val="0"/>
      <w:divBdr>
        <w:top w:val="none" w:sz="0" w:space="0" w:color="auto"/>
        <w:left w:val="none" w:sz="0" w:space="0" w:color="auto"/>
        <w:bottom w:val="none" w:sz="0" w:space="0" w:color="auto"/>
        <w:right w:val="none" w:sz="0" w:space="0" w:color="auto"/>
      </w:divBdr>
    </w:div>
    <w:div w:id="756177047">
      <w:bodyDiv w:val="1"/>
      <w:marLeft w:val="0"/>
      <w:marRight w:val="0"/>
      <w:marTop w:val="0"/>
      <w:marBottom w:val="0"/>
      <w:divBdr>
        <w:top w:val="none" w:sz="0" w:space="0" w:color="auto"/>
        <w:left w:val="none" w:sz="0" w:space="0" w:color="auto"/>
        <w:bottom w:val="none" w:sz="0" w:space="0" w:color="auto"/>
        <w:right w:val="none" w:sz="0" w:space="0" w:color="auto"/>
      </w:divBdr>
    </w:div>
    <w:div w:id="756636435">
      <w:bodyDiv w:val="1"/>
      <w:marLeft w:val="0"/>
      <w:marRight w:val="0"/>
      <w:marTop w:val="0"/>
      <w:marBottom w:val="0"/>
      <w:divBdr>
        <w:top w:val="none" w:sz="0" w:space="0" w:color="auto"/>
        <w:left w:val="none" w:sz="0" w:space="0" w:color="auto"/>
        <w:bottom w:val="none" w:sz="0" w:space="0" w:color="auto"/>
        <w:right w:val="none" w:sz="0" w:space="0" w:color="auto"/>
      </w:divBdr>
      <w:divsChild>
        <w:div w:id="351536431">
          <w:marLeft w:val="0"/>
          <w:marRight w:val="0"/>
          <w:marTop w:val="0"/>
          <w:marBottom w:val="0"/>
          <w:divBdr>
            <w:top w:val="none" w:sz="0" w:space="0" w:color="auto"/>
            <w:left w:val="none" w:sz="0" w:space="0" w:color="auto"/>
            <w:bottom w:val="none" w:sz="0" w:space="0" w:color="auto"/>
            <w:right w:val="none" w:sz="0" w:space="0" w:color="auto"/>
          </w:divBdr>
          <w:divsChild>
            <w:div w:id="1392079860">
              <w:marLeft w:val="0"/>
              <w:marRight w:val="0"/>
              <w:marTop w:val="0"/>
              <w:marBottom w:val="0"/>
              <w:divBdr>
                <w:top w:val="none" w:sz="0" w:space="0" w:color="auto"/>
                <w:left w:val="none" w:sz="0" w:space="0" w:color="auto"/>
                <w:bottom w:val="none" w:sz="0" w:space="0" w:color="auto"/>
                <w:right w:val="none" w:sz="0" w:space="0" w:color="auto"/>
              </w:divBdr>
            </w:div>
          </w:divsChild>
        </w:div>
        <w:div w:id="1242252595">
          <w:marLeft w:val="0"/>
          <w:marRight w:val="0"/>
          <w:marTop w:val="0"/>
          <w:marBottom w:val="0"/>
          <w:divBdr>
            <w:top w:val="none" w:sz="0" w:space="0" w:color="auto"/>
            <w:left w:val="none" w:sz="0" w:space="0" w:color="auto"/>
            <w:bottom w:val="none" w:sz="0" w:space="0" w:color="auto"/>
            <w:right w:val="none" w:sz="0" w:space="0" w:color="auto"/>
          </w:divBdr>
          <w:divsChild>
            <w:div w:id="12587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1406">
      <w:bodyDiv w:val="1"/>
      <w:marLeft w:val="0"/>
      <w:marRight w:val="0"/>
      <w:marTop w:val="0"/>
      <w:marBottom w:val="0"/>
      <w:divBdr>
        <w:top w:val="none" w:sz="0" w:space="0" w:color="auto"/>
        <w:left w:val="none" w:sz="0" w:space="0" w:color="auto"/>
        <w:bottom w:val="none" w:sz="0" w:space="0" w:color="auto"/>
        <w:right w:val="none" w:sz="0" w:space="0" w:color="auto"/>
      </w:divBdr>
    </w:div>
    <w:div w:id="768965235">
      <w:bodyDiv w:val="1"/>
      <w:marLeft w:val="0"/>
      <w:marRight w:val="0"/>
      <w:marTop w:val="0"/>
      <w:marBottom w:val="0"/>
      <w:divBdr>
        <w:top w:val="none" w:sz="0" w:space="0" w:color="auto"/>
        <w:left w:val="none" w:sz="0" w:space="0" w:color="auto"/>
        <w:bottom w:val="none" w:sz="0" w:space="0" w:color="auto"/>
        <w:right w:val="none" w:sz="0" w:space="0" w:color="auto"/>
      </w:divBdr>
    </w:div>
    <w:div w:id="770197866">
      <w:bodyDiv w:val="1"/>
      <w:marLeft w:val="0"/>
      <w:marRight w:val="0"/>
      <w:marTop w:val="0"/>
      <w:marBottom w:val="0"/>
      <w:divBdr>
        <w:top w:val="none" w:sz="0" w:space="0" w:color="auto"/>
        <w:left w:val="none" w:sz="0" w:space="0" w:color="auto"/>
        <w:bottom w:val="none" w:sz="0" w:space="0" w:color="auto"/>
        <w:right w:val="none" w:sz="0" w:space="0" w:color="auto"/>
      </w:divBdr>
    </w:div>
    <w:div w:id="786001152">
      <w:bodyDiv w:val="1"/>
      <w:marLeft w:val="0"/>
      <w:marRight w:val="0"/>
      <w:marTop w:val="0"/>
      <w:marBottom w:val="0"/>
      <w:divBdr>
        <w:top w:val="none" w:sz="0" w:space="0" w:color="auto"/>
        <w:left w:val="none" w:sz="0" w:space="0" w:color="auto"/>
        <w:bottom w:val="none" w:sz="0" w:space="0" w:color="auto"/>
        <w:right w:val="none" w:sz="0" w:space="0" w:color="auto"/>
      </w:divBdr>
    </w:div>
    <w:div w:id="790830223">
      <w:bodyDiv w:val="1"/>
      <w:marLeft w:val="0"/>
      <w:marRight w:val="0"/>
      <w:marTop w:val="0"/>
      <w:marBottom w:val="0"/>
      <w:divBdr>
        <w:top w:val="none" w:sz="0" w:space="0" w:color="auto"/>
        <w:left w:val="none" w:sz="0" w:space="0" w:color="auto"/>
        <w:bottom w:val="none" w:sz="0" w:space="0" w:color="auto"/>
        <w:right w:val="none" w:sz="0" w:space="0" w:color="auto"/>
      </w:divBdr>
    </w:div>
    <w:div w:id="790904545">
      <w:bodyDiv w:val="1"/>
      <w:marLeft w:val="0"/>
      <w:marRight w:val="0"/>
      <w:marTop w:val="0"/>
      <w:marBottom w:val="0"/>
      <w:divBdr>
        <w:top w:val="none" w:sz="0" w:space="0" w:color="auto"/>
        <w:left w:val="none" w:sz="0" w:space="0" w:color="auto"/>
        <w:bottom w:val="none" w:sz="0" w:space="0" w:color="auto"/>
        <w:right w:val="none" w:sz="0" w:space="0" w:color="auto"/>
      </w:divBdr>
    </w:div>
    <w:div w:id="797259966">
      <w:bodyDiv w:val="1"/>
      <w:marLeft w:val="0"/>
      <w:marRight w:val="0"/>
      <w:marTop w:val="0"/>
      <w:marBottom w:val="0"/>
      <w:divBdr>
        <w:top w:val="none" w:sz="0" w:space="0" w:color="auto"/>
        <w:left w:val="none" w:sz="0" w:space="0" w:color="auto"/>
        <w:bottom w:val="none" w:sz="0" w:space="0" w:color="auto"/>
        <w:right w:val="none" w:sz="0" w:space="0" w:color="auto"/>
      </w:divBdr>
      <w:divsChild>
        <w:div w:id="392968821">
          <w:marLeft w:val="0"/>
          <w:marRight w:val="0"/>
          <w:marTop w:val="0"/>
          <w:marBottom w:val="0"/>
          <w:divBdr>
            <w:top w:val="none" w:sz="0" w:space="0" w:color="auto"/>
            <w:left w:val="none" w:sz="0" w:space="0" w:color="auto"/>
            <w:bottom w:val="none" w:sz="0" w:space="0" w:color="auto"/>
            <w:right w:val="none" w:sz="0" w:space="0" w:color="auto"/>
          </w:divBdr>
        </w:div>
        <w:div w:id="483744308">
          <w:marLeft w:val="0"/>
          <w:marRight w:val="0"/>
          <w:marTop w:val="0"/>
          <w:marBottom w:val="0"/>
          <w:divBdr>
            <w:top w:val="none" w:sz="0" w:space="0" w:color="auto"/>
            <w:left w:val="none" w:sz="0" w:space="0" w:color="auto"/>
            <w:bottom w:val="none" w:sz="0" w:space="0" w:color="auto"/>
            <w:right w:val="none" w:sz="0" w:space="0" w:color="auto"/>
          </w:divBdr>
        </w:div>
      </w:divsChild>
    </w:div>
    <w:div w:id="806627539">
      <w:bodyDiv w:val="1"/>
      <w:marLeft w:val="0"/>
      <w:marRight w:val="0"/>
      <w:marTop w:val="0"/>
      <w:marBottom w:val="0"/>
      <w:divBdr>
        <w:top w:val="none" w:sz="0" w:space="0" w:color="auto"/>
        <w:left w:val="none" w:sz="0" w:space="0" w:color="auto"/>
        <w:bottom w:val="none" w:sz="0" w:space="0" w:color="auto"/>
        <w:right w:val="none" w:sz="0" w:space="0" w:color="auto"/>
      </w:divBdr>
    </w:div>
    <w:div w:id="806892136">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4833109">
      <w:bodyDiv w:val="1"/>
      <w:marLeft w:val="0"/>
      <w:marRight w:val="0"/>
      <w:marTop w:val="0"/>
      <w:marBottom w:val="0"/>
      <w:divBdr>
        <w:top w:val="none" w:sz="0" w:space="0" w:color="auto"/>
        <w:left w:val="none" w:sz="0" w:space="0" w:color="auto"/>
        <w:bottom w:val="none" w:sz="0" w:space="0" w:color="auto"/>
        <w:right w:val="none" w:sz="0" w:space="0" w:color="auto"/>
      </w:divBdr>
    </w:div>
    <w:div w:id="829171705">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8810901">
      <w:bodyDiv w:val="1"/>
      <w:marLeft w:val="0"/>
      <w:marRight w:val="0"/>
      <w:marTop w:val="0"/>
      <w:marBottom w:val="0"/>
      <w:divBdr>
        <w:top w:val="none" w:sz="0" w:space="0" w:color="auto"/>
        <w:left w:val="none" w:sz="0" w:space="0" w:color="auto"/>
        <w:bottom w:val="none" w:sz="0" w:space="0" w:color="auto"/>
        <w:right w:val="none" w:sz="0" w:space="0" w:color="auto"/>
      </w:divBdr>
    </w:div>
    <w:div w:id="841972832">
      <w:bodyDiv w:val="1"/>
      <w:marLeft w:val="0"/>
      <w:marRight w:val="0"/>
      <w:marTop w:val="0"/>
      <w:marBottom w:val="0"/>
      <w:divBdr>
        <w:top w:val="none" w:sz="0" w:space="0" w:color="auto"/>
        <w:left w:val="none" w:sz="0" w:space="0" w:color="auto"/>
        <w:bottom w:val="none" w:sz="0" w:space="0" w:color="auto"/>
        <w:right w:val="none" w:sz="0" w:space="0" w:color="auto"/>
      </w:divBdr>
    </w:div>
    <w:div w:id="842083461">
      <w:bodyDiv w:val="1"/>
      <w:marLeft w:val="0"/>
      <w:marRight w:val="0"/>
      <w:marTop w:val="0"/>
      <w:marBottom w:val="0"/>
      <w:divBdr>
        <w:top w:val="none" w:sz="0" w:space="0" w:color="auto"/>
        <w:left w:val="none" w:sz="0" w:space="0" w:color="auto"/>
        <w:bottom w:val="none" w:sz="0" w:space="0" w:color="auto"/>
        <w:right w:val="none" w:sz="0" w:space="0" w:color="auto"/>
      </w:divBdr>
    </w:div>
    <w:div w:id="845169318">
      <w:bodyDiv w:val="1"/>
      <w:marLeft w:val="0"/>
      <w:marRight w:val="0"/>
      <w:marTop w:val="0"/>
      <w:marBottom w:val="0"/>
      <w:divBdr>
        <w:top w:val="none" w:sz="0" w:space="0" w:color="auto"/>
        <w:left w:val="none" w:sz="0" w:space="0" w:color="auto"/>
        <w:bottom w:val="none" w:sz="0" w:space="0" w:color="auto"/>
        <w:right w:val="none" w:sz="0" w:space="0" w:color="auto"/>
      </w:divBdr>
    </w:div>
    <w:div w:id="846091142">
      <w:bodyDiv w:val="1"/>
      <w:marLeft w:val="0"/>
      <w:marRight w:val="0"/>
      <w:marTop w:val="0"/>
      <w:marBottom w:val="0"/>
      <w:divBdr>
        <w:top w:val="none" w:sz="0" w:space="0" w:color="auto"/>
        <w:left w:val="none" w:sz="0" w:space="0" w:color="auto"/>
        <w:bottom w:val="none" w:sz="0" w:space="0" w:color="auto"/>
        <w:right w:val="none" w:sz="0" w:space="0" w:color="auto"/>
      </w:divBdr>
    </w:div>
    <w:div w:id="849180960">
      <w:bodyDiv w:val="1"/>
      <w:marLeft w:val="0"/>
      <w:marRight w:val="0"/>
      <w:marTop w:val="0"/>
      <w:marBottom w:val="0"/>
      <w:divBdr>
        <w:top w:val="none" w:sz="0" w:space="0" w:color="auto"/>
        <w:left w:val="none" w:sz="0" w:space="0" w:color="auto"/>
        <w:bottom w:val="none" w:sz="0" w:space="0" w:color="auto"/>
        <w:right w:val="none" w:sz="0" w:space="0" w:color="auto"/>
      </w:divBdr>
    </w:div>
    <w:div w:id="863834868">
      <w:bodyDiv w:val="1"/>
      <w:marLeft w:val="0"/>
      <w:marRight w:val="0"/>
      <w:marTop w:val="0"/>
      <w:marBottom w:val="0"/>
      <w:divBdr>
        <w:top w:val="none" w:sz="0" w:space="0" w:color="auto"/>
        <w:left w:val="none" w:sz="0" w:space="0" w:color="auto"/>
        <w:bottom w:val="none" w:sz="0" w:space="0" w:color="auto"/>
        <w:right w:val="none" w:sz="0" w:space="0" w:color="auto"/>
      </w:divBdr>
    </w:div>
    <w:div w:id="866019282">
      <w:bodyDiv w:val="1"/>
      <w:marLeft w:val="0"/>
      <w:marRight w:val="0"/>
      <w:marTop w:val="0"/>
      <w:marBottom w:val="0"/>
      <w:divBdr>
        <w:top w:val="none" w:sz="0" w:space="0" w:color="auto"/>
        <w:left w:val="none" w:sz="0" w:space="0" w:color="auto"/>
        <w:bottom w:val="none" w:sz="0" w:space="0" w:color="auto"/>
        <w:right w:val="none" w:sz="0" w:space="0" w:color="auto"/>
      </w:divBdr>
    </w:div>
    <w:div w:id="871579459">
      <w:bodyDiv w:val="1"/>
      <w:marLeft w:val="0"/>
      <w:marRight w:val="0"/>
      <w:marTop w:val="0"/>
      <w:marBottom w:val="0"/>
      <w:divBdr>
        <w:top w:val="none" w:sz="0" w:space="0" w:color="auto"/>
        <w:left w:val="none" w:sz="0" w:space="0" w:color="auto"/>
        <w:bottom w:val="none" w:sz="0" w:space="0" w:color="auto"/>
        <w:right w:val="none" w:sz="0" w:space="0" w:color="auto"/>
      </w:divBdr>
    </w:div>
    <w:div w:id="875772480">
      <w:bodyDiv w:val="1"/>
      <w:marLeft w:val="0"/>
      <w:marRight w:val="0"/>
      <w:marTop w:val="0"/>
      <w:marBottom w:val="0"/>
      <w:divBdr>
        <w:top w:val="none" w:sz="0" w:space="0" w:color="auto"/>
        <w:left w:val="none" w:sz="0" w:space="0" w:color="auto"/>
        <w:bottom w:val="none" w:sz="0" w:space="0" w:color="auto"/>
        <w:right w:val="none" w:sz="0" w:space="0" w:color="auto"/>
      </w:divBdr>
    </w:div>
    <w:div w:id="876701103">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0577723">
      <w:bodyDiv w:val="1"/>
      <w:marLeft w:val="0"/>
      <w:marRight w:val="0"/>
      <w:marTop w:val="0"/>
      <w:marBottom w:val="0"/>
      <w:divBdr>
        <w:top w:val="none" w:sz="0" w:space="0" w:color="auto"/>
        <w:left w:val="none" w:sz="0" w:space="0" w:color="auto"/>
        <w:bottom w:val="none" w:sz="0" w:space="0" w:color="auto"/>
        <w:right w:val="none" w:sz="0" w:space="0" w:color="auto"/>
      </w:divBdr>
    </w:div>
    <w:div w:id="894316411">
      <w:bodyDiv w:val="1"/>
      <w:marLeft w:val="0"/>
      <w:marRight w:val="0"/>
      <w:marTop w:val="0"/>
      <w:marBottom w:val="0"/>
      <w:divBdr>
        <w:top w:val="none" w:sz="0" w:space="0" w:color="auto"/>
        <w:left w:val="none" w:sz="0" w:space="0" w:color="auto"/>
        <w:bottom w:val="none" w:sz="0" w:space="0" w:color="auto"/>
        <w:right w:val="none" w:sz="0" w:space="0" w:color="auto"/>
      </w:divBdr>
    </w:div>
    <w:div w:id="924344962">
      <w:bodyDiv w:val="1"/>
      <w:marLeft w:val="0"/>
      <w:marRight w:val="0"/>
      <w:marTop w:val="0"/>
      <w:marBottom w:val="0"/>
      <w:divBdr>
        <w:top w:val="none" w:sz="0" w:space="0" w:color="auto"/>
        <w:left w:val="none" w:sz="0" w:space="0" w:color="auto"/>
        <w:bottom w:val="none" w:sz="0" w:space="0" w:color="auto"/>
        <w:right w:val="none" w:sz="0" w:space="0" w:color="auto"/>
      </w:divBdr>
    </w:div>
    <w:div w:id="928973773">
      <w:bodyDiv w:val="1"/>
      <w:marLeft w:val="0"/>
      <w:marRight w:val="0"/>
      <w:marTop w:val="0"/>
      <w:marBottom w:val="0"/>
      <w:divBdr>
        <w:top w:val="none" w:sz="0" w:space="0" w:color="auto"/>
        <w:left w:val="none" w:sz="0" w:space="0" w:color="auto"/>
        <w:bottom w:val="none" w:sz="0" w:space="0" w:color="auto"/>
        <w:right w:val="none" w:sz="0" w:space="0" w:color="auto"/>
      </w:divBdr>
    </w:div>
    <w:div w:id="929896931">
      <w:bodyDiv w:val="1"/>
      <w:marLeft w:val="0"/>
      <w:marRight w:val="0"/>
      <w:marTop w:val="0"/>
      <w:marBottom w:val="0"/>
      <w:divBdr>
        <w:top w:val="none" w:sz="0" w:space="0" w:color="auto"/>
        <w:left w:val="none" w:sz="0" w:space="0" w:color="auto"/>
        <w:bottom w:val="none" w:sz="0" w:space="0" w:color="auto"/>
        <w:right w:val="none" w:sz="0" w:space="0" w:color="auto"/>
      </w:divBdr>
    </w:div>
    <w:div w:id="947276798">
      <w:bodyDiv w:val="1"/>
      <w:marLeft w:val="0"/>
      <w:marRight w:val="0"/>
      <w:marTop w:val="0"/>
      <w:marBottom w:val="0"/>
      <w:divBdr>
        <w:top w:val="none" w:sz="0" w:space="0" w:color="auto"/>
        <w:left w:val="none" w:sz="0" w:space="0" w:color="auto"/>
        <w:bottom w:val="none" w:sz="0" w:space="0" w:color="auto"/>
        <w:right w:val="none" w:sz="0" w:space="0" w:color="auto"/>
      </w:divBdr>
      <w:divsChild>
        <w:div w:id="712924618">
          <w:marLeft w:val="0"/>
          <w:marRight w:val="0"/>
          <w:marTop w:val="0"/>
          <w:marBottom w:val="0"/>
          <w:divBdr>
            <w:top w:val="none" w:sz="0" w:space="0" w:color="auto"/>
            <w:left w:val="none" w:sz="0" w:space="0" w:color="auto"/>
            <w:bottom w:val="none" w:sz="0" w:space="0" w:color="auto"/>
            <w:right w:val="none" w:sz="0" w:space="0" w:color="auto"/>
          </w:divBdr>
        </w:div>
      </w:divsChild>
    </w:div>
    <w:div w:id="952859935">
      <w:bodyDiv w:val="1"/>
      <w:marLeft w:val="0"/>
      <w:marRight w:val="0"/>
      <w:marTop w:val="0"/>
      <w:marBottom w:val="0"/>
      <w:divBdr>
        <w:top w:val="none" w:sz="0" w:space="0" w:color="auto"/>
        <w:left w:val="none" w:sz="0" w:space="0" w:color="auto"/>
        <w:bottom w:val="none" w:sz="0" w:space="0" w:color="auto"/>
        <w:right w:val="none" w:sz="0" w:space="0" w:color="auto"/>
      </w:divBdr>
      <w:divsChild>
        <w:div w:id="1077287589">
          <w:marLeft w:val="0"/>
          <w:marRight w:val="0"/>
          <w:marTop w:val="0"/>
          <w:marBottom w:val="0"/>
          <w:divBdr>
            <w:top w:val="none" w:sz="0" w:space="0" w:color="auto"/>
            <w:left w:val="none" w:sz="0" w:space="0" w:color="auto"/>
            <w:bottom w:val="none" w:sz="0" w:space="0" w:color="auto"/>
            <w:right w:val="none" w:sz="0" w:space="0" w:color="auto"/>
          </w:divBdr>
        </w:div>
      </w:divsChild>
    </w:div>
    <w:div w:id="955793243">
      <w:bodyDiv w:val="1"/>
      <w:marLeft w:val="0"/>
      <w:marRight w:val="0"/>
      <w:marTop w:val="0"/>
      <w:marBottom w:val="0"/>
      <w:divBdr>
        <w:top w:val="none" w:sz="0" w:space="0" w:color="auto"/>
        <w:left w:val="none" w:sz="0" w:space="0" w:color="auto"/>
        <w:bottom w:val="none" w:sz="0" w:space="0" w:color="auto"/>
        <w:right w:val="none" w:sz="0" w:space="0" w:color="auto"/>
      </w:divBdr>
    </w:div>
    <w:div w:id="961686835">
      <w:bodyDiv w:val="1"/>
      <w:marLeft w:val="0"/>
      <w:marRight w:val="0"/>
      <w:marTop w:val="0"/>
      <w:marBottom w:val="0"/>
      <w:divBdr>
        <w:top w:val="none" w:sz="0" w:space="0" w:color="auto"/>
        <w:left w:val="none" w:sz="0" w:space="0" w:color="auto"/>
        <w:bottom w:val="none" w:sz="0" w:space="0" w:color="auto"/>
        <w:right w:val="none" w:sz="0" w:space="0" w:color="auto"/>
      </w:divBdr>
    </w:div>
    <w:div w:id="962468792">
      <w:bodyDiv w:val="1"/>
      <w:marLeft w:val="0"/>
      <w:marRight w:val="0"/>
      <w:marTop w:val="0"/>
      <w:marBottom w:val="0"/>
      <w:divBdr>
        <w:top w:val="none" w:sz="0" w:space="0" w:color="auto"/>
        <w:left w:val="none" w:sz="0" w:space="0" w:color="auto"/>
        <w:bottom w:val="none" w:sz="0" w:space="0" w:color="auto"/>
        <w:right w:val="none" w:sz="0" w:space="0" w:color="auto"/>
      </w:divBdr>
    </w:div>
    <w:div w:id="971133241">
      <w:bodyDiv w:val="1"/>
      <w:marLeft w:val="0"/>
      <w:marRight w:val="0"/>
      <w:marTop w:val="0"/>
      <w:marBottom w:val="0"/>
      <w:divBdr>
        <w:top w:val="none" w:sz="0" w:space="0" w:color="auto"/>
        <w:left w:val="none" w:sz="0" w:space="0" w:color="auto"/>
        <w:bottom w:val="none" w:sz="0" w:space="0" w:color="auto"/>
        <w:right w:val="none" w:sz="0" w:space="0" w:color="auto"/>
      </w:divBdr>
    </w:div>
    <w:div w:id="973215249">
      <w:bodyDiv w:val="1"/>
      <w:marLeft w:val="0"/>
      <w:marRight w:val="0"/>
      <w:marTop w:val="0"/>
      <w:marBottom w:val="0"/>
      <w:divBdr>
        <w:top w:val="none" w:sz="0" w:space="0" w:color="auto"/>
        <w:left w:val="none" w:sz="0" w:space="0" w:color="auto"/>
        <w:bottom w:val="none" w:sz="0" w:space="0" w:color="auto"/>
        <w:right w:val="none" w:sz="0" w:space="0" w:color="auto"/>
      </w:divBdr>
    </w:div>
    <w:div w:id="976641805">
      <w:bodyDiv w:val="1"/>
      <w:marLeft w:val="0"/>
      <w:marRight w:val="0"/>
      <w:marTop w:val="0"/>
      <w:marBottom w:val="0"/>
      <w:divBdr>
        <w:top w:val="none" w:sz="0" w:space="0" w:color="auto"/>
        <w:left w:val="none" w:sz="0" w:space="0" w:color="auto"/>
        <w:bottom w:val="none" w:sz="0" w:space="0" w:color="auto"/>
        <w:right w:val="none" w:sz="0" w:space="0" w:color="auto"/>
      </w:divBdr>
    </w:div>
    <w:div w:id="979920752">
      <w:bodyDiv w:val="1"/>
      <w:marLeft w:val="0"/>
      <w:marRight w:val="0"/>
      <w:marTop w:val="0"/>
      <w:marBottom w:val="0"/>
      <w:divBdr>
        <w:top w:val="none" w:sz="0" w:space="0" w:color="auto"/>
        <w:left w:val="none" w:sz="0" w:space="0" w:color="auto"/>
        <w:bottom w:val="none" w:sz="0" w:space="0" w:color="auto"/>
        <w:right w:val="none" w:sz="0" w:space="0" w:color="auto"/>
      </w:divBdr>
    </w:div>
    <w:div w:id="996766881">
      <w:bodyDiv w:val="1"/>
      <w:marLeft w:val="0"/>
      <w:marRight w:val="0"/>
      <w:marTop w:val="0"/>
      <w:marBottom w:val="0"/>
      <w:divBdr>
        <w:top w:val="none" w:sz="0" w:space="0" w:color="auto"/>
        <w:left w:val="none" w:sz="0" w:space="0" w:color="auto"/>
        <w:bottom w:val="none" w:sz="0" w:space="0" w:color="auto"/>
        <w:right w:val="none" w:sz="0" w:space="0" w:color="auto"/>
      </w:divBdr>
    </w:div>
    <w:div w:id="997726366">
      <w:bodyDiv w:val="1"/>
      <w:marLeft w:val="0"/>
      <w:marRight w:val="0"/>
      <w:marTop w:val="0"/>
      <w:marBottom w:val="0"/>
      <w:divBdr>
        <w:top w:val="none" w:sz="0" w:space="0" w:color="auto"/>
        <w:left w:val="none" w:sz="0" w:space="0" w:color="auto"/>
        <w:bottom w:val="none" w:sz="0" w:space="0" w:color="auto"/>
        <w:right w:val="none" w:sz="0" w:space="0" w:color="auto"/>
      </w:divBdr>
    </w:div>
    <w:div w:id="998265817">
      <w:bodyDiv w:val="1"/>
      <w:marLeft w:val="0"/>
      <w:marRight w:val="0"/>
      <w:marTop w:val="0"/>
      <w:marBottom w:val="0"/>
      <w:divBdr>
        <w:top w:val="none" w:sz="0" w:space="0" w:color="auto"/>
        <w:left w:val="none" w:sz="0" w:space="0" w:color="auto"/>
        <w:bottom w:val="none" w:sz="0" w:space="0" w:color="auto"/>
        <w:right w:val="none" w:sz="0" w:space="0" w:color="auto"/>
      </w:divBdr>
    </w:div>
    <w:div w:id="1006053585">
      <w:bodyDiv w:val="1"/>
      <w:marLeft w:val="0"/>
      <w:marRight w:val="0"/>
      <w:marTop w:val="0"/>
      <w:marBottom w:val="0"/>
      <w:divBdr>
        <w:top w:val="none" w:sz="0" w:space="0" w:color="auto"/>
        <w:left w:val="none" w:sz="0" w:space="0" w:color="auto"/>
        <w:bottom w:val="none" w:sz="0" w:space="0" w:color="auto"/>
        <w:right w:val="none" w:sz="0" w:space="0" w:color="auto"/>
      </w:divBdr>
    </w:div>
    <w:div w:id="1012076044">
      <w:bodyDiv w:val="1"/>
      <w:marLeft w:val="0"/>
      <w:marRight w:val="0"/>
      <w:marTop w:val="0"/>
      <w:marBottom w:val="0"/>
      <w:divBdr>
        <w:top w:val="none" w:sz="0" w:space="0" w:color="auto"/>
        <w:left w:val="none" w:sz="0" w:space="0" w:color="auto"/>
        <w:bottom w:val="none" w:sz="0" w:space="0" w:color="auto"/>
        <w:right w:val="none" w:sz="0" w:space="0" w:color="auto"/>
      </w:divBdr>
    </w:div>
    <w:div w:id="1020163438">
      <w:bodyDiv w:val="1"/>
      <w:marLeft w:val="0"/>
      <w:marRight w:val="0"/>
      <w:marTop w:val="0"/>
      <w:marBottom w:val="0"/>
      <w:divBdr>
        <w:top w:val="none" w:sz="0" w:space="0" w:color="auto"/>
        <w:left w:val="none" w:sz="0" w:space="0" w:color="auto"/>
        <w:bottom w:val="none" w:sz="0" w:space="0" w:color="auto"/>
        <w:right w:val="none" w:sz="0" w:space="0" w:color="auto"/>
      </w:divBdr>
    </w:div>
    <w:div w:id="1021199319">
      <w:bodyDiv w:val="1"/>
      <w:marLeft w:val="0"/>
      <w:marRight w:val="0"/>
      <w:marTop w:val="0"/>
      <w:marBottom w:val="0"/>
      <w:divBdr>
        <w:top w:val="none" w:sz="0" w:space="0" w:color="auto"/>
        <w:left w:val="none" w:sz="0" w:space="0" w:color="auto"/>
        <w:bottom w:val="none" w:sz="0" w:space="0" w:color="auto"/>
        <w:right w:val="none" w:sz="0" w:space="0" w:color="auto"/>
      </w:divBdr>
    </w:div>
    <w:div w:id="1036127414">
      <w:bodyDiv w:val="1"/>
      <w:marLeft w:val="0"/>
      <w:marRight w:val="0"/>
      <w:marTop w:val="0"/>
      <w:marBottom w:val="0"/>
      <w:divBdr>
        <w:top w:val="none" w:sz="0" w:space="0" w:color="auto"/>
        <w:left w:val="none" w:sz="0" w:space="0" w:color="auto"/>
        <w:bottom w:val="none" w:sz="0" w:space="0" w:color="auto"/>
        <w:right w:val="none" w:sz="0" w:space="0" w:color="auto"/>
      </w:divBdr>
    </w:div>
    <w:div w:id="1044216708">
      <w:bodyDiv w:val="1"/>
      <w:marLeft w:val="0"/>
      <w:marRight w:val="0"/>
      <w:marTop w:val="0"/>
      <w:marBottom w:val="0"/>
      <w:divBdr>
        <w:top w:val="none" w:sz="0" w:space="0" w:color="auto"/>
        <w:left w:val="none" w:sz="0" w:space="0" w:color="auto"/>
        <w:bottom w:val="none" w:sz="0" w:space="0" w:color="auto"/>
        <w:right w:val="none" w:sz="0" w:space="0" w:color="auto"/>
      </w:divBdr>
    </w:div>
    <w:div w:id="1046375141">
      <w:bodyDiv w:val="1"/>
      <w:marLeft w:val="0"/>
      <w:marRight w:val="0"/>
      <w:marTop w:val="0"/>
      <w:marBottom w:val="0"/>
      <w:divBdr>
        <w:top w:val="none" w:sz="0" w:space="0" w:color="auto"/>
        <w:left w:val="none" w:sz="0" w:space="0" w:color="auto"/>
        <w:bottom w:val="none" w:sz="0" w:space="0" w:color="auto"/>
        <w:right w:val="none" w:sz="0" w:space="0" w:color="auto"/>
      </w:divBdr>
    </w:div>
    <w:div w:id="1057625632">
      <w:bodyDiv w:val="1"/>
      <w:marLeft w:val="0"/>
      <w:marRight w:val="0"/>
      <w:marTop w:val="0"/>
      <w:marBottom w:val="0"/>
      <w:divBdr>
        <w:top w:val="none" w:sz="0" w:space="0" w:color="auto"/>
        <w:left w:val="none" w:sz="0" w:space="0" w:color="auto"/>
        <w:bottom w:val="none" w:sz="0" w:space="0" w:color="auto"/>
        <w:right w:val="none" w:sz="0" w:space="0" w:color="auto"/>
      </w:divBdr>
    </w:div>
    <w:div w:id="1058019474">
      <w:bodyDiv w:val="1"/>
      <w:marLeft w:val="0"/>
      <w:marRight w:val="0"/>
      <w:marTop w:val="0"/>
      <w:marBottom w:val="0"/>
      <w:divBdr>
        <w:top w:val="none" w:sz="0" w:space="0" w:color="auto"/>
        <w:left w:val="none" w:sz="0" w:space="0" w:color="auto"/>
        <w:bottom w:val="none" w:sz="0" w:space="0" w:color="auto"/>
        <w:right w:val="none" w:sz="0" w:space="0" w:color="auto"/>
      </w:divBdr>
    </w:div>
    <w:div w:id="1067001014">
      <w:bodyDiv w:val="1"/>
      <w:marLeft w:val="0"/>
      <w:marRight w:val="0"/>
      <w:marTop w:val="0"/>
      <w:marBottom w:val="0"/>
      <w:divBdr>
        <w:top w:val="none" w:sz="0" w:space="0" w:color="auto"/>
        <w:left w:val="none" w:sz="0" w:space="0" w:color="auto"/>
        <w:bottom w:val="none" w:sz="0" w:space="0" w:color="auto"/>
        <w:right w:val="none" w:sz="0" w:space="0" w:color="auto"/>
      </w:divBdr>
    </w:div>
    <w:div w:id="1070470708">
      <w:bodyDiv w:val="1"/>
      <w:marLeft w:val="0"/>
      <w:marRight w:val="0"/>
      <w:marTop w:val="0"/>
      <w:marBottom w:val="0"/>
      <w:divBdr>
        <w:top w:val="none" w:sz="0" w:space="0" w:color="auto"/>
        <w:left w:val="none" w:sz="0" w:space="0" w:color="auto"/>
        <w:bottom w:val="none" w:sz="0" w:space="0" w:color="auto"/>
        <w:right w:val="none" w:sz="0" w:space="0" w:color="auto"/>
      </w:divBdr>
    </w:div>
    <w:div w:id="1076705573">
      <w:bodyDiv w:val="1"/>
      <w:marLeft w:val="0"/>
      <w:marRight w:val="0"/>
      <w:marTop w:val="0"/>
      <w:marBottom w:val="0"/>
      <w:divBdr>
        <w:top w:val="none" w:sz="0" w:space="0" w:color="auto"/>
        <w:left w:val="none" w:sz="0" w:space="0" w:color="auto"/>
        <w:bottom w:val="none" w:sz="0" w:space="0" w:color="auto"/>
        <w:right w:val="none" w:sz="0" w:space="0" w:color="auto"/>
      </w:divBdr>
    </w:div>
    <w:div w:id="1080298627">
      <w:bodyDiv w:val="1"/>
      <w:marLeft w:val="0"/>
      <w:marRight w:val="0"/>
      <w:marTop w:val="0"/>
      <w:marBottom w:val="0"/>
      <w:divBdr>
        <w:top w:val="none" w:sz="0" w:space="0" w:color="auto"/>
        <w:left w:val="none" w:sz="0" w:space="0" w:color="auto"/>
        <w:bottom w:val="none" w:sz="0" w:space="0" w:color="auto"/>
        <w:right w:val="none" w:sz="0" w:space="0" w:color="auto"/>
      </w:divBdr>
    </w:div>
    <w:div w:id="1083839583">
      <w:bodyDiv w:val="1"/>
      <w:marLeft w:val="0"/>
      <w:marRight w:val="0"/>
      <w:marTop w:val="0"/>
      <w:marBottom w:val="0"/>
      <w:divBdr>
        <w:top w:val="none" w:sz="0" w:space="0" w:color="auto"/>
        <w:left w:val="none" w:sz="0" w:space="0" w:color="auto"/>
        <w:bottom w:val="none" w:sz="0" w:space="0" w:color="auto"/>
        <w:right w:val="none" w:sz="0" w:space="0" w:color="auto"/>
      </w:divBdr>
    </w:div>
    <w:div w:id="1085224054">
      <w:bodyDiv w:val="1"/>
      <w:marLeft w:val="0"/>
      <w:marRight w:val="0"/>
      <w:marTop w:val="0"/>
      <w:marBottom w:val="0"/>
      <w:divBdr>
        <w:top w:val="none" w:sz="0" w:space="0" w:color="auto"/>
        <w:left w:val="none" w:sz="0" w:space="0" w:color="auto"/>
        <w:bottom w:val="none" w:sz="0" w:space="0" w:color="auto"/>
        <w:right w:val="none" w:sz="0" w:space="0" w:color="auto"/>
      </w:divBdr>
    </w:div>
    <w:div w:id="1092123215">
      <w:bodyDiv w:val="1"/>
      <w:marLeft w:val="0"/>
      <w:marRight w:val="0"/>
      <w:marTop w:val="0"/>
      <w:marBottom w:val="0"/>
      <w:divBdr>
        <w:top w:val="none" w:sz="0" w:space="0" w:color="auto"/>
        <w:left w:val="none" w:sz="0" w:space="0" w:color="auto"/>
        <w:bottom w:val="none" w:sz="0" w:space="0" w:color="auto"/>
        <w:right w:val="none" w:sz="0" w:space="0" w:color="auto"/>
      </w:divBdr>
    </w:div>
    <w:div w:id="1113985921">
      <w:bodyDiv w:val="1"/>
      <w:marLeft w:val="0"/>
      <w:marRight w:val="0"/>
      <w:marTop w:val="0"/>
      <w:marBottom w:val="0"/>
      <w:divBdr>
        <w:top w:val="none" w:sz="0" w:space="0" w:color="auto"/>
        <w:left w:val="none" w:sz="0" w:space="0" w:color="auto"/>
        <w:bottom w:val="none" w:sz="0" w:space="0" w:color="auto"/>
        <w:right w:val="none" w:sz="0" w:space="0" w:color="auto"/>
      </w:divBdr>
    </w:div>
    <w:div w:id="1120879188">
      <w:bodyDiv w:val="1"/>
      <w:marLeft w:val="0"/>
      <w:marRight w:val="0"/>
      <w:marTop w:val="0"/>
      <w:marBottom w:val="0"/>
      <w:divBdr>
        <w:top w:val="none" w:sz="0" w:space="0" w:color="auto"/>
        <w:left w:val="none" w:sz="0" w:space="0" w:color="auto"/>
        <w:bottom w:val="none" w:sz="0" w:space="0" w:color="auto"/>
        <w:right w:val="none" w:sz="0" w:space="0" w:color="auto"/>
      </w:divBdr>
    </w:div>
    <w:div w:id="1132013751">
      <w:bodyDiv w:val="1"/>
      <w:marLeft w:val="0"/>
      <w:marRight w:val="0"/>
      <w:marTop w:val="0"/>
      <w:marBottom w:val="0"/>
      <w:divBdr>
        <w:top w:val="none" w:sz="0" w:space="0" w:color="auto"/>
        <w:left w:val="none" w:sz="0" w:space="0" w:color="auto"/>
        <w:bottom w:val="none" w:sz="0" w:space="0" w:color="auto"/>
        <w:right w:val="none" w:sz="0" w:space="0" w:color="auto"/>
      </w:divBdr>
    </w:div>
    <w:div w:id="1136096707">
      <w:bodyDiv w:val="1"/>
      <w:marLeft w:val="0"/>
      <w:marRight w:val="0"/>
      <w:marTop w:val="0"/>
      <w:marBottom w:val="0"/>
      <w:divBdr>
        <w:top w:val="none" w:sz="0" w:space="0" w:color="auto"/>
        <w:left w:val="none" w:sz="0" w:space="0" w:color="auto"/>
        <w:bottom w:val="none" w:sz="0" w:space="0" w:color="auto"/>
        <w:right w:val="none" w:sz="0" w:space="0" w:color="auto"/>
      </w:divBdr>
    </w:div>
    <w:div w:id="1145927926">
      <w:bodyDiv w:val="1"/>
      <w:marLeft w:val="0"/>
      <w:marRight w:val="0"/>
      <w:marTop w:val="0"/>
      <w:marBottom w:val="0"/>
      <w:divBdr>
        <w:top w:val="none" w:sz="0" w:space="0" w:color="auto"/>
        <w:left w:val="none" w:sz="0" w:space="0" w:color="auto"/>
        <w:bottom w:val="none" w:sz="0" w:space="0" w:color="auto"/>
        <w:right w:val="none" w:sz="0" w:space="0" w:color="auto"/>
      </w:divBdr>
      <w:divsChild>
        <w:div w:id="2017227666">
          <w:marLeft w:val="0"/>
          <w:marRight w:val="0"/>
          <w:marTop w:val="0"/>
          <w:marBottom w:val="0"/>
          <w:divBdr>
            <w:top w:val="none" w:sz="0" w:space="0" w:color="auto"/>
            <w:left w:val="none" w:sz="0" w:space="0" w:color="auto"/>
            <w:bottom w:val="none" w:sz="0" w:space="0" w:color="auto"/>
            <w:right w:val="none" w:sz="0" w:space="0" w:color="auto"/>
          </w:divBdr>
          <w:divsChild>
            <w:div w:id="1513181166">
              <w:marLeft w:val="0"/>
              <w:marRight w:val="0"/>
              <w:marTop w:val="0"/>
              <w:marBottom w:val="0"/>
              <w:divBdr>
                <w:top w:val="none" w:sz="0" w:space="0" w:color="auto"/>
                <w:left w:val="none" w:sz="0" w:space="0" w:color="auto"/>
                <w:bottom w:val="none" w:sz="0" w:space="0" w:color="auto"/>
                <w:right w:val="none" w:sz="0" w:space="0" w:color="auto"/>
              </w:divBdr>
              <w:divsChild>
                <w:div w:id="5179225">
                  <w:marLeft w:val="0"/>
                  <w:marRight w:val="0"/>
                  <w:marTop w:val="0"/>
                  <w:marBottom w:val="0"/>
                  <w:divBdr>
                    <w:top w:val="none" w:sz="0" w:space="0" w:color="auto"/>
                    <w:left w:val="none" w:sz="0" w:space="0" w:color="auto"/>
                    <w:bottom w:val="none" w:sz="0" w:space="0" w:color="auto"/>
                    <w:right w:val="none" w:sz="0" w:space="0" w:color="auto"/>
                  </w:divBdr>
                  <w:divsChild>
                    <w:div w:id="7149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40449">
      <w:bodyDiv w:val="1"/>
      <w:marLeft w:val="0"/>
      <w:marRight w:val="0"/>
      <w:marTop w:val="0"/>
      <w:marBottom w:val="0"/>
      <w:divBdr>
        <w:top w:val="none" w:sz="0" w:space="0" w:color="auto"/>
        <w:left w:val="none" w:sz="0" w:space="0" w:color="auto"/>
        <w:bottom w:val="none" w:sz="0" w:space="0" w:color="auto"/>
        <w:right w:val="none" w:sz="0" w:space="0" w:color="auto"/>
      </w:divBdr>
    </w:div>
    <w:div w:id="1162240221">
      <w:bodyDiv w:val="1"/>
      <w:marLeft w:val="0"/>
      <w:marRight w:val="0"/>
      <w:marTop w:val="0"/>
      <w:marBottom w:val="0"/>
      <w:divBdr>
        <w:top w:val="none" w:sz="0" w:space="0" w:color="auto"/>
        <w:left w:val="none" w:sz="0" w:space="0" w:color="auto"/>
        <w:bottom w:val="none" w:sz="0" w:space="0" w:color="auto"/>
        <w:right w:val="none" w:sz="0" w:space="0" w:color="auto"/>
      </w:divBdr>
    </w:div>
    <w:div w:id="1164080881">
      <w:bodyDiv w:val="1"/>
      <w:marLeft w:val="0"/>
      <w:marRight w:val="0"/>
      <w:marTop w:val="0"/>
      <w:marBottom w:val="0"/>
      <w:divBdr>
        <w:top w:val="none" w:sz="0" w:space="0" w:color="auto"/>
        <w:left w:val="none" w:sz="0" w:space="0" w:color="auto"/>
        <w:bottom w:val="none" w:sz="0" w:space="0" w:color="auto"/>
        <w:right w:val="none" w:sz="0" w:space="0" w:color="auto"/>
      </w:divBdr>
    </w:div>
    <w:div w:id="1170216875">
      <w:bodyDiv w:val="1"/>
      <w:marLeft w:val="0"/>
      <w:marRight w:val="0"/>
      <w:marTop w:val="0"/>
      <w:marBottom w:val="0"/>
      <w:divBdr>
        <w:top w:val="none" w:sz="0" w:space="0" w:color="auto"/>
        <w:left w:val="none" w:sz="0" w:space="0" w:color="auto"/>
        <w:bottom w:val="none" w:sz="0" w:space="0" w:color="auto"/>
        <w:right w:val="none" w:sz="0" w:space="0" w:color="auto"/>
      </w:divBdr>
      <w:divsChild>
        <w:div w:id="556169488">
          <w:marLeft w:val="0"/>
          <w:marRight w:val="0"/>
          <w:marTop w:val="0"/>
          <w:marBottom w:val="0"/>
          <w:divBdr>
            <w:top w:val="none" w:sz="0" w:space="0" w:color="auto"/>
            <w:left w:val="none" w:sz="0" w:space="0" w:color="auto"/>
            <w:bottom w:val="none" w:sz="0" w:space="0" w:color="auto"/>
            <w:right w:val="none" w:sz="0" w:space="0" w:color="auto"/>
          </w:divBdr>
          <w:divsChild>
            <w:div w:id="5382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16309">
      <w:bodyDiv w:val="1"/>
      <w:marLeft w:val="0"/>
      <w:marRight w:val="0"/>
      <w:marTop w:val="0"/>
      <w:marBottom w:val="0"/>
      <w:divBdr>
        <w:top w:val="none" w:sz="0" w:space="0" w:color="auto"/>
        <w:left w:val="none" w:sz="0" w:space="0" w:color="auto"/>
        <w:bottom w:val="none" w:sz="0" w:space="0" w:color="auto"/>
        <w:right w:val="none" w:sz="0" w:space="0" w:color="auto"/>
      </w:divBdr>
    </w:div>
    <w:div w:id="1202552048">
      <w:bodyDiv w:val="1"/>
      <w:marLeft w:val="0"/>
      <w:marRight w:val="0"/>
      <w:marTop w:val="0"/>
      <w:marBottom w:val="0"/>
      <w:divBdr>
        <w:top w:val="none" w:sz="0" w:space="0" w:color="auto"/>
        <w:left w:val="none" w:sz="0" w:space="0" w:color="auto"/>
        <w:bottom w:val="none" w:sz="0" w:space="0" w:color="auto"/>
        <w:right w:val="none" w:sz="0" w:space="0" w:color="auto"/>
      </w:divBdr>
    </w:div>
    <w:div w:id="1206136976">
      <w:bodyDiv w:val="1"/>
      <w:marLeft w:val="0"/>
      <w:marRight w:val="0"/>
      <w:marTop w:val="0"/>
      <w:marBottom w:val="0"/>
      <w:divBdr>
        <w:top w:val="none" w:sz="0" w:space="0" w:color="auto"/>
        <w:left w:val="none" w:sz="0" w:space="0" w:color="auto"/>
        <w:bottom w:val="none" w:sz="0" w:space="0" w:color="auto"/>
        <w:right w:val="none" w:sz="0" w:space="0" w:color="auto"/>
      </w:divBdr>
    </w:div>
    <w:div w:id="1209293970">
      <w:bodyDiv w:val="1"/>
      <w:marLeft w:val="0"/>
      <w:marRight w:val="0"/>
      <w:marTop w:val="0"/>
      <w:marBottom w:val="0"/>
      <w:divBdr>
        <w:top w:val="none" w:sz="0" w:space="0" w:color="auto"/>
        <w:left w:val="none" w:sz="0" w:space="0" w:color="auto"/>
        <w:bottom w:val="none" w:sz="0" w:space="0" w:color="auto"/>
        <w:right w:val="none" w:sz="0" w:space="0" w:color="auto"/>
      </w:divBdr>
    </w:div>
    <w:div w:id="1221213736">
      <w:bodyDiv w:val="1"/>
      <w:marLeft w:val="0"/>
      <w:marRight w:val="0"/>
      <w:marTop w:val="0"/>
      <w:marBottom w:val="0"/>
      <w:divBdr>
        <w:top w:val="none" w:sz="0" w:space="0" w:color="auto"/>
        <w:left w:val="none" w:sz="0" w:space="0" w:color="auto"/>
        <w:bottom w:val="none" w:sz="0" w:space="0" w:color="auto"/>
        <w:right w:val="none" w:sz="0" w:space="0" w:color="auto"/>
      </w:divBdr>
    </w:div>
    <w:div w:id="1252398585">
      <w:bodyDiv w:val="1"/>
      <w:marLeft w:val="0"/>
      <w:marRight w:val="0"/>
      <w:marTop w:val="0"/>
      <w:marBottom w:val="0"/>
      <w:divBdr>
        <w:top w:val="none" w:sz="0" w:space="0" w:color="auto"/>
        <w:left w:val="none" w:sz="0" w:space="0" w:color="auto"/>
        <w:bottom w:val="none" w:sz="0" w:space="0" w:color="auto"/>
        <w:right w:val="none" w:sz="0" w:space="0" w:color="auto"/>
      </w:divBdr>
      <w:divsChild>
        <w:div w:id="101540239">
          <w:marLeft w:val="0"/>
          <w:marRight w:val="0"/>
          <w:marTop w:val="0"/>
          <w:marBottom w:val="0"/>
          <w:divBdr>
            <w:top w:val="none" w:sz="0" w:space="0" w:color="auto"/>
            <w:left w:val="none" w:sz="0" w:space="0" w:color="auto"/>
            <w:bottom w:val="none" w:sz="0" w:space="0" w:color="auto"/>
            <w:right w:val="none" w:sz="0" w:space="0" w:color="auto"/>
          </w:divBdr>
        </w:div>
        <w:div w:id="307514344">
          <w:marLeft w:val="0"/>
          <w:marRight w:val="0"/>
          <w:marTop w:val="0"/>
          <w:marBottom w:val="0"/>
          <w:divBdr>
            <w:top w:val="none" w:sz="0" w:space="0" w:color="auto"/>
            <w:left w:val="none" w:sz="0" w:space="0" w:color="auto"/>
            <w:bottom w:val="none" w:sz="0" w:space="0" w:color="auto"/>
            <w:right w:val="none" w:sz="0" w:space="0" w:color="auto"/>
          </w:divBdr>
          <w:divsChild>
            <w:div w:id="1980769596">
              <w:marLeft w:val="-75"/>
              <w:marRight w:val="0"/>
              <w:marTop w:val="30"/>
              <w:marBottom w:val="30"/>
              <w:divBdr>
                <w:top w:val="none" w:sz="0" w:space="0" w:color="auto"/>
                <w:left w:val="none" w:sz="0" w:space="0" w:color="auto"/>
                <w:bottom w:val="none" w:sz="0" w:space="0" w:color="auto"/>
                <w:right w:val="none" w:sz="0" w:space="0" w:color="auto"/>
              </w:divBdr>
              <w:divsChild>
                <w:div w:id="289559147">
                  <w:marLeft w:val="0"/>
                  <w:marRight w:val="0"/>
                  <w:marTop w:val="0"/>
                  <w:marBottom w:val="0"/>
                  <w:divBdr>
                    <w:top w:val="none" w:sz="0" w:space="0" w:color="auto"/>
                    <w:left w:val="none" w:sz="0" w:space="0" w:color="auto"/>
                    <w:bottom w:val="none" w:sz="0" w:space="0" w:color="auto"/>
                    <w:right w:val="none" w:sz="0" w:space="0" w:color="auto"/>
                  </w:divBdr>
                  <w:divsChild>
                    <w:div w:id="56755786">
                      <w:marLeft w:val="0"/>
                      <w:marRight w:val="0"/>
                      <w:marTop w:val="0"/>
                      <w:marBottom w:val="0"/>
                      <w:divBdr>
                        <w:top w:val="none" w:sz="0" w:space="0" w:color="auto"/>
                        <w:left w:val="none" w:sz="0" w:space="0" w:color="auto"/>
                        <w:bottom w:val="none" w:sz="0" w:space="0" w:color="auto"/>
                        <w:right w:val="none" w:sz="0" w:space="0" w:color="auto"/>
                      </w:divBdr>
                    </w:div>
                    <w:div w:id="284701470">
                      <w:marLeft w:val="0"/>
                      <w:marRight w:val="0"/>
                      <w:marTop w:val="0"/>
                      <w:marBottom w:val="0"/>
                      <w:divBdr>
                        <w:top w:val="none" w:sz="0" w:space="0" w:color="auto"/>
                        <w:left w:val="none" w:sz="0" w:space="0" w:color="auto"/>
                        <w:bottom w:val="none" w:sz="0" w:space="0" w:color="auto"/>
                        <w:right w:val="none" w:sz="0" w:space="0" w:color="auto"/>
                      </w:divBdr>
                    </w:div>
                    <w:div w:id="1139494083">
                      <w:marLeft w:val="0"/>
                      <w:marRight w:val="0"/>
                      <w:marTop w:val="0"/>
                      <w:marBottom w:val="0"/>
                      <w:divBdr>
                        <w:top w:val="none" w:sz="0" w:space="0" w:color="auto"/>
                        <w:left w:val="none" w:sz="0" w:space="0" w:color="auto"/>
                        <w:bottom w:val="none" w:sz="0" w:space="0" w:color="auto"/>
                        <w:right w:val="none" w:sz="0" w:space="0" w:color="auto"/>
                      </w:divBdr>
                    </w:div>
                    <w:div w:id="1164858843">
                      <w:marLeft w:val="0"/>
                      <w:marRight w:val="0"/>
                      <w:marTop w:val="0"/>
                      <w:marBottom w:val="0"/>
                      <w:divBdr>
                        <w:top w:val="none" w:sz="0" w:space="0" w:color="auto"/>
                        <w:left w:val="none" w:sz="0" w:space="0" w:color="auto"/>
                        <w:bottom w:val="none" w:sz="0" w:space="0" w:color="auto"/>
                        <w:right w:val="none" w:sz="0" w:space="0" w:color="auto"/>
                      </w:divBdr>
                    </w:div>
                    <w:div w:id="1435401765">
                      <w:marLeft w:val="0"/>
                      <w:marRight w:val="0"/>
                      <w:marTop w:val="0"/>
                      <w:marBottom w:val="0"/>
                      <w:divBdr>
                        <w:top w:val="none" w:sz="0" w:space="0" w:color="auto"/>
                        <w:left w:val="none" w:sz="0" w:space="0" w:color="auto"/>
                        <w:bottom w:val="none" w:sz="0" w:space="0" w:color="auto"/>
                        <w:right w:val="none" w:sz="0" w:space="0" w:color="auto"/>
                      </w:divBdr>
                    </w:div>
                    <w:div w:id="1658193202">
                      <w:marLeft w:val="0"/>
                      <w:marRight w:val="0"/>
                      <w:marTop w:val="0"/>
                      <w:marBottom w:val="0"/>
                      <w:divBdr>
                        <w:top w:val="none" w:sz="0" w:space="0" w:color="auto"/>
                        <w:left w:val="none" w:sz="0" w:space="0" w:color="auto"/>
                        <w:bottom w:val="none" w:sz="0" w:space="0" w:color="auto"/>
                        <w:right w:val="none" w:sz="0" w:space="0" w:color="auto"/>
                      </w:divBdr>
                    </w:div>
                    <w:div w:id="1826319732">
                      <w:marLeft w:val="0"/>
                      <w:marRight w:val="0"/>
                      <w:marTop w:val="0"/>
                      <w:marBottom w:val="0"/>
                      <w:divBdr>
                        <w:top w:val="none" w:sz="0" w:space="0" w:color="auto"/>
                        <w:left w:val="none" w:sz="0" w:space="0" w:color="auto"/>
                        <w:bottom w:val="none" w:sz="0" w:space="0" w:color="auto"/>
                        <w:right w:val="none" w:sz="0" w:space="0" w:color="auto"/>
                      </w:divBdr>
                    </w:div>
                    <w:div w:id="2047097793">
                      <w:marLeft w:val="0"/>
                      <w:marRight w:val="0"/>
                      <w:marTop w:val="0"/>
                      <w:marBottom w:val="0"/>
                      <w:divBdr>
                        <w:top w:val="none" w:sz="0" w:space="0" w:color="auto"/>
                        <w:left w:val="none" w:sz="0" w:space="0" w:color="auto"/>
                        <w:bottom w:val="none" w:sz="0" w:space="0" w:color="auto"/>
                        <w:right w:val="none" w:sz="0" w:space="0" w:color="auto"/>
                      </w:divBdr>
                    </w:div>
                  </w:divsChild>
                </w:div>
                <w:div w:id="344673159">
                  <w:marLeft w:val="0"/>
                  <w:marRight w:val="0"/>
                  <w:marTop w:val="0"/>
                  <w:marBottom w:val="0"/>
                  <w:divBdr>
                    <w:top w:val="none" w:sz="0" w:space="0" w:color="auto"/>
                    <w:left w:val="none" w:sz="0" w:space="0" w:color="auto"/>
                    <w:bottom w:val="none" w:sz="0" w:space="0" w:color="auto"/>
                    <w:right w:val="none" w:sz="0" w:space="0" w:color="auto"/>
                  </w:divBdr>
                  <w:divsChild>
                    <w:div w:id="42600682">
                      <w:marLeft w:val="0"/>
                      <w:marRight w:val="0"/>
                      <w:marTop w:val="0"/>
                      <w:marBottom w:val="0"/>
                      <w:divBdr>
                        <w:top w:val="none" w:sz="0" w:space="0" w:color="auto"/>
                        <w:left w:val="none" w:sz="0" w:space="0" w:color="auto"/>
                        <w:bottom w:val="none" w:sz="0" w:space="0" w:color="auto"/>
                        <w:right w:val="none" w:sz="0" w:space="0" w:color="auto"/>
                      </w:divBdr>
                    </w:div>
                    <w:div w:id="79445484">
                      <w:marLeft w:val="0"/>
                      <w:marRight w:val="0"/>
                      <w:marTop w:val="0"/>
                      <w:marBottom w:val="0"/>
                      <w:divBdr>
                        <w:top w:val="none" w:sz="0" w:space="0" w:color="auto"/>
                        <w:left w:val="none" w:sz="0" w:space="0" w:color="auto"/>
                        <w:bottom w:val="none" w:sz="0" w:space="0" w:color="auto"/>
                        <w:right w:val="none" w:sz="0" w:space="0" w:color="auto"/>
                      </w:divBdr>
                    </w:div>
                    <w:div w:id="140509395">
                      <w:marLeft w:val="0"/>
                      <w:marRight w:val="0"/>
                      <w:marTop w:val="0"/>
                      <w:marBottom w:val="0"/>
                      <w:divBdr>
                        <w:top w:val="none" w:sz="0" w:space="0" w:color="auto"/>
                        <w:left w:val="none" w:sz="0" w:space="0" w:color="auto"/>
                        <w:bottom w:val="none" w:sz="0" w:space="0" w:color="auto"/>
                        <w:right w:val="none" w:sz="0" w:space="0" w:color="auto"/>
                      </w:divBdr>
                    </w:div>
                    <w:div w:id="483665724">
                      <w:marLeft w:val="0"/>
                      <w:marRight w:val="0"/>
                      <w:marTop w:val="0"/>
                      <w:marBottom w:val="0"/>
                      <w:divBdr>
                        <w:top w:val="none" w:sz="0" w:space="0" w:color="auto"/>
                        <w:left w:val="none" w:sz="0" w:space="0" w:color="auto"/>
                        <w:bottom w:val="none" w:sz="0" w:space="0" w:color="auto"/>
                        <w:right w:val="none" w:sz="0" w:space="0" w:color="auto"/>
                      </w:divBdr>
                    </w:div>
                    <w:div w:id="575480673">
                      <w:marLeft w:val="0"/>
                      <w:marRight w:val="0"/>
                      <w:marTop w:val="0"/>
                      <w:marBottom w:val="0"/>
                      <w:divBdr>
                        <w:top w:val="none" w:sz="0" w:space="0" w:color="auto"/>
                        <w:left w:val="none" w:sz="0" w:space="0" w:color="auto"/>
                        <w:bottom w:val="none" w:sz="0" w:space="0" w:color="auto"/>
                        <w:right w:val="none" w:sz="0" w:space="0" w:color="auto"/>
                      </w:divBdr>
                    </w:div>
                    <w:div w:id="820925005">
                      <w:marLeft w:val="0"/>
                      <w:marRight w:val="0"/>
                      <w:marTop w:val="0"/>
                      <w:marBottom w:val="0"/>
                      <w:divBdr>
                        <w:top w:val="none" w:sz="0" w:space="0" w:color="auto"/>
                        <w:left w:val="none" w:sz="0" w:space="0" w:color="auto"/>
                        <w:bottom w:val="none" w:sz="0" w:space="0" w:color="auto"/>
                        <w:right w:val="none" w:sz="0" w:space="0" w:color="auto"/>
                      </w:divBdr>
                    </w:div>
                    <w:div w:id="863442890">
                      <w:marLeft w:val="0"/>
                      <w:marRight w:val="0"/>
                      <w:marTop w:val="0"/>
                      <w:marBottom w:val="0"/>
                      <w:divBdr>
                        <w:top w:val="none" w:sz="0" w:space="0" w:color="auto"/>
                        <w:left w:val="none" w:sz="0" w:space="0" w:color="auto"/>
                        <w:bottom w:val="none" w:sz="0" w:space="0" w:color="auto"/>
                        <w:right w:val="none" w:sz="0" w:space="0" w:color="auto"/>
                      </w:divBdr>
                    </w:div>
                    <w:div w:id="1548420554">
                      <w:marLeft w:val="0"/>
                      <w:marRight w:val="0"/>
                      <w:marTop w:val="0"/>
                      <w:marBottom w:val="0"/>
                      <w:divBdr>
                        <w:top w:val="none" w:sz="0" w:space="0" w:color="auto"/>
                        <w:left w:val="none" w:sz="0" w:space="0" w:color="auto"/>
                        <w:bottom w:val="none" w:sz="0" w:space="0" w:color="auto"/>
                        <w:right w:val="none" w:sz="0" w:space="0" w:color="auto"/>
                      </w:divBdr>
                    </w:div>
                  </w:divsChild>
                </w:div>
                <w:div w:id="534124232">
                  <w:marLeft w:val="0"/>
                  <w:marRight w:val="0"/>
                  <w:marTop w:val="0"/>
                  <w:marBottom w:val="0"/>
                  <w:divBdr>
                    <w:top w:val="none" w:sz="0" w:space="0" w:color="auto"/>
                    <w:left w:val="none" w:sz="0" w:space="0" w:color="auto"/>
                    <w:bottom w:val="none" w:sz="0" w:space="0" w:color="auto"/>
                    <w:right w:val="none" w:sz="0" w:space="0" w:color="auto"/>
                  </w:divBdr>
                  <w:divsChild>
                    <w:div w:id="1378234626">
                      <w:marLeft w:val="0"/>
                      <w:marRight w:val="0"/>
                      <w:marTop w:val="0"/>
                      <w:marBottom w:val="0"/>
                      <w:divBdr>
                        <w:top w:val="none" w:sz="0" w:space="0" w:color="auto"/>
                        <w:left w:val="none" w:sz="0" w:space="0" w:color="auto"/>
                        <w:bottom w:val="none" w:sz="0" w:space="0" w:color="auto"/>
                        <w:right w:val="none" w:sz="0" w:space="0" w:color="auto"/>
                      </w:divBdr>
                    </w:div>
                  </w:divsChild>
                </w:div>
                <w:div w:id="542448297">
                  <w:marLeft w:val="0"/>
                  <w:marRight w:val="0"/>
                  <w:marTop w:val="0"/>
                  <w:marBottom w:val="0"/>
                  <w:divBdr>
                    <w:top w:val="none" w:sz="0" w:space="0" w:color="auto"/>
                    <w:left w:val="none" w:sz="0" w:space="0" w:color="auto"/>
                    <w:bottom w:val="none" w:sz="0" w:space="0" w:color="auto"/>
                    <w:right w:val="none" w:sz="0" w:space="0" w:color="auto"/>
                  </w:divBdr>
                  <w:divsChild>
                    <w:div w:id="407191484">
                      <w:marLeft w:val="0"/>
                      <w:marRight w:val="0"/>
                      <w:marTop w:val="0"/>
                      <w:marBottom w:val="0"/>
                      <w:divBdr>
                        <w:top w:val="none" w:sz="0" w:space="0" w:color="auto"/>
                        <w:left w:val="none" w:sz="0" w:space="0" w:color="auto"/>
                        <w:bottom w:val="none" w:sz="0" w:space="0" w:color="auto"/>
                        <w:right w:val="none" w:sz="0" w:space="0" w:color="auto"/>
                      </w:divBdr>
                    </w:div>
                  </w:divsChild>
                </w:div>
                <w:div w:id="643704001">
                  <w:marLeft w:val="0"/>
                  <w:marRight w:val="0"/>
                  <w:marTop w:val="0"/>
                  <w:marBottom w:val="0"/>
                  <w:divBdr>
                    <w:top w:val="none" w:sz="0" w:space="0" w:color="auto"/>
                    <w:left w:val="none" w:sz="0" w:space="0" w:color="auto"/>
                    <w:bottom w:val="none" w:sz="0" w:space="0" w:color="auto"/>
                    <w:right w:val="none" w:sz="0" w:space="0" w:color="auto"/>
                  </w:divBdr>
                  <w:divsChild>
                    <w:div w:id="552540411">
                      <w:marLeft w:val="0"/>
                      <w:marRight w:val="0"/>
                      <w:marTop w:val="0"/>
                      <w:marBottom w:val="0"/>
                      <w:divBdr>
                        <w:top w:val="none" w:sz="0" w:space="0" w:color="auto"/>
                        <w:left w:val="none" w:sz="0" w:space="0" w:color="auto"/>
                        <w:bottom w:val="none" w:sz="0" w:space="0" w:color="auto"/>
                        <w:right w:val="none" w:sz="0" w:space="0" w:color="auto"/>
                      </w:divBdr>
                    </w:div>
                    <w:div w:id="628438456">
                      <w:marLeft w:val="0"/>
                      <w:marRight w:val="0"/>
                      <w:marTop w:val="0"/>
                      <w:marBottom w:val="0"/>
                      <w:divBdr>
                        <w:top w:val="none" w:sz="0" w:space="0" w:color="auto"/>
                        <w:left w:val="none" w:sz="0" w:space="0" w:color="auto"/>
                        <w:bottom w:val="none" w:sz="0" w:space="0" w:color="auto"/>
                        <w:right w:val="none" w:sz="0" w:space="0" w:color="auto"/>
                      </w:divBdr>
                    </w:div>
                    <w:div w:id="717634093">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 w:id="1692340260">
                      <w:marLeft w:val="0"/>
                      <w:marRight w:val="0"/>
                      <w:marTop w:val="0"/>
                      <w:marBottom w:val="0"/>
                      <w:divBdr>
                        <w:top w:val="none" w:sz="0" w:space="0" w:color="auto"/>
                        <w:left w:val="none" w:sz="0" w:space="0" w:color="auto"/>
                        <w:bottom w:val="none" w:sz="0" w:space="0" w:color="auto"/>
                        <w:right w:val="none" w:sz="0" w:space="0" w:color="auto"/>
                      </w:divBdr>
                    </w:div>
                    <w:div w:id="1784106170">
                      <w:marLeft w:val="0"/>
                      <w:marRight w:val="0"/>
                      <w:marTop w:val="0"/>
                      <w:marBottom w:val="0"/>
                      <w:divBdr>
                        <w:top w:val="none" w:sz="0" w:space="0" w:color="auto"/>
                        <w:left w:val="none" w:sz="0" w:space="0" w:color="auto"/>
                        <w:bottom w:val="none" w:sz="0" w:space="0" w:color="auto"/>
                        <w:right w:val="none" w:sz="0" w:space="0" w:color="auto"/>
                      </w:divBdr>
                    </w:div>
                  </w:divsChild>
                </w:div>
                <w:div w:id="834687703">
                  <w:marLeft w:val="0"/>
                  <w:marRight w:val="0"/>
                  <w:marTop w:val="0"/>
                  <w:marBottom w:val="0"/>
                  <w:divBdr>
                    <w:top w:val="none" w:sz="0" w:space="0" w:color="auto"/>
                    <w:left w:val="none" w:sz="0" w:space="0" w:color="auto"/>
                    <w:bottom w:val="none" w:sz="0" w:space="0" w:color="auto"/>
                    <w:right w:val="none" w:sz="0" w:space="0" w:color="auto"/>
                  </w:divBdr>
                  <w:divsChild>
                    <w:div w:id="758210625">
                      <w:marLeft w:val="0"/>
                      <w:marRight w:val="0"/>
                      <w:marTop w:val="0"/>
                      <w:marBottom w:val="0"/>
                      <w:divBdr>
                        <w:top w:val="none" w:sz="0" w:space="0" w:color="auto"/>
                        <w:left w:val="none" w:sz="0" w:space="0" w:color="auto"/>
                        <w:bottom w:val="none" w:sz="0" w:space="0" w:color="auto"/>
                        <w:right w:val="none" w:sz="0" w:space="0" w:color="auto"/>
                      </w:divBdr>
                    </w:div>
                    <w:div w:id="859051909">
                      <w:marLeft w:val="0"/>
                      <w:marRight w:val="0"/>
                      <w:marTop w:val="0"/>
                      <w:marBottom w:val="0"/>
                      <w:divBdr>
                        <w:top w:val="none" w:sz="0" w:space="0" w:color="auto"/>
                        <w:left w:val="none" w:sz="0" w:space="0" w:color="auto"/>
                        <w:bottom w:val="none" w:sz="0" w:space="0" w:color="auto"/>
                        <w:right w:val="none" w:sz="0" w:space="0" w:color="auto"/>
                      </w:divBdr>
                    </w:div>
                    <w:div w:id="1026323080">
                      <w:marLeft w:val="0"/>
                      <w:marRight w:val="0"/>
                      <w:marTop w:val="0"/>
                      <w:marBottom w:val="0"/>
                      <w:divBdr>
                        <w:top w:val="none" w:sz="0" w:space="0" w:color="auto"/>
                        <w:left w:val="none" w:sz="0" w:space="0" w:color="auto"/>
                        <w:bottom w:val="none" w:sz="0" w:space="0" w:color="auto"/>
                        <w:right w:val="none" w:sz="0" w:space="0" w:color="auto"/>
                      </w:divBdr>
                    </w:div>
                    <w:div w:id="1612203733">
                      <w:marLeft w:val="0"/>
                      <w:marRight w:val="0"/>
                      <w:marTop w:val="0"/>
                      <w:marBottom w:val="0"/>
                      <w:divBdr>
                        <w:top w:val="none" w:sz="0" w:space="0" w:color="auto"/>
                        <w:left w:val="none" w:sz="0" w:space="0" w:color="auto"/>
                        <w:bottom w:val="none" w:sz="0" w:space="0" w:color="auto"/>
                        <w:right w:val="none" w:sz="0" w:space="0" w:color="auto"/>
                      </w:divBdr>
                    </w:div>
                    <w:div w:id="2092433669">
                      <w:marLeft w:val="0"/>
                      <w:marRight w:val="0"/>
                      <w:marTop w:val="0"/>
                      <w:marBottom w:val="0"/>
                      <w:divBdr>
                        <w:top w:val="none" w:sz="0" w:space="0" w:color="auto"/>
                        <w:left w:val="none" w:sz="0" w:space="0" w:color="auto"/>
                        <w:bottom w:val="none" w:sz="0" w:space="0" w:color="auto"/>
                        <w:right w:val="none" w:sz="0" w:space="0" w:color="auto"/>
                      </w:divBdr>
                    </w:div>
                    <w:div w:id="2129424217">
                      <w:marLeft w:val="0"/>
                      <w:marRight w:val="0"/>
                      <w:marTop w:val="0"/>
                      <w:marBottom w:val="0"/>
                      <w:divBdr>
                        <w:top w:val="none" w:sz="0" w:space="0" w:color="auto"/>
                        <w:left w:val="none" w:sz="0" w:space="0" w:color="auto"/>
                        <w:bottom w:val="none" w:sz="0" w:space="0" w:color="auto"/>
                        <w:right w:val="none" w:sz="0" w:space="0" w:color="auto"/>
                      </w:divBdr>
                    </w:div>
                  </w:divsChild>
                </w:div>
                <w:div w:id="990402856">
                  <w:marLeft w:val="0"/>
                  <w:marRight w:val="0"/>
                  <w:marTop w:val="0"/>
                  <w:marBottom w:val="0"/>
                  <w:divBdr>
                    <w:top w:val="none" w:sz="0" w:space="0" w:color="auto"/>
                    <w:left w:val="none" w:sz="0" w:space="0" w:color="auto"/>
                    <w:bottom w:val="none" w:sz="0" w:space="0" w:color="auto"/>
                    <w:right w:val="none" w:sz="0" w:space="0" w:color="auto"/>
                  </w:divBdr>
                  <w:divsChild>
                    <w:div w:id="4023595">
                      <w:marLeft w:val="0"/>
                      <w:marRight w:val="0"/>
                      <w:marTop w:val="0"/>
                      <w:marBottom w:val="0"/>
                      <w:divBdr>
                        <w:top w:val="none" w:sz="0" w:space="0" w:color="auto"/>
                        <w:left w:val="none" w:sz="0" w:space="0" w:color="auto"/>
                        <w:bottom w:val="none" w:sz="0" w:space="0" w:color="auto"/>
                        <w:right w:val="none" w:sz="0" w:space="0" w:color="auto"/>
                      </w:divBdr>
                    </w:div>
                  </w:divsChild>
                </w:div>
                <w:div w:id="1140612022">
                  <w:marLeft w:val="0"/>
                  <w:marRight w:val="0"/>
                  <w:marTop w:val="0"/>
                  <w:marBottom w:val="0"/>
                  <w:divBdr>
                    <w:top w:val="none" w:sz="0" w:space="0" w:color="auto"/>
                    <w:left w:val="none" w:sz="0" w:space="0" w:color="auto"/>
                    <w:bottom w:val="none" w:sz="0" w:space="0" w:color="auto"/>
                    <w:right w:val="none" w:sz="0" w:space="0" w:color="auto"/>
                  </w:divBdr>
                  <w:divsChild>
                    <w:div w:id="998770917">
                      <w:marLeft w:val="0"/>
                      <w:marRight w:val="0"/>
                      <w:marTop w:val="0"/>
                      <w:marBottom w:val="0"/>
                      <w:divBdr>
                        <w:top w:val="none" w:sz="0" w:space="0" w:color="auto"/>
                        <w:left w:val="none" w:sz="0" w:space="0" w:color="auto"/>
                        <w:bottom w:val="none" w:sz="0" w:space="0" w:color="auto"/>
                        <w:right w:val="none" w:sz="0" w:space="0" w:color="auto"/>
                      </w:divBdr>
                    </w:div>
                  </w:divsChild>
                </w:div>
                <w:div w:id="1148549294">
                  <w:marLeft w:val="0"/>
                  <w:marRight w:val="0"/>
                  <w:marTop w:val="0"/>
                  <w:marBottom w:val="0"/>
                  <w:divBdr>
                    <w:top w:val="none" w:sz="0" w:space="0" w:color="auto"/>
                    <w:left w:val="none" w:sz="0" w:space="0" w:color="auto"/>
                    <w:bottom w:val="none" w:sz="0" w:space="0" w:color="auto"/>
                    <w:right w:val="none" w:sz="0" w:space="0" w:color="auto"/>
                  </w:divBdr>
                  <w:divsChild>
                    <w:div w:id="9726834">
                      <w:marLeft w:val="0"/>
                      <w:marRight w:val="0"/>
                      <w:marTop w:val="0"/>
                      <w:marBottom w:val="0"/>
                      <w:divBdr>
                        <w:top w:val="none" w:sz="0" w:space="0" w:color="auto"/>
                        <w:left w:val="none" w:sz="0" w:space="0" w:color="auto"/>
                        <w:bottom w:val="none" w:sz="0" w:space="0" w:color="auto"/>
                        <w:right w:val="none" w:sz="0" w:space="0" w:color="auto"/>
                      </w:divBdr>
                    </w:div>
                    <w:div w:id="142550719">
                      <w:marLeft w:val="0"/>
                      <w:marRight w:val="0"/>
                      <w:marTop w:val="0"/>
                      <w:marBottom w:val="0"/>
                      <w:divBdr>
                        <w:top w:val="none" w:sz="0" w:space="0" w:color="auto"/>
                        <w:left w:val="none" w:sz="0" w:space="0" w:color="auto"/>
                        <w:bottom w:val="none" w:sz="0" w:space="0" w:color="auto"/>
                        <w:right w:val="none" w:sz="0" w:space="0" w:color="auto"/>
                      </w:divBdr>
                    </w:div>
                    <w:div w:id="592202813">
                      <w:marLeft w:val="0"/>
                      <w:marRight w:val="0"/>
                      <w:marTop w:val="0"/>
                      <w:marBottom w:val="0"/>
                      <w:divBdr>
                        <w:top w:val="none" w:sz="0" w:space="0" w:color="auto"/>
                        <w:left w:val="none" w:sz="0" w:space="0" w:color="auto"/>
                        <w:bottom w:val="none" w:sz="0" w:space="0" w:color="auto"/>
                        <w:right w:val="none" w:sz="0" w:space="0" w:color="auto"/>
                      </w:divBdr>
                    </w:div>
                    <w:div w:id="641157984">
                      <w:marLeft w:val="0"/>
                      <w:marRight w:val="0"/>
                      <w:marTop w:val="0"/>
                      <w:marBottom w:val="0"/>
                      <w:divBdr>
                        <w:top w:val="none" w:sz="0" w:space="0" w:color="auto"/>
                        <w:left w:val="none" w:sz="0" w:space="0" w:color="auto"/>
                        <w:bottom w:val="none" w:sz="0" w:space="0" w:color="auto"/>
                        <w:right w:val="none" w:sz="0" w:space="0" w:color="auto"/>
                      </w:divBdr>
                    </w:div>
                    <w:div w:id="1532188610">
                      <w:marLeft w:val="0"/>
                      <w:marRight w:val="0"/>
                      <w:marTop w:val="0"/>
                      <w:marBottom w:val="0"/>
                      <w:divBdr>
                        <w:top w:val="none" w:sz="0" w:space="0" w:color="auto"/>
                        <w:left w:val="none" w:sz="0" w:space="0" w:color="auto"/>
                        <w:bottom w:val="none" w:sz="0" w:space="0" w:color="auto"/>
                        <w:right w:val="none" w:sz="0" w:space="0" w:color="auto"/>
                      </w:divBdr>
                    </w:div>
                    <w:div w:id="1672567422">
                      <w:marLeft w:val="0"/>
                      <w:marRight w:val="0"/>
                      <w:marTop w:val="0"/>
                      <w:marBottom w:val="0"/>
                      <w:divBdr>
                        <w:top w:val="none" w:sz="0" w:space="0" w:color="auto"/>
                        <w:left w:val="none" w:sz="0" w:space="0" w:color="auto"/>
                        <w:bottom w:val="none" w:sz="0" w:space="0" w:color="auto"/>
                        <w:right w:val="none" w:sz="0" w:space="0" w:color="auto"/>
                      </w:divBdr>
                    </w:div>
                    <w:div w:id="1985890776">
                      <w:marLeft w:val="0"/>
                      <w:marRight w:val="0"/>
                      <w:marTop w:val="0"/>
                      <w:marBottom w:val="0"/>
                      <w:divBdr>
                        <w:top w:val="none" w:sz="0" w:space="0" w:color="auto"/>
                        <w:left w:val="none" w:sz="0" w:space="0" w:color="auto"/>
                        <w:bottom w:val="none" w:sz="0" w:space="0" w:color="auto"/>
                        <w:right w:val="none" w:sz="0" w:space="0" w:color="auto"/>
                      </w:divBdr>
                    </w:div>
                  </w:divsChild>
                </w:div>
                <w:div w:id="1582595678">
                  <w:marLeft w:val="0"/>
                  <w:marRight w:val="0"/>
                  <w:marTop w:val="0"/>
                  <w:marBottom w:val="0"/>
                  <w:divBdr>
                    <w:top w:val="none" w:sz="0" w:space="0" w:color="auto"/>
                    <w:left w:val="none" w:sz="0" w:space="0" w:color="auto"/>
                    <w:bottom w:val="none" w:sz="0" w:space="0" w:color="auto"/>
                    <w:right w:val="none" w:sz="0" w:space="0" w:color="auto"/>
                  </w:divBdr>
                  <w:divsChild>
                    <w:div w:id="1659992008">
                      <w:marLeft w:val="0"/>
                      <w:marRight w:val="0"/>
                      <w:marTop w:val="0"/>
                      <w:marBottom w:val="0"/>
                      <w:divBdr>
                        <w:top w:val="none" w:sz="0" w:space="0" w:color="auto"/>
                        <w:left w:val="none" w:sz="0" w:space="0" w:color="auto"/>
                        <w:bottom w:val="none" w:sz="0" w:space="0" w:color="auto"/>
                        <w:right w:val="none" w:sz="0" w:space="0" w:color="auto"/>
                      </w:divBdr>
                    </w:div>
                  </w:divsChild>
                </w:div>
                <w:div w:id="1751461417">
                  <w:marLeft w:val="0"/>
                  <w:marRight w:val="0"/>
                  <w:marTop w:val="0"/>
                  <w:marBottom w:val="0"/>
                  <w:divBdr>
                    <w:top w:val="none" w:sz="0" w:space="0" w:color="auto"/>
                    <w:left w:val="none" w:sz="0" w:space="0" w:color="auto"/>
                    <w:bottom w:val="none" w:sz="0" w:space="0" w:color="auto"/>
                    <w:right w:val="none" w:sz="0" w:space="0" w:color="auto"/>
                  </w:divBdr>
                  <w:divsChild>
                    <w:div w:id="17952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49687">
          <w:marLeft w:val="0"/>
          <w:marRight w:val="0"/>
          <w:marTop w:val="0"/>
          <w:marBottom w:val="0"/>
          <w:divBdr>
            <w:top w:val="none" w:sz="0" w:space="0" w:color="auto"/>
            <w:left w:val="none" w:sz="0" w:space="0" w:color="auto"/>
            <w:bottom w:val="none" w:sz="0" w:space="0" w:color="auto"/>
            <w:right w:val="none" w:sz="0" w:space="0" w:color="auto"/>
          </w:divBdr>
        </w:div>
        <w:div w:id="1654917115">
          <w:marLeft w:val="0"/>
          <w:marRight w:val="0"/>
          <w:marTop w:val="0"/>
          <w:marBottom w:val="0"/>
          <w:divBdr>
            <w:top w:val="none" w:sz="0" w:space="0" w:color="auto"/>
            <w:left w:val="none" w:sz="0" w:space="0" w:color="auto"/>
            <w:bottom w:val="none" w:sz="0" w:space="0" w:color="auto"/>
            <w:right w:val="none" w:sz="0" w:space="0" w:color="auto"/>
          </w:divBdr>
        </w:div>
      </w:divsChild>
    </w:div>
    <w:div w:id="1252663150">
      <w:bodyDiv w:val="1"/>
      <w:marLeft w:val="0"/>
      <w:marRight w:val="0"/>
      <w:marTop w:val="0"/>
      <w:marBottom w:val="0"/>
      <w:divBdr>
        <w:top w:val="none" w:sz="0" w:space="0" w:color="auto"/>
        <w:left w:val="none" w:sz="0" w:space="0" w:color="auto"/>
        <w:bottom w:val="none" w:sz="0" w:space="0" w:color="auto"/>
        <w:right w:val="none" w:sz="0" w:space="0" w:color="auto"/>
      </w:divBdr>
    </w:div>
    <w:div w:id="1253780369">
      <w:bodyDiv w:val="1"/>
      <w:marLeft w:val="0"/>
      <w:marRight w:val="0"/>
      <w:marTop w:val="0"/>
      <w:marBottom w:val="0"/>
      <w:divBdr>
        <w:top w:val="none" w:sz="0" w:space="0" w:color="auto"/>
        <w:left w:val="none" w:sz="0" w:space="0" w:color="auto"/>
        <w:bottom w:val="none" w:sz="0" w:space="0" w:color="auto"/>
        <w:right w:val="none" w:sz="0" w:space="0" w:color="auto"/>
      </w:divBdr>
    </w:div>
    <w:div w:id="1259874816">
      <w:bodyDiv w:val="1"/>
      <w:marLeft w:val="0"/>
      <w:marRight w:val="0"/>
      <w:marTop w:val="0"/>
      <w:marBottom w:val="0"/>
      <w:divBdr>
        <w:top w:val="none" w:sz="0" w:space="0" w:color="auto"/>
        <w:left w:val="none" w:sz="0" w:space="0" w:color="auto"/>
        <w:bottom w:val="none" w:sz="0" w:space="0" w:color="auto"/>
        <w:right w:val="none" w:sz="0" w:space="0" w:color="auto"/>
      </w:divBdr>
      <w:divsChild>
        <w:div w:id="1169633192">
          <w:marLeft w:val="0"/>
          <w:marRight w:val="0"/>
          <w:marTop w:val="0"/>
          <w:marBottom w:val="0"/>
          <w:divBdr>
            <w:top w:val="none" w:sz="0" w:space="0" w:color="auto"/>
            <w:left w:val="none" w:sz="0" w:space="0" w:color="auto"/>
            <w:bottom w:val="none" w:sz="0" w:space="0" w:color="auto"/>
            <w:right w:val="none" w:sz="0" w:space="0" w:color="auto"/>
          </w:divBdr>
        </w:div>
      </w:divsChild>
    </w:div>
    <w:div w:id="1264848936">
      <w:bodyDiv w:val="1"/>
      <w:marLeft w:val="0"/>
      <w:marRight w:val="0"/>
      <w:marTop w:val="0"/>
      <w:marBottom w:val="0"/>
      <w:divBdr>
        <w:top w:val="none" w:sz="0" w:space="0" w:color="auto"/>
        <w:left w:val="none" w:sz="0" w:space="0" w:color="auto"/>
        <w:bottom w:val="none" w:sz="0" w:space="0" w:color="auto"/>
        <w:right w:val="none" w:sz="0" w:space="0" w:color="auto"/>
      </w:divBdr>
    </w:div>
    <w:div w:id="1279021927">
      <w:bodyDiv w:val="1"/>
      <w:marLeft w:val="0"/>
      <w:marRight w:val="0"/>
      <w:marTop w:val="0"/>
      <w:marBottom w:val="0"/>
      <w:divBdr>
        <w:top w:val="none" w:sz="0" w:space="0" w:color="auto"/>
        <w:left w:val="none" w:sz="0" w:space="0" w:color="auto"/>
        <w:bottom w:val="none" w:sz="0" w:space="0" w:color="auto"/>
        <w:right w:val="none" w:sz="0" w:space="0" w:color="auto"/>
      </w:divBdr>
    </w:div>
    <w:div w:id="1283882749">
      <w:bodyDiv w:val="1"/>
      <w:marLeft w:val="0"/>
      <w:marRight w:val="0"/>
      <w:marTop w:val="0"/>
      <w:marBottom w:val="0"/>
      <w:divBdr>
        <w:top w:val="none" w:sz="0" w:space="0" w:color="auto"/>
        <w:left w:val="none" w:sz="0" w:space="0" w:color="auto"/>
        <w:bottom w:val="none" w:sz="0" w:space="0" w:color="auto"/>
        <w:right w:val="none" w:sz="0" w:space="0" w:color="auto"/>
      </w:divBdr>
    </w:div>
    <w:div w:id="1286235853">
      <w:bodyDiv w:val="1"/>
      <w:marLeft w:val="0"/>
      <w:marRight w:val="0"/>
      <w:marTop w:val="0"/>
      <w:marBottom w:val="0"/>
      <w:divBdr>
        <w:top w:val="none" w:sz="0" w:space="0" w:color="auto"/>
        <w:left w:val="none" w:sz="0" w:space="0" w:color="auto"/>
        <w:bottom w:val="none" w:sz="0" w:space="0" w:color="auto"/>
        <w:right w:val="none" w:sz="0" w:space="0" w:color="auto"/>
      </w:divBdr>
    </w:div>
    <w:div w:id="1287540415">
      <w:bodyDiv w:val="1"/>
      <w:marLeft w:val="0"/>
      <w:marRight w:val="0"/>
      <w:marTop w:val="0"/>
      <w:marBottom w:val="0"/>
      <w:divBdr>
        <w:top w:val="none" w:sz="0" w:space="0" w:color="auto"/>
        <w:left w:val="none" w:sz="0" w:space="0" w:color="auto"/>
        <w:bottom w:val="none" w:sz="0" w:space="0" w:color="auto"/>
        <w:right w:val="none" w:sz="0" w:space="0" w:color="auto"/>
      </w:divBdr>
    </w:div>
    <w:div w:id="1299797970">
      <w:bodyDiv w:val="1"/>
      <w:marLeft w:val="0"/>
      <w:marRight w:val="0"/>
      <w:marTop w:val="0"/>
      <w:marBottom w:val="0"/>
      <w:divBdr>
        <w:top w:val="none" w:sz="0" w:space="0" w:color="auto"/>
        <w:left w:val="none" w:sz="0" w:space="0" w:color="auto"/>
        <w:bottom w:val="none" w:sz="0" w:space="0" w:color="auto"/>
        <w:right w:val="none" w:sz="0" w:space="0" w:color="auto"/>
      </w:divBdr>
    </w:div>
    <w:div w:id="1316105977">
      <w:bodyDiv w:val="1"/>
      <w:marLeft w:val="0"/>
      <w:marRight w:val="0"/>
      <w:marTop w:val="0"/>
      <w:marBottom w:val="0"/>
      <w:divBdr>
        <w:top w:val="none" w:sz="0" w:space="0" w:color="auto"/>
        <w:left w:val="none" w:sz="0" w:space="0" w:color="auto"/>
        <w:bottom w:val="none" w:sz="0" w:space="0" w:color="auto"/>
        <w:right w:val="none" w:sz="0" w:space="0" w:color="auto"/>
      </w:divBdr>
    </w:div>
    <w:div w:id="1323584183">
      <w:bodyDiv w:val="1"/>
      <w:marLeft w:val="0"/>
      <w:marRight w:val="0"/>
      <w:marTop w:val="0"/>
      <w:marBottom w:val="0"/>
      <w:divBdr>
        <w:top w:val="none" w:sz="0" w:space="0" w:color="auto"/>
        <w:left w:val="none" w:sz="0" w:space="0" w:color="auto"/>
        <w:bottom w:val="none" w:sz="0" w:space="0" w:color="auto"/>
        <w:right w:val="none" w:sz="0" w:space="0" w:color="auto"/>
      </w:divBdr>
    </w:div>
    <w:div w:id="1324895569">
      <w:bodyDiv w:val="1"/>
      <w:marLeft w:val="0"/>
      <w:marRight w:val="0"/>
      <w:marTop w:val="0"/>
      <w:marBottom w:val="0"/>
      <w:divBdr>
        <w:top w:val="none" w:sz="0" w:space="0" w:color="auto"/>
        <w:left w:val="none" w:sz="0" w:space="0" w:color="auto"/>
        <w:bottom w:val="none" w:sz="0" w:space="0" w:color="auto"/>
        <w:right w:val="none" w:sz="0" w:space="0" w:color="auto"/>
      </w:divBdr>
    </w:div>
    <w:div w:id="1329476869">
      <w:bodyDiv w:val="1"/>
      <w:marLeft w:val="0"/>
      <w:marRight w:val="0"/>
      <w:marTop w:val="0"/>
      <w:marBottom w:val="0"/>
      <w:divBdr>
        <w:top w:val="none" w:sz="0" w:space="0" w:color="auto"/>
        <w:left w:val="none" w:sz="0" w:space="0" w:color="auto"/>
        <w:bottom w:val="none" w:sz="0" w:space="0" w:color="auto"/>
        <w:right w:val="none" w:sz="0" w:space="0" w:color="auto"/>
      </w:divBdr>
      <w:divsChild>
        <w:div w:id="1393698651">
          <w:marLeft w:val="0"/>
          <w:marRight w:val="0"/>
          <w:marTop w:val="0"/>
          <w:marBottom w:val="0"/>
          <w:divBdr>
            <w:top w:val="none" w:sz="0" w:space="0" w:color="auto"/>
            <w:left w:val="none" w:sz="0" w:space="0" w:color="auto"/>
            <w:bottom w:val="none" w:sz="0" w:space="0" w:color="auto"/>
            <w:right w:val="none" w:sz="0" w:space="0" w:color="auto"/>
          </w:divBdr>
          <w:divsChild>
            <w:div w:id="1526748345">
              <w:marLeft w:val="0"/>
              <w:marRight w:val="0"/>
              <w:marTop w:val="0"/>
              <w:marBottom w:val="0"/>
              <w:divBdr>
                <w:top w:val="none" w:sz="0" w:space="0" w:color="auto"/>
                <w:left w:val="none" w:sz="0" w:space="0" w:color="auto"/>
                <w:bottom w:val="none" w:sz="0" w:space="0" w:color="auto"/>
                <w:right w:val="none" w:sz="0" w:space="0" w:color="auto"/>
              </w:divBdr>
              <w:divsChild>
                <w:div w:id="877008426">
                  <w:marLeft w:val="0"/>
                  <w:marRight w:val="0"/>
                  <w:marTop w:val="0"/>
                  <w:marBottom w:val="0"/>
                  <w:divBdr>
                    <w:top w:val="none" w:sz="0" w:space="0" w:color="auto"/>
                    <w:left w:val="none" w:sz="0" w:space="0" w:color="auto"/>
                    <w:bottom w:val="none" w:sz="0" w:space="0" w:color="auto"/>
                    <w:right w:val="none" w:sz="0" w:space="0" w:color="auto"/>
                  </w:divBdr>
                  <w:divsChild>
                    <w:div w:id="6670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4771">
      <w:bodyDiv w:val="1"/>
      <w:marLeft w:val="0"/>
      <w:marRight w:val="0"/>
      <w:marTop w:val="0"/>
      <w:marBottom w:val="0"/>
      <w:divBdr>
        <w:top w:val="none" w:sz="0" w:space="0" w:color="auto"/>
        <w:left w:val="none" w:sz="0" w:space="0" w:color="auto"/>
        <w:bottom w:val="none" w:sz="0" w:space="0" w:color="auto"/>
        <w:right w:val="none" w:sz="0" w:space="0" w:color="auto"/>
      </w:divBdr>
    </w:div>
    <w:div w:id="1335768870">
      <w:bodyDiv w:val="1"/>
      <w:marLeft w:val="0"/>
      <w:marRight w:val="0"/>
      <w:marTop w:val="0"/>
      <w:marBottom w:val="0"/>
      <w:divBdr>
        <w:top w:val="none" w:sz="0" w:space="0" w:color="auto"/>
        <w:left w:val="none" w:sz="0" w:space="0" w:color="auto"/>
        <w:bottom w:val="none" w:sz="0" w:space="0" w:color="auto"/>
        <w:right w:val="none" w:sz="0" w:space="0" w:color="auto"/>
      </w:divBdr>
    </w:div>
    <w:div w:id="1337687228">
      <w:bodyDiv w:val="1"/>
      <w:marLeft w:val="0"/>
      <w:marRight w:val="0"/>
      <w:marTop w:val="0"/>
      <w:marBottom w:val="0"/>
      <w:divBdr>
        <w:top w:val="none" w:sz="0" w:space="0" w:color="auto"/>
        <w:left w:val="none" w:sz="0" w:space="0" w:color="auto"/>
        <w:bottom w:val="none" w:sz="0" w:space="0" w:color="auto"/>
        <w:right w:val="none" w:sz="0" w:space="0" w:color="auto"/>
      </w:divBdr>
    </w:div>
    <w:div w:id="1341813298">
      <w:bodyDiv w:val="1"/>
      <w:marLeft w:val="0"/>
      <w:marRight w:val="0"/>
      <w:marTop w:val="0"/>
      <w:marBottom w:val="0"/>
      <w:divBdr>
        <w:top w:val="none" w:sz="0" w:space="0" w:color="auto"/>
        <w:left w:val="none" w:sz="0" w:space="0" w:color="auto"/>
        <w:bottom w:val="none" w:sz="0" w:space="0" w:color="auto"/>
        <w:right w:val="none" w:sz="0" w:space="0" w:color="auto"/>
      </w:divBdr>
      <w:divsChild>
        <w:div w:id="121274257">
          <w:marLeft w:val="0"/>
          <w:marRight w:val="0"/>
          <w:marTop w:val="0"/>
          <w:marBottom w:val="0"/>
          <w:divBdr>
            <w:top w:val="none" w:sz="0" w:space="0" w:color="auto"/>
            <w:left w:val="none" w:sz="0" w:space="0" w:color="auto"/>
            <w:bottom w:val="none" w:sz="0" w:space="0" w:color="auto"/>
            <w:right w:val="none" w:sz="0" w:space="0" w:color="auto"/>
          </w:divBdr>
        </w:div>
        <w:div w:id="282347020">
          <w:marLeft w:val="0"/>
          <w:marRight w:val="0"/>
          <w:marTop w:val="0"/>
          <w:marBottom w:val="0"/>
          <w:divBdr>
            <w:top w:val="none" w:sz="0" w:space="0" w:color="auto"/>
            <w:left w:val="none" w:sz="0" w:space="0" w:color="auto"/>
            <w:bottom w:val="none" w:sz="0" w:space="0" w:color="auto"/>
            <w:right w:val="none" w:sz="0" w:space="0" w:color="auto"/>
          </w:divBdr>
        </w:div>
        <w:div w:id="774132525">
          <w:marLeft w:val="0"/>
          <w:marRight w:val="0"/>
          <w:marTop w:val="0"/>
          <w:marBottom w:val="0"/>
          <w:divBdr>
            <w:top w:val="none" w:sz="0" w:space="0" w:color="auto"/>
            <w:left w:val="none" w:sz="0" w:space="0" w:color="auto"/>
            <w:bottom w:val="none" w:sz="0" w:space="0" w:color="auto"/>
            <w:right w:val="none" w:sz="0" w:space="0" w:color="auto"/>
          </w:divBdr>
        </w:div>
      </w:divsChild>
    </w:div>
    <w:div w:id="1346327762">
      <w:bodyDiv w:val="1"/>
      <w:marLeft w:val="0"/>
      <w:marRight w:val="0"/>
      <w:marTop w:val="0"/>
      <w:marBottom w:val="0"/>
      <w:divBdr>
        <w:top w:val="none" w:sz="0" w:space="0" w:color="auto"/>
        <w:left w:val="none" w:sz="0" w:space="0" w:color="auto"/>
        <w:bottom w:val="none" w:sz="0" w:space="0" w:color="auto"/>
        <w:right w:val="none" w:sz="0" w:space="0" w:color="auto"/>
      </w:divBdr>
    </w:div>
    <w:div w:id="1349410757">
      <w:bodyDiv w:val="1"/>
      <w:marLeft w:val="0"/>
      <w:marRight w:val="0"/>
      <w:marTop w:val="0"/>
      <w:marBottom w:val="0"/>
      <w:divBdr>
        <w:top w:val="none" w:sz="0" w:space="0" w:color="auto"/>
        <w:left w:val="none" w:sz="0" w:space="0" w:color="auto"/>
        <w:bottom w:val="none" w:sz="0" w:space="0" w:color="auto"/>
        <w:right w:val="none" w:sz="0" w:space="0" w:color="auto"/>
      </w:divBdr>
    </w:div>
    <w:div w:id="1350372637">
      <w:bodyDiv w:val="1"/>
      <w:marLeft w:val="0"/>
      <w:marRight w:val="0"/>
      <w:marTop w:val="0"/>
      <w:marBottom w:val="0"/>
      <w:divBdr>
        <w:top w:val="none" w:sz="0" w:space="0" w:color="auto"/>
        <w:left w:val="none" w:sz="0" w:space="0" w:color="auto"/>
        <w:bottom w:val="none" w:sz="0" w:space="0" w:color="auto"/>
        <w:right w:val="none" w:sz="0" w:space="0" w:color="auto"/>
      </w:divBdr>
    </w:div>
    <w:div w:id="1352147841">
      <w:bodyDiv w:val="1"/>
      <w:marLeft w:val="0"/>
      <w:marRight w:val="0"/>
      <w:marTop w:val="0"/>
      <w:marBottom w:val="0"/>
      <w:divBdr>
        <w:top w:val="none" w:sz="0" w:space="0" w:color="auto"/>
        <w:left w:val="none" w:sz="0" w:space="0" w:color="auto"/>
        <w:bottom w:val="none" w:sz="0" w:space="0" w:color="auto"/>
        <w:right w:val="none" w:sz="0" w:space="0" w:color="auto"/>
      </w:divBdr>
    </w:div>
    <w:div w:id="1355420377">
      <w:bodyDiv w:val="1"/>
      <w:marLeft w:val="0"/>
      <w:marRight w:val="0"/>
      <w:marTop w:val="0"/>
      <w:marBottom w:val="0"/>
      <w:divBdr>
        <w:top w:val="none" w:sz="0" w:space="0" w:color="auto"/>
        <w:left w:val="none" w:sz="0" w:space="0" w:color="auto"/>
        <w:bottom w:val="none" w:sz="0" w:space="0" w:color="auto"/>
        <w:right w:val="none" w:sz="0" w:space="0" w:color="auto"/>
      </w:divBdr>
    </w:div>
    <w:div w:id="1358584006">
      <w:bodyDiv w:val="1"/>
      <w:marLeft w:val="0"/>
      <w:marRight w:val="0"/>
      <w:marTop w:val="0"/>
      <w:marBottom w:val="0"/>
      <w:divBdr>
        <w:top w:val="none" w:sz="0" w:space="0" w:color="auto"/>
        <w:left w:val="none" w:sz="0" w:space="0" w:color="auto"/>
        <w:bottom w:val="none" w:sz="0" w:space="0" w:color="auto"/>
        <w:right w:val="none" w:sz="0" w:space="0" w:color="auto"/>
      </w:divBdr>
    </w:div>
    <w:div w:id="1361083778">
      <w:bodyDiv w:val="1"/>
      <w:marLeft w:val="0"/>
      <w:marRight w:val="0"/>
      <w:marTop w:val="0"/>
      <w:marBottom w:val="0"/>
      <w:divBdr>
        <w:top w:val="none" w:sz="0" w:space="0" w:color="auto"/>
        <w:left w:val="none" w:sz="0" w:space="0" w:color="auto"/>
        <w:bottom w:val="none" w:sz="0" w:space="0" w:color="auto"/>
        <w:right w:val="none" w:sz="0" w:space="0" w:color="auto"/>
      </w:divBdr>
    </w:div>
    <w:div w:id="1366637926">
      <w:bodyDiv w:val="1"/>
      <w:marLeft w:val="0"/>
      <w:marRight w:val="0"/>
      <w:marTop w:val="0"/>
      <w:marBottom w:val="0"/>
      <w:divBdr>
        <w:top w:val="none" w:sz="0" w:space="0" w:color="auto"/>
        <w:left w:val="none" w:sz="0" w:space="0" w:color="auto"/>
        <w:bottom w:val="none" w:sz="0" w:space="0" w:color="auto"/>
        <w:right w:val="none" w:sz="0" w:space="0" w:color="auto"/>
      </w:divBdr>
    </w:div>
    <w:div w:id="1366953537">
      <w:bodyDiv w:val="1"/>
      <w:marLeft w:val="0"/>
      <w:marRight w:val="0"/>
      <w:marTop w:val="0"/>
      <w:marBottom w:val="0"/>
      <w:divBdr>
        <w:top w:val="none" w:sz="0" w:space="0" w:color="auto"/>
        <w:left w:val="none" w:sz="0" w:space="0" w:color="auto"/>
        <w:bottom w:val="none" w:sz="0" w:space="0" w:color="auto"/>
        <w:right w:val="none" w:sz="0" w:space="0" w:color="auto"/>
      </w:divBdr>
    </w:div>
    <w:div w:id="1383747205">
      <w:bodyDiv w:val="1"/>
      <w:marLeft w:val="0"/>
      <w:marRight w:val="0"/>
      <w:marTop w:val="0"/>
      <w:marBottom w:val="0"/>
      <w:divBdr>
        <w:top w:val="none" w:sz="0" w:space="0" w:color="auto"/>
        <w:left w:val="none" w:sz="0" w:space="0" w:color="auto"/>
        <w:bottom w:val="none" w:sz="0" w:space="0" w:color="auto"/>
        <w:right w:val="none" w:sz="0" w:space="0" w:color="auto"/>
      </w:divBdr>
    </w:div>
    <w:div w:id="1383747270">
      <w:bodyDiv w:val="1"/>
      <w:marLeft w:val="0"/>
      <w:marRight w:val="0"/>
      <w:marTop w:val="0"/>
      <w:marBottom w:val="0"/>
      <w:divBdr>
        <w:top w:val="none" w:sz="0" w:space="0" w:color="auto"/>
        <w:left w:val="none" w:sz="0" w:space="0" w:color="auto"/>
        <w:bottom w:val="none" w:sz="0" w:space="0" w:color="auto"/>
        <w:right w:val="none" w:sz="0" w:space="0" w:color="auto"/>
      </w:divBdr>
    </w:div>
    <w:div w:id="1390222902">
      <w:bodyDiv w:val="1"/>
      <w:marLeft w:val="0"/>
      <w:marRight w:val="0"/>
      <w:marTop w:val="0"/>
      <w:marBottom w:val="0"/>
      <w:divBdr>
        <w:top w:val="none" w:sz="0" w:space="0" w:color="auto"/>
        <w:left w:val="none" w:sz="0" w:space="0" w:color="auto"/>
        <w:bottom w:val="none" w:sz="0" w:space="0" w:color="auto"/>
        <w:right w:val="none" w:sz="0" w:space="0" w:color="auto"/>
      </w:divBdr>
    </w:div>
    <w:div w:id="1401753957">
      <w:bodyDiv w:val="1"/>
      <w:marLeft w:val="0"/>
      <w:marRight w:val="0"/>
      <w:marTop w:val="0"/>
      <w:marBottom w:val="0"/>
      <w:divBdr>
        <w:top w:val="none" w:sz="0" w:space="0" w:color="auto"/>
        <w:left w:val="none" w:sz="0" w:space="0" w:color="auto"/>
        <w:bottom w:val="none" w:sz="0" w:space="0" w:color="auto"/>
        <w:right w:val="none" w:sz="0" w:space="0" w:color="auto"/>
      </w:divBdr>
    </w:div>
    <w:div w:id="1410688204">
      <w:bodyDiv w:val="1"/>
      <w:marLeft w:val="0"/>
      <w:marRight w:val="0"/>
      <w:marTop w:val="0"/>
      <w:marBottom w:val="0"/>
      <w:divBdr>
        <w:top w:val="none" w:sz="0" w:space="0" w:color="auto"/>
        <w:left w:val="none" w:sz="0" w:space="0" w:color="auto"/>
        <w:bottom w:val="none" w:sz="0" w:space="0" w:color="auto"/>
        <w:right w:val="none" w:sz="0" w:space="0" w:color="auto"/>
      </w:divBdr>
    </w:div>
    <w:div w:id="1415934217">
      <w:bodyDiv w:val="1"/>
      <w:marLeft w:val="0"/>
      <w:marRight w:val="0"/>
      <w:marTop w:val="0"/>
      <w:marBottom w:val="0"/>
      <w:divBdr>
        <w:top w:val="none" w:sz="0" w:space="0" w:color="auto"/>
        <w:left w:val="none" w:sz="0" w:space="0" w:color="auto"/>
        <w:bottom w:val="none" w:sz="0" w:space="0" w:color="auto"/>
        <w:right w:val="none" w:sz="0" w:space="0" w:color="auto"/>
      </w:divBdr>
    </w:div>
    <w:div w:id="1416707335">
      <w:bodyDiv w:val="1"/>
      <w:marLeft w:val="0"/>
      <w:marRight w:val="0"/>
      <w:marTop w:val="0"/>
      <w:marBottom w:val="0"/>
      <w:divBdr>
        <w:top w:val="none" w:sz="0" w:space="0" w:color="auto"/>
        <w:left w:val="none" w:sz="0" w:space="0" w:color="auto"/>
        <w:bottom w:val="none" w:sz="0" w:space="0" w:color="auto"/>
        <w:right w:val="none" w:sz="0" w:space="0" w:color="auto"/>
      </w:divBdr>
    </w:div>
    <w:div w:id="1435662290">
      <w:bodyDiv w:val="1"/>
      <w:marLeft w:val="0"/>
      <w:marRight w:val="0"/>
      <w:marTop w:val="0"/>
      <w:marBottom w:val="0"/>
      <w:divBdr>
        <w:top w:val="none" w:sz="0" w:space="0" w:color="auto"/>
        <w:left w:val="none" w:sz="0" w:space="0" w:color="auto"/>
        <w:bottom w:val="none" w:sz="0" w:space="0" w:color="auto"/>
        <w:right w:val="none" w:sz="0" w:space="0" w:color="auto"/>
      </w:divBdr>
    </w:div>
    <w:div w:id="1442991936">
      <w:bodyDiv w:val="1"/>
      <w:marLeft w:val="0"/>
      <w:marRight w:val="0"/>
      <w:marTop w:val="0"/>
      <w:marBottom w:val="0"/>
      <w:divBdr>
        <w:top w:val="none" w:sz="0" w:space="0" w:color="auto"/>
        <w:left w:val="none" w:sz="0" w:space="0" w:color="auto"/>
        <w:bottom w:val="none" w:sz="0" w:space="0" w:color="auto"/>
        <w:right w:val="none" w:sz="0" w:space="0" w:color="auto"/>
      </w:divBdr>
    </w:div>
    <w:div w:id="1447237258">
      <w:bodyDiv w:val="1"/>
      <w:marLeft w:val="0"/>
      <w:marRight w:val="0"/>
      <w:marTop w:val="0"/>
      <w:marBottom w:val="0"/>
      <w:divBdr>
        <w:top w:val="none" w:sz="0" w:space="0" w:color="auto"/>
        <w:left w:val="none" w:sz="0" w:space="0" w:color="auto"/>
        <w:bottom w:val="none" w:sz="0" w:space="0" w:color="auto"/>
        <w:right w:val="none" w:sz="0" w:space="0" w:color="auto"/>
      </w:divBdr>
    </w:div>
    <w:div w:id="1448040764">
      <w:bodyDiv w:val="1"/>
      <w:marLeft w:val="0"/>
      <w:marRight w:val="0"/>
      <w:marTop w:val="0"/>
      <w:marBottom w:val="0"/>
      <w:divBdr>
        <w:top w:val="none" w:sz="0" w:space="0" w:color="auto"/>
        <w:left w:val="none" w:sz="0" w:space="0" w:color="auto"/>
        <w:bottom w:val="none" w:sz="0" w:space="0" w:color="auto"/>
        <w:right w:val="none" w:sz="0" w:space="0" w:color="auto"/>
      </w:divBdr>
    </w:div>
    <w:div w:id="1449666608">
      <w:bodyDiv w:val="1"/>
      <w:marLeft w:val="0"/>
      <w:marRight w:val="0"/>
      <w:marTop w:val="0"/>
      <w:marBottom w:val="0"/>
      <w:divBdr>
        <w:top w:val="none" w:sz="0" w:space="0" w:color="auto"/>
        <w:left w:val="none" w:sz="0" w:space="0" w:color="auto"/>
        <w:bottom w:val="none" w:sz="0" w:space="0" w:color="auto"/>
        <w:right w:val="none" w:sz="0" w:space="0" w:color="auto"/>
      </w:divBdr>
      <w:divsChild>
        <w:div w:id="1329408182">
          <w:marLeft w:val="0"/>
          <w:marRight w:val="0"/>
          <w:marTop w:val="0"/>
          <w:marBottom w:val="0"/>
          <w:divBdr>
            <w:top w:val="none" w:sz="0" w:space="0" w:color="auto"/>
            <w:left w:val="none" w:sz="0" w:space="0" w:color="auto"/>
            <w:bottom w:val="none" w:sz="0" w:space="0" w:color="auto"/>
            <w:right w:val="none" w:sz="0" w:space="0" w:color="auto"/>
          </w:divBdr>
        </w:div>
        <w:div w:id="1874028313">
          <w:marLeft w:val="0"/>
          <w:marRight w:val="0"/>
          <w:marTop w:val="0"/>
          <w:marBottom w:val="0"/>
          <w:divBdr>
            <w:top w:val="none" w:sz="0" w:space="0" w:color="auto"/>
            <w:left w:val="none" w:sz="0" w:space="0" w:color="auto"/>
            <w:bottom w:val="none" w:sz="0" w:space="0" w:color="auto"/>
            <w:right w:val="none" w:sz="0" w:space="0" w:color="auto"/>
          </w:divBdr>
        </w:div>
      </w:divsChild>
    </w:div>
    <w:div w:id="1462113204">
      <w:bodyDiv w:val="1"/>
      <w:marLeft w:val="0"/>
      <w:marRight w:val="0"/>
      <w:marTop w:val="0"/>
      <w:marBottom w:val="0"/>
      <w:divBdr>
        <w:top w:val="none" w:sz="0" w:space="0" w:color="auto"/>
        <w:left w:val="none" w:sz="0" w:space="0" w:color="auto"/>
        <w:bottom w:val="none" w:sz="0" w:space="0" w:color="auto"/>
        <w:right w:val="none" w:sz="0" w:space="0" w:color="auto"/>
      </w:divBdr>
    </w:div>
    <w:div w:id="1462919998">
      <w:bodyDiv w:val="1"/>
      <w:marLeft w:val="0"/>
      <w:marRight w:val="0"/>
      <w:marTop w:val="0"/>
      <w:marBottom w:val="0"/>
      <w:divBdr>
        <w:top w:val="none" w:sz="0" w:space="0" w:color="auto"/>
        <w:left w:val="none" w:sz="0" w:space="0" w:color="auto"/>
        <w:bottom w:val="none" w:sz="0" w:space="0" w:color="auto"/>
        <w:right w:val="none" w:sz="0" w:space="0" w:color="auto"/>
      </w:divBdr>
    </w:div>
    <w:div w:id="1475443274">
      <w:bodyDiv w:val="1"/>
      <w:marLeft w:val="0"/>
      <w:marRight w:val="0"/>
      <w:marTop w:val="0"/>
      <w:marBottom w:val="0"/>
      <w:divBdr>
        <w:top w:val="none" w:sz="0" w:space="0" w:color="auto"/>
        <w:left w:val="none" w:sz="0" w:space="0" w:color="auto"/>
        <w:bottom w:val="none" w:sz="0" w:space="0" w:color="auto"/>
        <w:right w:val="none" w:sz="0" w:space="0" w:color="auto"/>
      </w:divBdr>
    </w:div>
    <w:div w:id="1476407053">
      <w:bodyDiv w:val="1"/>
      <w:marLeft w:val="0"/>
      <w:marRight w:val="0"/>
      <w:marTop w:val="0"/>
      <w:marBottom w:val="0"/>
      <w:divBdr>
        <w:top w:val="none" w:sz="0" w:space="0" w:color="auto"/>
        <w:left w:val="none" w:sz="0" w:space="0" w:color="auto"/>
        <w:bottom w:val="none" w:sz="0" w:space="0" w:color="auto"/>
        <w:right w:val="none" w:sz="0" w:space="0" w:color="auto"/>
      </w:divBdr>
    </w:div>
    <w:div w:id="1483041232">
      <w:bodyDiv w:val="1"/>
      <w:marLeft w:val="0"/>
      <w:marRight w:val="0"/>
      <w:marTop w:val="0"/>
      <w:marBottom w:val="0"/>
      <w:divBdr>
        <w:top w:val="none" w:sz="0" w:space="0" w:color="auto"/>
        <w:left w:val="none" w:sz="0" w:space="0" w:color="auto"/>
        <w:bottom w:val="none" w:sz="0" w:space="0" w:color="auto"/>
        <w:right w:val="none" w:sz="0" w:space="0" w:color="auto"/>
      </w:divBdr>
    </w:div>
    <w:div w:id="1489245938">
      <w:bodyDiv w:val="1"/>
      <w:marLeft w:val="0"/>
      <w:marRight w:val="0"/>
      <w:marTop w:val="0"/>
      <w:marBottom w:val="0"/>
      <w:divBdr>
        <w:top w:val="none" w:sz="0" w:space="0" w:color="auto"/>
        <w:left w:val="none" w:sz="0" w:space="0" w:color="auto"/>
        <w:bottom w:val="none" w:sz="0" w:space="0" w:color="auto"/>
        <w:right w:val="none" w:sz="0" w:space="0" w:color="auto"/>
      </w:divBdr>
    </w:div>
    <w:div w:id="1495147862">
      <w:bodyDiv w:val="1"/>
      <w:marLeft w:val="0"/>
      <w:marRight w:val="0"/>
      <w:marTop w:val="0"/>
      <w:marBottom w:val="0"/>
      <w:divBdr>
        <w:top w:val="none" w:sz="0" w:space="0" w:color="auto"/>
        <w:left w:val="none" w:sz="0" w:space="0" w:color="auto"/>
        <w:bottom w:val="none" w:sz="0" w:space="0" w:color="auto"/>
        <w:right w:val="none" w:sz="0" w:space="0" w:color="auto"/>
      </w:divBdr>
    </w:div>
    <w:div w:id="1508404701">
      <w:bodyDiv w:val="1"/>
      <w:marLeft w:val="0"/>
      <w:marRight w:val="0"/>
      <w:marTop w:val="0"/>
      <w:marBottom w:val="0"/>
      <w:divBdr>
        <w:top w:val="none" w:sz="0" w:space="0" w:color="auto"/>
        <w:left w:val="none" w:sz="0" w:space="0" w:color="auto"/>
        <w:bottom w:val="none" w:sz="0" w:space="0" w:color="auto"/>
        <w:right w:val="none" w:sz="0" w:space="0" w:color="auto"/>
      </w:divBdr>
    </w:div>
    <w:div w:id="1515877113">
      <w:bodyDiv w:val="1"/>
      <w:marLeft w:val="0"/>
      <w:marRight w:val="0"/>
      <w:marTop w:val="0"/>
      <w:marBottom w:val="0"/>
      <w:divBdr>
        <w:top w:val="none" w:sz="0" w:space="0" w:color="auto"/>
        <w:left w:val="none" w:sz="0" w:space="0" w:color="auto"/>
        <w:bottom w:val="none" w:sz="0" w:space="0" w:color="auto"/>
        <w:right w:val="none" w:sz="0" w:space="0" w:color="auto"/>
      </w:divBdr>
    </w:div>
    <w:div w:id="1522010513">
      <w:bodyDiv w:val="1"/>
      <w:marLeft w:val="0"/>
      <w:marRight w:val="0"/>
      <w:marTop w:val="0"/>
      <w:marBottom w:val="0"/>
      <w:divBdr>
        <w:top w:val="none" w:sz="0" w:space="0" w:color="auto"/>
        <w:left w:val="none" w:sz="0" w:space="0" w:color="auto"/>
        <w:bottom w:val="none" w:sz="0" w:space="0" w:color="auto"/>
        <w:right w:val="none" w:sz="0" w:space="0" w:color="auto"/>
      </w:divBdr>
    </w:div>
    <w:div w:id="1523939318">
      <w:bodyDiv w:val="1"/>
      <w:marLeft w:val="0"/>
      <w:marRight w:val="0"/>
      <w:marTop w:val="0"/>
      <w:marBottom w:val="0"/>
      <w:divBdr>
        <w:top w:val="none" w:sz="0" w:space="0" w:color="auto"/>
        <w:left w:val="none" w:sz="0" w:space="0" w:color="auto"/>
        <w:bottom w:val="none" w:sz="0" w:space="0" w:color="auto"/>
        <w:right w:val="none" w:sz="0" w:space="0" w:color="auto"/>
      </w:divBdr>
    </w:div>
    <w:div w:id="1542277900">
      <w:bodyDiv w:val="1"/>
      <w:marLeft w:val="0"/>
      <w:marRight w:val="0"/>
      <w:marTop w:val="0"/>
      <w:marBottom w:val="0"/>
      <w:divBdr>
        <w:top w:val="none" w:sz="0" w:space="0" w:color="auto"/>
        <w:left w:val="none" w:sz="0" w:space="0" w:color="auto"/>
        <w:bottom w:val="none" w:sz="0" w:space="0" w:color="auto"/>
        <w:right w:val="none" w:sz="0" w:space="0" w:color="auto"/>
      </w:divBdr>
    </w:div>
    <w:div w:id="1551841434">
      <w:bodyDiv w:val="1"/>
      <w:marLeft w:val="0"/>
      <w:marRight w:val="0"/>
      <w:marTop w:val="0"/>
      <w:marBottom w:val="0"/>
      <w:divBdr>
        <w:top w:val="none" w:sz="0" w:space="0" w:color="auto"/>
        <w:left w:val="none" w:sz="0" w:space="0" w:color="auto"/>
        <w:bottom w:val="none" w:sz="0" w:space="0" w:color="auto"/>
        <w:right w:val="none" w:sz="0" w:space="0" w:color="auto"/>
      </w:divBdr>
    </w:div>
    <w:div w:id="1561554489">
      <w:bodyDiv w:val="1"/>
      <w:marLeft w:val="0"/>
      <w:marRight w:val="0"/>
      <w:marTop w:val="0"/>
      <w:marBottom w:val="0"/>
      <w:divBdr>
        <w:top w:val="none" w:sz="0" w:space="0" w:color="auto"/>
        <w:left w:val="none" w:sz="0" w:space="0" w:color="auto"/>
        <w:bottom w:val="none" w:sz="0" w:space="0" w:color="auto"/>
        <w:right w:val="none" w:sz="0" w:space="0" w:color="auto"/>
      </w:divBdr>
    </w:div>
    <w:div w:id="1562448185">
      <w:bodyDiv w:val="1"/>
      <w:marLeft w:val="0"/>
      <w:marRight w:val="0"/>
      <w:marTop w:val="0"/>
      <w:marBottom w:val="0"/>
      <w:divBdr>
        <w:top w:val="none" w:sz="0" w:space="0" w:color="auto"/>
        <w:left w:val="none" w:sz="0" w:space="0" w:color="auto"/>
        <w:bottom w:val="none" w:sz="0" w:space="0" w:color="auto"/>
        <w:right w:val="none" w:sz="0" w:space="0" w:color="auto"/>
      </w:divBdr>
    </w:div>
    <w:div w:id="1565946309">
      <w:bodyDiv w:val="1"/>
      <w:marLeft w:val="0"/>
      <w:marRight w:val="0"/>
      <w:marTop w:val="0"/>
      <w:marBottom w:val="0"/>
      <w:divBdr>
        <w:top w:val="none" w:sz="0" w:space="0" w:color="auto"/>
        <w:left w:val="none" w:sz="0" w:space="0" w:color="auto"/>
        <w:bottom w:val="none" w:sz="0" w:space="0" w:color="auto"/>
        <w:right w:val="none" w:sz="0" w:space="0" w:color="auto"/>
      </w:divBdr>
    </w:div>
    <w:div w:id="1569143700">
      <w:bodyDiv w:val="1"/>
      <w:marLeft w:val="0"/>
      <w:marRight w:val="0"/>
      <w:marTop w:val="0"/>
      <w:marBottom w:val="0"/>
      <w:divBdr>
        <w:top w:val="none" w:sz="0" w:space="0" w:color="auto"/>
        <w:left w:val="none" w:sz="0" w:space="0" w:color="auto"/>
        <w:bottom w:val="none" w:sz="0" w:space="0" w:color="auto"/>
        <w:right w:val="none" w:sz="0" w:space="0" w:color="auto"/>
      </w:divBdr>
    </w:div>
    <w:div w:id="1575434645">
      <w:bodyDiv w:val="1"/>
      <w:marLeft w:val="0"/>
      <w:marRight w:val="0"/>
      <w:marTop w:val="0"/>
      <w:marBottom w:val="0"/>
      <w:divBdr>
        <w:top w:val="none" w:sz="0" w:space="0" w:color="auto"/>
        <w:left w:val="none" w:sz="0" w:space="0" w:color="auto"/>
        <w:bottom w:val="none" w:sz="0" w:space="0" w:color="auto"/>
        <w:right w:val="none" w:sz="0" w:space="0" w:color="auto"/>
      </w:divBdr>
    </w:div>
    <w:div w:id="1581256802">
      <w:bodyDiv w:val="1"/>
      <w:marLeft w:val="0"/>
      <w:marRight w:val="0"/>
      <w:marTop w:val="0"/>
      <w:marBottom w:val="0"/>
      <w:divBdr>
        <w:top w:val="none" w:sz="0" w:space="0" w:color="auto"/>
        <w:left w:val="none" w:sz="0" w:space="0" w:color="auto"/>
        <w:bottom w:val="none" w:sz="0" w:space="0" w:color="auto"/>
        <w:right w:val="none" w:sz="0" w:space="0" w:color="auto"/>
      </w:divBdr>
    </w:div>
    <w:div w:id="1586184875">
      <w:bodyDiv w:val="1"/>
      <w:marLeft w:val="0"/>
      <w:marRight w:val="0"/>
      <w:marTop w:val="0"/>
      <w:marBottom w:val="0"/>
      <w:divBdr>
        <w:top w:val="none" w:sz="0" w:space="0" w:color="auto"/>
        <w:left w:val="none" w:sz="0" w:space="0" w:color="auto"/>
        <w:bottom w:val="none" w:sz="0" w:space="0" w:color="auto"/>
        <w:right w:val="none" w:sz="0" w:space="0" w:color="auto"/>
      </w:divBdr>
    </w:div>
    <w:div w:id="1587574477">
      <w:bodyDiv w:val="1"/>
      <w:marLeft w:val="0"/>
      <w:marRight w:val="0"/>
      <w:marTop w:val="0"/>
      <w:marBottom w:val="0"/>
      <w:divBdr>
        <w:top w:val="none" w:sz="0" w:space="0" w:color="auto"/>
        <w:left w:val="none" w:sz="0" w:space="0" w:color="auto"/>
        <w:bottom w:val="none" w:sz="0" w:space="0" w:color="auto"/>
        <w:right w:val="none" w:sz="0" w:space="0" w:color="auto"/>
      </w:divBdr>
    </w:div>
    <w:div w:id="1591693317">
      <w:bodyDiv w:val="1"/>
      <w:marLeft w:val="0"/>
      <w:marRight w:val="0"/>
      <w:marTop w:val="0"/>
      <w:marBottom w:val="0"/>
      <w:divBdr>
        <w:top w:val="none" w:sz="0" w:space="0" w:color="auto"/>
        <w:left w:val="none" w:sz="0" w:space="0" w:color="auto"/>
        <w:bottom w:val="none" w:sz="0" w:space="0" w:color="auto"/>
        <w:right w:val="none" w:sz="0" w:space="0" w:color="auto"/>
      </w:divBdr>
    </w:div>
    <w:div w:id="1617256510">
      <w:bodyDiv w:val="1"/>
      <w:marLeft w:val="0"/>
      <w:marRight w:val="0"/>
      <w:marTop w:val="0"/>
      <w:marBottom w:val="0"/>
      <w:divBdr>
        <w:top w:val="none" w:sz="0" w:space="0" w:color="auto"/>
        <w:left w:val="none" w:sz="0" w:space="0" w:color="auto"/>
        <w:bottom w:val="none" w:sz="0" w:space="0" w:color="auto"/>
        <w:right w:val="none" w:sz="0" w:space="0" w:color="auto"/>
      </w:divBdr>
    </w:div>
    <w:div w:id="1618949150">
      <w:bodyDiv w:val="1"/>
      <w:marLeft w:val="0"/>
      <w:marRight w:val="0"/>
      <w:marTop w:val="0"/>
      <w:marBottom w:val="0"/>
      <w:divBdr>
        <w:top w:val="none" w:sz="0" w:space="0" w:color="auto"/>
        <w:left w:val="none" w:sz="0" w:space="0" w:color="auto"/>
        <w:bottom w:val="none" w:sz="0" w:space="0" w:color="auto"/>
        <w:right w:val="none" w:sz="0" w:space="0" w:color="auto"/>
      </w:divBdr>
    </w:div>
    <w:div w:id="1621181338">
      <w:bodyDiv w:val="1"/>
      <w:marLeft w:val="0"/>
      <w:marRight w:val="0"/>
      <w:marTop w:val="0"/>
      <w:marBottom w:val="0"/>
      <w:divBdr>
        <w:top w:val="none" w:sz="0" w:space="0" w:color="auto"/>
        <w:left w:val="none" w:sz="0" w:space="0" w:color="auto"/>
        <w:bottom w:val="none" w:sz="0" w:space="0" w:color="auto"/>
        <w:right w:val="none" w:sz="0" w:space="0" w:color="auto"/>
      </w:divBdr>
    </w:div>
    <w:div w:id="1623998678">
      <w:bodyDiv w:val="1"/>
      <w:marLeft w:val="0"/>
      <w:marRight w:val="0"/>
      <w:marTop w:val="0"/>
      <w:marBottom w:val="0"/>
      <w:divBdr>
        <w:top w:val="none" w:sz="0" w:space="0" w:color="auto"/>
        <w:left w:val="none" w:sz="0" w:space="0" w:color="auto"/>
        <w:bottom w:val="none" w:sz="0" w:space="0" w:color="auto"/>
        <w:right w:val="none" w:sz="0" w:space="0" w:color="auto"/>
      </w:divBdr>
    </w:div>
    <w:div w:id="1629242089">
      <w:bodyDiv w:val="1"/>
      <w:marLeft w:val="0"/>
      <w:marRight w:val="0"/>
      <w:marTop w:val="0"/>
      <w:marBottom w:val="0"/>
      <w:divBdr>
        <w:top w:val="none" w:sz="0" w:space="0" w:color="auto"/>
        <w:left w:val="none" w:sz="0" w:space="0" w:color="auto"/>
        <w:bottom w:val="none" w:sz="0" w:space="0" w:color="auto"/>
        <w:right w:val="none" w:sz="0" w:space="0" w:color="auto"/>
      </w:divBdr>
    </w:div>
    <w:div w:id="1630086518">
      <w:bodyDiv w:val="1"/>
      <w:marLeft w:val="0"/>
      <w:marRight w:val="0"/>
      <w:marTop w:val="0"/>
      <w:marBottom w:val="0"/>
      <w:divBdr>
        <w:top w:val="none" w:sz="0" w:space="0" w:color="auto"/>
        <w:left w:val="none" w:sz="0" w:space="0" w:color="auto"/>
        <w:bottom w:val="none" w:sz="0" w:space="0" w:color="auto"/>
        <w:right w:val="none" w:sz="0" w:space="0" w:color="auto"/>
      </w:divBdr>
    </w:div>
    <w:div w:id="1633634044">
      <w:bodyDiv w:val="1"/>
      <w:marLeft w:val="0"/>
      <w:marRight w:val="0"/>
      <w:marTop w:val="0"/>
      <w:marBottom w:val="0"/>
      <w:divBdr>
        <w:top w:val="none" w:sz="0" w:space="0" w:color="auto"/>
        <w:left w:val="none" w:sz="0" w:space="0" w:color="auto"/>
        <w:bottom w:val="none" w:sz="0" w:space="0" w:color="auto"/>
        <w:right w:val="none" w:sz="0" w:space="0" w:color="auto"/>
      </w:divBdr>
      <w:divsChild>
        <w:div w:id="274098733">
          <w:marLeft w:val="0"/>
          <w:marRight w:val="0"/>
          <w:marTop w:val="0"/>
          <w:marBottom w:val="0"/>
          <w:divBdr>
            <w:top w:val="none" w:sz="0" w:space="0" w:color="auto"/>
            <w:left w:val="none" w:sz="0" w:space="0" w:color="auto"/>
            <w:bottom w:val="none" w:sz="0" w:space="0" w:color="auto"/>
            <w:right w:val="none" w:sz="0" w:space="0" w:color="auto"/>
          </w:divBdr>
        </w:div>
      </w:divsChild>
    </w:div>
    <w:div w:id="1634140863">
      <w:bodyDiv w:val="1"/>
      <w:marLeft w:val="0"/>
      <w:marRight w:val="0"/>
      <w:marTop w:val="0"/>
      <w:marBottom w:val="0"/>
      <w:divBdr>
        <w:top w:val="none" w:sz="0" w:space="0" w:color="auto"/>
        <w:left w:val="none" w:sz="0" w:space="0" w:color="auto"/>
        <w:bottom w:val="none" w:sz="0" w:space="0" w:color="auto"/>
        <w:right w:val="none" w:sz="0" w:space="0" w:color="auto"/>
      </w:divBdr>
    </w:div>
    <w:div w:id="1634217308">
      <w:bodyDiv w:val="1"/>
      <w:marLeft w:val="0"/>
      <w:marRight w:val="0"/>
      <w:marTop w:val="0"/>
      <w:marBottom w:val="0"/>
      <w:divBdr>
        <w:top w:val="none" w:sz="0" w:space="0" w:color="auto"/>
        <w:left w:val="none" w:sz="0" w:space="0" w:color="auto"/>
        <w:bottom w:val="none" w:sz="0" w:space="0" w:color="auto"/>
        <w:right w:val="none" w:sz="0" w:space="0" w:color="auto"/>
      </w:divBdr>
    </w:div>
    <w:div w:id="1636133905">
      <w:bodyDiv w:val="1"/>
      <w:marLeft w:val="0"/>
      <w:marRight w:val="0"/>
      <w:marTop w:val="0"/>
      <w:marBottom w:val="0"/>
      <w:divBdr>
        <w:top w:val="none" w:sz="0" w:space="0" w:color="auto"/>
        <w:left w:val="none" w:sz="0" w:space="0" w:color="auto"/>
        <w:bottom w:val="none" w:sz="0" w:space="0" w:color="auto"/>
        <w:right w:val="none" w:sz="0" w:space="0" w:color="auto"/>
      </w:divBdr>
    </w:div>
    <w:div w:id="1637682034">
      <w:bodyDiv w:val="1"/>
      <w:marLeft w:val="0"/>
      <w:marRight w:val="0"/>
      <w:marTop w:val="0"/>
      <w:marBottom w:val="0"/>
      <w:divBdr>
        <w:top w:val="none" w:sz="0" w:space="0" w:color="auto"/>
        <w:left w:val="none" w:sz="0" w:space="0" w:color="auto"/>
        <w:bottom w:val="none" w:sz="0" w:space="0" w:color="auto"/>
        <w:right w:val="none" w:sz="0" w:space="0" w:color="auto"/>
      </w:divBdr>
    </w:div>
    <w:div w:id="1639918020">
      <w:bodyDiv w:val="1"/>
      <w:marLeft w:val="0"/>
      <w:marRight w:val="0"/>
      <w:marTop w:val="0"/>
      <w:marBottom w:val="0"/>
      <w:divBdr>
        <w:top w:val="none" w:sz="0" w:space="0" w:color="auto"/>
        <w:left w:val="none" w:sz="0" w:space="0" w:color="auto"/>
        <w:bottom w:val="none" w:sz="0" w:space="0" w:color="auto"/>
        <w:right w:val="none" w:sz="0" w:space="0" w:color="auto"/>
      </w:divBdr>
    </w:div>
    <w:div w:id="1646546880">
      <w:bodyDiv w:val="1"/>
      <w:marLeft w:val="0"/>
      <w:marRight w:val="0"/>
      <w:marTop w:val="0"/>
      <w:marBottom w:val="0"/>
      <w:divBdr>
        <w:top w:val="none" w:sz="0" w:space="0" w:color="auto"/>
        <w:left w:val="none" w:sz="0" w:space="0" w:color="auto"/>
        <w:bottom w:val="none" w:sz="0" w:space="0" w:color="auto"/>
        <w:right w:val="none" w:sz="0" w:space="0" w:color="auto"/>
      </w:divBdr>
    </w:div>
    <w:div w:id="1652713983">
      <w:bodyDiv w:val="1"/>
      <w:marLeft w:val="0"/>
      <w:marRight w:val="0"/>
      <w:marTop w:val="0"/>
      <w:marBottom w:val="0"/>
      <w:divBdr>
        <w:top w:val="none" w:sz="0" w:space="0" w:color="auto"/>
        <w:left w:val="none" w:sz="0" w:space="0" w:color="auto"/>
        <w:bottom w:val="none" w:sz="0" w:space="0" w:color="auto"/>
        <w:right w:val="none" w:sz="0" w:space="0" w:color="auto"/>
      </w:divBdr>
    </w:div>
    <w:div w:id="1661231310">
      <w:bodyDiv w:val="1"/>
      <w:marLeft w:val="0"/>
      <w:marRight w:val="0"/>
      <w:marTop w:val="0"/>
      <w:marBottom w:val="0"/>
      <w:divBdr>
        <w:top w:val="none" w:sz="0" w:space="0" w:color="auto"/>
        <w:left w:val="none" w:sz="0" w:space="0" w:color="auto"/>
        <w:bottom w:val="none" w:sz="0" w:space="0" w:color="auto"/>
        <w:right w:val="none" w:sz="0" w:space="0" w:color="auto"/>
      </w:divBdr>
    </w:div>
    <w:div w:id="1663964398">
      <w:bodyDiv w:val="1"/>
      <w:marLeft w:val="0"/>
      <w:marRight w:val="0"/>
      <w:marTop w:val="0"/>
      <w:marBottom w:val="0"/>
      <w:divBdr>
        <w:top w:val="none" w:sz="0" w:space="0" w:color="auto"/>
        <w:left w:val="none" w:sz="0" w:space="0" w:color="auto"/>
        <w:bottom w:val="none" w:sz="0" w:space="0" w:color="auto"/>
        <w:right w:val="none" w:sz="0" w:space="0" w:color="auto"/>
      </w:divBdr>
    </w:div>
    <w:div w:id="1683437908">
      <w:bodyDiv w:val="1"/>
      <w:marLeft w:val="0"/>
      <w:marRight w:val="0"/>
      <w:marTop w:val="0"/>
      <w:marBottom w:val="0"/>
      <w:divBdr>
        <w:top w:val="none" w:sz="0" w:space="0" w:color="auto"/>
        <w:left w:val="none" w:sz="0" w:space="0" w:color="auto"/>
        <w:bottom w:val="none" w:sz="0" w:space="0" w:color="auto"/>
        <w:right w:val="none" w:sz="0" w:space="0" w:color="auto"/>
      </w:divBdr>
    </w:div>
    <w:div w:id="1689719518">
      <w:bodyDiv w:val="1"/>
      <w:marLeft w:val="0"/>
      <w:marRight w:val="0"/>
      <w:marTop w:val="0"/>
      <w:marBottom w:val="0"/>
      <w:divBdr>
        <w:top w:val="none" w:sz="0" w:space="0" w:color="auto"/>
        <w:left w:val="none" w:sz="0" w:space="0" w:color="auto"/>
        <w:bottom w:val="none" w:sz="0" w:space="0" w:color="auto"/>
        <w:right w:val="none" w:sz="0" w:space="0" w:color="auto"/>
      </w:divBdr>
      <w:divsChild>
        <w:div w:id="52853135">
          <w:marLeft w:val="0"/>
          <w:marRight w:val="0"/>
          <w:marTop w:val="0"/>
          <w:marBottom w:val="0"/>
          <w:divBdr>
            <w:top w:val="none" w:sz="0" w:space="0" w:color="auto"/>
            <w:left w:val="none" w:sz="0" w:space="0" w:color="auto"/>
            <w:bottom w:val="none" w:sz="0" w:space="0" w:color="auto"/>
            <w:right w:val="none" w:sz="0" w:space="0" w:color="auto"/>
          </w:divBdr>
        </w:div>
        <w:div w:id="528185085">
          <w:marLeft w:val="0"/>
          <w:marRight w:val="0"/>
          <w:marTop w:val="0"/>
          <w:marBottom w:val="0"/>
          <w:divBdr>
            <w:top w:val="none" w:sz="0" w:space="0" w:color="auto"/>
            <w:left w:val="none" w:sz="0" w:space="0" w:color="auto"/>
            <w:bottom w:val="none" w:sz="0" w:space="0" w:color="auto"/>
            <w:right w:val="none" w:sz="0" w:space="0" w:color="auto"/>
          </w:divBdr>
        </w:div>
      </w:divsChild>
    </w:div>
    <w:div w:id="1712487373">
      <w:bodyDiv w:val="1"/>
      <w:marLeft w:val="0"/>
      <w:marRight w:val="0"/>
      <w:marTop w:val="0"/>
      <w:marBottom w:val="0"/>
      <w:divBdr>
        <w:top w:val="none" w:sz="0" w:space="0" w:color="auto"/>
        <w:left w:val="none" w:sz="0" w:space="0" w:color="auto"/>
        <w:bottom w:val="none" w:sz="0" w:space="0" w:color="auto"/>
        <w:right w:val="none" w:sz="0" w:space="0" w:color="auto"/>
      </w:divBdr>
    </w:div>
    <w:div w:id="1712538099">
      <w:bodyDiv w:val="1"/>
      <w:marLeft w:val="0"/>
      <w:marRight w:val="0"/>
      <w:marTop w:val="0"/>
      <w:marBottom w:val="0"/>
      <w:divBdr>
        <w:top w:val="none" w:sz="0" w:space="0" w:color="auto"/>
        <w:left w:val="none" w:sz="0" w:space="0" w:color="auto"/>
        <w:bottom w:val="none" w:sz="0" w:space="0" w:color="auto"/>
        <w:right w:val="none" w:sz="0" w:space="0" w:color="auto"/>
      </w:divBdr>
    </w:div>
    <w:div w:id="1726835243">
      <w:bodyDiv w:val="1"/>
      <w:marLeft w:val="0"/>
      <w:marRight w:val="0"/>
      <w:marTop w:val="0"/>
      <w:marBottom w:val="0"/>
      <w:divBdr>
        <w:top w:val="none" w:sz="0" w:space="0" w:color="auto"/>
        <w:left w:val="none" w:sz="0" w:space="0" w:color="auto"/>
        <w:bottom w:val="none" w:sz="0" w:space="0" w:color="auto"/>
        <w:right w:val="none" w:sz="0" w:space="0" w:color="auto"/>
      </w:divBdr>
    </w:div>
    <w:div w:id="1728453942">
      <w:bodyDiv w:val="1"/>
      <w:marLeft w:val="0"/>
      <w:marRight w:val="0"/>
      <w:marTop w:val="0"/>
      <w:marBottom w:val="0"/>
      <w:divBdr>
        <w:top w:val="none" w:sz="0" w:space="0" w:color="auto"/>
        <w:left w:val="none" w:sz="0" w:space="0" w:color="auto"/>
        <w:bottom w:val="none" w:sz="0" w:space="0" w:color="auto"/>
        <w:right w:val="none" w:sz="0" w:space="0" w:color="auto"/>
      </w:divBdr>
    </w:div>
    <w:div w:id="1737625626">
      <w:bodyDiv w:val="1"/>
      <w:marLeft w:val="0"/>
      <w:marRight w:val="0"/>
      <w:marTop w:val="0"/>
      <w:marBottom w:val="0"/>
      <w:divBdr>
        <w:top w:val="none" w:sz="0" w:space="0" w:color="auto"/>
        <w:left w:val="none" w:sz="0" w:space="0" w:color="auto"/>
        <w:bottom w:val="none" w:sz="0" w:space="0" w:color="auto"/>
        <w:right w:val="none" w:sz="0" w:space="0" w:color="auto"/>
      </w:divBdr>
    </w:div>
    <w:div w:id="1750073804">
      <w:bodyDiv w:val="1"/>
      <w:marLeft w:val="0"/>
      <w:marRight w:val="0"/>
      <w:marTop w:val="0"/>
      <w:marBottom w:val="0"/>
      <w:divBdr>
        <w:top w:val="none" w:sz="0" w:space="0" w:color="auto"/>
        <w:left w:val="none" w:sz="0" w:space="0" w:color="auto"/>
        <w:bottom w:val="none" w:sz="0" w:space="0" w:color="auto"/>
        <w:right w:val="none" w:sz="0" w:space="0" w:color="auto"/>
      </w:divBdr>
    </w:div>
    <w:div w:id="1750275148">
      <w:bodyDiv w:val="1"/>
      <w:marLeft w:val="0"/>
      <w:marRight w:val="0"/>
      <w:marTop w:val="0"/>
      <w:marBottom w:val="0"/>
      <w:divBdr>
        <w:top w:val="none" w:sz="0" w:space="0" w:color="auto"/>
        <w:left w:val="none" w:sz="0" w:space="0" w:color="auto"/>
        <w:bottom w:val="none" w:sz="0" w:space="0" w:color="auto"/>
        <w:right w:val="none" w:sz="0" w:space="0" w:color="auto"/>
      </w:divBdr>
    </w:div>
    <w:div w:id="1750689549">
      <w:bodyDiv w:val="1"/>
      <w:marLeft w:val="0"/>
      <w:marRight w:val="0"/>
      <w:marTop w:val="0"/>
      <w:marBottom w:val="0"/>
      <w:divBdr>
        <w:top w:val="none" w:sz="0" w:space="0" w:color="auto"/>
        <w:left w:val="none" w:sz="0" w:space="0" w:color="auto"/>
        <w:bottom w:val="none" w:sz="0" w:space="0" w:color="auto"/>
        <w:right w:val="none" w:sz="0" w:space="0" w:color="auto"/>
      </w:divBdr>
    </w:div>
    <w:div w:id="1760785574">
      <w:bodyDiv w:val="1"/>
      <w:marLeft w:val="0"/>
      <w:marRight w:val="0"/>
      <w:marTop w:val="0"/>
      <w:marBottom w:val="0"/>
      <w:divBdr>
        <w:top w:val="none" w:sz="0" w:space="0" w:color="auto"/>
        <w:left w:val="none" w:sz="0" w:space="0" w:color="auto"/>
        <w:bottom w:val="none" w:sz="0" w:space="0" w:color="auto"/>
        <w:right w:val="none" w:sz="0" w:space="0" w:color="auto"/>
      </w:divBdr>
    </w:div>
    <w:div w:id="1762675387">
      <w:bodyDiv w:val="1"/>
      <w:marLeft w:val="0"/>
      <w:marRight w:val="0"/>
      <w:marTop w:val="0"/>
      <w:marBottom w:val="0"/>
      <w:divBdr>
        <w:top w:val="none" w:sz="0" w:space="0" w:color="auto"/>
        <w:left w:val="none" w:sz="0" w:space="0" w:color="auto"/>
        <w:bottom w:val="none" w:sz="0" w:space="0" w:color="auto"/>
        <w:right w:val="none" w:sz="0" w:space="0" w:color="auto"/>
      </w:divBdr>
    </w:div>
    <w:div w:id="1764766153">
      <w:bodyDiv w:val="1"/>
      <w:marLeft w:val="0"/>
      <w:marRight w:val="0"/>
      <w:marTop w:val="0"/>
      <w:marBottom w:val="0"/>
      <w:divBdr>
        <w:top w:val="none" w:sz="0" w:space="0" w:color="auto"/>
        <w:left w:val="none" w:sz="0" w:space="0" w:color="auto"/>
        <w:bottom w:val="none" w:sz="0" w:space="0" w:color="auto"/>
        <w:right w:val="none" w:sz="0" w:space="0" w:color="auto"/>
      </w:divBdr>
    </w:div>
    <w:div w:id="1766656655">
      <w:bodyDiv w:val="1"/>
      <w:marLeft w:val="0"/>
      <w:marRight w:val="0"/>
      <w:marTop w:val="0"/>
      <w:marBottom w:val="0"/>
      <w:divBdr>
        <w:top w:val="none" w:sz="0" w:space="0" w:color="auto"/>
        <w:left w:val="none" w:sz="0" w:space="0" w:color="auto"/>
        <w:bottom w:val="none" w:sz="0" w:space="0" w:color="auto"/>
        <w:right w:val="none" w:sz="0" w:space="0" w:color="auto"/>
      </w:divBdr>
    </w:div>
    <w:div w:id="1767845501">
      <w:bodyDiv w:val="1"/>
      <w:marLeft w:val="0"/>
      <w:marRight w:val="0"/>
      <w:marTop w:val="0"/>
      <w:marBottom w:val="0"/>
      <w:divBdr>
        <w:top w:val="none" w:sz="0" w:space="0" w:color="auto"/>
        <w:left w:val="none" w:sz="0" w:space="0" w:color="auto"/>
        <w:bottom w:val="none" w:sz="0" w:space="0" w:color="auto"/>
        <w:right w:val="none" w:sz="0" w:space="0" w:color="auto"/>
      </w:divBdr>
    </w:div>
    <w:div w:id="1767846316">
      <w:bodyDiv w:val="1"/>
      <w:marLeft w:val="0"/>
      <w:marRight w:val="0"/>
      <w:marTop w:val="0"/>
      <w:marBottom w:val="0"/>
      <w:divBdr>
        <w:top w:val="none" w:sz="0" w:space="0" w:color="auto"/>
        <w:left w:val="none" w:sz="0" w:space="0" w:color="auto"/>
        <w:bottom w:val="none" w:sz="0" w:space="0" w:color="auto"/>
        <w:right w:val="none" w:sz="0" w:space="0" w:color="auto"/>
      </w:divBdr>
    </w:div>
    <w:div w:id="1774322166">
      <w:bodyDiv w:val="1"/>
      <w:marLeft w:val="0"/>
      <w:marRight w:val="0"/>
      <w:marTop w:val="0"/>
      <w:marBottom w:val="0"/>
      <w:divBdr>
        <w:top w:val="none" w:sz="0" w:space="0" w:color="auto"/>
        <w:left w:val="none" w:sz="0" w:space="0" w:color="auto"/>
        <w:bottom w:val="none" w:sz="0" w:space="0" w:color="auto"/>
        <w:right w:val="none" w:sz="0" w:space="0" w:color="auto"/>
      </w:divBdr>
    </w:div>
    <w:div w:id="1784106100">
      <w:bodyDiv w:val="1"/>
      <w:marLeft w:val="0"/>
      <w:marRight w:val="0"/>
      <w:marTop w:val="0"/>
      <w:marBottom w:val="0"/>
      <w:divBdr>
        <w:top w:val="none" w:sz="0" w:space="0" w:color="auto"/>
        <w:left w:val="none" w:sz="0" w:space="0" w:color="auto"/>
        <w:bottom w:val="none" w:sz="0" w:space="0" w:color="auto"/>
        <w:right w:val="none" w:sz="0" w:space="0" w:color="auto"/>
      </w:divBdr>
      <w:divsChild>
        <w:div w:id="787236084">
          <w:marLeft w:val="0"/>
          <w:marRight w:val="0"/>
          <w:marTop w:val="0"/>
          <w:marBottom w:val="0"/>
          <w:divBdr>
            <w:top w:val="none" w:sz="0" w:space="0" w:color="auto"/>
            <w:left w:val="none" w:sz="0" w:space="0" w:color="auto"/>
            <w:bottom w:val="none" w:sz="0" w:space="0" w:color="auto"/>
            <w:right w:val="none" w:sz="0" w:space="0" w:color="auto"/>
          </w:divBdr>
        </w:div>
        <w:div w:id="1424910471">
          <w:marLeft w:val="0"/>
          <w:marRight w:val="0"/>
          <w:marTop w:val="0"/>
          <w:marBottom w:val="0"/>
          <w:divBdr>
            <w:top w:val="none" w:sz="0" w:space="0" w:color="auto"/>
            <w:left w:val="none" w:sz="0" w:space="0" w:color="auto"/>
            <w:bottom w:val="none" w:sz="0" w:space="0" w:color="auto"/>
            <w:right w:val="none" w:sz="0" w:space="0" w:color="auto"/>
          </w:divBdr>
        </w:div>
      </w:divsChild>
    </w:div>
    <w:div w:id="1788696122">
      <w:bodyDiv w:val="1"/>
      <w:marLeft w:val="0"/>
      <w:marRight w:val="0"/>
      <w:marTop w:val="0"/>
      <w:marBottom w:val="0"/>
      <w:divBdr>
        <w:top w:val="none" w:sz="0" w:space="0" w:color="auto"/>
        <w:left w:val="none" w:sz="0" w:space="0" w:color="auto"/>
        <w:bottom w:val="none" w:sz="0" w:space="0" w:color="auto"/>
        <w:right w:val="none" w:sz="0" w:space="0" w:color="auto"/>
      </w:divBdr>
    </w:div>
    <w:div w:id="1792630894">
      <w:bodyDiv w:val="1"/>
      <w:marLeft w:val="0"/>
      <w:marRight w:val="0"/>
      <w:marTop w:val="0"/>
      <w:marBottom w:val="0"/>
      <w:divBdr>
        <w:top w:val="none" w:sz="0" w:space="0" w:color="auto"/>
        <w:left w:val="none" w:sz="0" w:space="0" w:color="auto"/>
        <w:bottom w:val="none" w:sz="0" w:space="0" w:color="auto"/>
        <w:right w:val="none" w:sz="0" w:space="0" w:color="auto"/>
      </w:divBdr>
    </w:div>
    <w:div w:id="1803383551">
      <w:bodyDiv w:val="1"/>
      <w:marLeft w:val="0"/>
      <w:marRight w:val="0"/>
      <w:marTop w:val="0"/>
      <w:marBottom w:val="0"/>
      <w:divBdr>
        <w:top w:val="none" w:sz="0" w:space="0" w:color="auto"/>
        <w:left w:val="none" w:sz="0" w:space="0" w:color="auto"/>
        <w:bottom w:val="none" w:sz="0" w:space="0" w:color="auto"/>
        <w:right w:val="none" w:sz="0" w:space="0" w:color="auto"/>
      </w:divBdr>
    </w:div>
    <w:div w:id="1823694641">
      <w:bodyDiv w:val="1"/>
      <w:marLeft w:val="0"/>
      <w:marRight w:val="0"/>
      <w:marTop w:val="0"/>
      <w:marBottom w:val="0"/>
      <w:divBdr>
        <w:top w:val="none" w:sz="0" w:space="0" w:color="auto"/>
        <w:left w:val="none" w:sz="0" w:space="0" w:color="auto"/>
        <w:bottom w:val="none" w:sz="0" w:space="0" w:color="auto"/>
        <w:right w:val="none" w:sz="0" w:space="0" w:color="auto"/>
      </w:divBdr>
    </w:div>
    <w:div w:id="1825511963">
      <w:bodyDiv w:val="1"/>
      <w:marLeft w:val="0"/>
      <w:marRight w:val="0"/>
      <w:marTop w:val="0"/>
      <w:marBottom w:val="0"/>
      <w:divBdr>
        <w:top w:val="none" w:sz="0" w:space="0" w:color="auto"/>
        <w:left w:val="none" w:sz="0" w:space="0" w:color="auto"/>
        <w:bottom w:val="none" w:sz="0" w:space="0" w:color="auto"/>
        <w:right w:val="none" w:sz="0" w:space="0" w:color="auto"/>
      </w:divBdr>
    </w:div>
    <w:div w:id="1829861788">
      <w:bodyDiv w:val="1"/>
      <w:marLeft w:val="0"/>
      <w:marRight w:val="0"/>
      <w:marTop w:val="0"/>
      <w:marBottom w:val="0"/>
      <w:divBdr>
        <w:top w:val="none" w:sz="0" w:space="0" w:color="auto"/>
        <w:left w:val="none" w:sz="0" w:space="0" w:color="auto"/>
        <w:bottom w:val="none" w:sz="0" w:space="0" w:color="auto"/>
        <w:right w:val="none" w:sz="0" w:space="0" w:color="auto"/>
      </w:divBdr>
    </w:div>
    <w:div w:id="1833451142">
      <w:bodyDiv w:val="1"/>
      <w:marLeft w:val="0"/>
      <w:marRight w:val="0"/>
      <w:marTop w:val="0"/>
      <w:marBottom w:val="0"/>
      <w:divBdr>
        <w:top w:val="none" w:sz="0" w:space="0" w:color="auto"/>
        <w:left w:val="none" w:sz="0" w:space="0" w:color="auto"/>
        <w:bottom w:val="none" w:sz="0" w:space="0" w:color="auto"/>
        <w:right w:val="none" w:sz="0" w:space="0" w:color="auto"/>
      </w:divBdr>
    </w:div>
    <w:div w:id="1833718191">
      <w:bodyDiv w:val="1"/>
      <w:marLeft w:val="0"/>
      <w:marRight w:val="0"/>
      <w:marTop w:val="0"/>
      <w:marBottom w:val="0"/>
      <w:divBdr>
        <w:top w:val="none" w:sz="0" w:space="0" w:color="auto"/>
        <w:left w:val="none" w:sz="0" w:space="0" w:color="auto"/>
        <w:bottom w:val="none" w:sz="0" w:space="0" w:color="auto"/>
        <w:right w:val="none" w:sz="0" w:space="0" w:color="auto"/>
      </w:divBdr>
    </w:div>
    <w:div w:id="1835142905">
      <w:bodyDiv w:val="1"/>
      <w:marLeft w:val="0"/>
      <w:marRight w:val="0"/>
      <w:marTop w:val="0"/>
      <w:marBottom w:val="0"/>
      <w:divBdr>
        <w:top w:val="none" w:sz="0" w:space="0" w:color="auto"/>
        <w:left w:val="none" w:sz="0" w:space="0" w:color="auto"/>
        <w:bottom w:val="none" w:sz="0" w:space="0" w:color="auto"/>
        <w:right w:val="none" w:sz="0" w:space="0" w:color="auto"/>
      </w:divBdr>
    </w:div>
    <w:div w:id="1842429135">
      <w:bodyDiv w:val="1"/>
      <w:marLeft w:val="0"/>
      <w:marRight w:val="0"/>
      <w:marTop w:val="0"/>
      <w:marBottom w:val="0"/>
      <w:divBdr>
        <w:top w:val="none" w:sz="0" w:space="0" w:color="auto"/>
        <w:left w:val="none" w:sz="0" w:space="0" w:color="auto"/>
        <w:bottom w:val="none" w:sz="0" w:space="0" w:color="auto"/>
        <w:right w:val="none" w:sz="0" w:space="0" w:color="auto"/>
      </w:divBdr>
    </w:div>
    <w:div w:id="1851722660">
      <w:bodyDiv w:val="1"/>
      <w:marLeft w:val="0"/>
      <w:marRight w:val="0"/>
      <w:marTop w:val="0"/>
      <w:marBottom w:val="0"/>
      <w:divBdr>
        <w:top w:val="none" w:sz="0" w:space="0" w:color="auto"/>
        <w:left w:val="none" w:sz="0" w:space="0" w:color="auto"/>
        <w:bottom w:val="none" w:sz="0" w:space="0" w:color="auto"/>
        <w:right w:val="none" w:sz="0" w:space="0" w:color="auto"/>
      </w:divBdr>
    </w:div>
    <w:div w:id="1851984594">
      <w:bodyDiv w:val="1"/>
      <w:marLeft w:val="0"/>
      <w:marRight w:val="0"/>
      <w:marTop w:val="0"/>
      <w:marBottom w:val="0"/>
      <w:divBdr>
        <w:top w:val="none" w:sz="0" w:space="0" w:color="auto"/>
        <w:left w:val="none" w:sz="0" w:space="0" w:color="auto"/>
        <w:bottom w:val="none" w:sz="0" w:space="0" w:color="auto"/>
        <w:right w:val="none" w:sz="0" w:space="0" w:color="auto"/>
      </w:divBdr>
      <w:divsChild>
        <w:div w:id="875897147">
          <w:marLeft w:val="0"/>
          <w:marRight w:val="0"/>
          <w:marTop w:val="0"/>
          <w:marBottom w:val="0"/>
          <w:divBdr>
            <w:top w:val="none" w:sz="0" w:space="0" w:color="auto"/>
            <w:left w:val="none" w:sz="0" w:space="0" w:color="auto"/>
            <w:bottom w:val="none" w:sz="0" w:space="0" w:color="auto"/>
            <w:right w:val="none" w:sz="0" w:space="0" w:color="auto"/>
          </w:divBdr>
        </w:div>
        <w:div w:id="1405646062">
          <w:marLeft w:val="0"/>
          <w:marRight w:val="0"/>
          <w:marTop w:val="0"/>
          <w:marBottom w:val="0"/>
          <w:divBdr>
            <w:top w:val="none" w:sz="0" w:space="0" w:color="auto"/>
            <w:left w:val="none" w:sz="0" w:space="0" w:color="auto"/>
            <w:bottom w:val="none" w:sz="0" w:space="0" w:color="auto"/>
            <w:right w:val="none" w:sz="0" w:space="0" w:color="auto"/>
          </w:divBdr>
        </w:div>
      </w:divsChild>
    </w:div>
    <w:div w:id="1864243920">
      <w:bodyDiv w:val="1"/>
      <w:marLeft w:val="0"/>
      <w:marRight w:val="0"/>
      <w:marTop w:val="0"/>
      <w:marBottom w:val="0"/>
      <w:divBdr>
        <w:top w:val="none" w:sz="0" w:space="0" w:color="auto"/>
        <w:left w:val="none" w:sz="0" w:space="0" w:color="auto"/>
        <w:bottom w:val="none" w:sz="0" w:space="0" w:color="auto"/>
        <w:right w:val="none" w:sz="0" w:space="0" w:color="auto"/>
      </w:divBdr>
    </w:div>
    <w:div w:id="1874003133">
      <w:bodyDiv w:val="1"/>
      <w:marLeft w:val="0"/>
      <w:marRight w:val="0"/>
      <w:marTop w:val="0"/>
      <w:marBottom w:val="0"/>
      <w:divBdr>
        <w:top w:val="none" w:sz="0" w:space="0" w:color="auto"/>
        <w:left w:val="none" w:sz="0" w:space="0" w:color="auto"/>
        <w:bottom w:val="none" w:sz="0" w:space="0" w:color="auto"/>
        <w:right w:val="none" w:sz="0" w:space="0" w:color="auto"/>
      </w:divBdr>
    </w:div>
    <w:div w:id="1874882505">
      <w:bodyDiv w:val="1"/>
      <w:marLeft w:val="0"/>
      <w:marRight w:val="0"/>
      <w:marTop w:val="0"/>
      <w:marBottom w:val="0"/>
      <w:divBdr>
        <w:top w:val="none" w:sz="0" w:space="0" w:color="auto"/>
        <w:left w:val="none" w:sz="0" w:space="0" w:color="auto"/>
        <w:bottom w:val="none" w:sz="0" w:space="0" w:color="auto"/>
        <w:right w:val="none" w:sz="0" w:space="0" w:color="auto"/>
      </w:divBdr>
    </w:div>
    <w:div w:id="1890418126">
      <w:bodyDiv w:val="1"/>
      <w:marLeft w:val="0"/>
      <w:marRight w:val="0"/>
      <w:marTop w:val="0"/>
      <w:marBottom w:val="0"/>
      <w:divBdr>
        <w:top w:val="none" w:sz="0" w:space="0" w:color="auto"/>
        <w:left w:val="none" w:sz="0" w:space="0" w:color="auto"/>
        <w:bottom w:val="none" w:sz="0" w:space="0" w:color="auto"/>
        <w:right w:val="none" w:sz="0" w:space="0" w:color="auto"/>
      </w:divBdr>
    </w:div>
    <w:div w:id="1893080831">
      <w:bodyDiv w:val="1"/>
      <w:marLeft w:val="0"/>
      <w:marRight w:val="0"/>
      <w:marTop w:val="0"/>
      <w:marBottom w:val="0"/>
      <w:divBdr>
        <w:top w:val="none" w:sz="0" w:space="0" w:color="auto"/>
        <w:left w:val="none" w:sz="0" w:space="0" w:color="auto"/>
        <w:bottom w:val="none" w:sz="0" w:space="0" w:color="auto"/>
        <w:right w:val="none" w:sz="0" w:space="0" w:color="auto"/>
      </w:divBdr>
    </w:div>
    <w:div w:id="1894778730">
      <w:bodyDiv w:val="1"/>
      <w:marLeft w:val="0"/>
      <w:marRight w:val="0"/>
      <w:marTop w:val="0"/>
      <w:marBottom w:val="0"/>
      <w:divBdr>
        <w:top w:val="none" w:sz="0" w:space="0" w:color="auto"/>
        <w:left w:val="none" w:sz="0" w:space="0" w:color="auto"/>
        <w:bottom w:val="none" w:sz="0" w:space="0" w:color="auto"/>
        <w:right w:val="none" w:sz="0" w:space="0" w:color="auto"/>
      </w:divBdr>
    </w:div>
    <w:div w:id="1904100339">
      <w:bodyDiv w:val="1"/>
      <w:marLeft w:val="0"/>
      <w:marRight w:val="0"/>
      <w:marTop w:val="0"/>
      <w:marBottom w:val="0"/>
      <w:divBdr>
        <w:top w:val="none" w:sz="0" w:space="0" w:color="auto"/>
        <w:left w:val="none" w:sz="0" w:space="0" w:color="auto"/>
        <w:bottom w:val="none" w:sz="0" w:space="0" w:color="auto"/>
        <w:right w:val="none" w:sz="0" w:space="0" w:color="auto"/>
      </w:divBdr>
    </w:div>
    <w:div w:id="1906378815">
      <w:bodyDiv w:val="1"/>
      <w:marLeft w:val="0"/>
      <w:marRight w:val="0"/>
      <w:marTop w:val="0"/>
      <w:marBottom w:val="0"/>
      <w:divBdr>
        <w:top w:val="none" w:sz="0" w:space="0" w:color="auto"/>
        <w:left w:val="none" w:sz="0" w:space="0" w:color="auto"/>
        <w:bottom w:val="none" w:sz="0" w:space="0" w:color="auto"/>
        <w:right w:val="none" w:sz="0" w:space="0" w:color="auto"/>
      </w:divBdr>
    </w:div>
    <w:div w:id="1909611440">
      <w:bodyDiv w:val="1"/>
      <w:marLeft w:val="0"/>
      <w:marRight w:val="0"/>
      <w:marTop w:val="0"/>
      <w:marBottom w:val="0"/>
      <w:divBdr>
        <w:top w:val="none" w:sz="0" w:space="0" w:color="auto"/>
        <w:left w:val="none" w:sz="0" w:space="0" w:color="auto"/>
        <w:bottom w:val="none" w:sz="0" w:space="0" w:color="auto"/>
        <w:right w:val="none" w:sz="0" w:space="0" w:color="auto"/>
      </w:divBdr>
    </w:div>
    <w:div w:id="1914047406">
      <w:bodyDiv w:val="1"/>
      <w:marLeft w:val="0"/>
      <w:marRight w:val="0"/>
      <w:marTop w:val="0"/>
      <w:marBottom w:val="0"/>
      <w:divBdr>
        <w:top w:val="none" w:sz="0" w:space="0" w:color="auto"/>
        <w:left w:val="none" w:sz="0" w:space="0" w:color="auto"/>
        <w:bottom w:val="none" w:sz="0" w:space="0" w:color="auto"/>
        <w:right w:val="none" w:sz="0" w:space="0" w:color="auto"/>
      </w:divBdr>
    </w:div>
    <w:div w:id="1915506445">
      <w:bodyDiv w:val="1"/>
      <w:marLeft w:val="0"/>
      <w:marRight w:val="0"/>
      <w:marTop w:val="0"/>
      <w:marBottom w:val="0"/>
      <w:divBdr>
        <w:top w:val="none" w:sz="0" w:space="0" w:color="auto"/>
        <w:left w:val="none" w:sz="0" w:space="0" w:color="auto"/>
        <w:bottom w:val="none" w:sz="0" w:space="0" w:color="auto"/>
        <w:right w:val="none" w:sz="0" w:space="0" w:color="auto"/>
      </w:divBdr>
    </w:div>
    <w:div w:id="1917862932">
      <w:bodyDiv w:val="1"/>
      <w:marLeft w:val="0"/>
      <w:marRight w:val="0"/>
      <w:marTop w:val="0"/>
      <w:marBottom w:val="0"/>
      <w:divBdr>
        <w:top w:val="none" w:sz="0" w:space="0" w:color="auto"/>
        <w:left w:val="none" w:sz="0" w:space="0" w:color="auto"/>
        <w:bottom w:val="none" w:sz="0" w:space="0" w:color="auto"/>
        <w:right w:val="none" w:sz="0" w:space="0" w:color="auto"/>
      </w:divBdr>
    </w:div>
    <w:div w:id="1917977764">
      <w:bodyDiv w:val="1"/>
      <w:marLeft w:val="0"/>
      <w:marRight w:val="0"/>
      <w:marTop w:val="0"/>
      <w:marBottom w:val="0"/>
      <w:divBdr>
        <w:top w:val="none" w:sz="0" w:space="0" w:color="auto"/>
        <w:left w:val="none" w:sz="0" w:space="0" w:color="auto"/>
        <w:bottom w:val="none" w:sz="0" w:space="0" w:color="auto"/>
        <w:right w:val="none" w:sz="0" w:space="0" w:color="auto"/>
      </w:divBdr>
      <w:divsChild>
        <w:div w:id="111637218">
          <w:marLeft w:val="0"/>
          <w:marRight w:val="0"/>
          <w:marTop w:val="0"/>
          <w:marBottom w:val="0"/>
          <w:divBdr>
            <w:top w:val="none" w:sz="0" w:space="0" w:color="auto"/>
            <w:left w:val="none" w:sz="0" w:space="0" w:color="auto"/>
            <w:bottom w:val="none" w:sz="0" w:space="0" w:color="auto"/>
            <w:right w:val="none" w:sz="0" w:space="0" w:color="auto"/>
          </w:divBdr>
          <w:divsChild>
            <w:div w:id="1512791207">
              <w:marLeft w:val="0"/>
              <w:marRight w:val="0"/>
              <w:marTop w:val="0"/>
              <w:marBottom w:val="0"/>
              <w:divBdr>
                <w:top w:val="none" w:sz="0" w:space="0" w:color="auto"/>
                <w:left w:val="none" w:sz="0" w:space="0" w:color="auto"/>
                <w:bottom w:val="none" w:sz="0" w:space="0" w:color="auto"/>
                <w:right w:val="none" w:sz="0" w:space="0" w:color="auto"/>
              </w:divBdr>
            </w:div>
          </w:divsChild>
        </w:div>
        <w:div w:id="386996598">
          <w:marLeft w:val="0"/>
          <w:marRight w:val="0"/>
          <w:marTop w:val="0"/>
          <w:marBottom w:val="0"/>
          <w:divBdr>
            <w:top w:val="none" w:sz="0" w:space="0" w:color="auto"/>
            <w:left w:val="none" w:sz="0" w:space="0" w:color="auto"/>
            <w:bottom w:val="none" w:sz="0" w:space="0" w:color="auto"/>
            <w:right w:val="none" w:sz="0" w:space="0" w:color="auto"/>
          </w:divBdr>
          <w:divsChild>
            <w:div w:id="1651473707">
              <w:marLeft w:val="0"/>
              <w:marRight w:val="0"/>
              <w:marTop w:val="0"/>
              <w:marBottom w:val="0"/>
              <w:divBdr>
                <w:top w:val="none" w:sz="0" w:space="0" w:color="auto"/>
                <w:left w:val="none" w:sz="0" w:space="0" w:color="auto"/>
                <w:bottom w:val="none" w:sz="0" w:space="0" w:color="auto"/>
                <w:right w:val="none" w:sz="0" w:space="0" w:color="auto"/>
              </w:divBdr>
            </w:div>
          </w:divsChild>
        </w:div>
        <w:div w:id="1042173653">
          <w:marLeft w:val="0"/>
          <w:marRight w:val="0"/>
          <w:marTop w:val="0"/>
          <w:marBottom w:val="0"/>
          <w:divBdr>
            <w:top w:val="none" w:sz="0" w:space="0" w:color="auto"/>
            <w:left w:val="none" w:sz="0" w:space="0" w:color="auto"/>
            <w:bottom w:val="none" w:sz="0" w:space="0" w:color="auto"/>
            <w:right w:val="none" w:sz="0" w:space="0" w:color="auto"/>
          </w:divBdr>
          <w:divsChild>
            <w:div w:id="1462384492">
              <w:marLeft w:val="0"/>
              <w:marRight w:val="0"/>
              <w:marTop w:val="0"/>
              <w:marBottom w:val="0"/>
              <w:divBdr>
                <w:top w:val="none" w:sz="0" w:space="0" w:color="auto"/>
                <w:left w:val="none" w:sz="0" w:space="0" w:color="auto"/>
                <w:bottom w:val="none" w:sz="0" w:space="0" w:color="auto"/>
                <w:right w:val="none" w:sz="0" w:space="0" w:color="auto"/>
              </w:divBdr>
            </w:div>
            <w:div w:id="16948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681">
      <w:bodyDiv w:val="1"/>
      <w:marLeft w:val="0"/>
      <w:marRight w:val="0"/>
      <w:marTop w:val="0"/>
      <w:marBottom w:val="0"/>
      <w:divBdr>
        <w:top w:val="none" w:sz="0" w:space="0" w:color="auto"/>
        <w:left w:val="none" w:sz="0" w:space="0" w:color="auto"/>
        <w:bottom w:val="none" w:sz="0" w:space="0" w:color="auto"/>
        <w:right w:val="none" w:sz="0" w:space="0" w:color="auto"/>
      </w:divBdr>
    </w:div>
    <w:div w:id="1925994859">
      <w:bodyDiv w:val="1"/>
      <w:marLeft w:val="0"/>
      <w:marRight w:val="0"/>
      <w:marTop w:val="0"/>
      <w:marBottom w:val="0"/>
      <w:divBdr>
        <w:top w:val="none" w:sz="0" w:space="0" w:color="auto"/>
        <w:left w:val="none" w:sz="0" w:space="0" w:color="auto"/>
        <w:bottom w:val="none" w:sz="0" w:space="0" w:color="auto"/>
        <w:right w:val="none" w:sz="0" w:space="0" w:color="auto"/>
      </w:divBdr>
    </w:div>
    <w:div w:id="1932155949">
      <w:bodyDiv w:val="1"/>
      <w:marLeft w:val="0"/>
      <w:marRight w:val="0"/>
      <w:marTop w:val="0"/>
      <w:marBottom w:val="0"/>
      <w:divBdr>
        <w:top w:val="none" w:sz="0" w:space="0" w:color="auto"/>
        <w:left w:val="none" w:sz="0" w:space="0" w:color="auto"/>
        <w:bottom w:val="none" w:sz="0" w:space="0" w:color="auto"/>
        <w:right w:val="none" w:sz="0" w:space="0" w:color="auto"/>
      </w:divBdr>
      <w:divsChild>
        <w:div w:id="499005951">
          <w:marLeft w:val="0"/>
          <w:marRight w:val="0"/>
          <w:marTop w:val="0"/>
          <w:marBottom w:val="0"/>
          <w:divBdr>
            <w:top w:val="none" w:sz="0" w:space="0" w:color="auto"/>
            <w:left w:val="none" w:sz="0" w:space="0" w:color="auto"/>
            <w:bottom w:val="none" w:sz="0" w:space="0" w:color="auto"/>
            <w:right w:val="none" w:sz="0" w:space="0" w:color="auto"/>
          </w:divBdr>
        </w:div>
        <w:div w:id="848450851">
          <w:marLeft w:val="0"/>
          <w:marRight w:val="0"/>
          <w:marTop w:val="0"/>
          <w:marBottom w:val="0"/>
          <w:divBdr>
            <w:top w:val="none" w:sz="0" w:space="0" w:color="auto"/>
            <w:left w:val="none" w:sz="0" w:space="0" w:color="auto"/>
            <w:bottom w:val="none" w:sz="0" w:space="0" w:color="auto"/>
            <w:right w:val="none" w:sz="0" w:space="0" w:color="auto"/>
          </w:divBdr>
        </w:div>
        <w:div w:id="1360743488">
          <w:marLeft w:val="0"/>
          <w:marRight w:val="0"/>
          <w:marTop w:val="0"/>
          <w:marBottom w:val="0"/>
          <w:divBdr>
            <w:top w:val="none" w:sz="0" w:space="0" w:color="auto"/>
            <w:left w:val="none" w:sz="0" w:space="0" w:color="auto"/>
            <w:bottom w:val="none" w:sz="0" w:space="0" w:color="auto"/>
            <w:right w:val="none" w:sz="0" w:space="0" w:color="auto"/>
          </w:divBdr>
        </w:div>
        <w:div w:id="1624841973">
          <w:marLeft w:val="0"/>
          <w:marRight w:val="0"/>
          <w:marTop w:val="0"/>
          <w:marBottom w:val="0"/>
          <w:divBdr>
            <w:top w:val="none" w:sz="0" w:space="0" w:color="auto"/>
            <w:left w:val="none" w:sz="0" w:space="0" w:color="auto"/>
            <w:bottom w:val="none" w:sz="0" w:space="0" w:color="auto"/>
            <w:right w:val="none" w:sz="0" w:space="0" w:color="auto"/>
          </w:divBdr>
        </w:div>
      </w:divsChild>
    </w:div>
    <w:div w:id="1938563666">
      <w:bodyDiv w:val="1"/>
      <w:marLeft w:val="0"/>
      <w:marRight w:val="0"/>
      <w:marTop w:val="0"/>
      <w:marBottom w:val="0"/>
      <w:divBdr>
        <w:top w:val="none" w:sz="0" w:space="0" w:color="auto"/>
        <w:left w:val="none" w:sz="0" w:space="0" w:color="auto"/>
        <w:bottom w:val="none" w:sz="0" w:space="0" w:color="auto"/>
        <w:right w:val="none" w:sz="0" w:space="0" w:color="auto"/>
      </w:divBdr>
    </w:div>
    <w:div w:id="1948582168">
      <w:bodyDiv w:val="1"/>
      <w:marLeft w:val="0"/>
      <w:marRight w:val="0"/>
      <w:marTop w:val="0"/>
      <w:marBottom w:val="0"/>
      <w:divBdr>
        <w:top w:val="none" w:sz="0" w:space="0" w:color="auto"/>
        <w:left w:val="none" w:sz="0" w:space="0" w:color="auto"/>
        <w:bottom w:val="none" w:sz="0" w:space="0" w:color="auto"/>
        <w:right w:val="none" w:sz="0" w:space="0" w:color="auto"/>
      </w:divBdr>
      <w:divsChild>
        <w:div w:id="1502550111">
          <w:marLeft w:val="0"/>
          <w:marRight w:val="0"/>
          <w:marTop w:val="0"/>
          <w:marBottom w:val="0"/>
          <w:divBdr>
            <w:top w:val="none" w:sz="0" w:space="0" w:color="auto"/>
            <w:left w:val="none" w:sz="0" w:space="0" w:color="auto"/>
            <w:bottom w:val="none" w:sz="0" w:space="0" w:color="auto"/>
            <w:right w:val="none" w:sz="0" w:space="0" w:color="auto"/>
          </w:divBdr>
        </w:div>
      </w:divsChild>
    </w:div>
    <w:div w:id="1953435291">
      <w:bodyDiv w:val="1"/>
      <w:marLeft w:val="0"/>
      <w:marRight w:val="0"/>
      <w:marTop w:val="0"/>
      <w:marBottom w:val="0"/>
      <w:divBdr>
        <w:top w:val="none" w:sz="0" w:space="0" w:color="auto"/>
        <w:left w:val="none" w:sz="0" w:space="0" w:color="auto"/>
        <w:bottom w:val="none" w:sz="0" w:space="0" w:color="auto"/>
        <w:right w:val="none" w:sz="0" w:space="0" w:color="auto"/>
      </w:divBdr>
    </w:div>
    <w:div w:id="1958676049">
      <w:bodyDiv w:val="1"/>
      <w:marLeft w:val="0"/>
      <w:marRight w:val="0"/>
      <w:marTop w:val="0"/>
      <w:marBottom w:val="0"/>
      <w:divBdr>
        <w:top w:val="none" w:sz="0" w:space="0" w:color="auto"/>
        <w:left w:val="none" w:sz="0" w:space="0" w:color="auto"/>
        <w:bottom w:val="none" w:sz="0" w:space="0" w:color="auto"/>
        <w:right w:val="none" w:sz="0" w:space="0" w:color="auto"/>
      </w:divBdr>
    </w:div>
    <w:div w:id="1960212968">
      <w:bodyDiv w:val="1"/>
      <w:marLeft w:val="0"/>
      <w:marRight w:val="0"/>
      <w:marTop w:val="0"/>
      <w:marBottom w:val="0"/>
      <w:divBdr>
        <w:top w:val="none" w:sz="0" w:space="0" w:color="auto"/>
        <w:left w:val="none" w:sz="0" w:space="0" w:color="auto"/>
        <w:bottom w:val="none" w:sz="0" w:space="0" w:color="auto"/>
        <w:right w:val="none" w:sz="0" w:space="0" w:color="auto"/>
      </w:divBdr>
    </w:div>
    <w:div w:id="1969044242">
      <w:bodyDiv w:val="1"/>
      <w:marLeft w:val="0"/>
      <w:marRight w:val="0"/>
      <w:marTop w:val="0"/>
      <w:marBottom w:val="0"/>
      <w:divBdr>
        <w:top w:val="none" w:sz="0" w:space="0" w:color="auto"/>
        <w:left w:val="none" w:sz="0" w:space="0" w:color="auto"/>
        <w:bottom w:val="none" w:sz="0" w:space="0" w:color="auto"/>
        <w:right w:val="none" w:sz="0" w:space="0" w:color="auto"/>
      </w:divBdr>
    </w:div>
    <w:div w:id="1970741025">
      <w:bodyDiv w:val="1"/>
      <w:marLeft w:val="0"/>
      <w:marRight w:val="0"/>
      <w:marTop w:val="0"/>
      <w:marBottom w:val="0"/>
      <w:divBdr>
        <w:top w:val="none" w:sz="0" w:space="0" w:color="auto"/>
        <w:left w:val="none" w:sz="0" w:space="0" w:color="auto"/>
        <w:bottom w:val="none" w:sz="0" w:space="0" w:color="auto"/>
        <w:right w:val="none" w:sz="0" w:space="0" w:color="auto"/>
      </w:divBdr>
    </w:div>
    <w:div w:id="1976596723">
      <w:bodyDiv w:val="1"/>
      <w:marLeft w:val="0"/>
      <w:marRight w:val="0"/>
      <w:marTop w:val="0"/>
      <w:marBottom w:val="0"/>
      <w:divBdr>
        <w:top w:val="none" w:sz="0" w:space="0" w:color="auto"/>
        <w:left w:val="none" w:sz="0" w:space="0" w:color="auto"/>
        <w:bottom w:val="none" w:sz="0" w:space="0" w:color="auto"/>
        <w:right w:val="none" w:sz="0" w:space="0" w:color="auto"/>
      </w:divBdr>
    </w:div>
    <w:div w:id="1982929200">
      <w:bodyDiv w:val="1"/>
      <w:marLeft w:val="0"/>
      <w:marRight w:val="0"/>
      <w:marTop w:val="0"/>
      <w:marBottom w:val="0"/>
      <w:divBdr>
        <w:top w:val="none" w:sz="0" w:space="0" w:color="auto"/>
        <w:left w:val="none" w:sz="0" w:space="0" w:color="auto"/>
        <w:bottom w:val="none" w:sz="0" w:space="0" w:color="auto"/>
        <w:right w:val="none" w:sz="0" w:space="0" w:color="auto"/>
      </w:divBdr>
    </w:div>
    <w:div w:id="1993556489">
      <w:bodyDiv w:val="1"/>
      <w:marLeft w:val="0"/>
      <w:marRight w:val="0"/>
      <w:marTop w:val="0"/>
      <w:marBottom w:val="0"/>
      <w:divBdr>
        <w:top w:val="none" w:sz="0" w:space="0" w:color="auto"/>
        <w:left w:val="none" w:sz="0" w:space="0" w:color="auto"/>
        <w:bottom w:val="none" w:sz="0" w:space="0" w:color="auto"/>
        <w:right w:val="none" w:sz="0" w:space="0" w:color="auto"/>
      </w:divBdr>
    </w:div>
    <w:div w:id="2009475666">
      <w:bodyDiv w:val="1"/>
      <w:marLeft w:val="0"/>
      <w:marRight w:val="0"/>
      <w:marTop w:val="0"/>
      <w:marBottom w:val="0"/>
      <w:divBdr>
        <w:top w:val="none" w:sz="0" w:space="0" w:color="auto"/>
        <w:left w:val="none" w:sz="0" w:space="0" w:color="auto"/>
        <w:bottom w:val="none" w:sz="0" w:space="0" w:color="auto"/>
        <w:right w:val="none" w:sz="0" w:space="0" w:color="auto"/>
      </w:divBdr>
    </w:div>
    <w:div w:id="2029867727">
      <w:bodyDiv w:val="1"/>
      <w:marLeft w:val="0"/>
      <w:marRight w:val="0"/>
      <w:marTop w:val="0"/>
      <w:marBottom w:val="0"/>
      <w:divBdr>
        <w:top w:val="none" w:sz="0" w:space="0" w:color="auto"/>
        <w:left w:val="none" w:sz="0" w:space="0" w:color="auto"/>
        <w:bottom w:val="none" w:sz="0" w:space="0" w:color="auto"/>
        <w:right w:val="none" w:sz="0" w:space="0" w:color="auto"/>
      </w:divBdr>
    </w:div>
    <w:div w:id="2053118651">
      <w:bodyDiv w:val="1"/>
      <w:marLeft w:val="0"/>
      <w:marRight w:val="0"/>
      <w:marTop w:val="0"/>
      <w:marBottom w:val="0"/>
      <w:divBdr>
        <w:top w:val="none" w:sz="0" w:space="0" w:color="auto"/>
        <w:left w:val="none" w:sz="0" w:space="0" w:color="auto"/>
        <w:bottom w:val="none" w:sz="0" w:space="0" w:color="auto"/>
        <w:right w:val="none" w:sz="0" w:space="0" w:color="auto"/>
      </w:divBdr>
    </w:div>
    <w:div w:id="2053453064">
      <w:bodyDiv w:val="1"/>
      <w:marLeft w:val="0"/>
      <w:marRight w:val="0"/>
      <w:marTop w:val="0"/>
      <w:marBottom w:val="0"/>
      <w:divBdr>
        <w:top w:val="none" w:sz="0" w:space="0" w:color="auto"/>
        <w:left w:val="none" w:sz="0" w:space="0" w:color="auto"/>
        <w:bottom w:val="none" w:sz="0" w:space="0" w:color="auto"/>
        <w:right w:val="none" w:sz="0" w:space="0" w:color="auto"/>
      </w:divBdr>
    </w:div>
    <w:div w:id="2055227295">
      <w:bodyDiv w:val="1"/>
      <w:marLeft w:val="0"/>
      <w:marRight w:val="0"/>
      <w:marTop w:val="0"/>
      <w:marBottom w:val="0"/>
      <w:divBdr>
        <w:top w:val="none" w:sz="0" w:space="0" w:color="auto"/>
        <w:left w:val="none" w:sz="0" w:space="0" w:color="auto"/>
        <w:bottom w:val="none" w:sz="0" w:space="0" w:color="auto"/>
        <w:right w:val="none" w:sz="0" w:space="0" w:color="auto"/>
      </w:divBdr>
    </w:div>
    <w:div w:id="2064327698">
      <w:bodyDiv w:val="1"/>
      <w:marLeft w:val="0"/>
      <w:marRight w:val="0"/>
      <w:marTop w:val="0"/>
      <w:marBottom w:val="0"/>
      <w:divBdr>
        <w:top w:val="none" w:sz="0" w:space="0" w:color="auto"/>
        <w:left w:val="none" w:sz="0" w:space="0" w:color="auto"/>
        <w:bottom w:val="none" w:sz="0" w:space="0" w:color="auto"/>
        <w:right w:val="none" w:sz="0" w:space="0" w:color="auto"/>
      </w:divBdr>
      <w:divsChild>
        <w:div w:id="878248805">
          <w:marLeft w:val="0"/>
          <w:marRight w:val="0"/>
          <w:marTop w:val="0"/>
          <w:marBottom w:val="0"/>
          <w:divBdr>
            <w:top w:val="none" w:sz="0" w:space="0" w:color="auto"/>
            <w:left w:val="none" w:sz="0" w:space="0" w:color="auto"/>
            <w:bottom w:val="none" w:sz="0" w:space="0" w:color="auto"/>
            <w:right w:val="none" w:sz="0" w:space="0" w:color="auto"/>
          </w:divBdr>
        </w:div>
        <w:div w:id="1124302470">
          <w:marLeft w:val="0"/>
          <w:marRight w:val="0"/>
          <w:marTop w:val="0"/>
          <w:marBottom w:val="0"/>
          <w:divBdr>
            <w:top w:val="none" w:sz="0" w:space="0" w:color="auto"/>
            <w:left w:val="none" w:sz="0" w:space="0" w:color="auto"/>
            <w:bottom w:val="none" w:sz="0" w:space="0" w:color="auto"/>
            <w:right w:val="none" w:sz="0" w:space="0" w:color="auto"/>
          </w:divBdr>
        </w:div>
      </w:divsChild>
    </w:div>
    <w:div w:id="2065445172">
      <w:bodyDiv w:val="1"/>
      <w:marLeft w:val="0"/>
      <w:marRight w:val="0"/>
      <w:marTop w:val="0"/>
      <w:marBottom w:val="0"/>
      <w:divBdr>
        <w:top w:val="none" w:sz="0" w:space="0" w:color="auto"/>
        <w:left w:val="none" w:sz="0" w:space="0" w:color="auto"/>
        <w:bottom w:val="none" w:sz="0" w:space="0" w:color="auto"/>
        <w:right w:val="none" w:sz="0" w:space="0" w:color="auto"/>
      </w:divBdr>
    </w:div>
    <w:div w:id="2067098637">
      <w:bodyDiv w:val="1"/>
      <w:marLeft w:val="0"/>
      <w:marRight w:val="0"/>
      <w:marTop w:val="0"/>
      <w:marBottom w:val="0"/>
      <w:divBdr>
        <w:top w:val="none" w:sz="0" w:space="0" w:color="auto"/>
        <w:left w:val="none" w:sz="0" w:space="0" w:color="auto"/>
        <w:bottom w:val="none" w:sz="0" w:space="0" w:color="auto"/>
        <w:right w:val="none" w:sz="0" w:space="0" w:color="auto"/>
      </w:divBdr>
    </w:div>
    <w:div w:id="2081705988">
      <w:bodyDiv w:val="1"/>
      <w:marLeft w:val="0"/>
      <w:marRight w:val="0"/>
      <w:marTop w:val="0"/>
      <w:marBottom w:val="0"/>
      <w:divBdr>
        <w:top w:val="none" w:sz="0" w:space="0" w:color="auto"/>
        <w:left w:val="none" w:sz="0" w:space="0" w:color="auto"/>
        <w:bottom w:val="none" w:sz="0" w:space="0" w:color="auto"/>
        <w:right w:val="none" w:sz="0" w:space="0" w:color="auto"/>
      </w:divBdr>
    </w:div>
    <w:div w:id="2081905251">
      <w:bodyDiv w:val="1"/>
      <w:marLeft w:val="0"/>
      <w:marRight w:val="0"/>
      <w:marTop w:val="0"/>
      <w:marBottom w:val="0"/>
      <w:divBdr>
        <w:top w:val="none" w:sz="0" w:space="0" w:color="auto"/>
        <w:left w:val="none" w:sz="0" w:space="0" w:color="auto"/>
        <w:bottom w:val="none" w:sz="0" w:space="0" w:color="auto"/>
        <w:right w:val="none" w:sz="0" w:space="0" w:color="auto"/>
      </w:divBdr>
    </w:div>
    <w:div w:id="2086031478">
      <w:bodyDiv w:val="1"/>
      <w:marLeft w:val="0"/>
      <w:marRight w:val="0"/>
      <w:marTop w:val="0"/>
      <w:marBottom w:val="0"/>
      <w:divBdr>
        <w:top w:val="none" w:sz="0" w:space="0" w:color="auto"/>
        <w:left w:val="none" w:sz="0" w:space="0" w:color="auto"/>
        <w:bottom w:val="none" w:sz="0" w:space="0" w:color="auto"/>
        <w:right w:val="none" w:sz="0" w:space="0" w:color="auto"/>
      </w:divBdr>
    </w:div>
    <w:div w:id="2090468476">
      <w:bodyDiv w:val="1"/>
      <w:marLeft w:val="0"/>
      <w:marRight w:val="0"/>
      <w:marTop w:val="0"/>
      <w:marBottom w:val="0"/>
      <w:divBdr>
        <w:top w:val="none" w:sz="0" w:space="0" w:color="auto"/>
        <w:left w:val="none" w:sz="0" w:space="0" w:color="auto"/>
        <w:bottom w:val="none" w:sz="0" w:space="0" w:color="auto"/>
        <w:right w:val="none" w:sz="0" w:space="0" w:color="auto"/>
      </w:divBdr>
    </w:div>
    <w:div w:id="2093890076">
      <w:bodyDiv w:val="1"/>
      <w:marLeft w:val="0"/>
      <w:marRight w:val="0"/>
      <w:marTop w:val="0"/>
      <w:marBottom w:val="0"/>
      <w:divBdr>
        <w:top w:val="none" w:sz="0" w:space="0" w:color="auto"/>
        <w:left w:val="none" w:sz="0" w:space="0" w:color="auto"/>
        <w:bottom w:val="none" w:sz="0" w:space="0" w:color="auto"/>
        <w:right w:val="none" w:sz="0" w:space="0" w:color="auto"/>
      </w:divBdr>
      <w:divsChild>
        <w:div w:id="1147934918">
          <w:marLeft w:val="0"/>
          <w:marRight w:val="0"/>
          <w:marTop w:val="0"/>
          <w:marBottom w:val="0"/>
          <w:divBdr>
            <w:top w:val="none" w:sz="0" w:space="0" w:color="auto"/>
            <w:left w:val="none" w:sz="0" w:space="0" w:color="auto"/>
            <w:bottom w:val="none" w:sz="0" w:space="0" w:color="auto"/>
            <w:right w:val="none" w:sz="0" w:space="0" w:color="auto"/>
          </w:divBdr>
        </w:div>
        <w:div w:id="1897546501">
          <w:marLeft w:val="0"/>
          <w:marRight w:val="0"/>
          <w:marTop w:val="0"/>
          <w:marBottom w:val="0"/>
          <w:divBdr>
            <w:top w:val="none" w:sz="0" w:space="0" w:color="auto"/>
            <w:left w:val="none" w:sz="0" w:space="0" w:color="auto"/>
            <w:bottom w:val="none" w:sz="0" w:space="0" w:color="auto"/>
            <w:right w:val="none" w:sz="0" w:space="0" w:color="auto"/>
          </w:divBdr>
        </w:div>
      </w:divsChild>
    </w:div>
    <w:div w:id="2094424569">
      <w:bodyDiv w:val="1"/>
      <w:marLeft w:val="0"/>
      <w:marRight w:val="0"/>
      <w:marTop w:val="0"/>
      <w:marBottom w:val="0"/>
      <w:divBdr>
        <w:top w:val="none" w:sz="0" w:space="0" w:color="auto"/>
        <w:left w:val="none" w:sz="0" w:space="0" w:color="auto"/>
        <w:bottom w:val="none" w:sz="0" w:space="0" w:color="auto"/>
        <w:right w:val="none" w:sz="0" w:space="0" w:color="auto"/>
      </w:divBdr>
    </w:div>
    <w:div w:id="2107534479">
      <w:bodyDiv w:val="1"/>
      <w:marLeft w:val="0"/>
      <w:marRight w:val="0"/>
      <w:marTop w:val="0"/>
      <w:marBottom w:val="0"/>
      <w:divBdr>
        <w:top w:val="none" w:sz="0" w:space="0" w:color="auto"/>
        <w:left w:val="none" w:sz="0" w:space="0" w:color="auto"/>
        <w:bottom w:val="none" w:sz="0" w:space="0" w:color="auto"/>
        <w:right w:val="none" w:sz="0" w:space="0" w:color="auto"/>
      </w:divBdr>
    </w:div>
    <w:div w:id="2110274969">
      <w:bodyDiv w:val="1"/>
      <w:marLeft w:val="0"/>
      <w:marRight w:val="0"/>
      <w:marTop w:val="0"/>
      <w:marBottom w:val="0"/>
      <w:divBdr>
        <w:top w:val="none" w:sz="0" w:space="0" w:color="auto"/>
        <w:left w:val="none" w:sz="0" w:space="0" w:color="auto"/>
        <w:bottom w:val="none" w:sz="0" w:space="0" w:color="auto"/>
        <w:right w:val="none" w:sz="0" w:space="0" w:color="auto"/>
      </w:divBdr>
    </w:div>
    <w:div w:id="2118208787">
      <w:bodyDiv w:val="1"/>
      <w:marLeft w:val="0"/>
      <w:marRight w:val="0"/>
      <w:marTop w:val="0"/>
      <w:marBottom w:val="0"/>
      <w:divBdr>
        <w:top w:val="none" w:sz="0" w:space="0" w:color="auto"/>
        <w:left w:val="none" w:sz="0" w:space="0" w:color="auto"/>
        <w:bottom w:val="none" w:sz="0" w:space="0" w:color="auto"/>
        <w:right w:val="none" w:sz="0" w:space="0" w:color="auto"/>
      </w:divBdr>
    </w:div>
    <w:div w:id="2122872961">
      <w:bodyDiv w:val="1"/>
      <w:marLeft w:val="0"/>
      <w:marRight w:val="0"/>
      <w:marTop w:val="0"/>
      <w:marBottom w:val="0"/>
      <w:divBdr>
        <w:top w:val="none" w:sz="0" w:space="0" w:color="auto"/>
        <w:left w:val="none" w:sz="0" w:space="0" w:color="auto"/>
        <w:bottom w:val="none" w:sz="0" w:space="0" w:color="auto"/>
        <w:right w:val="none" w:sz="0" w:space="0" w:color="auto"/>
      </w:divBdr>
    </w:div>
    <w:div w:id="2128499669">
      <w:bodyDiv w:val="1"/>
      <w:marLeft w:val="0"/>
      <w:marRight w:val="0"/>
      <w:marTop w:val="0"/>
      <w:marBottom w:val="0"/>
      <w:divBdr>
        <w:top w:val="none" w:sz="0" w:space="0" w:color="auto"/>
        <w:left w:val="none" w:sz="0" w:space="0" w:color="auto"/>
        <w:bottom w:val="none" w:sz="0" w:space="0" w:color="auto"/>
        <w:right w:val="none" w:sz="0" w:space="0" w:color="auto"/>
      </w:divBdr>
    </w:div>
    <w:div w:id="2130279427">
      <w:bodyDiv w:val="1"/>
      <w:marLeft w:val="0"/>
      <w:marRight w:val="0"/>
      <w:marTop w:val="0"/>
      <w:marBottom w:val="0"/>
      <w:divBdr>
        <w:top w:val="none" w:sz="0" w:space="0" w:color="auto"/>
        <w:left w:val="none" w:sz="0" w:space="0" w:color="auto"/>
        <w:bottom w:val="none" w:sz="0" w:space="0" w:color="auto"/>
        <w:right w:val="none" w:sz="0" w:space="0" w:color="auto"/>
      </w:divBdr>
    </w:div>
    <w:div w:id="2145003664">
      <w:bodyDiv w:val="1"/>
      <w:marLeft w:val="0"/>
      <w:marRight w:val="0"/>
      <w:marTop w:val="0"/>
      <w:marBottom w:val="0"/>
      <w:divBdr>
        <w:top w:val="none" w:sz="0" w:space="0" w:color="auto"/>
        <w:left w:val="none" w:sz="0" w:space="0" w:color="auto"/>
        <w:bottom w:val="none" w:sz="0" w:space="0" w:color="auto"/>
        <w:right w:val="none" w:sz="0" w:space="0" w:color="auto"/>
      </w:divBdr>
    </w:div>
    <w:div w:id="21460449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9.png"/><Relationship Id="rId45" Type="http://schemas.openxmlformats.org/officeDocument/2006/relationships/hyperlink" Target="https://www.lifeline.org.au/" TargetMode="External"/><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customXml" Target="../customXml/item5.xml"/><Relationship Id="rId61" Type="http://schemas.openxmlformats.org/officeDocument/2006/relationships/image" Target="media/image27.png"/><Relationship Id="rId19" Type="http://schemas.openxmlformats.org/officeDocument/2006/relationships/header" Target="header1.xml"/><Relationship Id="rId14" Type="http://schemas.openxmlformats.org/officeDocument/2006/relationships/hyperlink" Target="http://creativecommons.org/licenses/by/3.0/au/legalcode"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s://poll.lowyinstitute.org/charts/feelings-of-safety" TargetMode="Externa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pmc.gov.au/government/commonwealth-coat-arms"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eader" Target="header8.xml"/><Relationship Id="rId46" Type="http://schemas.openxmlformats.org/officeDocument/2006/relationships/image" Target="media/image12.png"/><Relationship Id="rId59" Type="http://schemas.openxmlformats.org/officeDocument/2006/relationships/image" Target="media/image25.png"/><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1800respect.org.au/"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39" Type="http://schemas.openxmlformats.org/officeDocument/2006/relationships/footer" Target="footer8.xml"/></Relationships>
</file>

<file path=word/_rels/endnotes.xml.rels><?xml version="1.0" encoding="UTF-8" standalone="yes"?>
<Relationships xmlns="http://schemas.openxmlformats.org/package/2006/relationships"><Relationship Id="rId26" Type="http://schemas.openxmlformats.org/officeDocument/2006/relationships/hyperlink" Target="https://www.abs.gov.au/statistics/people/crime-and-justice/personal-safety-australia/2016" TargetMode="External"/><Relationship Id="rId21" Type="http://schemas.openxmlformats.org/officeDocument/2006/relationships/hyperlink" Target="https://www.pmc.gov.au/resources/draft-national-strategy-care-and-support-economy/introduction-care-and-support-australia" TargetMode="External"/><Relationship Id="rId42" Type="http://schemas.openxmlformats.org/officeDocument/2006/relationships/hyperlink" Target="https://treasury.gov.au/sites/default/files/2023-03/c2023-379612-climateworks_centre.pdf" TargetMode="External"/><Relationship Id="rId47" Type="http://schemas.openxmlformats.org/officeDocument/2006/relationships/hyperlink" Target="https://www.dcceew.gov.au/environment/protection/waste/national-waste-reports/2022" TargetMode="External"/><Relationship Id="rId63" Type="http://schemas.openxmlformats.org/officeDocument/2006/relationships/hyperlink" Target="https://data.oecd.org/inequality/women-in-politics.htm" TargetMode="External"/><Relationship Id="rId68" Type="http://schemas.openxmlformats.org/officeDocument/2006/relationships/hyperlink" Target="https://www.aedc.gov.au/Websilk/Handlers/ResourceDocument.ashx?id=75ac2964-db9a-6d2b-9fad-ff0000a141dd" TargetMode="External"/><Relationship Id="rId84" Type="http://schemas.openxmlformats.org/officeDocument/2006/relationships/hyperlink" Target="https://ec.europa.eu/research/participants/documents/downloadPublic?documentIds=080166e5d9df8da1&amp;appId=PPGMS" TargetMode="External"/><Relationship Id="rId16" Type="http://schemas.openxmlformats.org/officeDocument/2006/relationships/hyperlink" Target="https://www.abs.gov.au/statistics/health/mental-health/national-study-mental-health-and-wellbeing/latest-release" TargetMode="External"/><Relationship Id="rId11" Type="http://schemas.openxmlformats.org/officeDocument/2006/relationships/hyperlink" Target="https://www.aihw.gov.au/reports/burden-of-disease/abds-methods-supplementary-material-2018/contents/estimating-burden-of-disease-measures/health-adjusted-life-expectancy-hale" TargetMode="External"/><Relationship Id="rId32" Type="http://schemas.openxmlformats.org/officeDocument/2006/relationships/hyperlink" Target="https://poll.lowyinstitute.org/charts/feelings-of-safety/" TargetMode="External"/><Relationship Id="rId37" Type="http://schemas.openxmlformats.org/officeDocument/2006/relationships/hyperlink" Target="https://www.abs.gov.au/methodologies/estimating-homelessness-census-methodology/2021" TargetMode="External"/><Relationship Id="rId53" Type="http://schemas.openxmlformats.org/officeDocument/2006/relationships/hyperlink" Target="https://www.abs.gov.au/statistics/people/people-and-communities/general-social-survey-summary-results-australia/latest-release" TargetMode="External"/><Relationship Id="rId58" Type="http://schemas.openxmlformats.org/officeDocument/2006/relationships/hyperlink" Target="http://www.arts.gov.au" TargetMode="External"/><Relationship Id="rId74" Type="http://schemas.openxmlformats.org/officeDocument/2006/relationships/hyperlink" Target="https://www.dpmc.govt.nz/our-programmes/child-and-youth-wellbeing-strategy" TargetMode="External"/><Relationship Id="rId79" Type="http://schemas.openxmlformats.org/officeDocument/2006/relationships/hyperlink" Target="https://www.abs.gov.au/statistics/health/health-conditions-and-risks/national-health-survey-first-results/latest-release" TargetMode="External"/><Relationship Id="rId5" Type="http://schemas.openxmlformats.org/officeDocument/2006/relationships/hyperlink" Target="https://treasury.gov.au/sites/default/files/2023-03/c2023-379612-australia_academy_of_health_and_medical_science.pdf" TargetMode="External"/><Relationship Id="rId61" Type="http://schemas.openxmlformats.org/officeDocument/2006/relationships/hyperlink" Target="https://www.oecd-ilibrary.org/sites/aa436802-en/index.html?itemId=/content/component/aa436802-en" TargetMode="External"/><Relationship Id="rId82" Type="http://schemas.openxmlformats.org/officeDocument/2006/relationships/hyperlink" Target="https://www.aedc.gov.au/Websilk/Handlers/ResourceDocument.ashx?id=75ac2964-db9a-6d2b-9fad-ff0000a141dd" TargetMode="External"/><Relationship Id="rId19" Type="http://schemas.openxmlformats.org/officeDocument/2006/relationships/hyperlink" Target="https://www.abs.gov.au/statistics/health/health-conditions-and-risks/health-conditions-prevalence/2020-21" TargetMode="External"/><Relationship Id="rId14" Type="http://schemas.openxmlformats.org/officeDocument/2006/relationships/hyperlink" Target="https://www.abs.gov.au/statistics/health/mental-health/mental-health/2017-18" TargetMode="External"/><Relationship Id="rId22" Type="http://schemas.openxmlformats.org/officeDocument/2006/relationships/hyperlink" Target="https://www.pc.gov.au/ongoing/report-on-government-services/2023/community-services/aged-care-services" TargetMode="External"/><Relationship Id="rId27" Type="http://schemas.openxmlformats.org/officeDocument/2006/relationships/hyperlink" Target="https://www.abs.gov.au/methodologies/personal-safety-australia-methodology/2021-22" TargetMode="External"/><Relationship Id="rId30" Type="http://schemas.openxmlformats.org/officeDocument/2006/relationships/hyperlink" Target="https://www.abs.gov.au/statistics/industry/technology-and-innovation/household-use-information-technology/latest-release" TargetMode="External"/><Relationship Id="rId35" Type="http://schemas.openxmlformats.org/officeDocument/2006/relationships/hyperlink" Target="https://www.abs.gov.au/statistics/people/people-and-communities/general-social-survey-summary-results-australia/latest-release" TargetMode="External"/><Relationship Id="rId43" Type="http://schemas.openxmlformats.org/officeDocument/2006/relationships/hyperlink" Target="https://www.aihw.gov.au/reports/australias-health/natural-environment-and-health" TargetMode="External"/><Relationship Id="rId48" Type="http://schemas.openxmlformats.org/officeDocument/2006/relationships/hyperlink" Target="https://actuaries.asn.au/Library/Opinion/2022/HIAGreenPaper.pdf" TargetMode="External"/><Relationship Id="rId56" Type="http://schemas.openxmlformats.org/officeDocument/2006/relationships/hyperlink" Target="https://scanloninstitute.org.au/mapping-social-cohesion-2022" TargetMode="External"/><Relationship Id="rId64" Type="http://schemas.openxmlformats.org/officeDocument/2006/relationships/hyperlink" Target="https://err.parl.net/client/en_GB/search/asset/75881/0" TargetMode="External"/><Relationship Id="rId69" Type="http://schemas.openxmlformats.org/officeDocument/2006/relationships/hyperlink" Target="https://www.pc.gov.au/inquiries/completed/school-agreement/report/school-agreement.pdf" TargetMode="External"/><Relationship Id="rId77" Type="http://schemas.openxmlformats.org/officeDocument/2006/relationships/hyperlink" Target="https://www.health.gov.au/topics/immunisation/immunisation-data/childhood-immunisation-coverage" TargetMode="External"/><Relationship Id="rId8" Type="http://schemas.openxmlformats.org/officeDocument/2006/relationships/hyperlink" Target="https://www.abs.gov.au/statistics/people/population/life-tables/latest-release" TargetMode="External"/><Relationship Id="rId51" Type="http://schemas.openxmlformats.org/officeDocument/2006/relationships/hyperlink" Target="https://www.abs.gov.au/statistics/people/people-and-communities/cultural-and-creative-activities/latest-release" TargetMode="External"/><Relationship Id="rId72" Type="http://schemas.openxmlformats.org/officeDocument/2006/relationships/hyperlink" Target="https://www.oecd.org/wise/measuring-what-matters-for-child-well-being-and-policies-e82fded1-en.htm" TargetMode="External"/><Relationship Id="rId80" Type="http://schemas.openxmlformats.org/officeDocument/2006/relationships/hyperlink" Target="https://www.aihw.gov.au/reports/children-youth/australias-children/contents/education/early-learning-reading-to-children" TargetMode="External"/><Relationship Id="rId3" Type="http://schemas.openxmlformats.org/officeDocument/2006/relationships/hyperlink" Target="https://www.lowitja.org.au/page/services/resources/Cultural-and-social-determinants/culture-for-health-and-wellbeing/defining-the-indefinable-descriptors-of-aboriginal-and-torres-strait-islander-peoples%E2%80%99-cultures-and-their-links-to-health-and-wellbeing" TargetMode="External"/><Relationship Id="rId12" Type="http://schemas.openxmlformats.org/officeDocument/2006/relationships/hyperlink" Target="https://www.aihw.gov.au/reports/life-expectancy-death/deaths-in-australia/contents/life-expectancy" TargetMode="External"/><Relationship Id="rId17" Type="http://schemas.openxmlformats.org/officeDocument/2006/relationships/hyperlink" Target="https://www.aihw.gov.au/reports-data/health-conditions-disability-deaths/chronic-disease/overview" TargetMode="External"/><Relationship Id="rId25" Type="http://schemas.openxmlformats.org/officeDocument/2006/relationships/hyperlink" Target="https://www.pc.gov.au/ongoing/report-on-government-services/2023/justice/police-services" TargetMode="External"/><Relationship Id="rId33" Type="http://schemas.openxmlformats.org/officeDocument/2006/relationships/hyperlink" Target="https://www.abs.gov.au/statistics/people/housing/estimating-homelessness-census/latest-release" TargetMode="External"/><Relationship Id="rId38" Type="http://schemas.openxmlformats.org/officeDocument/2006/relationships/hyperlink" Target="https://www.abs.gov.au/statistics/people/housing/estimating-homelessness-census/latest-release" TargetMode="External"/><Relationship Id="rId46" Type="http://schemas.openxmlformats.org/officeDocument/2006/relationships/hyperlink" Target="https://www.tern.org.au/the-state-of-play-australias-threatened-species-index-for-2022/" TargetMode="External"/><Relationship Id="rId59" Type="http://schemas.openxmlformats.org/officeDocument/2006/relationships/hyperlink" Target="https://www.abs.gov.au/statistics/people/people-and-communities/general-social-survey-summary-results-australia/latest-release" TargetMode="External"/><Relationship Id="rId67" Type="http://schemas.openxmlformats.org/officeDocument/2006/relationships/hyperlink" Target="https://data.oecd.org/inequality/income-inequality.htm" TargetMode="External"/><Relationship Id="rId20" Type="http://schemas.openxmlformats.org/officeDocument/2006/relationships/hyperlink" Target="https://www.abs.gov.au/statistics/health/health-services/patient-experiences/latest-release" TargetMode="External"/><Relationship Id="rId41" Type="http://schemas.openxmlformats.org/officeDocument/2006/relationships/hyperlink" Target="https://www.corelogic.com.au/news-research/reports/quarterly-rental-review" TargetMode="External"/><Relationship Id="rId54" Type="http://schemas.openxmlformats.org/officeDocument/2006/relationships/hyperlink" Target="https://scanloninstitute.org.au/mapping-social-cohesion-2022" TargetMode="External"/><Relationship Id="rId62" Type="http://schemas.openxmlformats.org/officeDocument/2006/relationships/hyperlink" Target="https://www.aph.gov.au/About_Parliament/Parliamentary_departments/Parliamentary_Library/pubs/rp/rp2223/Quick_Guides/CompositionPartyGenderJan23" TargetMode="External"/><Relationship Id="rId70" Type="http://schemas.openxmlformats.org/officeDocument/2006/relationships/hyperlink" Target="https://www.digitalinclusionindex.org.au/" TargetMode="External"/><Relationship Id="rId75" Type="http://schemas.openxmlformats.org/officeDocument/2006/relationships/hyperlink" Target="https://www.ccyp.wa.gov.au/our-work/indicators-of-wellbeing/" TargetMode="External"/><Relationship Id="rId83" Type="http://schemas.openxmlformats.org/officeDocument/2006/relationships/hyperlink" Target="https://www.oecd.org/general/compendiumofoecdwell-beingindicators.htm" TargetMode="External"/><Relationship Id="rId1" Type="http://schemas.openxmlformats.org/officeDocument/2006/relationships/hyperlink" Target="https://www.oecd.org/economy/all-on-board-9789264218512-en.htm" TargetMode="External"/><Relationship Id="rId6" Type="http://schemas.openxmlformats.org/officeDocument/2006/relationships/hyperlink" Target="https://www.health.gov.au/resources/publications/national-preventive-health-strategy-2021-2030" TargetMode="External"/><Relationship Id="rId15" Type="http://schemas.openxmlformats.org/officeDocument/2006/relationships/hyperlink" Target="https://www.abs.gov.au/statistics/people/aboriginal-and-torres-strait-islander-peoples/national-aboriginal-and-torres-strait-islander-health-survey/latest-release" TargetMode="External"/><Relationship Id="rId23" Type="http://schemas.openxmlformats.org/officeDocument/2006/relationships/hyperlink" Target="https://treasury.gov.au/sites/default/files/2023-03/c2023-379612-vic_health.pdf" TargetMode="External"/><Relationship Id="rId28" Type="http://schemas.openxmlformats.org/officeDocument/2006/relationships/hyperlink" Target="https://anrowsdev.wpenginepowered.com/wp-content/uploads/2021/10/4AP10-Boxall-Morgan-IPV-During-Covid-ANROWS-RR.1.pdf" TargetMode="External"/><Relationship Id="rId36" Type="http://schemas.openxmlformats.org/officeDocument/2006/relationships/hyperlink" Target="https://business.nab.com.au/nab-consumer-insights-survey-financial-hardship-q4-2022-58663/" TargetMode="External"/><Relationship Id="rId49" Type="http://schemas.openxmlformats.org/officeDocument/2006/relationships/hyperlink" Target="https://treasury.gov.au/sites/default/files/2023-03/c2023-379612-relationships_australia.pdf" TargetMode="External"/><Relationship Id="rId57" Type="http://schemas.openxmlformats.org/officeDocument/2006/relationships/hyperlink" Target="https://www.arts.gov.au/what-we-do/indigenous-arts-and-languages/indigenous-languages-and-arts-program/national-indigenous-languages-report" TargetMode="External"/><Relationship Id="rId10" Type="http://schemas.openxmlformats.org/officeDocument/2006/relationships/hyperlink" Target="https://www.abs.gov.au/statistics/people/aboriginal-and-torres-strait-islander-peoples/aboriginal-and-torres-strait-islander-life-expectancy-estimates/2015-2017" TargetMode="External"/><Relationship Id="rId31" Type="http://schemas.openxmlformats.org/officeDocument/2006/relationships/hyperlink" Target="https://www.esafety.gov.au/sites/default/files/2020-07/Adults%27%20negative%20online%20experiences.pdf" TargetMode="External"/><Relationship Id="rId44" Type="http://schemas.openxmlformats.org/officeDocument/2006/relationships/hyperlink" Target="https://www.dcceew.gov.au/environment/land/nrs/science/capad" TargetMode="External"/><Relationship Id="rId52" Type="http://schemas.openxmlformats.org/officeDocument/2006/relationships/hyperlink" Target="https://australiacouncil.gov.au/advocacy-and-research/audience-outlook-monitor/" TargetMode="External"/><Relationship Id="rId60" Type="http://schemas.openxmlformats.org/officeDocument/2006/relationships/hyperlink" Target="https://www.apsreform.gov.au/sites/default/files/resource/download/TAPS-Annual%20Report%202022.pdf" TargetMode="External"/><Relationship Id="rId65" Type="http://schemas.openxmlformats.org/officeDocument/2006/relationships/hyperlink" Target="https://err.parl.net/client/en_GB/search/asset/90392/0" TargetMode="External"/><Relationship Id="rId73" Type="http://schemas.openxmlformats.org/officeDocument/2006/relationships/hyperlink" Target="https://www.unicef.org.au/the-wellbeing-of-australia-s-children" TargetMode="External"/><Relationship Id="rId78" Type="http://schemas.openxmlformats.org/officeDocument/2006/relationships/hyperlink" Target="https://www.aihw.gov.au/reports/mothers-babies/australias-mothers-babies/contents/antenatal-period/smoking-during-pregnancy" TargetMode="External"/><Relationship Id="rId81" Type="http://schemas.openxmlformats.org/officeDocument/2006/relationships/hyperlink" Target="https://www.acecqa.gov.au/latest-news/89-childrens-education-and-care-services-meeting-or-exceeding-standards-0" TargetMode="External"/><Relationship Id="rId4" Type="http://schemas.openxmlformats.org/officeDocument/2006/relationships/hyperlink" Target="https://www.oecd.org/pisa/publications/PISA2018_CN_AUS.pdf" TargetMode="External"/><Relationship Id="rId9" Type="http://schemas.openxmlformats.org/officeDocument/2006/relationships/hyperlink" Target="https://data.oecd.org/healthstat/life-expectancy-at-birth.htm" TargetMode="External"/><Relationship Id="rId13" Type="http://schemas.openxmlformats.org/officeDocument/2006/relationships/hyperlink" Target="https://www.health.gov.au/topics/mental-health-and-suicide-prevention/about-mental-health" TargetMode="External"/><Relationship Id="rId18" Type="http://schemas.openxmlformats.org/officeDocument/2006/relationships/hyperlink" Target="https://www.aihw.gov.au/reports/chronic-disease/chronic-condition-multimorbidity/contents/chronic-conditions-and-multimorbidity" TargetMode="External"/><Relationship Id="rId39" Type="http://schemas.openxmlformats.org/officeDocument/2006/relationships/hyperlink" Target="https://www.pc.gov.au/closing-the-gap-data/dashboard/socioeconomic/outcome-area9" TargetMode="External"/><Relationship Id="rId34" Type="http://schemas.openxmlformats.org/officeDocument/2006/relationships/hyperlink" Target="https://www.abs.gov.au/statistics/people/people-and-communities/general-social-survey-summary-results-australia/latest-release" TargetMode="External"/><Relationship Id="rId50" Type="http://schemas.openxmlformats.org/officeDocument/2006/relationships/hyperlink" Target="https://www.abs.gov.au/statistics/people/people-and-communities/general-social-survey-summary-results-australia/latest-release" TargetMode="External"/><Relationship Id="rId55" Type="http://schemas.openxmlformats.org/officeDocument/2006/relationships/hyperlink" Target="https://www.reconciliation.org.au/publication/2022-australian-reconciliation-barometer/" TargetMode="External"/><Relationship Id="rId76" Type="http://schemas.openxmlformats.org/officeDocument/2006/relationships/hyperlink" Target="https://alt-qed.qed.qld.gov.au/programs-initiatives/education/early-years-plan" TargetMode="External"/><Relationship Id="rId7" Type="http://schemas.openxmlformats.org/officeDocument/2006/relationships/hyperlink" Target="https://www.aihw.gov.au/reports/social-determinants/health-inequalities-australia/summary" TargetMode="External"/><Relationship Id="rId71" Type="http://schemas.openxmlformats.org/officeDocument/2006/relationships/hyperlink" Target="https://www.asbfeo.gov.au/sites/default/files/2023-06/Small%20Business%20Matters_June%202023.pdf" TargetMode="External"/><Relationship Id="rId2" Type="http://schemas.openxmlformats.org/officeDocument/2006/relationships/hyperlink" Target="https://www.infrastructure.gov.au/department/media/news/2021-progress-australian-regions-and-cities-dashboard" TargetMode="External"/><Relationship Id="rId29" Type="http://schemas.openxmlformats.org/officeDocument/2006/relationships/hyperlink" Target="https://www.acms.au/" TargetMode="External"/><Relationship Id="rId24" Type="http://schemas.openxmlformats.org/officeDocument/2006/relationships/hyperlink" Target="https://www.oecdbetterlifeindex.org/topics/safety/" TargetMode="External"/><Relationship Id="rId40" Type="http://schemas.openxmlformats.org/officeDocument/2006/relationships/hyperlink" Target="https://www.abs.gov.au/statistics/people/housing/housing-occupancy-and-costs/latest-release" TargetMode="External"/><Relationship Id="rId45" Type="http://schemas.openxmlformats.org/officeDocument/2006/relationships/hyperlink" Target="https://www.who.int/news-room/fact-sheets/detail/biodiversity-and-health" TargetMode="External"/><Relationship Id="rId66" Type="http://schemas.openxmlformats.org/officeDocument/2006/relationships/hyperlink" Target="https://treasury.gov.au/sites/default/files/2023-03/c2023-379612-taskforce_community_agenc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MWM">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2b928-d530-43cd-982a-1182d34e58ba">
      <Value>60</Value>
      <Value>39</Value>
      <Value>90</Value>
      <Value>89</Value>
      <Value>88</Value>
      <Value>1</Value>
    </TaxCatchAll>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Publications</TermName>
          <TermId xmlns="http://schemas.microsoft.com/office/infopath/2007/PartnerControls">5e0d58c5-771d-408c-86b2-775886bd4786</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d9ccea4a-e7d8-40b6-99c4-7890569b2140</TermId>
        </TermInfo>
      </Terms>
    </kfc39f3e4e2747ae990d3c8bb74a5a64>
    <n4b0152e996d4de1ae958e243e21fdae xmlns="9362b928-d530-43cd-982a-1182d34e58ba">
      <Terms xmlns="http://schemas.microsoft.com/office/infopath/2007/PartnerControls"/>
    </n4b0152e996d4de1ae958e243e21fdae>
    <ge25bdd0d6464e36b066695d9e81d63d xmlns="fe39d773-a83d-4623-ae74-f25711a76616">
      <Terms xmlns="http://schemas.microsoft.com/office/infopath/2007/PartnerControls"/>
    </ge25bdd0d6464e36b066695d9e81d63d>
    <gf9339f83b284c928ea06e561c85a8b0 xmlns="9362b928-d530-43cd-982a-1182d34e58ba">
      <Terms xmlns="http://schemas.microsoft.com/office/infopath/2007/PartnerControls"/>
    </gf9339f83b284c928ea06e561c85a8b0>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Health</TermName>
          <TermId xmlns="http://schemas.microsoft.com/office/infopath/2007/PartnerControls">874df011-992a-4c3a-861f-f958295d6a4b</TermId>
        </TermInfo>
      </Terms>
    </a48f371a4a874164b16a8c4aab488f5c>
    <h53e52d091864306b9ebb57a2e68435f xmlns="9362b928-d530-43cd-982a-1182d34e58ba">
      <Terms xmlns="http://schemas.microsoft.com/office/infopath/2007/PartnerControls"/>
    </h53e52d091864306b9ebb57a2e68435f>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Wellbeing</TermName>
          <TermId xmlns="http://schemas.microsoft.com/office/infopath/2007/PartnerControls">d6ec473d-59d4-4d9e-b29e-20284da67382</TermId>
        </TermInfo>
        <TermInfo xmlns="http://schemas.microsoft.com/office/infopath/2007/PartnerControls">
          <TermName xmlns="http://schemas.microsoft.com/office/infopath/2007/PartnerControls">Measuring What Matters</TermName>
          <TermId xmlns="http://schemas.microsoft.com/office/infopath/2007/PartnerControls">f042486e-8bab-41ed-a6dd-b9d61e8aa45f</TermId>
        </TermInfo>
        <TermInfo xmlns="http://schemas.microsoft.com/office/infopath/2007/PartnerControls">
          <TermName xmlns="http://schemas.microsoft.com/office/infopath/2007/PartnerControls">Statement</TermName>
          <TermId xmlns="http://schemas.microsoft.com/office/infopath/2007/PartnerControls">9d52c73b-2b23-472d-bb13-88ec89a48874</TermId>
        </TermInfo>
      </Terms>
    </gfba5f33532c49208d2320ce38cc3c2b>
    <_dlc_DocId xmlns="fe39d773-a83d-4623-ae74-f25711a76616">JAAWKMTFPMKK-1646750582-10</_dlc_DocId>
    <_dlc_DocIdUrl xmlns="fe39d773-a83d-4623-ae74-f25711a76616">
      <Url>https://austreasury.sharepoint.com/sites/mwms-function/_layouts/15/DocIdRedir.aspx?ID=JAAWKMTFPMKK-1646750582-10</Url>
      <Description>JAAWKMTFPMKK-1646750582-10</Description>
    </_dlc_DocIdUrl>
    <SharedWithUsers xmlns="9362b928-d530-43cd-982a-1182d34e58ba">
      <UserInfo>
        <DisplayName>Christie, Sarah</DisplayName>
        <AccountId>128</AccountId>
        <AccountType/>
      </UserInfo>
      <UserInfo>
        <DisplayName>Geelan, Emma</DisplayName>
        <AccountId>129</AccountId>
        <AccountType/>
      </UserInfo>
      <UserInfo>
        <DisplayName>Moore, Scott</DisplayName>
        <AccountId>130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CD81FFC3D8F24AAF72C2DC03E7A4CC" ma:contentTypeVersion="26" ma:contentTypeDescription="Create a new document." ma:contentTypeScope="" ma:versionID="a8e4c0f3279a757d8e0ae2ff5d4c7412">
  <xsd:schema xmlns:xsd="http://www.w3.org/2001/XMLSchema" xmlns:xs="http://www.w3.org/2001/XMLSchema" xmlns:p="http://schemas.microsoft.com/office/2006/metadata/properties" xmlns:ns2="9362b928-d530-43cd-982a-1182d34e58ba" xmlns:ns3="fe39d773-a83d-4623-ae74-f25711a76616" xmlns:ns4="a15f56f5-7297-4fcb-aa88-ee1b065e72a1" targetNamespace="http://schemas.microsoft.com/office/2006/metadata/properties" ma:root="true" ma:fieldsID="8ada1f443bed9f7687f2df8fb3b1d160" ns2:_="" ns3:_="" ns4:_="">
    <xsd:import namespace="9362b928-d530-43cd-982a-1182d34e58ba"/>
    <xsd:import namespace="fe39d773-a83d-4623-ae74-f25711a76616"/>
    <xsd:import namespace="a15f56f5-7297-4fcb-aa88-ee1b065e72a1"/>
    <xsd:element name="properties">
      <xsd:complexType>
        <xsd:sequence>
          <xsd:element name="documentManagement">
            <xsd:complexType>
              <xsd:all>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2:h53e52d091864306b9ebb57a2e68435f" minOccurs="0"/>
                <xsd:element ref="ns3:_dlc_DocId" minOccurs="0"/>
                <xsd:element ref="ns2:gf9339f83b284c928ea06e561c85a8b0" minOccurs="0"/>
                <xsd:element ref="ns3:_dlc_DocIdUrl" minOccurs="0"/>
                <xsd:element ref="ns2:n4b0152e996d4de1ae958e243e21fdae" minOccurs="0"/>
                <xsd:element ref="ns4:MediaServiceMetadata" minOccurs="0"/>
                <xsd:element ref="ns4:MediaServiceFastMetadata" minOccurs="0"/>
                <xsd:element ref="ns4:MediaServiceObjectDetectorVersion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2b928-d530-43cd-982a-1182d34e58b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9a2f386-697f-4d57-98ff-33b3ef71614b}" ma:internalName="TaxCatchAll" ma:showField="CatchAllData" ma:web="9362b928-d530-43cd-982a-1182d34e58b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9a2f386-697f-4d57-98ff-33b3ef71614b}" ma:internalName="TaxCatchAllLabel" ma:readOnly="true" ma:showField="CatchAllDataLabel" ma:web="9362b928-d530-43cd-982a-1182d34e58ba">
      <xsd:complexType>
        <xsd:complexContent>
          <xsd:extension base="dms:MultiChoiceLookup">
            <xsd:sequence>
              <xsd:element name="Value" type="dms:Lookup" maxOccurs="unbounded" minOccurs="0" nillable="true"/>
            </xsd:sequence>
          </xsd:extension>
        </xsd:complexContent>
      </xsd:complexType>
    </xsd:element>
    <xsd:element name="h53e52d091864306b9ebb57a2e68435f" ma:index="23" nillable="true" ma:taxonomy="true" ma:internalName="h53e52d091864306b9ebb57a2e68435f" ma:taxonomyFieldName="ClearedBy" ma:displayName="Cleared By" ma:fieldId="{153e52d0-9186-4306-b9eb-b57a2e68435f}" ma:sspId="218240cd-c75f-40bd-87f4-262ac964b25b" ma:termSetId="70f0343d-b96b-483b-afe1-f832eab8d313" ma:anchorId="00000000-0000-0000-0000-000000000000" ma:open="false" ma:isKeyword="false">
      <xsd:complexType>
        <xsd:sequence>
          <xsd:element ref="pc:Terms" minOccurs="0" maxOccurs="1"/>
        </xsd:sequence>
      </xsd:complexType>
    </xsd:element>
    <xsd:element name="gf9339f83b284c928ea06e561c85a8b0" ma:index="25" nillable="true" ma:taxonomy="true" ma:internalName="gf9339f83b284c928ea06e561c85a8b0" ma:taxonomyFieldName="DocumentStatus" ma:displayName="Document Status" ma:fieldId="{0f9339f8-3b28-4c92-8ea0-6e561c85a8b0}" ma:sspId="218240cd-c75f-40bd-87f4-262ac964b25b" ma:termSetId="83cbb4a6-06f1-41bf-bc97-88dec4af34a3" ma:anchorId="00000000-0000-0000-0000-000000000000" ma:open="false" ma:isKeyword="false">
      <xsd:complexType>
        <xsd:sequence>
          <xsd:element ref="pc:Terms" minOccurs="0" maxOccurs="1"/>
        </xsd:sequence>
      </xsd:complexType>
    </xsd:element>
    <xsd:element name="n4b0152e996d4de1ae958e243e21fdae" ma:index="27" nillable="true" ma:taxonomy="true" ma:internalName="n4b0152e996d4de1ae958e243e21fdae" ma:taxonomyFieldName="Audience" ma:displayName="Audience" ma:default="" ma:fieldId="{74b0152e-996d-4de1-ae95-8e243e21fdae}" ma:sspId="218240cd-c75f-40bd-87f4-262ac964b25b" ma:termSetId="cecffbbb-7235-498d-8450-d4b1d83ec2c1"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Health|874df011-992a-4c3a-861f-f958295d6a4b"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4395b9d4-6374-489d-b1bb-55665f6550d1"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ecd9e519-a410-482c-aef8-2addb73640c7"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04481dcc-c4d5-4b9b-a29a-36a1566ab0b7"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5f56f5-7297-4fcb-aa88-ee1b065e72a1"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9862A8-04C0-4EBA-A46F-5F2E26B23E28}">
  <ds:schemaRefs>
    <ds:schemaRef ds:uri="http://schemas.microsoft.com/office/2006/documentManagement/types"/>
    <ds:schemaRef ds:uri="http://purl.org/dc/terms/"/>
    <ds:schemaRef ds:uri="9362b928-d530-43cd-982a-1182d34e58ba"/>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a15f56f5-7297-4fcb-aa88-ee1b065e72a1"/>
    <ds:schemaRef ds:uri="fe39d773-a83d-4623-ae74-f25711a76616"/>
  </ds:schemaRefs>
</ds:datastoreItem>
</file>

<file path=customXml/itemProps2.xml><?xml version="1.0" encoding="utf-8"?>
<ds:datastoreItem xmlns:ds="http://schemas.openxmlformats.org/officeDocument/2006/customXml" ds:itemID="{7264B9AB-8E60-4118-AD2C-D67388D9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2b928-d530-43cd-982a-1182d34e58ba"/>
    <ds:schemaRef ds:uri="fe39d773-a83d-4623-ae74-f25711a76616"/>
    <ds:schemaRef ds:uri="a15f56f5-7297-4fcb-aa88-ee1b065e7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2CD972-8CB5-44DA-B76C-424495844DA6}">
  <ds:schemaRefs>
    <ds:schemaRef ds:uri="http://schemas.microsoft.com/sharepoint/v3/contenttype/forms"/>
  </ds:schemaRefs>
</ds:datastoreItem>
</file>

<file path=customXml/itemProps4.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5.xml><?xml version="1.0" encoding="utf-8"?>
<ds:datastoreItem xmlns:ds="http://schemas.openxmlformats.org/officeDocument/2006/customXml" ds:itemID="{72988E49-839E-4864-85F4-5A0A6050461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TSY A4 Report.dotm</Template>
  <TotalTime>2</TotalTime>
  <Pages>93</Pages>
  <Words>27532</Words>
  <Characters>155807</Characters>
  <Application>Microsoft Office Word</Application>
  <DocSecurity>0</DocSecurity>
  <Lines>5217</Lines>
  <Paragraphs>1824</Paragraphs>
  <ScaleCrop>false</ScaleCrop>
  <HeadingPairs>
    <vt:vector size="2" baseType="variant">
      <vt:variant>
        <vt:lpstr>Title</vt:lpstr>
      </vt:variant>
      <vt:variant>
        <vt:i4>1</vt:i4>
      </vt:variant>
    </vt:vector>
  </HeadingPairs>
  <TitlesOfParts>
    <vt:vector size="1" baseType="lpstr">
      <vt:lpstr>Measuring What Matters: Australia’s First Wellbeing Framework</vt:lpstr>
    </vt:vector>
  </TitlesOfParts>
  <Company/>
  <LinksUpToDate>false</LinksUpToDate>
  <CharactersWithSpaces>182099</CharactersWithSpaces>
  <SharedDoc>false</SharedDoc>
  <HLinks>
    <vt:vector size="768" baseType="variant">
      <vt:variant>
        <vt:i4>917583</vt:i4>
      </vt:variant>
      <vt:variant>
        <vt:i4>240</vt:i4>
      </vt:variant>
      <vt:variant>
        <vt:i4>0</vt:i4>
      </vt:variant>
      <vt:variant>
        <vt:i4>5</vt:i4>
      </vt:variant>
      <vt:variant>
        <vt:lpwstr>https://www.lifeline.org.au/</vt:lpwstr>
      </vt:variant>
      <vt:variant>
        <vt:lpwstr/>
      </vt:variant>
      <vt:variant>
        <vt:i4>3211320</vt:i4>
      </vt:variant>
      <vt:variant>
        <vt:i4>237</vt:i4>
      </vt:variant>
      <vt:variant>
        <vt:i4>0</vt:i4>
      </vt:variant>
      <vt:variant>
        <vt:i4>5</vt:i4>
      </vt:variant>
      <vt:variant>
        <vt:lpwstr>https://www.1800respect.org.au/</vt:lpwstr>
      </vt:variant>
      <vt:variant>
        <vt:lpwstr/>
      </vt:variant>
      <vt:variant>
        <vt:i4>1048643</vt:i4>
      </vt:variant>
      <vt:variant>
        <vt:i4>234</vt:i4>
      </vt:variant>
      <vt:variant>
        <vt:i4>0</vt:i4>
      </vt:variant>
      <vt:variant>
        <vt:i4>5</vt:i4>
      </vt:variant>
      <vt:variant>
        <vt:lpwstr>https://poll.lowyinstitute.org/charts/feelings-of-safety</vt:lpwstr>
      </vt:variant>
      <vt:variant>
        <vt:lpwstr/>
      </vt:variant>
      <vt:variant>
        <vt:i4>1638457</vt:i4>
      </vt:variant>
      <vt:variant>
        <vt:i4>227</vt:i4>
      </vt:variant>
      <vt:variant>
        <vt:i4>0</vt:i4>
      </vt:variant>
      <vt:variant>
        <vt:i4>5</vt:i4>
      </vt:variant>
      <vt:variant>
        <vt:lpwstr/>
      </vt:variant>
      <vt:variant>
        <vt:lpwstr>_Toc147497695</vt:lpwstr>
      </vt:variant>
      <vt:variant>
        <vt:i4>1638457</vt:i4>
      </vt:variant>
      <vt:variant>
        <vt:i4>221</vt:i4>
      </vt:variant>
      <vt:variant>
        <vt:i4>0</vt:i4>
      </vt:variant>
      <vt:variant>
        <vt:i4>5</vt:i4>
      </vt:variant>
      <vt:variant>
        <vt:lpwstr/>
      </vt:variant>
      <vt:variant>
        <vt:lpwstr>_Toc147497694</vt:lpwstr>
      </vt:variant>
      <vt:variant>
        <vt:i4>1638457</vt:i4>
      </vt:variant>
      <vt:variant>
        <vt:i4>215</vt:i4>
      </vt:variant>
      <vt:variant>
        <vt:i4>0</vt:i4>
      </vt:variant>
      <vt:variant>
        <vt:i4>5</vt:i4>
      </vt:variant>
      <vt:variant>
        <vt:lpwstr/>
      </vt:variant>
      <vt:variant>
        <vt:lpwstr>_Toc147497693</vt:lpwstr>
      </vt:variant>
      <vt:variant>
        <vt:i4>1638457</vt:i4>
      </vt:variant>
      <vt:variant>
        <vt:i4>209</vt:i4>
      </vt:variant>
      <vt:variant>
        <vt:i4>0</vt:i4>
      </vt:variant>
      <vt:variant>
        <vt:i4>5</vt:i4>
      </vt:variant>
      <vt:variant>
        <vt:lpwstr/>
      </vt:variant>
      <vt:variant>
        <vt:lpwstr>_Toc147497692</vt:lpwstr>
      </vt:variant>
      <vt:variant>
        <vt:i4>1638457</vt:i4>
      </vt:variant>
      <vt:variant>
        <vt:i4>203</vt:i4>
      </vt:variant>
      <vt:variant>
        <vt:i4>0</vt:i4>
      </vt:variant>
      <vt:variant>
        <vt:i4>5</vt:i4>
      </vt:variant>
      <vt:variant>
        <vt:lpwstr/>
      </vt:variant>
      <vt:variant>
        <vt:lpwstr>_Toc147497691</vt:lpwstr>
      </vt:variant>
      <vt:variant>
        <vt:i4>1638457</vt:i4>
      </vt:variant>
      <vt:variant>
        <vt:i4>197</vt:i4>
      </vt:variant>
      <vt:variant>
        <vt:i4>0</vt:i4>
      </vt:variant>
      <vt:variant>
        <vt:i4>5</vt:i4>
      </vt:variant>
      <vt:variant>
        <vt:lpwstr/>
      </vt:variant>
      <vt:variant>
        <vt:lpwstr>_Toc147497690</vt:lpwstr>
      </vt:variant>
      <vt:variant>
        <vt:i4>1572921</vt:i4>
      </vt:variant>
      <vt:variant>
        <vt:i4>191</vt:i4>
      </vt:variant>
      <vt:variant>
        <vt:i4>0</vt:i4>
      </vt:variant>
      <vt:variant>
        <vt:i4>5</vt:i4>
      </vt:variant>
      <vt:variant>
        <vt:lpwstr/>
      </vt:variant>
      <vt:variant>
        <vt:lpwstr>_Toc147497689</vt:lpwstr>
      </vt:variant>
      <vt:variant>
        <vt:i4>1572921</vt:i4>
      </vt:variant>
      <vt:variant>
        <vt:i4>185</vt:i4>
      </vt:variant>
      <vt:variant>
        <vt:i4>0</vt:i4>
      </vt:variant>
      <vt:variant>
        <vt:i4>5</vt:i4>
      </vt:variant>
      <vt:variant>
        <vt:lpwstr/>
      </vt:variant>
      <vt:variant>
        <vt:lpwstr>_Toc147497688</vt:lpwstr>
      </vt:variant>
      <vt:variant>
        <vt:i4>1572921</vt:i4>
      </vt:variant>
      <vt:variant>
        <vt:i4>179</vt:i4>
      </vt:variant>
      <vt:variant>
        <vt:i4>0</vt:i4>
      </vt:variant>
      <vt:variant>
        <vt:i4>5</vt:i4>
      </vt:variant>
      <vt:variant>
        <vt:lpwstr/>
      </vt:variant>
      <vt:variant>
        <vt:lpwstr>_Toc147497687</vt:lpwstr>
      </vt:variant>
      <vt:variant>
        <vt:i4>1572921</vt:i4>
      </vt:variant>
      <vt:variant>
        <vt:i4>173</vt:i4>
      </vt:variant>
      <vt:variant>
        <vt:i4>0</vt:i4>
      </vt:variant>
      <vt:variant>
        <vt:i4>5</vt:i4>
      </vt:variant>
      <vt:variant>
        <vt:lpwstr/>
      </vt:variant>
      <vt:variant>
        <vt:lpwstr>_Toc147497686</vt:lpwstr>
      </vt:variant>
      <vt:variant>
        <vt:i4>1572921</vt:i4>
      </vt:variant>
      <vt:variant>
        <vt:i4>167</vt:i4>
      </vt:variant>
      <vt:variant>
        <vt:i4>0</vt:i4>
      </vt:variant>
      <vt:variant>
        <vt:i4>5</vt:i4>
      </vt:variant>
      <vt:variant>
        <vt:lpwstr/>
      </vt:variant>
      <vt:variant>
        <vt:lpwstr>_Toc147497685</vt:lpwstr>
      </vt:variant>
      <vt:variant>
        <vt:i4>1572921</vt:i4>
      </vt:variant>
      <vt:variant>
        <vt:i4>161</vt:i4>
      </vt:variant>
      <vt:variant>
        <vt:i4>0</vt:i4>
      </vt:variant>
      <vt:variant>
        <vt:i4>5</vt:i4>
      </vt:variant>
      <vt:variant>
        <vt:lpwstr/>
      </vt:variant>
      <vt:variant>
        <vt:lpwstr>_Toc147497684</vt:lpwstr>
      </vt:variant>
      <vt:variant>
        <vt:i4>1572921</vt:i4>
      </vt:variant>
      <vt:variant>
        <vt:i4>155</vt:i4>
      </vt:variant>
      <vt:variant>
        <vt:i4>0</vt:i4>
      </vt:variant>
      <vt:variant>
        <vt:i4>5</vt:i4>
      </vt:variant>
      <vt:variant>
        <vt:lpwstr/>
      </vt:variant>
      <vt:variant>
        <vt:lpwstr>_Toc147497683</vt:lpwstr>
      </vt:variant>
      <vt:variant>
        <vt:i4>1572921</vt:i4>
      </vt:variant>
      <vt:variant>
        <vt:i4>149</vt:i4>
      </vt:variant>
      <vt:variant>
        <vt:i4>0</vt:i4>
      </vt:variant>
      <vt:variant>
        <vt:i4>5</vt:i4>
      </vt:variant>
      <vt:variant>
        <vt:lpwstr/>
      </vt:variant>
      <vt:variant>
        <vt:lpwstr>_Toc147497682</vt:lpwstr>
      </vt:variant>
      <vt:variant>
        <vt:i4>1572921</vt:i4>
      </vt:variant>
      <vt:variant>
        <vt:i4>143</vt:i4>
      </vt:variant>
      <vt:variant>
        <vt:i4>0</vt:i4>
      </vt:variant>
      <vt:variant>
        <vt:i4>5</vt:i4>
      </vt:variant>
      <vt:variant>
        <vt:lpwstr/>
      </vt:variant>
      <vt:variant>
        <vt:lpwstr>_Toc147497681</vt:lpwstr>
      </vt:variant>
      <vt:variant>
        <vt:i4>1572921</vt:i4>
      </vt:variant>
      <vt:variant>
        <vt:i4>137</vt:i4>
      </vt:variant>
      <vt:variant>
        <vt:i4>0</vt:i4>
      </vt:variant>
      <vt:variant>
        <vt:i4>5</vt:i4>
      </vt:variant>
      <vt:variant>
        <vt:lpwstr/>
      </vt:variant>
      <vt:variant>
        <vt:lpwstr>_Toc147497680</vt:lpwstr>
      </vt:variant>
      <vt:variant>
        <vt:i4>1507385</vt:i4>
      </vt:variant>
      <vt:variant>
        <vt:i4>131</vt:i4>
      </vt:variant>
      <vt:variant>
        <vt:i4>0</vt:i4>
      </vt:variant>
      <vt:variant>
        <vt:i4>5</vt:i4>
      </vt:variant>
      <vt:variant>
        <vt:lpwstr/>
      </vt:variant>
      <vt:variant>
        <vt:lpwstr>_Toc147497679</vt:lpwstr>
      </vt:variant>
      <vt:variant>
        <vt:i4>1507385</vt:i4>
      </vt:variant>
      <vt:variant>
        <vt:i4>125</vt:i4>
      </vt:variant>
      <vt:variant>
        <vt:i4>0</vt:i4>
      </vt:variant>
      <vt:variant>
        <vt:i4>5</vt:i4>
      </vt:variant>
      <vt:variant>
        <vt:lpwstr/>
      </vt:variant>
      <vt:variant>
        <vt:lpwstr>_Toc147497678</vt:lpwstr>
      </vt:variant>
      <vt:variant>
        <vt:i4>1507385</vt:i4>
      </vt:variant>
      <vt:variant>
        <vt:i4>119</vt:i4>
      </vt:variant>
      <vt:variant>
        <vt:i4>0</vt:i4>
      </vt:variant>
      <vt:variant>
        <vt:i4>5</vt:i4>
      </vt:variant>
      <vt:variant>
        <vt:lpwstr/>
      </vt:variant>
      <vt:variant>
        <vt:lpwstr>_Toc147497677</vt:lpwstr>
      </vt:variant>
      <vt:variant>
        <vt:i4>1507385</vt:i4>
      </vt:variant>
      <vt:variant>
        <vt:i4>113</vt:i4>
      </vt:variant>
      <vt:variant>
        <vt:i4>0</vt:i4>
      </vt:variant>
      <vt:variant>
        <vt:i4>5</vt:i4>
      </vt:variant>
      <vt:variant>
        <vt:lpwstr/>
      </vt:variant>
      <vt:variant>
        <vt:lpwstr>_Toc147497676</vt:lpwstr>
      </vt:variant>
      <vt:variant>
        <vt:i4>1507385</vt:i4>
      </vt:variant>
      <vt:variant>
        <vt:i4>107</vt:i4>
      </vt:variant>
      <vt:variant>
        <vt:i4>0</vt:i4>
      </vt:variant>
      <vt:variant>
        <vt:i4>5</vt:i4>
      </vt:variant>
      <vt:variant>
        <vt:lpwstr/>
      </vt:variant>
      <vt:variant>
        <vt:lpwstr>_Toc147497675</vt:lpwstr>
      </vt:variant>
      <vt:variant>
        <vt:i4>1507385</vt:i4>
      </vt:variant>
      <vt:variant>
        <vt:i4>101</vt:i4>
      </vt:variant>
      <vt:variant>
        <vt:i4>0</vt:i4>
      </vt:variant>
      <vt:variant>
        <vt:i4>5</vt:i4>
      </vt:variant>
      <vt:variant>
        <vt:lpwstr/>
      </vt:variant>
      <vt:variant>
        <vt:lpwstr>_Toc147497674</vt:lpwstr>
      </vt:variant>
      <vt:variant>
        <vt:i4>1507385</vt:i4>
      </vt:variant>
      <vt:variant>
        <vt:i4>95</vt:i4>
      </vt:variant>
      <vt:variant>
        <vt:i4>0</vt:i4>
      </vt:variant>
      <vt:variant>
        <vt:i4>5</vt:i4>
      </vt:variant>
      <vt:variant>
        <vt:lpwstr/>
      </vt:variant>
      <vt:variant>
        <vt:lpwstr>_Toc147497673</vt:lpwstr>
      </vt:variant>
      <vt:variant>
        <vt:i4>1507385</vt:i4>
      </vt:variant>
      <vt:variant>
        <vt:i4>89</vt:i4>
      </vt:variant>
      <vt:variant>
        <vt:i4>0</vt:i4>
      </vt:variant>
      <vt:variant>
        <vt:i4>5</vt:i4>
      </vt:variant>
      <vt:variant>
        <vt:lpwstr/>
      </vt:variant>
      <vt:variant>
        <vt:lpwstr>_Toc147497672</vt:lpwstr>
      </vt:variant>
      <vt:variant>
        <vt:i4>1507385</vt:i4>
      </vt:variant>
      <vt:variant>
        <vt:i4>83</vt:i4>
      </vt:variant>
      <vt:variant>
        <vt:i4>0</vt:i4>
      </vt:variant>
      <vt:variant>
        <vt:i4>5</vt:i4>
      </vt:variant>
      <vt:variant>
        <vt:lpwstr/>
      </vt:variant>
      <vt:variant>
        <vt:lpwstr>_Toc147497671</vt:lpwstr>
      </vt:variant>
      <vt:variant>
        <vt:i4>1507385</vt:i4>
      </vt:variant>
      <vt:variant>
        <vt:i4>77</vt:i4>
      </vt:variant>
      <vt:variant>
        <vt:i4>0</vt:i4>
      </vt:variant>
      <vt:variant>
        <vt:i4>5</vt:i4>
      </vt:variant>
      <vt:variant>
        <vt:lpwstr/>
      </vt:variant>
      <vt:variant>
        <vt:lpwstr>_Toc147497670</vt:lpwstr>
      </vt:variant>
      <vt:variant>
        <vt:i4>1441849</vt:i4>
      </vt:variant>
      <vt:variant>
        <vt:i4>71</vt:i4>
      </vt:variant>
      <vt:variant>
        <vt:i4>0</vt:i4>
      </vt:variant>
      <vt:variant>
        <vt:i4>5</vt:i4>
      </vt:variant>
      <vt:variant>
        <vt:lpwstr/>
      </vt:variant>
      <vt:variant>
        <vt:lpwstr>_Toc147497669</vt:lpwstr>
      </vt:variant>
      <vt:variant>
        <vt:i4>1441849</vt:i4>
      </vt:variant>
      <vt:variant>
        <vt:i4>65</vt:i4>
      </vt:variant>
      <vt:variant>
        <vt:i4>0</vt:i4>
      </vt:variant>
      <vt:variant>
        <vt:i4>5</vt:i4>
      </vt:variant>
      <vt:variant>
        <vt:lpwstr/>
      </vt:variant>
      <vt:variant>
        <vt:lpwstr>_Toc147497668</vt:lpwstr>
      </vt:variant>
      <vt:variant>
        <vt:i4>1441849</vt:i4>
      </vt:variant>
      <vt:variant>
        <vt:i4>59</vt:i4>
      </vt:variant>
      <vt:variant>
        <vt:i4>0</vt:i4>
      </vt:variant>
      <vt:variant>
        <vt:i4>5</vt:i4>
      </vt:variant>
      <vt:variant>
        <vt:lpwstr/>
      </vt:variant>
      <vt:variant>
        <vt:lpwstr>_Toc147497667</vt:lpwstr>
      </vt:variant>
      <vt:variant>
        <vt:i4>1441849</vt:i4>
      </vt:variant>
      <vt:variant>
        <vt:i4>53</vt:i4>
      </vt:variant>
      <vt:variant>
        <vt:i4>0</vt:i4>
      </vt:variant>
      <vt:variant>
        <vt:i4>5</vt:i4>
      </vt:variant>
      <vt:variant>
        <vt:lpwstr/>
      </vt:variant>
      <vt:variant>
        <vt:lpwstr>_Toc147497666</vt:lpwstr>
      </vt:variant>
      <vt:variant>
        <vt:i4>1441849</vt:i4>
      </vt:variant>
      <vt:variant>
        <vt:i4>47</vt:i4>
      </vt:variant>
      <vt:variant>
        <vt:i4>0</vt:i4>
      </vt:variant>
      <vt:variant>
        <vt:i4>5</vt:i4>
      </vt:variant>
      <vt:variant>
        <vt:lpwstr/>
      </vt:variant>
      <vt:variant>
        <vt:lpwstr>_Toc147497665</vt:lpwstr>
      </vt:variant>
      <vt:variant>
        <vt:i4>1441849</vt:i4>
      </vt:variant>
      <vt:variant>
        <vt:i4>41</vt:i4>
      </vt:variant>
      <vt:variant>
        <vt:i4>0</vt:i4>
      </vt:variant>
      <vt:variant>
        <vt:i4>5</vt:i4>
      </vt:variant>
      <vt:variant>
        <vt:lpwstr/>
      </vt:variant>
      <vt:variant>
        <vt:lpwstr>_Toc147497664</vt:lpwstr>
      </vt:variant>
      <vt:variant>
        <vt:i4>1441849</vt:i4>
      </vt:variant>
      <vt:variant>
        <vt:i4>35</vt:i4>
      </vt:variant>
      <vt:variant>
        <vt:i4>0</vt:i4>
      </vt:variant>
      <vt:variant>
        <vt:i4>5</vt:i4>
      </vt:variant>
      <vt:variant>
        <vt:lpwstr/>
      </vt:variant>
      <vt:variant>
        <vt:lpwstr>_Toc147497663</vt:lpwstr>
      </vt:variant>
      <vt:variant>
        <vt:i4>1441849</vt:i4>
      </vt:variant>
      <vt:variant>
        <vt:i4>29</vt:i4>
      </vt:variant>
      <vt:variant>
        <vt:i4>0</vt:i4>
      </vt:variant>
      <vt:variant>
        <vt:i4>5</vt:i4>
      </vt:variant>
      <vt:variant>
        <vt:lpwstr/>
      </vt:variant>
      <vt:variant>
        <vt:lpwstr>_Toc147497662</vt:lpwstr>
      </vt:variant>
      <vt:variant>
        <vt:i4>1441849</vt:i4>
      </vt:variant>
      <vt:variant>
        <vt:i4>23</vt:i4>
      </vt:variant>
      <vt:variant>
        <vt:i4>0</vt:i4>
      </vt:variant>
      <vt:variant>
        <vt:i4>5</vt:i4>
      </vt:variant>
      <vt:variant>
        <vt:lpwstr/>
      </vt:variant>
      <vt:variant>
        <vt:lpwstr>_Toc147497661</vt:lpwstr>
      </vt:variant>
      <vt:variant>
        <vt:i4>1441849</vt:i4>
      </vt:variant>
      <vt:variant>
        <vt:i4>17</vt:i4>
      </vt:variant>
      <vt:variant>
        <vt:i4>0</vt:i4>
      </vt:variant>
      <vt:variant>
        <vt:i4>5</vt:i4>
      </vt:variant>
      <vt:variant>
        <vt:lpwstr/>
      </vt:variant>
      <vt:variant>
        <vt:lpwstr>_Toc147497660</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1507399</vt:i4>
      </vt:variant>
      <vt:variant>
        <vt:i4>249</vt:i4>
      </vt:variant>
      <vt:variant>
        <vt:i4>0</vt:i4>
      </vt:variant>
      <vt:variant>
        <vt:i4>5</vt:i4>
      </vt:variant>
      <vt:variant>
        <vt:lpwstr>https://ec.europa.eu/research/participants/documents/downloadPublic?documentIds=080166e5d9df8da1&amp;appId=PPGMS</vt:lpwstr>
      </vt:variant>
      <vt:variant>
        <vt:lpwstr/>
      </vt:variant>
      <vt:variant>
        <vt:i4>4194324</vt:i4>
      </vt:variant>
      <vt:variant>
        <vt:i4>246</vt:i4>
      </vt:variant>
      <vt:variant>
        <vt:i4>0</vt:i4>
      </vt:variant>
      <vt:variant>
        <vt:i4>5</vt:i4>
      </vt:variant>
      <vt:variant>
        <vt:lpwstr>https://www.oecd.org/general/compendiumofoecdwell-beingindicators.htm</vt:lpwstr>
      </vt:variant>
      <vt:variant>
        <vt:lpwstr/>
      </vt:variant>
      <vt:variant>
        <vt:i4>7274555</vt:i4>
      </vt:variant>
      <vt:variant>
        <vt:i4>243</vt:i4>
      </vt:variant>
      <vt:variant>
        <vt:i4>0</vt:i4>
      </vt:variant>
      <vt:variant>
        <vt:i4>5</vt:i4>
      </vt:variant>
      <vt:variant>
        <vt:lpwstr>https://www.aedc.gov.au/Websilk/Handlers/ResourceDocument.ashx?id=75ac2964-db9a-6d2b-9fad-ff0000a141dd</vt:lpwstr>
      </vt:variant>
      <vt:variant>
        <vt:lpwstr/>
      </vt:variant>
      <vt:variant>
        <vt:i4>7405619</vt:i4>
      </vt:variant>
      <vt:variant>
        <vt:i4>240</vt:i4>
      </vt:variant>
      <vt:variant>
        <vt:i4>0</vt:i4>
      </vt:variant>
      <vt:variant>
        <vt:i4>5</vt:i4>
      </vt:variant>
      <vt:variant>
        <vt:lpwstr>https://www.acecqa.gov.au/latest-news/89-childrens-education-and-care-services-meeting-or-exceeding-standards-0</vt:lpwstr>
      </vt:variant>
      <vt:variant>
        <vt:lpwstr/>
      </vt:variant>
      <vt:variant>
        <vt:i4>1638404</vt:i4>
      </vt:variant>
      <vt:variant>
        <vt:i4>237</vt:i4>
      </vt:variant>
      <vt:variant>
        <vt:i4>0</vt:i4>
      </vt:variant>
      <vt:variant>
        <vt:i4>5</vt:i4>
      </vt:variant>
      <vt:variant>
        <vt:lpwstr>https://www.aihw.gov.au/reports/children-youth/australias-children/contents/education/early-learning-reading-to-children</vt:lpwstr>
      </vt:variant>
      <vt:variant>
        <vt:lpwstr/>
      </vt:variant>
      <vt:variant>
        <vt:i4>7340130</vt:i4>
      </vt:variant>
      <vt:variant>
        <vt:i4>234</vt:i4>
      </vt:variant>
      <vt:variant>
        <vt:i4>0</vt:i4>
      </vt:variant>
      <vt:variant>
        <vt:i4>5</vt:i4>
      </vt:variant>
      <vt:variant>
        <vt:lpwstr>https://www.abs.gov.au/statistics/health/health-conditions-and-risks/national-health-survey-first-results/latest-release</vt:lpwstr>
      </vt:variant>
      <vt:variant>
        <vt:lpwstr>key-statistics</vt:lpwstr>
      </vt:variant>
      <vt:variant>
        <vt:i4>3473446</vt:i4>
      </vt:variant>
      <vt:variant>
        <vt:i4>231</vt:i4>
      </vt:variant>
      <vt:variant>
        <vt:i4>0</vt:i4>
      </vt:variant>
      <vt:variant>
        <vt:i4>5</vt:i4>
      </vt:variant>
      <vt:variant>
        <vt:lpwstr>https://www.aihw.gov.au/reports/mothers-babies/australias-mothers-babies/contents/antenatal-period/smoking-during-pregnancy</vt:lpwstr>
      </vt:variant>
      <vt:variant>
        <vt:lpwstr/>
      </vt:variant>
      <vt:variant>
        <vt:i4>4128886</vt:i4>
      </vt:variant>
      <vt:variant>
        <vt:i4>228</vt:i4>
      </vt:variant>
      <vt:variant>
        <vt:i4>0</vt:i4>
      </vt:variant>
      <vt:variant>
        <vt:i4>5</vt:i4>
      </vt:variant>
      <vt:variant>
        <vt:lpwstr>https://www.health.gov.au/topics/immunisation/immunisation-data/childhood-immunisation-coverage</vt:lpwstr>
      </vt:variant>
      <vt:variant>
        <vt:lpwstr/>
      </vt:variant>
      <vt:variant>
        <vt:i4>7864418</vt:i4>
      </vt:variant>
      <vt:variant>
        <vt:i4>225</vt:i4>
      </vt:variant>
      <vt:variant>
        <vt:i4>0</vt:i4>
      </vt:variant>
      <vt:variant>
        <vt:i4>5</vt:i4>
      </vt:variant>
      <vt:variant>
        <vt:lpwstr>https://alt-qed.qed.qld.gov.au/programs-initiatives/education/early-years-plan</vt:lpwstr>
      </vt:variant>
      <vt:variant>
        <vt:lpwstr/>
      </vt:variant>
      <vt:variant>
        <vt:i4>1310786</vt:i4>
      </vt:variant>
      <vt:variant>
        <vt:i4>222</vt:i4>
      </vt:variant>
      <vt:variant>
        <vt:i4>0</vt:i4>
      </vt:variant>
      <vt:variant>
        <vt:i4>5</vt:i4>
      </vt:variant>
      <vt:variant>
        <vt:lpwstr>https://www.ccyp.wa.gov.au/our-work/indicators-of-wellbeing/</vt:lpwstr>
      </vt:variant>
      <vt:variant>
        <vt:lpwstr/>
      </vt:variant>
      <vt:variant>
        <vt:i4>3342437</vt:i4>
      </vt:variant>
      <vt:variant>
        <vt:i4>219</vt:i4>
      </vt:variant>
      <vt:variant>
        <vt:i4>0</vt:i4>
      </vt:variant>
      <vt:variant>
        <vt:i4>5</vt:i4>
      </vt:variant>
      <vt:variant>
        <vt:lpwstr>https://www.dpmc.govt.nz/our-programmes/child-and-youth-wellbeing-strategy</vt:lpwstr>
      </vt:variant>
      <vt:variant>
        <vt:lpwstr/>
      </vt:variant>
      <vt:variant>
        <vt:i4>8126565</vt:i4>
      </vt:variant>
      <vt:variant>
        <vt:i4>216</vt:i4>
      </vt:variant>
      <vt:variant>
        <vt:i4>0</vt:i4>
      </vt:variant>
      <vt:variant>
        <vt:i4>5</vt:i4>
      </vt:variant>
      <vt:variant>
        <vt:lpwstr>https://www.unicef.org.au/the-wellbeing-of-australia-s-children</vt:lpwstr>
      </vt:variant>
      <vt:variant>
        <vt:lpwstr/>
      </vt:variant>
      <vt:variant>
        <vt:i4>7995452</vt:i4>
      </vt:variant>
      <vt:variant>
        <vt:i4>213</vt:i4>
      </vt:variant>
      <vt:variant>
        <vt:i4>0</vt:i4>
      </vt:variant>
      <vt:variant>
        <vt:i4>5</vt:i4>
      </vt:variant>
      <vt:variant>
        <vt:lpwstr>https://www.oecd.org/wise/measuring-what-matters-for-child-well-being-and-policies-e82fded1-en.htm</vt:lpwstr>
      </vt:variant>
      <vt:variant>
        <vt:lpwstr/>
      </vt:variant>
      <vt:variant>
        <vt:i4>2293785</vt:i4>
      </vt:variant>
      <vt:variant>
        <vt:i4>210</vt:i4>
      </vt:variant>
      <vt:variant>
        <vt:i4>0</vt:i4>
      </vt:variant>
      <vt:variant>
        <vt:i4>5</vt:i4>
      </vt:variant>
      <vt:variant>
        <vt:lpwstr>https://www.asbfeo.gov.au/sites/default/files/2023-06/Small Business Matters_June 2023.pdf</vt:lpwstr>
      </vt:variant>
      <vt:variant>
        <vt:lpwstr/>
      </vt:variant>
      <vt:variant>
        <vt:i4>6094937</vt:i4>
      </vt:variant>
      <vt:variant>
        <vt:i4>207</vt:i4>
      </vt:variant>
      <vt:variant>
        <vt:i4>0</vt:i4>
      </vt:variant>
      <vt:variant>
        <vt:i4>5</vt:i4>
      </vt:variant>
      <vt:variant>
        <vt:lpwstr>https://www.digitalinclusionindex.org.au/</vt:lpwstr>
      </vt:variant>
      <vt:variant>
        <vt:lpwstr/>
      </vt:variant>
      <vt:variant>
        <vt:i4>3014696</vt:i4>
      </vt:variant>
      <vt:variant>
        <vt:i4>204</vt:i4>
      </vt:variant>
      <vt:variant>
        <vt:i4>0</vt:i4>
      </vt:variant>
      <vt:variant>
        <vt:i4>5</vt:i4>
      </vt:variant>
      <vt:variant>
        <vt:lpwstr>https://www.pc.gov.au/inquiries/completed/school-agreement/report/school-agreement.pdf</vt:lpwstr>
      </vt:variant>
      <vt:variant>
        <vt:lpwstr/>
      </vt:variant>
      <vt:variant>
        <vt:i4>7274555</vt:i4>
      </vt:variant>
      <vt:variant>
        <vt:i4>201</vt:i4>
      </vt:variant>
      <vt:variant>
        <vt:i4>0</vt:i4>
      </vt:variant>
      <vt:variant>
        <vt:i4>5</vt:i4>
      </vt:variant>
      <vt:variant>
        <vt:lpwstr>https://www.aedc.gov.au/Websilk/Handlers/ResourceDocument.ashx?id=75ac2964-db9a-6d2b-9fad-ff0000a141dd</vt:lpwstr>
      </vt:variant>
      <vt:variant>
        <vt:lpwstr/>
      </vt:variant>
      <vt:variant>
        <vt:i4>2162790</vt:i4>
      </vt:variant>
      <vt:variant>
        <vt:i4>198</vt:i4>
      </vt:variant>
      <vt:variant>
        <vt:i4>0</vt:i4>
      </vt:variant>
      <vt:variant>
        <vt:i4>5</vt:i4>
      </vt:variant>
      <vt:variant>
        <vt:lpwstr>https://data.oecd.org/inequality/income-inequality.htm</vt:lpwstr>
      </vt:variant>
      <vt:variant>
        <vt:lpwstr/>
      </vt:variant>
      <vt:variant>
        <vt:i4>2359346</vt:i4>
      </vt:variant>
      <vt:variant>
        <vt:i4>195</vt:i4>
      </vt:variant>
      <vt:variant>
        <vt:i4>0</vt:i4>
      </vt:variant>
      <vt:variant>
        <vt:i4>5</vt:i4>
      </vt:variant>
      <vt:variant>
        <vt:lpwstr>https://treasury.gov.au/sites/default/files/2023-03/c2023-379612-taskforce_community_agency.pdf</vt:lpwstr>
      </vt:variant>
      <vt:variant>
        <vt:lpwstr/>
      </vt:variant>
      <vt:variant>
        <vt:i4>2490453</vt:i4>
      </vt:variant>
      <vt:variant>
        <vt:i4>192</vt:i4>
      </vt:variant>
      <vt:variant>
        <vt:i4>0</vt:i4>
      </vt:variant>
      <vt:variant>
        <vt:i4>5</vt:i4>
      </vt:variant>
      <vt:variant>
        <vt:lpwstr>https://err.parl.net/client/en_GB/search/asset/90392/0</vt:lpwstr>
      </vt:variant>
      <vt:variant>
        <vt:lpwstr/>
      </vt:variant>
      <vt:variant>
        <vt:i4>2097233</vt:i4>
      </vt:variant>
      <vt:variant>
        <vt:i4>189</vt:i4>
      </vt:variant>
      <vt:variant>
        <vt:i4>0</vt:i4>
      </vt:variant>
      <vt:variant>
        <vt:i4>5</vt:i4>
      </vt:variant>
      <vt:variant>
        <vt:lpwstr>https://err.parl.net/client/en_GB/search/asset/75881/0</vt:lpwstr>
      </vt:variant>
      <vt:variant>
        <vt:lpwstr/>
      </vt:variant>
      <vt:variant>
        <vt:i4>2687009</vt:i4>
      </vt:variant>
      <vt:variant>
        <vt:i4>186</vt:i4>
      </vt:variant>
      <vt:variant>
        <vt:i4>0</vt:i4>
      </vt:variant>
      <vt:variant>
        <vt:i4>5</vt:i4>
      </vt:variant>
      <vt:variant>
        <vt:lpwstr>https://data.oecd.org/inequality/women-in-politics.htm</vt:lpwstr>
      </vt:variant>
      <vt:variant>
        <vt:lpwstr/>
      </vt:variant>
      <vt:variant>
        <vt:i4>2490474</vt:i4>
      </vt:variant>
      <vt:variant>
        <vt:i4>183</vt:i4>
      </vt:variant>
      <vt:variant>
        <vt:i4>0</vt:i4>
      </vt:variant>
      <vt:variant>
        <vt:i4>5</vt:i4>
      </vt:variant>
      <vt:variant>
        <vt:lpwstr>https://www.aph.gov.au/About_Parliament/Parliamentary_departments/Parliamentary_Library/pubs/rp/rp2223/Quick_Guides/CompositionPartyGenderJan23</vt:lpwstr>
      </vt:variant>
      <vt:variant>
        <vt:lpwstr/>
      </vt:variant>
      <vt:variant>
        <vt:i4>5177426</vt:i4>
      </vt:variant>
      <vt:variant>
        <vt:i4>180</vt:i4>
      </vt:variant>
      <vt:variant>
        <vt:i4>0</vt:i4>
      </vt:variant>
      <vt:variant>
        <vt:i4>5</vt:i4>
      </vt:variant>
      <vt:variant>
        <vt:lpwstr>https://www.oecd-ilibrary.org/sites/aa436802-en/index.html?itemId=/content/component/aa436802-en</vt:lpwstr>
      </vt:variant>
      <vt:variant>
        <vt:lpwstr>chapter-d1e21977</vt:lpwstr>
      </vt:variant>
      <vt:variant>
        <vt:i4>6422633</vt:i4>
      </vt:variant>
      <vt:variant>
        <vt:i4>177</vt:i4>
      </vt:variant>
      <vt:variant>
        <vt:i4>0</vt:i4>
      </vt:variant>
      <vt:variant>
        <vt:i4>5</vt:i4>
      </vt:variant>
      <vt:variant>
        <vt:lpwstr>https://www.apsreform.gov.au/sites/default/files/resource/download/TAPS-Annual Report 2022.pdf</vt:lpwstr>
      </vt:variant>
      <vt:variant>
        <vt:lpwstr/>
      </vt:variant>
      <vt:variant>
        <vt:i4>1638423</vt:i4>
      </vt:variant>
      <vt:variant>
        <vt:i4>174</vt:i4>
      </vt:variant>
      <vt:variant>
        <vt:i4>0</vt:i4>
      </vt:variant>
      <vt:variant>
        <vt:i4>5</vt:i4>
      </vt:variant>
      <vt:variant>
        <vt:lpwstr>https://www.abs.gov.au/statistics/people/people-and-communities/general-social-survey-summary-results-australia/latest-release</vt:lpwstr>
      </vt:variant>
      <vt:variant>
        <vt:lpwstr>social-experiences</vt:lpwstr>
      </vt:variant>
      <vt:variant>
        <vt:i4>2359329</vt:i4>
      </vt:variant>
      <vt:variant>
        <vt:i4>171</vt:i4>
      </vt:variant>
      <vt:variant>
        <vt:i4>0</vt:i4>
      </vt:variant>
      <vt:variant>
        <vt:i4>5</vt:i4>
      </vt:variant>
      <vt:variant>
        <vt:lpwstr>http://www.arts.gov.au/</vt:lpwstr>
      </vt:variant>
      <vt:variant>
        <vt:lpwstr/>
      </vt:variant>
      <vt:variant>
        <vt:i4>6357114</vt:i4>
      </vt:variant>
      <vt:variant>
        <vt:i4>168</vt:i4>
      </vt:variant>
      <vt:variant>
        <vt:i4>0</vt:i4>
      </vt:variant>
      <vt:variant>
        <vt:i4>5</vt:i4>
      </vt:variant>
      <vt:variant>
        <vt:lpwstr>https://www.arts.gov.au/what-we-do/indigenous-arts-and-languages/indigenous-languages-and-arts-program/national-indigenous-languages-report</vt:lpwstr>
      </vt:variant>
      <vt:variant>
        <vt:lpwstr/>
      </vt:variant>
      <vt:variant>
        <vt:i4>5636111</vt:i4>
      </vt:variant>
      <vt:variant>
        <vt:i4>165</vt:i4>
      </vt:variant>
      <vt:variant>
        <vt:i4>0</vt:i4>
      </vt:variant>
      <vt:variant>
        <vt:i4>5</vt:i4>
      </vt:variant>
      <vt:variant>
        <vt:lpwstr>https://scanloninstitute.org.au/mapping-social-cohesion-2022</vt:lpwstr>
      </vt:variant>
      <vt:variant>
        <vt:lpwstr/>
      </vt:variant>
      <vt:variant>
        <vt:i4>7929907</vt:i4>
      </vt:variant>
      <vt:variant>
        <vt:i4>162</vt:i4>
      </vt:variant>
      <vt:variant>
        <vt:i4>0</vt:i4>
      </vt:variant>
      <vt:variant>
        <vt:i4>5</vt:i4>
      </vt:variant>
      <vt:variant>
        <vt:lpwstr>https://www.reconciliation.org.au/publication/2022-australian-reconciliation-barometer/</vt:lpwstr>
      </vt:variant>
      <vt:variant>
        <vt:lpwstr/>
      </vt:variant>
      <vt:variant>
        <vt:i4>5636111</vt:i4>
      </vt:variant>
      <vt:variant>
        <vt:i4>159</vt:i4>
      </vt:variant>
      <vt:variant>
        <vt:i4>0</vt:i4>
      </vt:variant>
      <vt:variant>
        <vt:i4>5</vt:i4>
      </vt:variant>
      <vt:variant>
        <vt:lpwstr>https://scanloninstitute.org.au/mapping-social-cohesion-2022</vt:lpwstr>
      </vt:variant>
      <vt:variant>
        <vt:lpwstr/>
      </vt:variant>
      <vt:variant>
        <vt:i4>1638423</vt:i4>
      </vt:variant>
      <vt:variant>
        <vt:i4>156</vt:i4>
      </vt:variant>
      <vt:variant>
        <vt:i4>0</vt:i4>
      </vt:variant>
      <vt:variant>
        <vt:i4>5</vt:i4>
      </vt:variant>
      <vt:variant>
        <vt:lpwstr>https://www.abs.gov.au/statistics/people/people-and-communities/general-social-survey-summary-results-australia/latest-release</vt:lpwstr>
      </vt:variant>
      <vt:variant>
        <vt:lpwstr>social-experiences</vt:lpwstr>
      </vt:variant>
      <vt:variant>
        <vt:i4>6881312</vt:i4>
      </vt:variant>
      <vt:variant>
        <vt:i4>153</vt:i4>
      </vt:variant>
      <vt:variant>
        <vt:i4>0</vt:i4>
      </vt:variant>
      <vt:variant>
        <vt:i4>5</vt:i4>
      </vt:variant>
      <vt:variant>
        <vt:lpwstr>https://australiacouncil.gov.au/advocacy-and-research/audience-outlook-monitor/</vt:lpwstr>
      </vt:variant>
      <vt:variant>
        <vt:lpwstr/>
      </vt:variant>
      <vt:variant>
        <vt:i4>3342461</vt:i4>
      </vt:variant>
      <vt:variant>
        <vt:i4>150</vt:i4>
      </vt:variant>
      <vt:variant>
        <vt:i4>0</vt:i4>
      </vt:variant>
      <vt:variant>
        <vt:i4>5</vt:i4>
      </vt:variant>
      <vt:variant>
        <vt:lpwstr>https://www.abs.gov.au/statistics/people/people-and-communities/cultural-and-creative-activities/latest-release</vt:lpwstr>
      </vt:variant>
      <vt:variant>
        <vt:lpwstr/>
      </vt:variant>
      <vt:variant>
        <vt:i4>1638423</vt:i4>
      </vt:variant>
      <vt:variant>
        <vt:i4>147</vt:i4>
      </vt:variant>
      <vt:variant>
        <vt:i4>0</vt:i4>
      </vt:variant>
      <vt:variant>
        <vt:i4>5</vt:i4>
      </vt:variant>
      <vt:variant>
        <vt:lpwstr>https://www.abs.gov.au/statistics/people/people-and-communities/general-social-survey-summary-results-australia/latest-release</vt:lpwstr>
      </vt:variant>
      <vt:variant>
        <vt:lpwstr>social-experiences</vt:lpwstr>
      </vt:variant>
      <vt:variant>
        <vt:i4>196651</vt:i4>
      </vt:variant>
      <vt:variant>
        <vt:i4>144</vt:i4>
      </vt:variant>
      <vt:variant>
        <vt:i4>0</vt:i4>
      </vt:variant>
      <vt:variant>
        <vt:i4>5</vt:i4>
      </vt:variant>
      <vt:variant>
        <vt:lpwstr>https://treasury.gov.au/sites/default/files/2023-03/c2023-379612-relationships_australia.pdf</vt:lpwstr>
      </vt:variant>
      <vt:variant>
        <vt:lpwstr/>
      </vt:variant>
      <vt:variant>
        <vt:i4>6619241</vt:i4>
      </vt:variant>
      <vt:variant>
        <vt:i4>141</vt:i4>
      </vt:variant>
      <vt:variant>
        <vt:i4>0</vt:i4>
      </vt:variant>
      <vt:variant>
        <vt:i4>5</vt:i4>
      </vt:variant>
      <vt:variant>
        <vt:lpwstr>https://actuaries.asn.au/Library/Opinion/2022/HIAGreenPaper.pdf</vt:lpwstr>
      </vt:variant>
      <vt:variant>
        <vt:lpwstr/>
      </vt:variant>
      <vt:variant>
        <vt:i4>7536698</vt:i4>
      </vt:variant>
      <vt:variant>
        <vt:i4>138</vt:i4>
      </vt:variant>
      <vt:variant>
        <vt:i4>0</vt:i4>
      </vt:variant>
      <vt:variant>
        <vt:i4>5</vt:i4>
      </vt:variant>
      <vt:variant>
        <vt:lpwstr>https://www.dcceew.gov.au/environment/protection/waste/national-waste-reports/2022</vt:lpwstr>
      </vt:variant>
      <vt:variant>
        <vt:lpwstr/>
      </vt:variant>
      <vt:variant>
        <vt:i4>3801134</vt:i4>
      </vt:variant>
      <vt:variant>
        <vt:i4>135</vt:i4>
      </vt:variant>
      <vt:variant>
        <vt:i4>0</vt:i4>
      </vt:variant>
      <vt:variant>
        <vt:i4>5</vt:i4>
      </vt:variant>
      <vt:variant>
        <vt:lpwstr>https://www.tern.org.au/the-state-of-play-australias-threatened-species-index-for-2022/</vt:lpwstr>
      </vt:variant>
      <vt:variant>
        <vt:lpwstr/>
      </vt:variant>
      <vt:variant>
        <vt:i4>5373970</vt:i4>
      </vt:variant>
      <vt:variant>
        <vt:i4>132</vt:i4>
      </vt:variant>
      <vt:variant>
        <vt:i4>0</vt:i4>
      </vt:variant>
      <vt:variant>
        <vt:i4>5</vt:i4>
      </vt:variant>
      <vt:variant>
        <vt:lpwstr>https://www.who.int/news-room/fact-sheets/detail/biodiversity-and-health</vt:lpwstr>
      </vt:variant>
      <vt:variant>
        <vt:lpwstr/>
      </vt:variant>
      <vt:variant>
        <vt:i4>6029340</vt:i4>
      </vt:variant>
      <vt:variant>
        <vt:i4>129</vt:i4>
      </vt:variant>
      <vt:variant>
        <vt:i4>0</vt:i4>
      </vt:variant>
      <vt:variant>
        <vt:i4>5</vt:i4>
      </vt:variant>
      <vt:variant>
        <vt:lpwstr>https://www.dcceew.gov.au/environment/land/nrs/science/capad</vt:lpwstr>
      </vt:variant>
      <vt:variant>
        <vt:lpwstr/>
      </vt:variant>
      <vt:variant>
        <vt:i4>5373991</vt:i4>
      </vt:variant>
      <vt:variant>
        <vt:i4>126</vt:i4>
      </vt:variant>
      <vt:variant>
        <vt:i4>0</vt:i4>
      </vt:variant>
      <vt:variant>
        <vt:i4>5</vt:i4>
      </vt:variant>
      <vt:variant>
        <vt:lpwstr>https://www.aihw.gov.au/reports/australias-health/natural-environment-and-health</vt:lpwstr>
      </vt:variant>
      <vt:variant>
        <vt:lpwstr>_Toc30497545</vt:lpwstr>
      </vt:variant>
      <vt:variant>
        <vt:i4>2293786</vt:i4>
      </vt:variant>
      <vt:variant>
        <vt:i4>123</vt:i4>
      </vt:variant>
      <vt:variant>
        <vt:i4>0</vt:i4>
      </vt:variant>
      <vt:variant>
        <vt:i4>5</vt:i4>
      </vt:variant>
      <vt:variant>
        <vt:lpwstr>https://treasury.gov.au/sites/default/files/2023-03/c2023-379612-climateworks_centre.pdf</vt:lpwstr>
      </vt:variant>
      <vt:variant>
        <vt:lpwstr/>
      </vt:variant>
      <vt:variant>
        <vt:i4>3604525</vt:i4>
      </vt:variant>
      <vt:variant>
        <vt:i4>120</vt:i4>
      </vt:variant>
      <vt:variant>
        <vt:i4>0</vt:i4>
      </vt:variant>
      <vt:variant>
        <vt:i4>5</vt:i4>
      </vt:variant>
      <vt:variant>
        <vt:lpwstr>https://www.corelogic.com.au/news-research/reports/quarterly-rental-review</vt:lpwstr>
      </vt:variant>
      <vt:variant>
        <vt:lpwstr/>
      </vt:variant>
      <vt:variant>
        <vt:i4>1703941</vt:i4>
      </vt:variant>
      <vt:variant>
        <vt:i4>117</vt:i4>
      </vt:variant>
      <vt:variant>
        <vt:i4>0</vt:i4>
      </vt:variant>
      <vt:variant>
        <vt:i4>5</vt:i4>
      </vt:variant>
      <vt:variant>
        <vt:lpwstr>https://www.abs.gov.au/statistics/people/housing/housing-occupancy-and-costs/latest-release</vt:lpwstr>
      </vt:variant>
      <vt:variant>
        <vt:lpwstr>key-statistics</vt:lpwstr>
      </vt:variant>
      <vt:variant>
        <vt:i4>65610</vt:i4>
      </vt:variant>
      <vt:variant>
        <vt:i4>114</vt:i4>
      </vt:variant>
      <vt:variant>
        <vt:i4>0</vt:i4>
      </vt:variant>
      <vt:variant>
        <vt:i4>5</vt:i4>
      </vt:variant>
      <vt:variant>
        <vt:lpwstr>https://www.pc.gov.au/closing-the-gap-data/dashboard/socioeconomic/outcome-area9</vt:lpwstr>
      </vt:variant>
      <vt:variant>
        <vt:lpwstr/>
      </vt:variant>
      <vt:variant>
        <vt:i4>7077994</vt:i4>
      </vt:variant>
      <vt:variant>
        <vt:i4>111</vt:i4>
      </vt:variant>
      <vt:variant>
        <vt:i4>0</vt:i4>
      </vt:variant>
      <vt:variant>
        <vt:i4>5</vt:i4>
      </vt:variant>
      <vt:variant>
        <vt:lpwstr>https://www.abs.gov.au/statistics/people/housing/estimating-homelessness-census/latest-release</vt:lpwstr>
      </vt:variant>
      <vt:variant>
        <vt:lpwstr/>
      </vt:variant>
      <vt:variant>
        <vt:i4>262160</vt:i4>
      </vt:variant>
      <vt:variant>
        <vt:i4>108</vt:i4>
      </vt:variant>
      <vt:variant>
        <vt:i4>0</vt:i4>
      </vt:variant>
      <vt:variant>
        <vt:i4>5</vt:i4>
      </vt:variant>
      <vt:variant>
        <vt:lpwstr>https://www.abs.gov.au/methodologies/estimating-homelessness-census-methodology/2021</vt:lpwstr>
      </vt:variant>
      <vt:variant>
        <vt:lpwstr/>
      </vt:variant>
      <vt:variant>
        <vt:i4>3145764</vt:i4>
      </vt:variant>
      <vt:variant>
        <vt:i4>105</vt:i4>
      </vt:variant>
      <vt:variant>
        <vt:i4>0</vt:i4>
      </vt:variant>
      <vt:variant>
        <vt:i4>5</vt:i4>
      </vt:variant>
      <vt:variant>
        <vt:lpwstr>https://business.nab.com.au/nab-consumer-insights-survey-financial-hardship-q4-2022-58663/</vt:lpwstr>
      </vt:variant>
      <vt:variant>
        <vt:lpwstr/>
      </vt:variant>
      <vt:variant>
        <vt:i4>786435</vt:i4>
      </vt:variant>
      <vt:variant>
        <vt:i4>102</vt:i4>
      </vt:variant>
      <vt:variant>
        <vt:i4>0</vt:i4>
      </vt:variant>
      <vt:variant>
        <vt:i4>5</vt:i4>
      </vt:variant>
      <vt:variant>
        <vt:lpwstr>https://www.abs.gov.au/statistics/people/people-and-communities/general-social-survey-summary-results-australia/latest-release</vt:lpwstr>
      </vt:variant>
      <vt:variant>
        <vt:lpwstr>data-downloads</vt:lpwstr>
      </vt:variant>
      <vt:variant>
        <vt:i4>1638423</vt:i4>
      </vt:variant>
      <vt:variant>
        <vt:i4>99</vt:i4>
      </vt:variant>
      <vt:variant>
        <vt:i4>0</vt:i4>
      </vt:variant>
      <vt:variant>
        <vt:i4>5</vt:i4>
      </vt:variant>
      <vt:variant>
        <vt:lpwstr>https://www.abs.gov.au/statistics/people/people-and-communities/general-social-survey-summary-results-australia/latest-release</vt:lpwstr>
      </vt:variant>
      <vt:variant>
        <vt:lpwstr>social-experiences</vt:lpwstr>
      </vt:variant>
      <vt:variant>
        <vt:i4>7077994</vt:i4>
      </vt:variant>
      <vt:variant>
        <vt:i4>96</vt:i4>
      </vt:variant>
      <vt:variant>
        <vt:i4>0</vt:i4>
      </vt:variant>
      <vt:variant>
        <vt:i4>5</vt:i4>
      </vt:variant>
      <vt:variant>
        <vt:lpwstr>https://www.abs.gov.au/statistics/people/housing/estimating-homelessness-census/latest-release</vt:lpwstr>
      </vt:variant>
      <vt:variant>
        <vt:lpwstr/>
      </vt:variant>
      <vt:variant>
        <vt:i4>1048643</vt:i4>
      </vt:variant>
      <vt:variant>
        <vt:i4>93</vt:i4>
      </vt:variant>
      <vt:variant>
        <vt:i4>0</vt:i4>
      </vt:variant>
      <vt:variant>
        <vt:i4>5</vt:i4>
      </vt:variant>
      <vt:variant>
        <vt:lpwstr>https://poll.lowyinstitute.org/charts/feelings-of-safety/</vt:lpwstr>
      </vt:variant>
      <vt:variant>
        <vt:lpwstr/>
      </vt:variant>
      <vt:variant>
        <vt:i4>1572934</vt:i4>
      </vt:variant>
      <vt:variant>
        <vt:i4>90</vt:i4>
      </vt:variant>
      <vt:variant>
        <vt:i4>0</vt:i4>
      </vt:variant>
      <vt:variant>
        <vt:i4>5</vt:i4>
      </vt:variant>
      <vt:variant>
        <vt:lpwstr>https://www.esafety.gov.au/sites/default/files/2020-07/Adults%27 negative online experiences.pdf</vt:lpwstr>
      </vt:variant>
      <vt:variant>
        <vt:lpwstr/>
      </vt:variant>
      <vt:variant>
        <vt:i4>5308419</vt:i4>
      </vt:variant>
      <vt:variant>
        <vt:i4>87</vt:i4>
      </vt:variant>
      <vt:variant>
        <vt:i4>0</vt:i4>
      </vt:variant>
      <vt:variant>
        <vt:i4>5</vt:i4>
      </vt:variant>
      <vt:variant>
        <vt:lpwstr>https://www.abs.gov.au/statistics/industry/technology-and-innovation/household-use-information-technology/latest-release</vt:lpwstr>
      </vt:variant>
      <vt:variant>
        <vt:lpwstr/>
      </vt:variant>
      <vt:variant>
        <vt:i4>1441815</vt:i4>
      </vt:variant>
      <vt:variant>
        <vt:i4>84</vt:i4>
      </vt:variant>
      <vt:variant>
        <vt:i4>0</vt:i4>
      </vt:variant>
      <vt:variant>
        <vt:i4>5</vt:i4>
      </vt:variant>
      <vt:variant>
        <vt:lpwstr>https://www.acms.au/</vt:lpwstr>
      </vt:variant>
      <vt:variant>
        <vt:lpwstr/>
      </vt:variant>
      <vt:variant>
        <vt:i4>983064</vt:i4>
      </vt:variant>
      <vt:variant>
        <vt:i4>81</vt:i4>
      </vt:variant>
      <vt:variant>
        <vt:i4>0</vt:i4>
      </vt:variant>
      <vt:variant>
        <vt:i4>5</vt:i4>
      </vt:variant>
      <vt:variant>
        <vt:lpwstr>https://anrowsdev.wpenginepowered.com/wp-content/uploads/2021/10/4AP10-Boxall-Morgan-IPV-During-Covid-ANROWS-RR.1.pdf</vt:lpwstr>
      </vt:variant>
      <vt:variant>
        <vt:lpwstr/>
      </vt:variant>
      <vt:variant>
        <vt:i4>8192039</vt:i4>
      </vt:variant>
      <vt:variant>
        <vt:i4>78</vt:i4>
      </vt:variant>
      <vt:variant>
        <vt:i4>0</vt:i4>
      </vt:variant>
      <vt:variant>
        <vt:i4>5</vt:i4>
      </vt:variant>
      <vt:variant>
        <vt:lpwstr>https://www.abs.gov.au/methodologies/personal-safety-australia-methodology/2021-22</vt:lpwstr>
      </vt:variant>
      <vt:variant>
        <vt:lpwstr/>
      </vt:variant>
      <vt:variant>
        <vt:i4>5111882</vt:i4>
      </vt:variant>
      <vt:variant>
        <vt:i4>75</vt:i4>
      </vt:variant>
      <vt:variant>
        <vt:i4>0</vt:i4>
      </vt:variant>
      <vt:variant>
        <vt:i4>5</vt:i4>
      </vt:variant>
      <vt:variant>
        <vt:lpwstr>https://www.abs.gov.au/statistics/people/crime-and-justice/personal-safety-australia/2016</vt:lpwstr>
      </vt:variant>
      <vt:variant>
        <vt:lpwstr/>
      </vt:variant>
      <vt:variant>
        <vt:i4>1572957</vt:i4>
      </vt:variant>
      <vt:variant>
        <vt:i4>72</vt:i4>
      </vt:variant>
      <vt:variant>
        <vt:i4>0</vt:i4>
      </vt:variant>
      <vt:variant>
        <vt:i4>5</vt:i4>
      </vt:variant>
      <vt:variant>
        <vt:lpwstr>https://www.pc.gov.au/ongoing/report-on-government-services/2023/justice/police-services</vt:lpwstr>
      </vt:variant>
      <vt:variant>
        <vt:lpwstr/>
      </vt:variant>
      <vt:variant>
        <vt:i4>6619261</vt:i4>
      </vt:variant>
      <vt:variant>
        <vt:i4>69</vt:i4>
      </vt:variant>
      <vt:variant>
        <vt:i4>0</vt:i4>
      </vt:variant>
      <vt:variant>
        <vt:i4>5</vt:i4>
      </vt:variant>
      <vt:variant>
        <vt:lpwstr>https://www.oecdbetterlifeindex.org/topics/safety/</vt:lpwstr>
      </vt:variant>
      <vt:variant>
        <vt:lpwstr/>
      </vt:variant>
      <vt:variant>
        <vt:i4>3538955</vt:i4>
      </vt:variant>
      <vt:variant>
        <vt:i4>66</vt:i4>
      </vt:variant>
      <vt:variant>
        <vt:i4>0</vt:i4>
      </vt:variant>
      <vt:variant>
        <vt:i4>5</vt:i4>
      </vt:variant>
      <vt:variant>
        <vt:lpwstr>https://treasury.gov.au/sites/default/files/2023-03/c2023-379612-vic_health.pdf</vt:lpwstr>
      </vt:variant>
      <vt:variant>
        <vt:lpwstr/>
      </vt:variant>
      <vt:variant>
        <vt:i4>2687080</vt:i4>
      </vt:variant>
      <vt:variant>
        <vt:i4>63</vt:i4>
      </vt:variant>
      <vt:variant>
        <vt:i4>0</vt:i4>
      </vt:variant>
      <vt:variant>
        <vt:i4>5</vt:i4>
      </vt:variant>
      <vt:variant>
        <vt:lpwstr>https://www.pc.gov.au/ongoing/report-on-government-services/2023/community-services/aged-care-services</vt:lpwstr>
      </vt:variant>
      <vt:variant>
        <vt:lpwstr/>
      </vt:variant>
      <vt:variant>
        <vt:i4>4194323</vt:i4>
      </vt:variant>
      <vt:variant>
        <vt:i4>60</vt:i4>
      </vt:variant>
      <vt:variant>
        <vt:i4>0</vt:i4>
      </vt:variant>
      <vt:variant>
        <vt:i4>5</vt:i4>
      </vt:variant>
      <vt:variant>
        <vt:lpwstr>https://www.pmc.gov.au/resources/draft-national-strategy-care-and-support-economy/introduction-care-and-support-australia</vt:lpwstr>
      </vt:variant>
      <vt:variant>
        <vt:lpwstr/>
      </vt:variant>
      <vt:variant>
        <vt:i4>7536737</vt:i4>
      </vt:variant>
      <vt:variant>
        <vt:i4>57</vt:i4>
      </vt:variant>
      <vt:variant>
        <vt:i4>0</vt:i4>
      </vt:variant>
      <vt:variant>
        <vt:i4>5</vt:i4>
      </vt:variant>
      <vt:variant>
        <vt:lpwstr>https://www.abs.gov.au/statistics/health/health-services/patient-experiences/latest-release</vt:lpwstr>
      </vt:variant>
      <vt:variant>
        <vt:lpwstr/>
      </vt:variant>
      <vt:variant>
        <vt:i4>655382</vt:i4>
      </vt:variant>
      <vt:variant>
        <vt:i4>54</vt:i4>
      </vt:variant>
      <vt:variant>
        <vt:i4>0</vt:i4>
      </vt:variant>
      <vt:variant>
        <vt:i4>5</vt:i4>
      </vt:variant>
      <vt:variant>
        <vt:lpwstr>https://www.abs.gov.au/statistics/health/health-conditions-and-risks/health-conditions-prevalence/2020-21</vt:lpwstr>
      </vt:variant>
      <vt:variant>
        <vt:lpwstr/>
      </vt:variant>
      <vt:variant>
        <vt:i4>3211379</vt:i4>
      </vt:variant>
      <vt:variant>
        <vt:i4>51</vt:i4>
      </vt:variant>
      <vt:variant>
        <vt:i4>0</vt:i4>
      </vt:variant>
      <vt:variant>
        <vt:i4>5</vt:i4>
      </vt:variant>
      <vt:variant>
        <vt:lpwstr>https://www.aihw.gov.au/reports/chronic-disease/chronic-condition-multimorbidity/contents/chronic-conditions-and-multimorbidity</vt:lpwstr>
      </vt:variant>
      <vt:variant>
        <vt:lpwstr/>
      </vt:variant>
      <vt:variant>
        <vt:i4>6094861</vt:i4>
      </vt:variant>
      <vt:variant>
        <vt:i4>48</vt:i4>
      </vt:variant>
      <vt:variant>
        <vt:i4>0</vt:i4>
      </vt:variant>
      <vt:variant>
        <vt:i4>5</vt:i4>
      </vt:variant>
      <vt:variant>
        <vt:lpwstr>https://www.aihw.gov.au/reports-data/health-conditions-disability-deaths/chronic-disease/overview</vt:lpwstr>
      </vt:variant>
      <vt:variant>
        <vt:lpwstr/>
      </vt:variant>
      <vt:variant>
        <vt:i4>1114117</vt:i4>
      </vt:variant>
      <vt:variant>
        <vt:i4>45</vt:i4>
      </vt:variant>
      <vt:variant>
        <vt:i4>0</vt:i4>
      </vt:variant>
      <vt:variant>
        <vt:i4>5</vt:i4>
      </vt:variant>
      <vt:variant>
        <vt:lpwstr>https://www.abs.gov.au/statistics/health/mental-health/national-study-mental-health-and-wellbeing/latest-release</vt:lpwstr>
      </vt:variant>
      <vt:variant>
        <vt:lpwstr/>
      </vt:variant>
      <vt:variant>
        <vt:i4>2621472</vt:i4>
      </vt:variant>
      <vt:variant>
        <vt:i4>42</vt:i4>
      </vt:variant>
      <vt:variant>
        <vt:i4>0</vt:i4>
      </vt:variant>
      <vt:variant>
        <vt:i4>5</vt:i4>
      </vt:variant>
      <vt:variant>
        <vt:lpwstr>https://www.abs.gov.au/statistics/people/aboriginal-and-torres-strait-islander-peoples/national-aboriginal-and-torres-strait-islander-health-survey/latest-release</vt:lpwstr>
      </vt:variant>
      <vt:variant>
        <vt:lpwstr/>
      </vt:variant>
      <vt:variant>
        <vt:i4>3801203</vt:i4>
      </vt:variant>
      <vt:variant>
        <vt:i4>39</vt:i4>
      </vt:variant>
      <vt:variant>
        <vt:i4>0</vt:i4>
      </vt:variant>
      <vt:variant>
        <vt:i4>5</vt:i4>
      </vt:variant>
      <vt:variant>
        <vt:lpwstr>https://www.abs.gov.au/statistics/health/mental-health/mental-health/2017-18</vt:lpwstr>
      </vt:variant>
      <vt:variant>
        <vt:lpwstr>psychological-distress</vt:lpwstr>
      </vt:variant>
      <vt:variant>
        <vt:i4>4194319</vt:i4>
      </vt:variant>
      <vt:variant>
        <vt:i4>36</vt:i4>
      </vt:variant>
      <vt:variant>
        <vt:i4>0</vt:i4>
      </vt:variant>
      <vt:variant>
        <vt:i4>5</vt:i4>
      </vt:variant>
      <vt:variant>
        <vt:lpwstr>https://www.health.gov.au/topics/mental-health-and-suicide-prevention/about-mental-health</vt:lpwstr>
      </vt:variant>
      <vt:variant>
        <vt:lpwstr/>
      </vt:variant>
      <vt:variant>
        <vt:i4>7077996</vt:i4>
      </vt:variant>
      <vt:variant>
        <vt:i4>33</vt:i4>
      </vt:variant>
      <vt:variant>
        <vt:i4>0</vt:i4>
      </vt:variant>
      <vt:variant>
        <vt:i4>5</vt:i4>
      </vt:variant>
      <vt:variant>
        <vt:lpwstr>https://www.aihw.gov.au/reports/life-expectancy-death/deaths-in-australia/contents/life-expectancy</vt:lpwstr>
      </vt:variant>
      <vt:variant>
        <vt:lpwstr/>
      </vt:variant>
      <vt:variant>
        <vt:i4>2228267</vt:i4>
      </vt:variant>
      <vt:variant>
        <vt:i4>30</vt:i4>
      </vt:variant>
      <vt:variant>
        <vt:i4>0</vt:i4>
      </vt:variant>
      <vt:variant>
        <vt:i4>5</vt:i4>
      </vt:variant>
      <vt:variant>
        <vt:lpwstr>https://www.aihw.gov.au/reports/burden-of-disease/abds-methods-supplementary-material-2018/contents/estimating-burden-of-disease-measures/health-adjusted-life-expectancy-hale</vt:lpwstr>
      </vt:variant>
      <vt:variant>
        <vt:lpwstr/>
      </vt:variant>
      <vt:variant>
        <vt:i4>524293</vt:i4>
      </vt:variant>
      <vt:variant>
        <vt:i4>27</vt:i4>
      </vt:variant>
      <vt:variant>
        <vt:i4>0</vt:i4>
      </vt:variant>
      <vt:variant>
        <vt:i4>5</vt:i4>
      </vt:variant>
      <vt:variant>
        <vt:lpwstr>https://www.abs.gov.au/statistics/people/aboriginal-and-torres-strait-islander-peoples/aboriginal-and-torres-strait-islander-life-expectancy-estimates/2015-2017</vt:lpwstr>
      </vt:variant>
      <vt:variant>
        <vt:lpwstr/>
      </vt:variant>
      <vt:variant>
        <vt:i4>6094854</vt:i4>
      </vt:variant>
      <vt:variant>
        <vt:i4>24</vt:i4>
      </vt:variant>
      <vt:variant>
        <vt:i4>0</vt:i4>
      </vt:variant>
      <vt:variant>
        <vt:i4>5</vt:i4>
      </vt:variant>
      <vt:variant>
        <vt:lpwstr>https://data.oecd.org/healthstat/life-expectancy-at-birth.htm</vt:lpwstr>
      </vt:variant>
      <vt:variant>
        <vt:lpwstr/>
      </vt:variant>
      <vt:variant>
        <vt:i4>6357032</vt:i4>
      </vt:variant>
      <vt:variant>
        <vt:i4>21</vt:i4>
      </vt:variant>
      <vt:variant>
        <vt:i4>0</vt:i4>
      </vt:variant>
      <vt:variant>
        <vt:i4>5</vt:i4>
      </vt:variant>
      <vt:variant>
        <vt:lpwstr>https://www.abs.gov.au/statistics/people/population/life-tables/latest-release</vt:lpwstr>
      </vt:variant>
      <vt:variant>
        <vt:lpwstr/>
      </vt:variant>
      <vt:variant>
        <vt:i4>458845</vt:i4>
      </vt:variant>
      <vt:variant>
        <vt:i4>18</vt:i4>
      </vt:variant>
      <vt:variant>
        <vt:i4>0</vt:i4>
      </vt:variant>
      <vt:variant>
        <vt:i4>5</vt:i4>
      </vt:variant>
      <vt:variant>
        <vt:lpwstr>https://www.aihw.gov.au/reports/social-determinants/health-inequalities-australia/summary</vt:lpwstr>
      </vt:variant>
      <vt:variant>
        <vt:lpwstr/>
      </vt:variant>
      <vt:variant>
        <vt:i4>8192122</vt:i4>
      </vt:variant>
      <vt:variant>
        <vt:i4>15</vt:i4>
      </vt:variant>
      <vt:variant>
        <vt:i4>0</vt:i4>
      </vt:variant>
      <vt:variant>
        <vt:i4>5</vt:i4>
      </vt:variant>
      <vt:variant>
        <vt:lpwstr>https://www.health.gov.au/resources/publications/national-preventive-health-strategy-2021-2030</vt:lpwstr>
      </vt:variant>
      <vt:variant>
        <vt:lpwstr/>
      </vt:variant>
      <vt:variant>
        <vt:i4>3145767</vt:i4>
      </vt:variant>
      <vt:variant>
        <vt:i4>12</vt:i4>
      </vt:variant>
      <vt:variant>
        <vt:i4>0</vt:i4>
      </vt:variant>
      <vt:variant>
        <vt:i4>5</vt:i4>
      </vt:variant>
      <vt:variant>
        <vt:lpwstr>https://treasury.gov.au/sites/default/files/2023-03/c2023-379612-australia_academy_of_health_and_medical_science.pdf</vt:lpwstr>
      </vt:variant>
      <vt:variant>
        <vt:lpwstr/>
      </vt:variant>
      <vt:variant>
        <vt:i4>4849670</vt:i4>
      </vt:variant>
      <vt:variant>
        <vt:i4>9</vt:i4>
      </vt:variant>
      <vt:variant>
        <vt:i4>0</vt:i4>
      </vt:variant>
      <vt:variant>
        <vt:i4>5</vt:i4>
      </vt:variant>
      <vt:variant>
        <vt:lpwstr>https://www.oecd.org/pisa/publications/PISA2018_CN_AUS.pdf</vt:lpwstr>
      </vt:variant>
      <vt:variant>
        <vt:lpwstr/>
      </vt:variant>
      <vt:variant>
        <vt:i4>2883711</vt:i4>
      </vt:variant>
      <vt:variant>
        <vt:i4>6</vt:i4>
      </vt:variant>
      <vt:variant>
        <vt:i4>0</vt:i4>
      </vt:variant>
      <vt:variant>
        <vt:i4>5</vt:i4>
      </vt:variant>
      <vt:variant>
        <vt:lpwstr>https://www.lowitja.org.au/page/services/resources/Cultural-and-social-determinants/culture-for-health-and-wellbeing/defining-the-indefinable-descriptors-of-aboriginal-and-torres-strait-islander-peoples%E2%80%99-cultures-and-their-links-to-health-and-wellbeing</vt:lpwstr>
      </vt:variant>
      <vt:variant>
        <vt:lpwstr/>
      </vt:variant>
      <vt:variant>
        <vt:i4>5505097</vt:i4>
      </vt:variant>
      <vt:variant>
        <vt:i4>3</vt:i4>
      </vt:variant>
      <vt:variant>
        <vt:i4>0</vt:i4>
      </vt:variant>
      <vt:variant>
        <vt:i4>5</vt:i4>
      </vt:variant>
      <vt:variant>
        <vt:lpwstr>https://www.infrastructure.gov.au/department/media/news/2021-progress-australian-regions-and-cities-dashboard</vt:lpwstr>
      </vt:variant>
      <vt:variant>
        <vt:lpwstr/>
      </vt:variant>
      <vt:variant>
        <vt:i4>8192103</vt:i4>
      </vt:variant>
      <vt:variant>
        <vt:i4>0</vt:i4>
      </vt:variant>
      <vt:variant>
        <vt:i4>0</vt:i4>
      </vt:variant>
      <vt:variant>
        <vt:i4>5</vt:i4>
      </vt:variant>
      <vt:variant>
        <vt:lpwstr>https://www.oecd.org/economy/all-on-board-9789264218512-en.htm</vt:lpwstr>
      </vt:variant>
      <vt:variant>
        <vt:lpwstr>:~:text=All%20on%20Board%3A%20Making%20Inclusive%20Growth%20Happen%20puts%20forth%20a,that%20reflect%20people%27s%20well%2Dbeing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What Matters: Australia’s First Wellbeing Framework</dc:title>
  <dc:subject/>
  <dc:creator>Australian Government - The Treasury</dc:creator>
  <cp:keywords/>
  <cp:lastModifiedBy>van der Hoeven, Megan</cp:lastModifiedBy>
  <cp:revision>3</cp:revision>
  <cp:lastPrinted>2023-07-28T01:58:00Z</cp:lastPrinted>
  <dcterms:created xsi:type="dcterms:W3CDTF">2023-10-11T03:37:00Z</dcterms:created>
  <dcterms:modified xsi:type="dcterms:W3CDTF">2023-10-11T03:38:00Z</dcterms:modified>
</cp:coreProperties>
</file>